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-195580</wp:posOffset>
            </wp:positionV>
            <wp:extent cx="26244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165735</wp:posOffset>
            </wp:positionV>
            <wp:extent cx="26244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187325</wp:posOffset>
            </wp:positionV>
            <wp:extent cx="262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460"/>
        <w:spacing w:after="0"/>
        <w:tabs>
          <w:tab w:leader="none" w:pos="6760" w:val="left"/>
          <w:tab w:leader="none" w:pos="79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-5080</wp:posOffset>
            </wp:positionV>
            <wp:extent cx="13239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182880</wp:posOffset>
            </wp:positionV>
            <wp:extent cx="2624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ANAPTYSBIO, INC.</w:t>
      </w:r>
    </w:p>
    <w:p>
      <w:pPr>
        <w:spacing w:after="0" w:line="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182880</wp:posOffset>
            </wp:positionV>
            <wp:extent cx="2624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040" w:type="dxa"/>
            <w:vAlign w:val="bottom"/>
            <w:gridSpan w:val="2"/>
          </w:tcPr>
          <w:p>
            <w:pPr>
              <w:jc w:val="center"/>
              <w:ind w:left="201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20" w:type="dxa"/>
            <w:vAlign w:val="bottom"/>
            <w:gridSpan w:val="2"/>
          </w:tcPr>
          <w:p>
            <w:pPr>
              <w:jc w:val="center"/>
              <w:ind w:right="2039"/>
              <w:spacing w:after="0"/>
              <w:rPr>
                <w:sz w:val="20"/>
                <w:szCs w:val="20"/>
                <w:color w:val="auto"/>
              </w:rPr>
            </w:pPr>
            <w:r>
              <w:rPr>
                <w:rFonts w:ascii="Times New Roman" w:cs="Times New Roman" w:eastAsia="Times New Roman" w:hAnsi="Times New Roman"/>
                <w:sz w:val="18"/>
                <w:szCs w:val="18"/>
                <w:b w:val="1"/>
                <w:bCs w:val="1"/>
                <w:color w:val="auto"/>
              </w:rPr>
              <w:t>20-3828755</w:t>
            </w:r>
          </w:p>
        </w:tc>
      </w:tr>
      <w:tr>
        <w:trPr>
          <w:trHeight w:val="178"/>
        </w:trPr>
        <w:tc>
          <w:tcPr>
            <w:tcW w:w="4040" w:type="dxa"/>
            <w:vAlign w:val="bottom"/>
            <w:gridSpan w:val="2"/>
          </w:tcPr>
          <w:p>
            <w:pPr>
              <w:jc w:val="center"/>
              <w:ind w:left="199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60" w:type="dxa"/>
            <w:vAlign w:val="bottom"/>
          </w:tcPr>
          <w:p>
            <w:pPr>
              <w:jc w:val="center"/>
              <w:ind w:right="229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gridSpan w:val="2"/>
          </w:tcPr>
          <w:p>
            <w:pPr>
              <w:jc w:val="center"/>
              <w:ind w:left="199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920" w:type="dxa"/>
            <w:vAlign w:val="bottom"/>
            <w:gridSpan w:val="2"/>
          </w:tcPr>
          <w:p>
            <w:pPr>
              <w:jc w:val="center"/>
              <w:ind w:right="205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33"/>
        </w:trPr>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10421 Pacific Center Court, Suite 200</w:t>
            </w:r>
          </w:p>
        </w:tc>
        <w:tc>
          <w:tcPr>
            <w:tcW w:w="2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4"/>
        </w:trPr>
        <w:tc>
          <w:tcPr>
            <w:tcW w:w="3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San Diego, CA 92121</w:t>
            </w:r>
          </w:p>
        </w:tc>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190"/>
        </w:trPr>
        <w:tc>
          <w:tcPr>
            <w:tcW w:w="3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260" w:type="dxa"/>
            <w:vAlign w:val="bottom"/>
          </w:tcPr>
          <w:p>
            <w:pPr>
              <w:spacing w:after="0"/>
              <w:rPr>
                <w:sz w:val="16"/>
                <w:szCs w:val="16"/>
                <w:color w:val="auto"/>
              </w:rPr>
            </w:pPr>
          </w:p>
        </w:tc>
        <w:tc>
          <w:tcPr>
            <w:tcW w:w="3660" w:type="dxa"/>
            <w:vAlign w:val="bottom"/>
          </w:tcPr>
          <w:p>
            <w:pPr>
              <w:spacing w:after="0"/>
              <w:rPr>
                <w:sz w:val="16"/>
                <w:szCs w:val="16"/>
                <w:color w:val="auto"/>
              </w:rPr>
            </w:pPr>
          </w:p>
        </w:tc>
      </w:tr>
      <w:tr>
        <w:trPr>
          <w:trHeight w:val="296"/>
        </w:trPr>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gridSpan w:val="2"/>
          </w:tcPr>
          <w:p>
            <w:pPr>
              <w:jc w:val="center"/>
              <w:ind w:left="102"/>
              <w:spacing w:after="0"/>
              <w:rPr>
                <w:sz w:val="20"/>
                <w:szCs w:val="20"/>
                <w:color w:val="auto"/>
              </w:rPr>
            </w:pPr>
            <w:r>
              <w:rPr>
                <w:rFonts w:ascii="Times New Roman" w:cs="Times New Roman" w:eastAsia="Times New Roman" w:hAnsi="Times New Roman"/>
                <w:sz w:val="18"/>
                <w:szCs w:val="18"/>
                <w:b w:val="1"/>
                <w:bCs w:val="1"/>
                <w:color w:val="auto"/>
                <w:w w:val="99"/>
              </w:rPr>
              <w:t>(858) 362-6295</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190"/>
        </w:trPr>
        <w:tc>
          <w:tcPr>
            <w:tcW w:w="3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60" w:type="dxa"/>
            <w:vAlign w:val="bottom"/>
          </w:tcPr>
          <w:p>
            <w:pPr>
              <w:spacing w:after="0"/>
              <w:rPr>
                <w:sz w:val="16"/>
                <w:szCs w:val="16"/>
                <w:color w:val="auto"/>
              </w:rPr>
            </w:pPr>
          </w:p>
        </w:tc>
        <w:tc>
          <w:tcPr>
            <w:tcW w:w="3660" w:type="dxa"/>
            <w:vAlign w:val="bottom"/>
          </w:tcPr>
          <w:p>
            <w:pPr>
              <w:spacing w:after="0"/>
              <w:rPr>
                <w:sz w:val="16"/>
                <w:szCs w:val="16"/>
                <w:color w:val="auto"/>
              </w:rPr>
            </w:pPr>
          </w:p>
        </w:tc>
      </w:tr>
      <w:tr>
        <w:trPr>
          <w:trHeight w:val="253"/>
        </w:trPr>
        <w:tc>
          <w:tcPr>
            <w:tcW w:w="3660" w:type="dxa"/>
            <w:vAlign w:val="bottom"/>
          </w:tcPr>
          <w:p>
            <w:pPr>
              <w:spacing w:after="0"/>
              <w:rPr>
                <w:sz w:val="22"/>
                <w:szCs w:val="22"/>
                <w:color w:val="auto"/>
              </w:rPr>
            </w:pPr>
          </w:p>
        </w:tc>
        <w:tc>
          <w:tcPr>
            <w:tcW w:w="480" w:type="dxa"/>
            <w:vAlign w:val="bottom"/>
            <w:tcBorders>
              <w:bottom w:val="single" w:sz="8" w:color="auto"/>
            </w:tcBorders>
            <w:gridSpan w:val="2"/>
          </w:tcPr>
          <w:p>
            <w:pPr>
              <w:spacing w:after="0"/>
              <w:rPr>
                <w:sz w:val="22"/>
                <w:szCs w:val="22"/>
                <w:color w:val="auto"/>
              </w:rPr>
            </w:pPr>
          </w:p>
        </w:tc>
        <w:tc>
          <w:tcPr>
            <w:tcW w:w="30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spacing w:after="0"/>
              <w:rPr>
                <w:sz w:val="22"/>
                <w:szCs w:val="22"/>
                <w:color w:val="auto"/>
              </w:rPr>
            </w:pPr>
          </w:p>
        </w:tc>
        <w:tc>
          <w:tcPr>
            <w:tcW w:w="3660" w:type="dxa"/>
            <w:vAlign w:val="bottom"/>
          </w:tcPr>
          <w:p>
            <w:pPr>
              <w:spacing w:after="0"/>
              <w:rPr>
                <w:sz w:val="22"/>
                <w:szCs w:val="22"/>
                <w:color w:val="auto"/>
              </w:rPr>
            </w:pPr>
          </w:p>
        </w:tc>
      </w:tr>
      <w:tr>
        <w:trPr>
          <w:trHeight w:val="318"/>
        </w:trPr>
        <w:tc>
          <w:tcPr>
            <w:tcW w:w="114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243"/>
        </w:trPr>
        <w:tc>
          <w:tcPr>
            <w:tcW w:w="404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gridSpan w:val="2"/>
          </w:tcPr>
          <w:p>
            <w:pPr>
              <w:spacing w:after="0"/>
              <w:rPr>
                <w:sz w:val="21"/>
                <w:szCs w:val="21"/>
                <w:color w:val="auto"/>
              </w:rPr>
            </w:pPr>
          </w:p>
        </w:tc>
      </w:tr>
      <w:tr>
        <w:trPr>
          <w:trHeight w:val="237"/>
        </w:trPr>
        <w:tc>
          <w:tcPr>
            <w:tcW w:w="4040" w:type="dxa"/>
            <w:vAlign w:val="bottom"/>
            <w:tcBorders>
              <w:left w:val="single" w:sz="8" w:color="auto"/>
            </w:tcBorders>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00" w:type="dxa"/>
            <w:vAlign w:val="bottom"/>
          </w:tcPr>
          <w:p>
            <w:pPr>
              <w:spacing w:after="0"/>
              <w:rPr>
                <w:sz w:val="20"/>
                <w:szCs w:val="20"/>
                <w:color w:val="auto"/>
              </w:rPr>
            </w:pPr>
          </w:p>
        </w:tc>
        <w:tc>
          <w:tcPr>
            <w:tcW w:w="3920" w:type="dxa"/>
            <w:vAlign w:val="bottom"/>
            <w:tcBorders>
              <w:right w:val="single" w:sz="8" w:color="auto"/>
            </w:tcBorders>
            <w:gridSpan w:val="2"/>
          </w:tcPr>
          <w:p>
            <w:pPr>
              <w:jc w:val="center"/>
              <w:ind w:right="239"/>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040" w:type="dxa"/>
            <w:vAlign w:val="bottom"/>
            <w:tcBorders>
              <w:left w:val="single" w:sz="8" w:color="auto"/>
              <w:bottom w:val="single" w:sz="8" w:color="auto"/>
            </w:tcBorders>
            <w:gridSpan w:val="2"/>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37"/>
        </w:trPr>
        <w:tc>
          <w:tcPr>
            <w:tcW w:w="4040" w:type="dxa"/>
            <w:vAlign w:val="bottom"/>
            <w:tcBorders>
              <w:left w:val="single" w:sz="8" w:color="auto"/>
            </w:tcBorders>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0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tcBorders>
              <w:right w:val="single" w:sz="8" w:color="auto"/>
            </w:tcBorders>
          </w:tcPr>
          <w:p>
            <w:pPr>
              <w:jc w:val="center"/>
              <w:ind w:right="499"/>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
        </w:trPr>
        <w:tc>
          <w:tcPr>
            <w:tcW w:w="3660" w:type="dxa"/>
            <w:vAlign w:val="bottom"/>
            <w:tcBorders>
              <w:left w:val="single" w:sz="8" w:color="auto"/>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bl>
    <w:p>
      <w:pPr>
        <w:spacing w:after="0" w:line="292" w:lineRule="exact"/>
        <w:rPr>
          <w:sz w:val="24"/>
          <w:szCs w:val="24"/>
          <w:color w:val="auto"/>
        </w:rPr>
      </w:pPr>
    </w:p>
    <w:p>
      <w:pPr>
        <w:ind w:right="440"/>
        <w:spacing w:after="0" w:line="30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69" w:lineRule="exact"/>
        <w:rPr>
          <w:sz w:val="24"/>
          <w:szCs w:val="24"/>
          <w:color w:val="auto"/>
        </w:rPr>
      </w:pPr>
    </w:p>
    <w:p>
      <w:pPr>
        <w:ind w:right="500"/>
        <w:spacing w:after="0" w:line="30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9"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40" w:type="dxa"/>
        <w:tblCellMar>
          <w:top w:w="0" w:type="dxa"/>
          <w:left w:w="0" w:type="dxa"/>
          <w:bottom w:w="0" w:type="dxa"/>
          <w:right w:w="0" w:type="dxa"/>
        </w:tblCellMar>
      </w:tblPr>
      <w:tr>
        <w:trPr>
          <w:trHeight w:val="39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80" w:type="dxa"/>
            <w:vAlign w:val="bottom"/>
          </w:tcPr>
          <w:p>
            <w:pPr>
              <w:ind w:left="540"/>
              <w:spacing w:after="0" w:line="251" w:lineRule="exact"/>
              <w:rPr>
                <w:sz w:val="20"/>
                <w:szCs w:val="20"/>
                <w:color w:val="auto"/>
              </w:rPr>
            </w:pPr>
            <w:r>
              <w:rPr>
                <w:rFonts w:ascii="MS PGothic" w:cs="MS PGothic" w:eastAsia="MS PGothic" w:hAnsi="MS PGothic"/>
                <w:sz w:val="25"/>
                <w:szCs w:val="25"/>
                <w:color w:val="auto"/>
              </w:rPr>
              <w:t>☒</w:t>
            </w:r>
          </w:p>
        </w:tc>
        <w:tc>
          <w:tcPr>
            <w:tcW w:w="50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3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8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50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3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32"/>
        </w:trPr>
        <w:tc>
          <w:tcPr>
            <w:tcW w:w="22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380"/>
              <w:spacing w:after="0" w:line="221" w:lineRule="exact"/>
              <w:rPr>
                <w:sz w:val="20"/>
                <w:szCs w:val="20"/>
                <w:color w:val="auto"/>
              </w:rPr>
            </w:pPr>
            <w:r>
              <w:rPr>
                <w:rFonts w:ascii="MS PGothic" w:cs="MS PGothic" w:eastAsia="MS PGothic" w:hAnsi="MS PGothic"/>
                <w:sz w:val="22"/>
                <w:szCs w:val="22"/>
                <w:color w:val="auto"/>
                <w:w w:val="81"/>
              </w:rPr>
              <w:t>☐</w:t>
            </w:r>
          </w:p>
        </w:tc>
      </w:tr>
    </w:tbl>
    <w:p>
      <w:pPr>
        <w:sectPr>
          <w:pgSz w:w="11900" w:h="16838" w:orient="portrait"/>
          <w:cols w:equalWidth="0" w:num="1">
            <w:col w:w="11440"/>
          </w:cols>
          <w:pgMar w:left="240" w:top="480" w:right="219" w:bottom="1440" w:gutter="0" w:footer="0" w:header="0"/>
        </w:sectPr>
      </w:pPr>
    </w:p>
    <w:bookmarkStart w:id="1" w:name="page2"/>
    <w:bookmarkEnd w:id="1"/>
    <w:p>
      <w:pPr>
        <w:spacing w:after="0" w:line="27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ind w:right="236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As of November 5, 2019, there were 27,133,459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163830</wp:posOffset>
            </wp:positionV>
            <wp:extent cx="2624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280"/>
          </w:cols>
          <w:pgMar w:left="240" w:top="445" w:right="379" w:bottom="1440" w:gutter="0" w:footer="0" w:header="0"/>
        </w:sectPr>
      </w:pPr>
    </w:p>
    <w:bookmarkStart w:id="2" w:name="page3"/>
    <w:bookmarkEnd w:id="2"/>
    <w:p>
      <w:pPr>
        <w:jc w:val="center"/>
        <w:ind w:left="1460"/>
        <w:spacing w:after="0"/>
        <w:rPr>
          <w:sz w:val="20"/>
          <w:szCs w:val="20"/>
          <w:color w:val="auto"/>
        </w:rPr>
      </w:pPr>
      <w:r>
        <w:rPr>
          <w:rFonts w:ascii="Times New Roman" w:cs="Times New Roman" w:eastAsia="Times New Roman" w:hAnsi="Times New Roman"/>
          <w:sz w:val="22"/>
          <w:szCs w:val="22"/>
          <w:b w:val="1"/>
          <w:bCs w:val="1"/>
          <w:color w:val="auto"/>
        </w:rPr>
        <w:t>ANAPTYSBIO, INC.</w:t>
      </w:r>
    </w:p>
    <w:p>
      <w:pPr>
        <w:spacing w:after="0" w:line="32" w:lineRule="exact"/>
        <w:rPr>
          <w:sz w:val="20"/>
          <w:szCs w:val="20"/>
          <w:color w:val="auto"/>
        </w:rPr>
      </w:pPr>
    </w:p>
    <w:p>
      <w:pPr>
        <w:jc w:val="center"/>
        <w:ind w:left="146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23" w:lineRule="exact"/>
        <w:rPr>
          <w:sz w:val="20"/>
          <w:szCs w:val="20"/>
          <w:color w:val="auto"/>
        </w:rPr>
      </w:pPr>
    </w:p>
    <w:p>
      <w:pPr>
        <w:ind w:left="40"/>
        <w:spacing w:after="0"/>
        <w:tabs>
          <w:tab w:leader="none" w:pos="1400" w:val="left"/>
        </w:tabs>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8"/>
            <w:szCs w:val="18"/>
            <w:color w:val="auto"/>
          </w:rPr>
          <w:t>Item 1.</w:t>
        </w:r>
      </w:hyperlink>
      <w:r>
        <w:rPr>
          <w:rFonts w:ascii="Times New Roman" w:cs="Times New Roman" w:eastAsia="Times New Roman" w:hAnsi="Times New Roman"/>
          <w:sz w:val="18"/>
          <w:szCs w:val="18"/>
          <w:color w:val="auto"/>
        </w:rPr>
        <w:tab/>
      </w:r>
      <w:hyperlink w:anchor="page4">
        <w:r>
          <w:rPr>
            <w:rFonts w:ascii="Times New Roman" w:cs="Times New Roman" w:eastAsia="Times New Roman" w:hAnsi="Times New Roman"/>
            <w:sz w:val="17"/>
            <w:szCs w:val="17"/>
            <w:u w:val="single" w:color="auto"/>
            <w:color w:val="0000EE"/>
          </w:rPr>
          <w:t>Consolidated Financial Statements (unaudited)</w:t>
        </w:r>
      </w:hyperlink>
    </w:p>
    <w:p>
      <w:pPr>
        <w:spacing w:after="0" w:line="144" w:lineRule="exact"/>
        <w:rPr>
          <w:sz w:val="20"/>
          <w:szCs w:val="20"/>
          <w:color w:val="auto"/>
        </w:rPr>
      </w:pPr>
    </w:p>
    <w:p>
      <w:pPr>
        <w:ind w:left="14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Consolidated Balance Sheets as of September 30, 2019 and December 31,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pacing w:after="0" w:line="124" w:lineRule="exact"/>
        <w:rPr>
          <w:sz w:val="20"/>
          <w:szCs w:val="20"/>
          <w:color w:val="auto"/>
        </w:rPr>
      </w:pPr>
    </w:p>
    <w:p>
      <w:pPr>
        <w:ind w:left="1420"/>
        <w:spacing w:after="0" w:line="282" w:lineRule="auto"/>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Consolidated Statements of Operations and Comprehensive Loss for the Three and Nine Months Ended September 30,</w:t>
        </w:r>
      </w:hyperlink>
      <w:r>
        <w:rPr>
          <w:rFonts w:ascii="Times New Roman" w:cs="Times New Roman" w:eastAsia="Times New Roman" w:hAnsi="Times New Roman"/>
          <w:sz w:val="18"/>
          <w:szCs w:val="18"/>
          <w:u w:val="single" w:color="auto"/>
          <w:color w:val="0000EE"/>
        </w:rPr>
        <w:t xml:space="preserve"> </w:t>
      </w:r>
      <w:hyperlink w:anchor="page5">
        <w:r>
          <w:rPr>
            <w:rFonts w:ascii="Times New Roman" w:cs="Times New Roman" w:eastAsia="Times New Roman" w:hAnsi="Times New Roman"/>
            <w:sz w:val="18"/>
            <w:szCs w:val="18"/>
            <w:u w:val="single" w:color="auto"/>
            <w:color w:val="0000EE"/>
          </w:rPr>
          <w:t>2019 and 2018</w:t>
        </w:r>
      </w:hyperlink>
    </w:p>
    <w:p>
      <w:pPr>
        <w:spacing w:after="0" w:line="81" w:lineRule="exact"/>
        <w:rPr>
          <w:sz w:val="20"/>
          <w:szCs w:val="20"/>
          <w:color w:val="auto"/>
        </w:rPr>
      </w:pPr>
    </w:p>
    <w:p>
      <w:pPr>
        <w:ind w:left="1420" w:right="720"/>
        <w:spacing w:after="0" w:line="407" w:lineRule="auto"/>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Consolidated Statements of Stockholder’s Equity for the Three and Nine Months Ended September 30, 2019</w:t>
        </w:r>
      </w:hyperlink>
      <w:r>
        <w:rPr>
          <w:rFonts w:ascii="Times New Roman" w:cs="Times New Roman" w:eastAsia="Times New Roman" w:hAnsi="Times New Roman"/>
          <w:sz w:val="18"/>
          <w:szCs w:val="18"/>
          <w:u w:val="single" w:color="auto"/>
          <w:color w:val="0000EE"/>
        </w:rPr>
        <w:t xml:space="preserve"> </w:t>
      </w:r>
      <w:hyperlink w:anchor="page7">
        <w:r>
          <w:rPr>
            <w:rFonts w:ascii="Times New Roman" w:cs="Times New Roman" w:eastAsia="Times New Roman" w:hAnsi="Times New Roman"/>
            <w:sz w:val="18"/>
            <w:szCs w:val="18"/>
            <w:u w:val="single" w:color="auto"/>
            <w:color w:val="0000EE"/>
          </w:rPr>
          <w:t>Consolidated Statements of Stockholder’s Equity for the Three and Nine Months Ended September 30, 2018</w:t>
        </w:r>
      </w:hyperlink>
      <w:r>
        <w:rPr>
          <w:rFonts w:ascii="Times New Roman" w:cs="Times New Roman" w:eastAsia="Times New Roman" w:hAnsi="Times New Roman"/>
          <w:sz w:val="18"/>
          <w:szCs w:val="18"/>
          <w:u w:val="single" w:color="auto"/>
          <w:color w:val="0000EE"/>
        </w:rPr>
        <w:t xml:space="preserve"> </w:t>
      </w:r>
      <w:hyperlink w:anchor="page8">
        <w:r>
          <w:rPr>
            <w:rFonts w:ascii="Times New Roman" w:cs="Times New Roman" w:eastAsia="Times New Roman" w:hAnsi="Times New Roman"/>
            <w:sz w:val="18"/>
            <w:szCs w:val="18"/>
            <w:u w:val="single" w:color="auto"/>
            <w:color w:val="0000EE"/>
          </w:rPr>
          <w:t>Consolidated Statements of Cash Flows for the Nine Months Ended September 30, 2019 and 2018</w:t>
        </w:r>
      </w:hyperlink>
      <w:r>
        <w:rPr>
          <w:rFonts w:ascii="Times New Roman" w:cs="Times New Roman" w:eastAsia="Times New Roman" w:hAnsi="Times New Roman"/>
          <w:sz w:val="18"/>
          <w:szCs w:val="18"/>
          <w:u w:val="single" w:color="auto"/>
          <w:color w:val="0000EE"/>
        </w:rPr>
        <w:t xml:space="preserve"> </w:t>
      </w:r>
      <w:hyperlink w:anchor="page9">
        <w:r>
          <w:rPr>
            <w:rFonts w:ascii="Times New Roman" w:cs="Times New Roman" w:eastAsia="Times New Roman" w:hAnsi="Times New Roman"/>
            <w:sz w:val="18"/>
            <w:szCs w:val="18"/>
            <w:u w:val="single" w:color="auto"/>
            <w:color w:val="0000EE"/>
          </w:rPr>
          <w:t>Notes to the Unaudited Consolidated Financial Statements</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-673735</wp:posOffset>
            </wp:positionV>
            <wp:extent cx="72466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40"/>
        <w:spacing w:after="0"/>
        <w:tabs>
          <w:tab w:leader="none" w:pos="1400" w:val="left"/>
        </w:tabs>
        <w:rPr>
          <w:rFonts w:ascii="Times New Roman" w:cs="Times New Roman" w:eastAsia="Times New Roman" w:hAnsi="Times New Roman"/>
          <w:sz w:val="17"/>
          <w:szCs w:val="17"/>
          <w:u w:val="single" w:color="auto"/>
          <w:color w:val="0000EE"/>
        </w:rPr>
      </w:pPr>
      <w:hyperlink w:anchor="page23">
        <w:r>
          <w:rPr>
            <w:rFonts w:ascii="Times New Roman" w:cs="Times New Roman" w:eastAsia="Times New Roman" w:hAnsi="Times New Roman"/>
            <w:sz w:val="18"/>
            <w:szCs w:val="18"/>
            <w:color w:val="auto"/>
          </w:rPr>
          <w:t>Item 2.</w:t>
        </w:r>
      </w:hyperlink>
      <w:r>
        <w:rPr>
          <w:rFonts w:ascii="Times New Roman" w:cs="Times New Roman" w:eastAsia="Times New Roman" w:hAnsi="Times New Roman"/>
          <w:sz w:val="18"/>
          <w:szCs w:val="18"/>
          <w:color w:val="auto"/>
        </w:rPr>
        <w:tab/>
      </w:r>
      <w:hyperlink w:anchor="page23">
        <w:r>
          <w:rPr>
            <w:rFonts w:ascii="Times New Roman" w:cs="Times New Roman" w:eastAsia="Times New Roman" w:hAnsi="Times New Roman"/>
            <w:sz w:val="17"/>
            <w:szCs w:val="17"/>
            <w:u w:val="single" w:color="auto"/>
            <w:color w:val="0000EE"/>
          </w:rPr>
          <w:t>Management’s Discussion and Analysis of Financial Condition and Results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24" w:lineRule="exact"/>
        <w:rPr>
          <w:sz w:val="20"/>
          <w:szCs w:val="20"/>
          <w:color w:val="auto"/>
        </w:rPr>
      </w:pPr>
    </w:p>
    <w:p>
      <w:pPr>
        <w:ind w:left="40"/>
        <w:spacing w:after="0"/>
        <w:tabs>
          <w:tab w:leader="none" w:pos="1400" w:val="left"/>
        </w:tabs>
        <w:rPr>
          <w:rFonts w:ascii="Times New Roman" w:cs="Times New Roman" w:eastAsia="Times New Roman" w:hAnsi="Times New Roman"/>
          <w:sz w:val="17"/>
          <w:szCs w:val="17"/>
          <w:u w:val="single" w:color="auto"/>
          <w:color w:val="0000EE"/>
        </w:rPr>
      </w:pPr>
      <w:hyperlink w:anchor="page31">
        <w:r>
          <w:rPr>
            <w:rFonts w:ascii="Times New Roman" w:cs="Times New Roman" w:eastAsia="Times New Roman" w:hAnsi="Times New Roman"/>
            <w:sz w:val="18"/>
            <w:szCs w:val="18"/>
            <w:color w:val="auto"/>
          </w:rPr>
          <w:t>Item 3.</w:t>
        </w:r>
      </w:hyperlink>
      <w:r>
        <w:rPr>
          <w:rFonts w:ascii="Times New Roman" w:cs="Times New Roman" w:eastAsia="Times New Roman" w:hAnsi="Times New Roman"/>
          <w:sz w:val="18"/>
          <w:szCs w:val="18"/>
          <w:color w:val="auto"/>
        </w:rPr>
        <w:tab/>
      </w:r>
      <w:hyperlink w:anchor="page31">
        <w:r>
          <w:rPr>
            <w:rFonts w:ascii="Times New Roman" w:cs="Times New Roman" w:eastAsia="Times New Roman" w:hAnsi="Times New Roman"/>
            <w:sz w:val="17"/>
            <w:szCs w:val="17"/>
            <w:u w:val="single" w:color="auto"/>
            <w:color w:val="0000EE"/>
          </w:rPr>
          <w:t>Quantitative and Qualitative Disclosures About Market Risk</w:t>
        </w:r>
      </w:hyperlink>
    </w:p>
    <w:p>
      <w:pPr>
        <w:spacing w:after="0" w:line="144" w:lineRule="exact"/>
        <w:rPr>
          <w:sz w:val="20"/>
          <w:szCs w:val="20"/>
          <w:color w:val="auto"/>
        </w:rPr>
      </w:pPr>
    </w:p>
    <w:p>
      <w:pPr>
        <w:ind w:left="40"/>
        <w:spacing w:after="0"/>
        <w:tabs>
          <w:tab w:leader="none" w:pos="1400" w:val="left"/>
        </w:tabs>
        <w:rPr>
          <w:rFonts w:ascii="Times New Roman" w:cs="Times New Roman" w:eastAsia="Times New Roman" w:hAnsi="Times New Roman"/>
          <w:sz w:val="17"/>
          <w:szCs w:val="17"/>
          <w:u w:val="single" w:color="auto"/>
          <w:color w:val="0000EE"/>
        </w:rPr>
      </w:pPr>
      <w:hyperlink w:anchor="page31">
        <w:r>
          <w:rPr>
            <w:rFonts w:ascii="Times New Roman" w:cs="Times New Roman" w:eastAsia="Times New Roman" w:hAnsi="Times New Roman"/>
            <w:sz w:val="18"/>
            <w:szCs w:val="18"/>
            <w:color w:val="auto"/>
          </w:rPr>
          <w:t>Item 4.</w:t>
        </w:r>
      </w:hyperlink>
      <w:r>
        <w:rPr>
          <w:rFonts w:ascii="Times New Roman" w:cs="Times New Roman" w:eastAsia="Times New Roman" w:hAnsi="Times New Roman"/>
          <w:sz w:val="18"/>
          <w:szCs w:val="18"/>
          <w:color w:val="auto"/>
        </w:rPr>
        <w:tab/>
      </w:r>
      <w:hyperlink w:anchor="page31">
        <w:r>
          <w:rPr>
            <w:rFonts w:ascii="Times New Roman" w:cs="Times New Roman" w:eastAsia="Times New Roman" w:hAnsi="Times New Roman"/>
            <w:sz w:val="17"/>
            <w:szCs w:val="17"/>
            <w:u w:val="single" w:color="auto"/>
            <w:color w:val="0000EE"/>
          </w:rPr>
          <w:t>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34290</wp:posOffset>
            </wp:positionV>
            <wp:extent cx="866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1</w:t>
        </w:r>
      </w:hyperlink>
    </w:p>
    <w:p>
      <w:pPr>
        <w:spacing w:after="0" w:line="144"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1</w:t>
        </w:r>
      </w:hyperlink>
    </w:p>
    <w:p>
      <w:pPr>
        <w:spacing w:after="0" w:line="360"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2</w:t>
        </w:r>
      </w:hyperlink>
    </w:p>
    <w:p>
      <w:pPr>
        <w:spacing w:after="0" w:line="144"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3</w:t>
        </w:r>
      </w:hyperlink>
    </w:p>
    <w:p>
      <w:pPr>
        <w:spacing w:after="0" w:line="144"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4</w:t>
        </w:r>
      </w:hyperlink>
    </w:p>
    <w:p>
      <w:pPr>
        <w:spacing w:after="0" w:line="144"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5</w:t>
        </w:r>
      </w:hyperlink>
    </w:p>
    <w:p>
      <w:pPr>
        <w:spacing w:after="0" w:line="144"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6</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23">
        <w:r>
          <w:rPr>
            <w:rFonts w:ascii="Times New Roman" w:cs="Times New Roman" w:eastAsia="Times New Roman" w:hAnsi="Times New Roman"/>
            <w:sz w:val="18"/>
            <w:szCs w:val="18"/>
            <w:color w:val="auto"/>
          </w:rPr>
          <w:t>20</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28</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28</w:t>
        </w:r>
      </w:hyperlink>
    </w:p>
    <w:p>
      <w:pPr>
        <w:spacing w:after="0" w:line="790" w:lineRule="exact"/>
        <w:rPr>
          <w:sz w:val="20"/>
          <w:szCs w:val="20"/>
          <w:color w:val="auto"/>
        </w:rPr>
      </w:pPr>
    </w:p>
    <w:p>
      <w:pPr>
        <w:sectPr>
          <w:pgSz w:w="11900" w:h="16838" w:orient="portrait"/>
          <w:cols w:equalWidth="0" w:num="2">
            <w:col w:w="9960" w:space="280"/>
            <w:col w:w="1180"/>
          </w:cols>
          <w:pgMar w:left="240" w:top="365" w:right="239" w:bottom="1440" w:gutter="0" w:footer="0" w:header="0"/>
        </w:sectPr>
      </w:pP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4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Item 1.</w:t>
              </w:r>
            </w:hyperlink>
          </w:p>
        </w:tc>
        <w:tc>
          <w:tcPr>
            <w:tcW w:w="6780" w:type="dxa"/>
            <w:vAlign w:val="bottom"/>
            <w:gridSpan w:val="8"/>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Legal Proceedings</w:t>
              </w:r>
            </w:hyperlink>
          </w:p>
        </w:tc>
        <w:tc>
          <w:tcPr>
            <w:tcW w:w="3220" w:type="dxa"/>
            <w:vAlign w:val="bottom"/>
            <w:vMerge w:val="restart"/>
          </w:tcPr>
          <w:p>
            <w:pPr>
              <w:jc w:val="right"/>
              <w:ind w:right="51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29</w:t>
              </w:r>
            </w:hyperlink>
          </w:p>
        </w:tc>
        <w:tc>
          <w:tcPr>
            <w:tcW w:w="0" w:type="dxa"/>
            <w:vAlign w:val="bottom"/>
          </w:tcPr>
          <w:p>
            <w:pPr>
              <w:spacing w:after="0"/>
              <w:rPr>
                <w:sz w:val="1"/>
                <w:szCs w:val="1"/>
                <w:color w:val="auto"/>
              </w:rPr>
            </w:pPr>
          </w:p>
        </w:tc>
      </w:tr>
      <w:tr>
        <w:trPr>
          <w:trHeight w:val="102"/>
        </w:trPr>
        <w:tc>
          <w:tcPr>
            <w:tcW w:w="14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shd w:val="clear" w:color="auto" w:fill="CCEEFF"/>
          </w:tcPr>
          <w:p>
            <w:pPr>
              <w:ind w:left="40"/>
              <w:spacing w:after="0" w:line="202" w:lineRule="exact"/>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Item 1A.</w:t>
              </w:r>
            </w:hyperlink>
          </w:p>
        </w:tc>
        <w:tc>
          <w:tcPr>
            <w:tcW w:w="6780" w:type="dxa"/>
            <w:vAlign w:val="bottom"/>
            <w:gridSpan w:val="8"/>
            <w:shd w:val="clear" w:color="auto" w:fill="CCEEFF"/>
          </w:tcPr>
          <w:p>
            <w:pPr>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Risk Factors</w:t>
              </w:r>
            </w:hyperlink>
          </w:p>
        </w:tc>
        <w:tc>
          <w:tcPr>
            <w:tcW w:w="3220" w:type="dxa"/>
            <w:vAlign w:val="bottom"/>
            <w:vMerge w:val="restart"/>
            <w:shd w:val="clear" w:color="auto" w:fill="CCEEFF"/>
          </w:tcPr>
          <w:p>
            <w:pPr>
              <w:jc w:val="right"/>
              <w:ind w:right="51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29</w:t>
              </w:r>
            </w:hyperlink>
          </w:p>
        </w:tc>
        <w:tc>
          <w:tcPr>
            <w:tcW w:w="0" w:type="dxa"/>
            <w:vAlign w:val="bottom"/>
          </w:tcPr>
          <w:p>
            <w:pPr>
              <w:spacing w:after="0"/>
              <w:rPr>
                <w:sz w:val="1"/>
                <w:szCs w:val="1"/>
                <w:color w:val="auto"/>
              </w:rPr>
            </w:pPr>
          </w:p>
        </w:tc>
      </w:tr>
      <w:tr>
        <w:trPr>
          <w:trHeight w:val="109"/>
        </w:trPr>
        <w:tc>
          <w:tcPr>
            <w:tcW w:w="1420" w:type="dxa"/>
            <w:vAlign w:val="bottom"/>
            <w:tcBorders>
              <w:top w:val="single" w:sz="8" w:color="CCEEFF"/>
              <w:bottom w:val="single" w:sz="8" w:color="CCEEFF"/>
            </w:tcBorders>
            <w:shd w:val="clear" w:color="auto" w:fill="CCEEFF"/>
          </w:tcPr>
          <w:p>
            <w:pPr>
              <w:spacing w:after="0"/>
              <w:rPr>
                <w:sz w:val="9"/>
                <w:szCs w:val="9"/>
                <w:color w:val="auto"/>
              </w:rPr>
            </w:pPr>
          </w:p>
        </w:tc>
        <w:tc>
          <w:tcPr>
            <w:tcW w:w="600" w:type="dxa"/>
            <w:vAlign w:val="bottom"/>
            <w:tcBorders>
              <w:top w:val="single" w:sz="8" w:color="0000EE"/>
              <w:bottom w:val="single" w:sz="8" w:color="CCEEFF"/>
            </w:tcBorders>
            <w:shd w:val="clear" w:color="auto" w:fill="CCEEFF"/>
          </w:tcPr>
          <w:p>
            <w:pPr>
              <w:spacing w:after="0"/>
              <w:rPr>
                <w:sz w:val="9"/>
                <w:szCs w:val="9"/>
                <w:color w:val="auto"/>
              </w:rPr>
            </w:pPr>
          </w:p>
        </w:tc>
        <w:tc>
          <w:tcPr>
            <w:tcW w:w="300" w:type="dxa"/>
            <w:vAlign w:val="bottom"/>
            <w:tcBorders>
              <w:top w:val="single" w:sz="8" w:color="0000EE"/>
              <w:bottom w:val="single" w:sz="8" w:color="CCEEFF"/>
            </w:tcBorders>
            <w:shd w:val="clear" w:color="auto" w:fill="CCEEFF"/>
          </w:tcPr>
          <w:p>
            <w:pPr>
              <w:spacing w:after="0"/>
              <w:rPr>
                <w:sz w:val="9"/>
                <w:szCs w:val="9"/>
                <w:color w:val="auto"/>
              </w:rPr>
            </w:pPr>
          </w:p>
        </w:tc>
        <w:tc>
          <w:tcPr>
            <w:tcW w:w="40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4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CCEEFF"/>
              <w:bottom w:val="single" w:sz="8" w:color="CCEEFF"/>
            </w:tcBorders>
            <w:shd w:val="clear" w:color="auto" w:fill="CCEEFF"/>
          </w:tcPr>
          <w:p>
            <w:pPr>
              <w:spacing w:after="0"/>
              <w:rPr>
                <w:sz w:val="9"/>
                <w:szCs w:val="9"/>
                <w:color w:val="auto"/>
              </w:rPr>
            </w:pPr>
          </w:p>
        </w:tc>
        <w:tc>
          <w:tcPr>
            <w:tcW w:w="2020" w:type="dxa"/>
            <w:vAlign w:val="bottom"/>
            <w:tcBorders>
              <w:top w:val="single" w:sz="8" w:color="CCEEFF"/>
              <w:bottom w:val="single" w:sz="8" w:color="CCEEFF"/>
            </w:tcBorders>
            <w:shd w:val="clear" w:color="auto" w:fill="CCEEFF"/>
          </w:tcPr>
          <w:p>
            <w:pPr>
              <w:spacing w:after="0"/>
              <w:rPr>
                <w:sz w:val="9"/>
                <w:szCs w:val="9"/>
                <w:color w:val="auto"/>
              </w:rPr>
            </w:pPr>
          </w:p>
        </w:tc>
        <w:tc>
          <w:tcPr>
            <w:tcW w:w="2440" w:type="dxa"/>
            <w:vAlign w:val="bottom"/>
            <w:tcBorders>
              <w:top w:val="single" w:sz="8" w:color="CCEEFF"/>
              <w:bottom w:val="single" w:sz="8" w:color="CCEEFF"/>
            </w:tcBorders>
            <w:shd w:val="clear" w:color="auto" w:fill="CCEEFF"/>
          </w:tcPr>
          <w:p>
            <w:pPr>
              <w:spacing w:after="0"/>
              <w:rPr>
                <w:sz w:val="9"/>
                <w:szCs w:val="9"/>
                <w:color w:val="auto"/>
              </w:rPr>
            </w:pPr>
          </w:p>
        </w:tc>
        <w:tc>
          <w:tcPr>
            <w:tcW w:w="322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40"/>
              <w:spacing w:after="0" w:line="202" w:lineRule="exact"/>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Item 2.</w:t>
              </w:r>
            </w:hyperlink>
          </w:p>
        </w:tc>
        <w:tc>
          <w:tcPr>
            <w:tcW w:w="6780" w:type="dxa"/>
            <w:vAlign w:val="bottom"/>
            <w:gridSpan w:val="8"/>
          </w:tcPr>
          <w:p>
            <w:pPr>
              <w:spacing w:after="0" w:line="202"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Unregistered Sales of Equity Securities and Use of Proceeds</w:t>
              </w:r>
            </w:hyperlink>
          </w:p>
        </w:tc>
        <w:tc>
          <w:tcPr>
            <w:tcW w:w="3220" w:type="dxa"/>
            <w:vAlign w:val="bottom"/>
            <w:vMerge w:val="restart"/>
          </w:tcPr>
          <w:p>
            <w:pPr>
              <w:jc w:val="right"/>
              <w:ind w:right="510"/>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61</w:t>
              </w:r>
            </w:hyperlink>
          </w:p>
        </w:tc>
        <w:tc>
          <w:tcPr>
            <w:tcW w:w="0" w:type="dxa"/>
            <w:vAlign w:val="bottom"/>
          </w:tcPr>
          <w:p>
            <w:pPr>
              <w:spacing w:after="0"/>
              <w:rPr>
                <w:sz w:val="1"/>
                <w:szCs w:val="1"/>
                <w:color w:val="auto"/>
              </w:rPr>
            </w:pPr>
          </w:p>
        </w:tc>
      </w:tr>
      <w:tr>
        <w:trPr>
          <w:trHeight w:val="102"/>
        </w:trPr>
        <w:tc>
          <w:tcPr>
            <w:tcW w:w="14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20" w:type="dxa"/>
            <w:vAlign w:val="bottom"/>
            <w:tcBorders>
              <w:top w:val="single" w:sz="8" w:color="0000EE"/>
            </w:tcBorders>
          </w:tcPr>
          <w:p>
            <w:pPr>
              <w:spacing w:after="0"/>
              <w:rPr>
                <w:sz w:val="8"/>
                <w:szCs w:val="8"/>
                <w:color w:val="auto"/>
              </w:rPr>
            </w:pPr>
          </w:p>
        </w:tc>
        <w:tc>
          <w:tcPr>
            <w:tcW w:w="244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shd w:val="clear" w:color="auto" w:fill="CCEEFF"/>
          </w:tcPr>
          <w:p>
            <w:pPr>
              <w:ind w:left="40"/>
              <w:spacing w:after="0" w:line="202" w:lineRule="exact"/>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Item 3.</w:t>
              </w:r>
            </w:hyperlink>
          </w:p>
        </w:tc>
        <w:tc>
          <w:tcPr>
            <w:tcW w:w="6780" w:type="dxa"/>
            <w:vAlign w:val="bottom"/>
            <w:gridSpan w:val="8"/>
            <w:shd w:val="clear" w:color="auto" w:fill="CCEEFF"/>
          </w:tcPr>
          <w:p>
            <w:pPr>
              <w:spacing w:after="0" w:line="202"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Defaults Upon Senior Securities</w:t>
              </w:r>
            </w:hyperlink>
          </w:p>
        </w:tc>
        <w:tc>
          <w:tcPr>
            <w:tcW w:w="3220" w:type="dxa"/>
            <w:vAlign w:val="bottom"/>
            <w:vMerge w:val="restart"/>
            <w:shd w:val="clear" w:color="auto" w:fill="CCEEFF"/>
          </w:tcPr>
          <w:p>
            <w:pPr>
              <w:jc w:val="right"/>
              <w:ind w:right="510"/>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61</w:t>
              </w:r>
            </w:hyperlink>
          </w:p>
        </w:tc>
        <w:tc>
          <w:tcPr>
            <w:tcW w:w="0" w:type="dxa"/>
            <w:vAlign w:val="bottom"/>
          </w:tcPr>
          <w:p>
            <w:pPr>
              <w:spacing w:after="0"/>
              <w:rPr>
                <w:sz w:val="1"/>
                <w:szCs w:val="1"/>
                <w:color w:val="auto"/>
              </w:rPr>
            </w:pPr>
          </w:p>
        </w:tc>
      </w:tr>
      <w:tr>
        <w:trPr>
          <w:trHeight w:val="109"/>
        </w:trPr>
        <w:tc>
          <w:tcPr>
            <w:tcW w:w="1420" w:type="dxa"/>
            <w:vAlign w:val="bottom"/>
            <w:tcBorders>
              <w:top w:val="single" w:sz="8" w:color="CCEEFF"/>
              <w:bottom w:val="single" w:sz="8" w:color="CCEEFF"/>
            </w:tcBorders>
            <w:shd w:val="clear" w:color="auto" w:fill="CCEEFF"/>
          </w:tcPr>
          <w:p>
            <w:pPr>
              <w:spacing w:after="0"/>
              <w:rPr>
                <w:sz w:val="9"/>
                <w:szCs w:val="9"/>
                <w:color w:val="auto"/>
              </w:rPr>
            </w:pPr>
          </w:p>
        </w:tc>
        <w:tc>
          <w:tcPr>
            <w:tcW w:w="600" w:type="dxa"/>
            <w:vAlign w:val="bottom"/>
            <w:tcBorders>
              <w:top w:val="single" w:sz="8" w:color="0000EE"/>
              <w:bottom w:val="single" w:sz="8" w:color="CCEEFF"/>
            </w:tcBorders>
            <w:shd w:val="clear" w:color="auto" w:fill="CCEEFF"/>
          </w:tcPr>
          <w:p>
            <w:pPr>
              <w:spacing w:after="0"/>
              <w:rPr>
                <w:sz w:val="9"/>
                <w:szCs w:val="9"/>
                <w:color w:val="auto"/>
              </w:rPr>
            </w:pPr>
          </w:p>
        </w:tc>
        <w:tc>
          <w:tcPr>
            <w:tcW w:w="300" w:type="dxa"/>
            <w:vAlign w:val="bottom"/>
            <w:tcBorders>
              <w:top w:val="single" w:sz="8" w:color="0000EE"/>
              <w:bottom w:val="single" w:sz="8" w:color="CCEEFF"/>
            </w:tcBorders>
            <w:shd w:val="clear" w:color="auto" w:fill="CCEEFF"/>
          </w:tcPr>
          <w:p>
            <w:pPr>
              <w:spacing w:after="0"/>
              <w:rPr>
                <w:sz w:val="9"/>
                <w:szCs w:val="9"/>
                <w:color w:val="auto"/>
              </w:rPr>
            </w:pPr>
          </w:p>
        </w:tc>
        <w:tc>
          <w:tcPr>
            <w:tcW w:w="400" w:type="dxa"/>
            <w:vAlign w:val="bottom"/>
            <w:tcBorders>
              <w:top w:val="single" w:sz="8" w:color="0000EE"/>
              <w:bottom w:val="single" w:sz="8" w:color="CCEEFF"/>
            </w:tcBorders>
            <w:shd w:val="clear" w:color="auto" w:fill="CCEEFF"/>
          </w:tcPr>
          <w:p>
            <w:pPr>
              <w:spacing w:after="0"/>
              <w:rPr>
                <w:sz w:val="9"/>
                <w:szCs w:val="9"/>
                <w:color w:val="auto"/>
              </w:rPr>
            </w:pPr>
          </w:p>
        </w:tc>
        <w:tc>
          <w:tcPr>
            <w:tcW w:w="20" w:type="dxa"/>
            <w:vAlign w:val="bottom"/>
            <w:tcBorders>
              <w:top w:val="single" w:sz="8" w:color="0000EE"/>
              <w:bottom w:val="single" w:sz="8" w:color="CCEEFF"/>
            </w:tcBorders>
            <w:shd w:val="clear" w:color="auto" w:fill="CCEEFF"/>
          </w:tcPr>
          <w:p>
            <w:pPr>
              <w:spacing w:after="0"/>
              <w:rPr>
                <w:sz w:val="9"/>
                <w:szCs w:val="9"/>
                <w:color w:val="auto"/>
              </w:rPr>
            </w:pPr>
          </w:p>
        </w:tc>
        <w:tc>
          <w:tcPr>
            <w:tcW w:w="440" w:type="dxa"/>
            <w:vAlign w:val="bottom"/>
            <w:tcBorders>
              <w:top w:val="single" w:sz="8" w:color="0000EE"/>
              <w:bottom w:val="single" w:sz="8" w:color="CCEEFF"/>
            </w:tcBorders>
            <w:shd w:val="clear" w:color="auto" w:fill="CCEEFF"/>
          </w:tcPr>
          <w:p>
            <w:pPr>
              <w:spacing w:after="0"/>
              <w:rPr>
                <w:sz w:val="9"/>
                <w:szCs w:val="9"/>
                <w:color w:val="auto"/>
              </w:rPr>
            </w:pPr>
          </w:p>
        </w:tc>
        <w:tc>
          <w:tcPr>
            <w:tcW w:w="560" w:type="dxa"/>
            <w:vAlign w:val="bottom"/>
            <w:tcBorders>
              <w:top w:val="single" w:sz="8" w:color="0000EE"/>
              <w:bottom w:val="single" w:sz="8" w:color="CCEEFF"/>
            </w:tcBorders>
            <w:shd w:val="clear" w:color="auto" w:fill="CCEEFF"/>
          </w:tcPr>
          <w:p>
            <w:pPr>
              <w:spacing w:after="0"/>
              <w:rPr>
                <w:sz w:val="9"/>
                <w:szCs w:val="9"/>
                <w:color w:val="auto"/>
              </w:rPr>
            </w:pPr>
          </w:p>
        </w:tc>
        <w:tc>
          <w:tcPr>
            <w:tcW w:w="2020" w:type="dxa"/>
            <w:vAlign w:val="bottom"/>
            <w:tcBorders>
              <w:top w:val="single" w:sz="8" w:color="CCEEFF"/>
              <w:bottom w:val="single" w:sz="8" w:color="CCEEFF"/>
            </w:tcBorders>
            <w:shd w:val="clear" w:color="auto" w:fill="CCEEFF"/>
          </w:tcPr>
          <w:p>
            <w:pPr>
              <w:spacing w:after="0"/>
              <w:rPr>
                <w:sz w:val="9"/>
                <w:szCs w:val="9"/>
                <w:color w:val="auto"/>
              </w:rPr>
            </w:pPr>
          </w:p>
        </w:tc>
        <w:tc>
          <w:tcPr>
            <w:tcW w:w="2440" w:type="dxa"/>
            <w:vAlign w:val="bottom"/>
            <w:tcBorders>
              <w:top w:val="single" w:sz="8" w:color="CCEEFF"/>
              <w:bottom w:val="single" w:sz="8" w:color="CCEEFF"/>
            </w:tcBorders>
            <w:shd w:val="clear" w:color="auto" w:fill="CCEEFF"/>
          </w:tcPr>
          <w:p>
            <w:pPr>
              <w:spacing w:after="0"/>
              <w:rPr>
                <w:sz w:val="9"/>
                <w:szCs w:val="9"/>
                <w:color w:val="auto"/>
              </w:rPr>
            </w:pPr>
          </w:p>
        </w:tc>
        <w:tc>
          <w:tcPr>
            <w:tcW w:w="322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40"/>
              <w:spacing w:after="0" w:line="202" w:lineRule="exact"/>
              <w:rPr>
                <w:rFonts w:ascii="Times New Roman" w:cs="Times New Roman" w:eastAsia="Times New Roman" w:hAnsi="Times New Roman"/>
                <w:sz w:val="18"/>
                <w:szCs w:val="18"/>
                <w:color w:val="auto"/>
              </w:rPr>
            </w:pPr>
            <w:hyperlink w:anchor="page65">
              <w:r>
                <w:rPr>
                  <w:rFonts w:ascii="Times New Roman" w:cs="Times New Roman" w:eastAsia="Times New Roman" w:hAnsi="Times New Roman"/>
                  <w:sz w:val="18"/>
                  <w:szCs w:val="18"/>
                  <w:color w:val="auto"/>
                </w:rPr>
                <w:t>Item 4.</w:t>
              </w:r>
            </w:hyperlink>
          </w:p>
        </w:tc>
        <w:tc>
          <w:tcPr>
            <w:tcW w:w="6780" w:type="dxa"/>
            <w:vAlign w:val="bottom"/>
            <w:gridSpan w:val="8"/>
          </w:tcPr>
          <w:p>
            <w:pPr>
              <w:spacing w:after="0" w:line="202"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Mine Safety Disclosures</w:t>
              </w:r>
            </w:hyperlink>
          </w:p>
        </w:tc>
        <w:tc>
          <w:tcPr>
            <w:tcW w:w="3220" w:type="dxa"/>
            <w:vAlign w:val="bottom"/>
            <w:vMerge w:val="restart"/>
          </w:tcPr>
          <w:p>
            <w:pPr>
              <w:jc w:val="right"/>
              <w:ind w:right="510"/>
              <w:spacing w:after="0"/>
              <w:rPr>
                <w:rFonts w:ascii="Times New Roman" w:cs="Times New Roman" w:eastAsia="Times New Roman" w:hAnsi="Times New Roman"/>
                <w:sz w:val="18"/>
                <w:szCs w:val="18"/>
                <w:color w:val="auto"/>
              </w:rPr>
            </w:pPr>
            <w:hyperlink w:anchor="page65">
              <w:r>
                <w:rPr>
                  <w:rFonts w:ascii="Times New Roman" w:cs="Times New Roman" w:eastAsia="Times New Roman" w:hAnsi="Times New Roman"/>
                  <w:sz w:val="18"/>
                  <w:szCs w:val="18"/>
                  <w:color w:val="auto"/>
                </w:rPr>
                <w:t>62</w:t>
              </w:r>
            </w:hyperlink>
          </w:p>
        </w:tc>
        <w:tc>
          <w:tcPr>
            <w:tcW w:w="0" w:type="dxa"/>
            <w:vAlign w:val="bottom"/>
          </w:tcPr>
          <w:p>
            <w:pPr>
              <w:spacing w:after="0"/>
              <w:rPr>
                <w:sz w:val="1"/>
                <w:szCs w:val="1"/>
                <w:color w:val="auto"/>
              </w:rPr>
            </w:pPr>
          </w:p>
        </w:tc>
      </w:tr>
      <w:tr>
        <w:trPr>
          <w:trHeight w:val="102"/>
        </w:trPr>
        <w:tc>
          <w:tcPr>
            <w:tcW w:w="14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shd w:val="clear" w:color="auto" w:fill="CCEEFF"/>
          </w:tcPr>
          <w:p>
            <w:pPr>
              <w:ind w:left="40"/>
              <w:spacing w:after="0" w:line="202" w:lineRule="exact"/>
              <w:rPr>
                <w:rFonts w:ascii="Times New Roman" w:cs="Times New Roman" w:eastAsia="Times New Roman" w:hAnsi="Times New Roman"/>
                <w:sz w:val="18"/>
                <w:szCs w:val="18"/>
                <w:color w:val="auto"/>
              </w:rPr>
            </w:pPr>
            <w:hyperlink w:anchor="page65">
              <w:r>
                <w:rPr>
                  <w:rFonts w:ascii="Times New Roman" w:cs="Times New Roman" w:eastAsia="Times New Roman" w:hAnsi="Times New Roman"/>
                  <w:sz w:val="18"/>
                  <w:szCs w:val="18"/>
                  <w:color w:val="auto"/>
                </w:rPr>
                <w:t>Item 5.</w:t>
              </w:r>
            </w:hyperlink>
          </w:p>
        </w:tc>
        <w:tc>
          <w:tcPr>
            <w:tcW w:w="6780" w:type="dxa"/>
            <w:vAlign w:val="bottom"/>
            <w:gridSpan w:val="8"/>
            <w:shd w:val="clear" w:color="auto" w:fill="CCEEFF"/>
          </w:tcPr>
          <w:p>
            <w:pPr>
              <w:spacing w:after="0" w:line="202"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Other Information</w:t>
              </w:r>
            </w:hyperlink>
          </w:p>
        </w:tc>
        <w:tc>
          <w:tcPr>
            <w:tcW w:w="3220" w:type="dxa"/>
            <w:vAlign w:val="bottom"/>
            <w:vMerge w:val="restart"/>
            <w:shd w:val="clear" w:color="auto" w:fill="CCEEFF"/>
          </w:tcPr>
          <w:p>
            <w:pPr>
              <w:jc w:val="right"/>
              <w:ind w:right="510"/>
              <w:spacing w:after="0"/>
              <w:rPr>
                <w:rFonts w:ascii="Times New Roman" w:cs="Times New Roman" w:eastAsia="Times New Roman" w:hAnsi="Times New Roman"/>
                <w:sz w:val="18"/>
                <w:szCs w:val="18"/>
                <w:color w:val="auto"/>
              </w:rPr>
            </w:pPr>
            <w:hyperlink w:anchor="page65">
              <w:r>
                <w:rPr>
                  <w:rFonts w:ascii="Times New Roman" w:cs="Times New Roman" w:eastAsia="Times New Roman" w:hAnsi="Times New Roman"/>
                  <w:sz w:val="18"/>
                  <w:szCs w:val="18"/>
                  <w:color w:val="auto"/>
                </w:rPr>
                <w:t>62</w:t>
              </w:r>
            </w:hyperlink>
          </w:p>
        </w:tc>
        <w:tc>
          <w:tcPr>
            <w:tcW w:w="0" w:type="dxa"/>
            <w:vAlign w:val="bottom"/>
          </w:tcPr>
          <w:p>
            <w:pPr>
              <w:spacing w:after="0"/>
              <w:rPr>
                <w:sz w:val="1"/>
                <w:szCs w:val="1"/>
                <w:color w:val="auto"/>
              </w:rPr>
            </w:pPr>
          </w:p>
        </w:tc>
      </w:tr>
      <w:tr>
        <w:trPr>
          <w:trHeight w:val="109"/>
        </w:trPr>
        <w:tc>
          <w:tcPr>
            <w:tcW w:w="1420" w:type="dxa"/>
            <w:vAlign w:val="bottom"/>
            <w:tcBorders>
              <w:top w:val="single" w:sz="8" w:color="CCEEFF"/>
              <w:bottom w:val="single" w:sz="8" w:color="CCEEFF"/>
            </w:tcBorders>
            <w:shd w:val="clear" w:color="auto" w:fill="CCEEFF"/>
          </w:tcPr>
          <w:p>
            <w:pPr>
              <w:spacing w:after="0"/>
              <w:rPr>
                <w:sz w:val="9"/>
                <w:szCs w:val="9"/>
                <w:color w:val="auto"/>
              </w:rPr>
            </w:pPr>
          </w:p>
        </w:tc>
        <w:tc>
          <w:tcPr>
            <w:tcW w:w="600" w:type="dxa"/>
            <w:vAlign w:val="bottom"/>
            <w:tcBorders>
              <w:top w:val="single" w:sz="8" w:color="0000EE"/>
              <w:bottom w:val="single" w:sz="8" w:color="CCEEFF"/>
            </w:tcBorders>
            <w:shd w:val="clear" w:color="auto" w:fill="CCEEFF"/>
          </w:tcPr>
          <w:p>
            <w:pPr>
              <w:spacing w:after="0"/>
              <w:rPr>
                <w:sz w:val="9"/>
                <w:szCs w:val="9"/>
                <w:color w:val="auto"/>
              </w:rPr>
            </w:pPr>
          </w:p>
        </w:tc>
        <w:tc>
          <w:tcPr>
            <w:tcW w:w="300" w:type="dxa"/>
            <w:vAlign w:val="bottom"/>
            <w:tcBorders>
              <w:top w:val="single" w:sz="8" w:color="0000EE"/>
              <w:bottom w:val="single" w:sz="8" w:color="CCEEFF"/>
            </w:tcBorders>
            <w:shd w:val="clear" w:color="auto" w:fill="CCEEFF"/>
          </w:tcPr>
          <w:p>
            <w:pPr>
              <w:spacing w:after="0"/>
              <w:rPr>
                <w:sz w:val="9"/>
                <w:szCs w:val="9"/>
                <w:color w:val="auto"/>
              </w:rPr>
            </w:pPr>
          </w:p>
        </w:tc>
        <w:tc>
          <w:tcPr>
            <w:tcW w:w="400" w:type="dxa"/>
            <w:vAlign w:val="bottom"/>
            <w:tcBorders>
              <w:top w:val="single" w:sz="8" w:color="0000EE"/>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4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CCEEFF"/>
              <w:bottom w:val="single" w:sz="8" w:color="CCEEFF"/>
            </w:tcBorders>
            <w:shd w:val="clear" w:color="auto" w:fill="CCEEFF"/>
          </w:tcPr>
          <w:p>
            <w:pPr>
              <w:spacing w:after="0"/>
              <w:rPr>
                <w:sz w:val="9"/>
                <w:szCs w:val="9"/>
                <w:color w:val="auto"/>
              </w:rPr>
            </w:pPr>
          </w:p>
        </w:tc>
        <w:tc>
          <w:tcPr>
            <w:tcW w:w="2020" w:type="dxa"/>
            <w:vAlign w:val="bottom"/>
            <w:tcBorders>
              <w:top w:val="single" w:sz="8" w:color="CCEEFF"/>
              <w:bottom w:val="single" w:sz="8" w:color="CCEEFF"/>
            </w:tcBorders>
            <w:shd w:val="clear" w:color="auto" w:fill="CCEEFF"/>
          </w:tcPr>
          <w:p>
            <w:pPr>
              <w:spacing w:after="0"/>
              <w:rPr>
                <w:sz w:val="9"/>
                <w:szCs w:val="9"/>
                <w:color w:val="auto"/>
              </w:rPr>
            </w:pPr>
          </w:p>
        </w:tc>
        <w:tc>
          <w:tcPr>
            <w:tcW w:w="2440" w:type="dxa"/>
            <w:vAlign w:val="bottom"/>
            <w:tcBorders>
              <w:top w:val="single" w:sz="8" w:color="CCEEFF"/>
              <w:bottom w:val="single" w:sz="8" w:color="CCEEFF"/>
            </w:tcBorders>
            <w:shd w:val="clear" w:color="auto" w:fill="CCEEFF"/>
          </w:tcPr>
          <w:p>
            <w:pPr>
              <w:spacing w:after="0"/>
              <w:rPr>
                <w:sz w:val="9"/>
                <w:szCs w:val="9"/>
                <w:color w:val="auto"/>
              </w:rPr>
            </w:pPr>
          </w:p>
        </w:tc>
        <w:tc>
          <w:tcPr>
            <w:tcW w:w="322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40"/>
              <w:spacing w:after="0" w:line="202" w:lineRule="exact"/>
              <w:rPr>
                <w:rFonts w:ascii="Times New Roman" w:cs="Times New Roman" w:eastAsia="Times New Roman" w:hAnsi="Times New Roman"/>
                <w:sz w:val="18"/>
                <w:szCs w:val="18"/>
                <w:color w:val="auto"/>
              </w:rPr>
            </w:pPr>
            <w:hyperlink w:anchor="page65">
              <w:r>
                <w:rPr>
                  <w:rFonts w:ascii="Times New Roman" w:cs="Times New Roman" w:eastAsia="Times New Roman" w:hAnsi="Times New Roman"/>
                  <w:sz w:val="18"/>
                  <w:szCs w:val="18"/>
                  <w:color w:val="auto"/>
                </w:rPr>
                <w:t>Item 6.</w:t>
              </w:r>
            </w:hyperlink>
          </w:p>
        </w:tc>
        <w:tc>
          <w:tcPr>
            <w:tcW w:w="6780" w:type="dxa"/>
            <w:vAlign w:val="bottom"/>
            <w:gridSpan w:val="8"/>
          </w:tcPr>
          <w:p>
            <w:pPr>
              <w:spacing w:after="0" w:line="202"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Exhibits</w:t>
              </w:r>
            </w:hyperlink>
          </w:p>
        </w:tc>
        <w:tc>
          <w:tcPr>
            <w:tcW w:w="3220" w:type="dxa"/>
            <w:vAlign w:val="bottom"/>
            <w:vMerge w:val="restart"/>
          </w:tcPr>
          <w:p>
            <w:pPr>
              <w:jc w:val="right"/>
              <w:ind w:right="510"/>
              <w:spacing w:after="0"/>
              <w:rPr>
                <w:rFonts w:ascii="Times New Roman" w:cs="Times New Roman" w:eastAsia="Times New Roman" w:hAnsi="Times New Roman"/>
                <w:sz w:val="18"/>
                <w:szCs w:val="18"/>
                <w:color w:val="auto"/>
              </w:rPr>
            </w:pPr>
            <w:hyperlink w:anchor="page65">
              <w:r>
                <w:rPr>
                  <w:rFonts w:ascii="Times New Roman" w:cs="Times New Roman" w:eastAsia="Times New Roman" w:hAnsi="Times New Roman"/>
                  <w:sz w:val="18"/>
                  <w:szCs w:val="18"/>
                  <w:color w:val="auto"/>
                </w:rPr>
                <w:t>62</w:t>
              </w:r>
            </w:hyperlink>
          </w:p>
        </w:tc>
        <w:tc>
          <w:tcPr>
            <w:tcW w:w="0" w:type="dxa"/>
            <w:vAlign w:val="bottom"/>
          </w:tcPr>
          <w:p>
            <w:pPr>
              <w:spacing w:after="0"/>
              <w:rPr>
                <w:sz w:val="1"/>
                <w:szCs w:val="1"/>
                <w:color w:val="auto"/>
              </w:rPr>
            </w:pPr>
          </w:p>
        </w:tc>
      </w:tr>
      <w:tr>
        <w:trPr>
          <w:trHeight w:val="102"/>
        </w:trPr>
        <w:tc>
          <w:tcPr>
            <w:tcW w:w="14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shd w:val="clear" w:color="auto" w:fill="CCEEFF"/>
          </w:tcPr>
          <w:p>
            <w:pPr>
              <w:spacing w:after="0"/>
              <w:rPr>
                <w:sz w:val="18"/>
                <w:szCs w:val="18"/>
                <w:color w:val="auto"/>
              </w:rPr>
            </w:pPr>
          </w:p>
        </w:tc>
        <w:tc>
          <w:tcPr>
            <w:tcW w:w="5100" w:type="dxa"/>
            <w:vAlign w:val="bottom"/>
            <w:gridSpan w:val="3"/>
            <w:shd w:val="clear" w:color="auto" w:fill="CCEEFF"/>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Exhibit Index</w:t>
              </w:r>
            </w:hyperlink>
          </w:p>
        </w:tc>
        <w:tc>
          <w:tcPr>
            <w:tcW w:w="4900" w:type="dxa"/>
            <w:vAlign w:val="bottom"/>
            <w:vMerge w:val="restart"/>
            <w:shd w:val="clear" w:color="auto" w:fill="CCEEFF"/>
          </w:tcPr>
          <w:p>
            <w:pPr>
              <w:jc w:val="right"/>
              <w:ind w:right="510"/>
              <w:spacing w:after="0"/>
              <w:rPr>
                <w:rFonts w:ascii="Times New Roman" w:cs="Times New Roman" w:eastAsia="Times New Roman" w:hAnsi="Times New Roman"/>
                <w:sz w:val="18"/>
                <w:szCs w:val="18"/>
                <w:color w:val="auto"/>
              </w:rPr>
            </w:pPr>
            <w:hyperlink w:anchor="page65">
              <w:r>
                <w:rPr>
                  <w:rFonts w:ascii="Times New Roman" w:cs="Times New Roman" w:eastAsia="Times New Roman" w:hAnsi="Times New Roman"/>
                  <w:sz w:val="18"/>
                  <w:szCs w:val="18"/>
                  <w:color w:val="auto"/>
                </w:rPr>
                <w:t>62</w:t>
              </w:r>
            </w:hyperlink>
          </w:p>
        </w:tc>
        <w:tc>
          <w:tcPr>
            <w:tcW w:w="0" w:type="dxa"/>
            <w:vAlign w:val="bottom"/>
          </w:tcPr>
          <w:p>
            <w:pPr>
              <w:spacing w:after="0"/>
              <w:rPr>
                <w:sz w:val="1"/>
                <w:szCs w:val="1"/>
                <w:color w:val="auto"/>
              </w:rPr>
            </w:pPr>
          </w:p>
        </w:tc>
      </w:tr>
      <w:tr>
        <w:trPr>
          <w:trHeight w:val="109"/>
        </w:trPr>
        <w:tc>
          <w:tcPr>
            <w:tcW w:w="1420" w:type="dxa"/>
            <w:vAlign w:val="bottom"/>
            <w:tcBorders>
              <w:top w:val="single" w:sz="8" w:color="CCEEFF"/>
              <w:bottom w:val="single" w:sz="8" w:color="CCEEFF"/>
            </w:tcBorders>
            <w:shd w:val="clear" w:color="auto" w:fill="CCEEFF"/>
          </w:tcPr>
          <w:p>
            <w:pPr>
              <w:spacing w:after="0"/>
              <w:rPr>
                <w:sz w:val="9"/>
                <w:szCs w:val="9"/>
                <w:color w:val="auto"/>
              </w:rPr>
            </w:pPr>
          </w:p>
        </w:tc>
        <w:tc>
          <w:tcPr>
            <w:tcW w:w="760" w:type="dxa"/>
            <w:vAlign w:val="bottom"/>
            <w:tcBorders>
              <w:top w:val="single" w:sz="8" w:color="0000EE"/>
              <w:bottom w:val="single" w:sz="8" w:color="CCEEFF"/>
            </w:tcBorders>
            <w:shd w:val="clear" w:color="auto" w:fill="CCEEFF"/>
          </w:tcPr>
          <w:p>
            <w:pPr>
              <w:spacing w:after="0"/>
              <w:rPr>
                <w:sz w:val="9"/>
                <w:szCs w:val="9"/>
                <w:color w:val="auto"/>
              </w:rPr>
            </w:pPr>
          </w:p>
        </w:tc>
        <w:tc>
          <w:tcPr>
            <w:tcW w:w="220" w:type="dxa"/>
            <w:vAlign w:val="bottom"/>
            <w:tcBorders>
              <w:top w:val="single" w:sz="8" w:color="0000EE"/>
              <w:bottom w:val="single" w:sz="8" w:color="CCEEFF"/>
            </w:tcBorders>
            <w:shd w:val="clear" w:color="auto" w:fill="CCEEFF"/>
          </w:tcPr>
          <w:p>
            <w:pPr>
              <w:spacing w:after="0"/>
              <w:rPr>
                <w:sz w:val="9"/>
                <w:szCs w:val="9"/>
                <w:color w:val="auto"/>
              </w:rPr>
            </w:pPr>
          </w:p>
        </w:tc>
        <w:tc>
          <w:tcPr>
            <w:tcW w:w="4120" w:type="dxa"/>
            <w:vAlign w:val="bottom"/>
            <w:tcBorders>
              <w:top w:val="single" w:sz="8" w:color="CCEEFF"/>
              <w:bottom w:val="single" w:sz="8" w:color="CCEEFF"/>
            </w:tcBorders>
            <w:shd w:val="clear" w:color="auto" w:fill="CCEEFF"/>
          </w:tcPr>
          <w:p>
            <w:pPr>
              <w:spacing w:after="0"/>
              <w:rPr>
                <w:sz w:val="9"/>
                <w:szCs w:val="9"/>
                <w:color w:val="auto"/>
              </w:rPr>
            </w:pPr>
          </w:p>
        </w:tc>
        <w:tc>
          <w:tcPr>
            <w:tcW w:w="490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100" w:type="dxa"/>
            <w:vAlign w:val="bottom"/>
            <w:gridSpan w:val="3"/>
          </w:tcPr>
          <w:p>
            <w:pPr>
              <w:spacing w:after="0" w:line="202"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Signatures</w:t>
              </w:r>
            </w:hyperlink>
          </w:p>
        </w:tc>
        <w:tc>
          <w:tcPr>
            <w:tcW w:w="4900" w:type="dxa"/>
            <w:vAlign w:val="bottom"/>
            <w:vMerge w:val="restart"/>
          </w:tcPr>
          <w:p>
            <w:pPr>
              <w:jc w:val="right"/>
              <w:ind w:right="510"/>
              <w:spacing w:after="0"/>
              <w:rPr>
                <w:rFonts w:ascii="Times New Roman" w:cs="Times New Roman" w:eastAsia="Times New Roman" w:hAnsi="Times New Roman"/>
                <w:sz w:val="18"/>
                <w:szCs w:val="18"/>
                <w:color w:val="auto"/>
              </w:rPr>
            </w:pPr>
            <w:hyperlink w:anchor="page66">
              <w:r>
                <w:rPr>
                  <w:rFonts w:ascii="Times New Roman" w:cs="Times New Roman" w:eastAsia="Times New Roman" w:hAnsi="Times New Roman"/>
                  <w:sz w:val="18"/>
                  <w:szCs w:val="18"/>
                  <w:color w:val="auto"/>
                </w:rPr>
                <w:t>63</w:t>
              </w:r>
            </w:hyperlink>
          </w:p>
        </w:tc>
        <w:tc>
          <w:tcPr>
            <w:tcW w:w="0" w:type="dxa"/>
            <w:vAlign w:val="bottom"/>
          </w:tcPr>
          <w:p>
            <w:pPr>
              <w:spacing w:after="0"/>
              <w:rPr>
                <w:sz w:val="1"/>
                <w:szCs w:val="1"/>
                <w:color w:val="auto"/>
              </w:rPr>
            </w:pPr>
          </w:p>
        </w:tc>
      </w:tr>
      <w:tr>
        <w:trPr>
          <w:trHeight w:val="102"/>
        </w:trPr>
        <w:tc>
          <w:tcPr>
            <w:tcW w:w="1420" w:type="dxa"/>
            <w:vAlign w:val="bottom"/>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4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5" w:right="239" w:bottom="1440" w:gutter="0" w:footer="0" w:header="0"/>
          <w:type w:val="continuous"/>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6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214" w:lineRule="exact"/>
        <w:rPr>
          <w:sz w:val="20"/>
          <w:szCs w:val="20"/>
          <w:color w:val="auto"/>
        </w:rPr>
      </w:pPr>
    </w:p>
    <w:p>
      <w:pPr>
        <w:jc w:val="right"/>
        <w:ind w:right="200"/>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September 30, 2019</w:t>
      </w:r>
      <w:r>
        <w:rPr>
          <w:sz w:val="20"/>
          <w:szCs w:val="20"/>
          <w:color w:val="auto"/>
        </w:rPr>
        <w:tab/>
      </w:r>
      <w:r>
        <w:rPr>
          <w:rFonts w:ascii="Times New Roman" w:cs="Times New Roman" w:eastAsia="Times New Roman" w:hAnsi="Times New Roman"/>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24765</wp:posOffset>
            </wp:positionV>
            <wp:extent cx="2101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p>
      <w:pPr>
        <w:spacing w:after="0" w:line="5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16"/>
          <w:szCs w:val="16"/>
          <w:color w:val="auto"/>
        </w:rPr>
        <w:t>Cash and cash equivalents</w:t>
      </w:r>
      <w:r>
        <w:rPr>
          <w:sz w:val="20"/>
          <w:szCs w:val="20"/>
          <w:color w:val="auto"/>
        </w:rPr>
        <w:tab/>
      </w:r>
      <w:r>
        <w:rPr>
          <w:rFonts w:ascii="Times New Roman" w:cs="Times New Roman" w:eastAsia="Times New Roman" w:hAnsi="Times New Roman"/>
          <w:sz w:val="16"/>
          <w:szCs w:val="16"/>
          <w:color w:val="auto"/>
        </w:rPr>
        <w: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Australian tax incentive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Short-term investments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Long-term investments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Restricted cash</w:t>
      </w:r>
    </w:p>
    <w:p>
      <w:pPr>
        <w:spacing w:after="0" w:line="86" w:lineRule="exact"/>
        <w:rPr>
          <w:sz w:val="20"/>
          <w:szCs w:val="20"/>
          <w:color w:val="auto"/>
        </w:rPr>
      </w:pPr>
    </w:p>
    <w:p>
      <w:pPr>
        <w:ind w:left="520"/>
        <w:spacing w:after="0"/>
        <w:tabs>
          <w:tab w:leader="none" w:pos="8120" w:val="left"/>
        </w:tabs>
        <w:rPr>
          <w:sz w:val="20"/>
          <w:szCs w:val="20"/>
          <w:color w:val="auto"/>
        </w:rPr>
      </w:pPr>
      <w:r>
        <w:rPr>
          <w:rFonts w:ascii="Times New Roman" w:cs="Times New Roman" w:eastAsia="Times New Roman" w:hAnsi="Times New Roman"/>
          <w:sz w:val="16"/>
          <w:szCs w:val="16"/>
          <w:color w:val="auto"/>
        </w:rPr>
        <w:t>Total assets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16"/>
          <w:szCs w:val="16"/>
          <w:color w:val="auto"/>
        </w:rPr>
        <w:t>Accounts payable</w:t>
      </w:r>
      <w:r>
        <w:rPr>
          <w:sz w:val="20"/>
          <w:szCs w:val="20"/>
          <w:color w:val="auto"/>
        </w:rPr>
        <w:tab/>
      </w:r>
      <w:r>
        <w:rPr>
          <w:rFonts w:ascii="Times New Roman" w:cs="Times New Roman" w:eastAsia="Times New Roman" w:hAnsi="Times New Roman"/>
          <w:sz w:val="16"/>
          <w:szCs w:val="16"/>
          <w:color w:val="auto"/>
        </w:rPr>
        <w: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Notes payable, current portion</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Stockholders’ equity:</w:t>
      </w:r>
    </w:p>
    <w:p>
      <w:pPr>
        <w:spacing w:after="0" w:line="100" w:lineRule="exact"/>
        <w:rPr>
          <w:sz w:val="20"/>
          <w:szCs w:val="20"/>
          <w:color w:val="auto"/>
        </w:rPr>
      </w:pPr>
    </w:p>
    <w:p>
      <w:pPr>
        <w:ind w:left="40" w:right="260"/>
        <w:spacing w:after="0" w:line="298" w:lineRule="auto"/>
        <w:rPr>
          <w:sz w:val="20"/>
          <w:szCs w:val="20"/>
          <w:color w:val="auto"/>
        </w:rPr>
      </w:pPr>
      <w:r>
        <w:rPr>
          <w:rFonts w:ascii="Times New Roman" w:cs="Times New Roman" w:eastAsia="Times New Roman" w:hAnsi="Times New Roman"/>
          <w:sz w:val="16"/>
          <w:szCs w:val="16"/>
          <w:color w:val="auto"/>
        </w:rPr>
        <w:t>Preferred stock, $0.001 par value, 10,000 shares authorized and no shares, issued or outstanding at September 30, 2019 and December 31,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30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ind w:left="40" w:right="480"/>
        <w:spacing w:after="0" w:line="298" w:lineRule="auto"/>
        <w:rPr>
          <w:sz w:val="20"/>
          <w:szCs w:val="20"/>
          <w:color w:val="auto"/>
        </w:rPr>
      </w:pPr>
      <w:r>
        <w:rPr>
          <w:rFonts w:ascii="Times New Roman" w:cs="Times New Roman" w:eastAsia="Times New Roman" w:hAnsi="Times New Roman"/>
          <w:sz w:val="16"/>
          <w:szCs w:val="16"/>
          <w:color w:val="auto"/>
        </w:rPr>
        <w:t>Common stock, $0.001 par value, 500,000 shares authorized, 27,098 shares and 26,922 shares issued and outstanding at September 30, 2019 and December 31, 2018, respectively</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Additional paid 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Accumulated other comprehensive income (loss)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Total stockholders’ equity</w:t>
      </w:r>
    </w:p>
    <w:p>
      <w:pPr>
        <w:spacing w:after="0" w:line="86" w:lineRule="exact"/>
        <w:rPr>
          <w:sz w:val="20"/>
          <w:szCs w:val="20"/>
          <w:color w:val="auto"/>
        </w:rPr>
      </w:pPr>
    </w:p>
    <w:p>
      <w:pPr>
        <w:ind w:left="520"/>
        <w:spacing w:after="0"/>
        <w:tabs>
          <w:tab w:leader="none" w:pos="8120" w:val="left"/>
        </w:tabs>
        <w:rPr>
          <w:sz w:val="20"/>
          <w:szCs w:val="20"/>
          <w:color w:val="auto"/>
        </w:rPr>
      </w:pPr>
      <w:r>
        <w:rPr>
          <w:rFonts w:ascii="Times New Roman" w:cs="Times New Roman" w:eastAsia="Times New Roman" w:hAnsi="Times New Roman"/>
          <w:sz w:val="16"/>
          <w:szCs w:val="16"/>
          <w:color w:val="auto"/>
        </w:rPr>
        <w:t>Total liabilities and stockholders’ equity</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182,898</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113,596</w:t>
            </w:r>
          </w:p>
        </w:tc>
      </w:tr>
      <w:tr>
        <w:trPr>
          <w:trHeight w:val="270"/>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w:t>
            </w:r>
          </w:p>
        </w:tc>
      </w:tr>
      <w:tr>
        <w:trPr>
          <w:trHeight w:val="270"/>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238,104</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313,486</w:t>
            </w:r>
          </w:p>
        </w:tc>
      </w:tr>
      <w:tr>
        <w:trPr>
          <w:trHeight w:val="270"/>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3,595</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6,960</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424,597</w:t>
            </w:r>
          </w:p>
        </w:tc>
        <w:tc>
          <w:tcPr>
            <w:tcW w:w="5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434,216</w:t>
            </w:r>
          </w:p>
        </w:tc>
      </w:tr>
      <w:tr>
        <w:trPr>
          <w:trHeight w:val="270"/>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1,695</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1,445</w:t>
            </w:r>
          </w:p>
        </w:tc>
      </w:tr>
      <w:tr>
        <w:trPr>
          <w:trHeight w:val="270"/>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23,418</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73,128</w:t>
            </w:r>
          </w:p>
        </w:tc>
      </w:tr>
      <w:tr>
        <w:trPr>
          <w:trHeight w:val="270"/>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1,735</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w:t>
            </w:r>
          </w:p>
        </w:tc>
      </w:tr>
      <w:tr>
        <w:trPr>
          <w:trHeight w:val="270"/>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60</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451,505</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508,997</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31"/>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10,522</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5,443</w:t>
            </w:r>
          </w:p>
        </w:tc>
      </w:tr>
      <w:tr>
        <w:trPr>
          <w:trHeight w:val="270"/>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15,286</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8,761</w:t>
            </w:r>
          </w:p>
        </w:tc>
      </w:tr>
      <w:tr>
        <w:trPr>
          <w:trHeight w:val="270"/>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3,077</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7,574</w:t>
            </w:r>
          </w:p>
        </w:tc>
      </w:tr>
      <w:tr>
        <w:trPr>
          <w:trHeight w:val="270"/>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845</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29,730</w:t>
            </w:r>
          </w:p>
        </w:tc>
        <w:tc>
          <w:tcPr>
            <w:tcW w:w="5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21,836</w:t>
            </w:r>
          </w:p>
        </w:tc>
      </w:tr>
      <w:tr>
        <w:trPr>
          <w:trHeight w:val="270"/>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883</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796</w:t>
            </w:r>
          </w:p>
        </w:tc>
      </w:tr>
      <w:tr>
        <w:trPr>
          <w:trHeight w:val="743"/>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473"/>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w:t>
            </w:r>
          </w:p>
        </w:tc>
        <w:tc>
          <w:tcPr>
            <w:tcW w:w="50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r>
      <w:tr>
        <w:trPr>
          <w:trHeight w:val="270"/>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644,148</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633,251</w:t>
            </w:r>
          </w:p>
        </w:tc>
      </w:tr>
      <w:tr>
        <w:trPr>
          <w:trHeight w:val="270"/>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480</w:t>
            </w: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70"/>
        </w:trPr>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8"/>
              </w:rPr>
              <w:t>(223,763)</w:t>
            </w: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(146,690)</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420,892</w:t>
            </w:r>
          </w:p>
        </w:tc>
        <w:tc>
          <w:tcPr>
            <w:tcW w:w="5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486,365</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451,505</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508,997</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-25400</wp:posOffset>
            </wp:positionV>
            <wp:extent cx="10293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-8255</wp:posOffset>
            </wp:positionV>
            <wp:extent cx="10293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-196850</wp:posOffset>
            </wp:positionV>
            <wp:extent cx="10293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-3035300</wp:posOffset>
            </wp:positionV>
            <wp:extent cx="10293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-3206750</wp:posOffset>
            </wp:positionV>
            <wp:extent cx="10293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400"/>
          </w:cols>
          <w:pgMar w:left="240" w:top="360" w:right="239" w:bottom="1440" w:gutter="0" w:footer="0" w:header="0"/>
          <w:type w:val="continuous"/>
        </w:sectPr>
      </w:pPr>
    </w:p>
    <w:p>
      <w:pPr>
        <w:spacing w:after="0" w:line="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8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5"/>
        </w:trPr>
        <w:tc>
          <w:tcPr>
            <w:tcW w:w="56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Collaboration revenue</w:t>
            </w: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FF0FC"/>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04"/>
        </w:trPr>
        <w:tc>
          <w:tcPr>
            <w:tcW w:w="5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29,931</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17,883</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77,912</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40,276</w:t>
            </w:r>
          </w:p>
        </w:tc>
        <w:tc>
          <w:tcPr>
            <w:tcW w:w="0" w:type="dxa"/>
            <w:vAlign w:val="bottom"/>
          </w:tcPr>
          <w:p>
            <w:pPr>
              <w:spacing w:after="0"/>
              <w:rPr>
                <w:sz w:val="1"/>
                <w:szCs w:val="1"/>
                <w:color w:val="auto"/>
              </w:rPr>
            </w:pPr>
          </w:p>
        </w:tc>
      </w:tr>
      <w:tr>
        <w:trPr>
          <w:trHeight w:val="237"/>
        </w:trPr>
        <w:tc>
          <w:tcPr>
            <w:tcW w:w="5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3,814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12,262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11,783</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33,745</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21,887</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90,174</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52,059</w:t>
            </w:r>
          </w:p>
        </w:tc>
        <w:tc>
          <w:tcPr>
            <w:tcW w:w="0" w:type="dxa"/>
            <w:vAlign w:val="bottom"/>
          </w:tcPr>
          <w:p>
            <w:pPr>
              <w:spacing w:after="0"/>
              <w:rPr>
                <w:sz w:val="1"/>
                <w:szCs w:val="1"/>
                <w:color w:val="auto"/>
              </w:rPr>
            </w:pPr>
          </w:p>
        </w:tc>
      </w:tr>
      <w:tr>
        <w:trPr>
          <w:trHeight w:val="217"/>
        </w:trPr>
        <w:tc>
          <w:tcPr>
            <w:tcW w:w="56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(33,745)</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(85,174)</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(47,059)</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60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2,757</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1,369</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8,702</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3,851</w:t>
            </w:r>
          </w:p>
        </w:tc>
        <w:tc>
          <w:tcPr>
            <w:tcW w:w="0" w:type="dxa"/>
            <w:vAlign w:val="bottom"/>
          </w:tcPr>
          <w:p>
            <w:pPr>
              <w:spacing w:after="0"/>
              <w:rPr>
                <w:sz w:val="1"/>
                <w:szCs w:val="1"/>
                <w:color w:val="auto"/>
              </w:rPr>
            </w:pPr>
          </w:p>
        </w:tc>
      </w:tr>
      <w:tr>
        <w:trPr>
          <w:trHeight w:val="237"/>
        </w:trPr>
        <w:tc>
          <w:tcPr>
            <w:tcW w:w="5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2,661</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929</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7,971</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2,397</w:t>
            </w:r>
          </w:p>
        </w:tc>
        <w:tc>
          <w:tcPr>
            <w:tcW w:w="0" w:type="dxa"/>
            <w:vAlign w:val="bottom"/>
          </w:tcPr>
          <w:p>
            <w:pPr>
              <w:spacing w:after="0"/>
              <w:rPr>
                <w:sz w:val="1"/>
                <w:szCs w:val="1"/>
                <w:color w:val="auto"/>
              </w:rPr>
            </w:pPr>
          </w:p>
        </w:tc>
      </w:tr>
      <w:tr>
        <w:trPr>
          <w:trHeight w:val="217"/>
        </w:trPr>
        <w:tc>
          <w:tcPr>
            <w:tcW w:w="56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(31,084)</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(15,958)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(77,203)</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(44,662)</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6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(31,033)</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(15,958)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(77,073)</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(44,662)</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60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Unrealized (loss) income on available for sale securities, net of tax of ($25),</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$0, $189 and $0, respectively</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703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Comprehensive loss</w:t>
            </w: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(31,127)</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(15,822)</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(76,370)</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(44,777)</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bottom w:val="single" w:sz="8" w:color="CFF0FC"/>
            </w:tcBorders>
            <w:vMerge w:val="restart"/>
          </w:tcPr>
          <w:p>
            <w:pPr>
              <w:ind w:left="28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560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Basic and diluted</w:t>
            </w: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bottom w:val="single" w:sz="8" w:color="CFF0FC"/>
            </w:tcBorders>
            <w:vMerge w:val="restart"/>
          </w:tcPr>
          <w:p>
            <w:pPr>
              <w:ind w:left="280"/>
              <w:spacing w:after="0"/>
              <w:rPr>
                <w:sz w:val="20"/>
                <w:szCs w:val="20"/>
                <w:color w:val="auto"/>
              </w:rPr>
            </w:pPr>
            <w:r>
              <w:rPr>
                <w:rFonts w:ascii="Times New Roman" w:cs="Times New Roman" w:eastAsia="Times New Roman" w:hAnsi="Times New Roman"/>
                <w:sz w:val="16"/>
                <w:szCs w:val="16"/>
                <w:color w:val="auto"/>
              </w:rPr>
              <w:t>Weighted-average number of shares outstanding: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560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Basic and diluted</w:t>
            </w:r>
          </w:p>
        </w:tc>
        <w:tc>
          <w:tcPr>
            <w:tcW w:w="3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27,058</w:t>
            </w:r>
          </w:p>
        </w:tc>
        <w:tc>
          <w:tcPr>
            <w:tcW w:w="12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24,146</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27,022</w:t>
            </w:r>
          </w:p>
        </w:tc>
        <w:tc>
          <w:tcPr>
            <w:tcW w:w="12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23,961</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360" w:right="2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40" w:type="dxa"/>
            <w:vAlign w:val="bottom"/>
          </w:tcPr>
          <w:p>
            <w:pPr>
              <w:spacing w:after="0"/>
              <w:rPr>
                <w:sz w:val="14"/>
                <w:szCs w:val="14"/>
                <w:color w:val="auto"/>
              </w:rPr>
            </w:pPr>
          </w:p>
        </w:tc>
        <w:tc>
          <w:tcPr>
            <w:tcW w:w="1880" w:type="dxa"/>
            <w:vAlign w:val="bottom"/>
            <w:gridSpan w:val="5"/>
          </w:tcPr>
          <w:p>
            <w:pPr>
              <w:ind w:left="5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99"/>
        </w:trPr>
        <w:tc>
          <w:tcPr>
            <w:tcW w:w="42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gridSpan w:val="2"/>
          </w:tcPr>
          <w:p>
            <w:pPr>
              <w:jc w:val="center"/>
              <w:ind w:right="340"/>
              <w:spacing w:after="0" w:line="100"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00" w:type="dxa"/>
            <w:vAlign w:val="bottom"/>
          </w:tcPr>
          <w:p>
            <w:pPr>
              <w:spacing w:after="0"/>
              <w:rPr>
                <w:sz w:val="8"/>
                <w:szCs w:val="8"/>
                <w:color w:val="auto"/>
              </w:rPr>
            </w:pPr>
          </w:p>
        </w:tc>
        <w:tc>
          <w:tcPr>
            <w:tcW w:w="1240" w:type="dxa"/>
            <w:vAlign w:val="bottom"/>
            <w:gridSpan w:val="2"/>
          </w:tcPr>
          <w:p>
            <w:pPr>
              <w:jc w:val="center"/>
              <w:ind w:right="200"/>
              <w:spacing w:after="0" w:line="100" w:lineRule="exact"/>
              <w:rPr>
                <w:sz w:val="20"/>
                <w:szCs w:val="20"/>
                <w:color w:val="auto"/>
              </w:rPr>
            </w:pPr>
            <w:r>
              <w:rPr>
                <w:rFonts w:ascii="Times New Roman" w:cs="Times New Roman" w:eastAsia="Times New Roman" w:hAnsi="Times New Roman"/>
                <w:sz w:val="11"/>
                <w:szCs w:val="11"/>
                <w:b w:val="1"/>
                <w:bCs w:val="1"/>
                <w:color w:val="auto"/>
                <w:w w:val="99"/>
              </w:rPr>
              <w:t>Comprehensive (Loss)</w:t>
            </w:r>
          </w:p>
        </w:tc>
        <w:tc>
          <w:tcPr>
            <w:tcW w:w="200" w:type="dxa"/>
            <w:vAlign w:val="bottom"/>
          </w:tcPr>
          <w:p>
            <w:pPr>
              <w:spacing w:after="0"/>
              <w:rPr>
                <w:sz w:val="8"/>
                <w:szCs w:val="8"/>
                <w:color w:val="auto"/>
              </w:rPr>
            </w:pPr>
          </w:p>
        </w:tc>
        <w:tc>
          <w:tcPr>
            <w:tcW w:w="1160" w:type="dxa"/>
            <w:vAlign w:val="bottom"/>
            <w:gridSpan w:val="2"/>
          </w:tcPr>
          <w:p>
            <w:pPr>
              <w:jc w:val="center"/>
              <w:ind w:right="300"/>
              <w:spacing w:after="0" w:line="100"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0" w:type="dxa"/>
            <w:vAlign w:val="bottom"/>
          </w:tcPr>
          <w:p>
            <w:pPr>
              <w:spacing w:after="0"/>
              <w:rPr>
                <w:sz w:val="8"/>
                <w:szCs w:val="8"/>
                <w:color w:val="auto"/>
              </w:rPr>
            </w:pPr>
          </w:p>
        </w:tc>
        <w:tc>
          <w:tcPr>
            <w:tcW w:w="1040" w:type="dxa"/>
            <w:vAlign w:val="bottom"/>
          </w:tcPr>
          <w:p>
            <w:pPr>
              <w:jc w:val="center"/>
              <w:ind w:right="138"/>
              <w:spacing w:after="0" w:line="100" w:lineRule="exact"/>
              <w:rPr>
                <w:sz w:val="20"/>
                <w:szCs w:val="20"/>
                <w:color w:val="auto"/>
              </w:rPr>
            </w:pPr>
            <w:r>
              <w:rPr>
                <w:rFonts w:ascii="Times New Roman" w:cs="Times New Roman" w:eastAsia="Times New Roman" w:hAnsi="Times New Roman"/>
                <w:sz w:val="11"/>
                <w:szCs w:val="11"/>
                <w:b w:val="1"/>
                <w:bCs w:val="1"/>
                <w:color w:val="auto"/>
                <w:w w:val="98"/>
              </w:rPr>
              <w:t>Stockholders’</w:t>
            </w:r>
          </w:p>
        </w:tc>
      </w:tr>
      <w:tr>
        <w:trPr>
          <w:trHeight w:val="142"/>
        </w:trPr>
        <w:tc>
          <w:tcPr>
            <w:tcW w:w="4240" w:type="dxa"/>
            <w:vAlign w:val="bottom"/>
          </w:tcPr>
          <w:p>
            <w:pPr>
              <w:spacing w:after="0"/>
              <w:rPr>
                <w:sz w:val="12"/>
                <w:szCs w:val="12"/>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200" w:type="dxa"/>
            <w:vAlign w:val="bottom"/>
          </w:tcPr>
          <w:p>
            <w:pPr>
              <w:spacing w:after="0"/>
              <w:rPr>
                <w:sz w:val="12"/>
                <w:szCs w:val="12"/>
                <w:color w:val="auto"/>
              </w:rPr>
            </w:pPr>
          </w:p>
        </w:tc>
        <w:tc>
          <w:tcPr>
            <w:tcW w:w="1040" w:type="dxa"/>
            <w:vAlign w:val="bottom"/>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22"/>
        </w:trPr>
        <w:tc>
          <w:tcPr>
            <w:tcW w:w="424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4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December 31, 2018</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26,922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3"/>
                <w:szCs w:val="13"/>
                <w:color w:val="auto"/>
              </w:rPr>
              <w:t>633,251</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(146,690)</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rPr>
              <w:t>486,365</w:t>
            </w:r>
          </w:p>
        </w:tc>
      </w:tr>
      <w:tr>
        <w:trPr>
          <w:trHeight w:val="262"/>
        </w:trPr>
        <w:tc>
          <w:tcPr>
            <w:tcW w:w="42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Shares issued under employee stock plans</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574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574</w:t>
            </w:r>
          </w:p>
        </w:tc>
      </w:tr>
      <w:tr>
        <w:trPr>
          <w:trHeight w:val="278"/>
        </w:trPr>
        <w:tc>
          <w:tcPr>
            <w:tcW w:w="4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3"/>
                <w:szCs w:val="13"/>
                <w:color w:val="auto"/>
              </w:rPr>
              <w:t>2,867</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rPr>
              <w:t>2,867</w:t>
            </w:r>
          </w:p>
        </w:tc>
      </w:tr>
      <w:tr>
        <w:trPr>
          <w:trHeight w:val="262"/>
        </w:trPr>
        <w:tc>
          <w:tcPr>
            <w:tcW w:w="42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Comprehensive income, net</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rPr>
              <w:t>427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427</w:t>
            </w:r>
          </w:p>
        </w:tc>
      </w:tr>
      <w:tr>
        <w:trPr>
          <w:trHeight w:val="278"/>
        </w:trPr>
        <w:tc>
          <w:tcPr>
            <w:tcW w:w="4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800" w:type="dxa"/>
            <w:vAlign w:val="bottom"/>
            <w:tcBorders>
              <w:bottom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(22,078)</w:t>
            </w:r>
          </w:p>
        </w:tc>
        <w:tc>
          <w:tcPr>
            <w:tcW w:w="120" w:type="dxa"/>
            <w:vAlign w:val="bottom"/>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(22,078)</w:t>
            </w:r>
          </w:p>
        </w:tc>
      </w:tr>
      <w:tr>
        <w:trPr>
          <w:trHeight w:val="244"/>
        </w:trPr>
        <w:tc>
          <w:tcPr>
            <w:tcW w:w="4240" w:type="dxa"/>
            <w:vAlign w:val="bottom"/>
            <w:tcBorders>
              <w:bottom w:val="single" w:sz="8" w:color="CFF0FC"/>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Balance, March 31, 2019</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27,006</w:t>
            </w:r>
          </w:p>
        </w:tc>
        <w:tc>
          <w:tcPr>
            <w:tcW w:w="1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636,692</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(168,768)</w:t>
            </w:r>
          </w:p>
        </w:tc>
        <w:tc>
          <w:tcPr>
            <w:tcW w:w="1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color w:val="auto"/>
              </w:rPr>
              <w:t>468,155</w:t>
            </w:r>
          </w:p>
        </w:tc>
      </w:tr>
      <w:tr>
        <w:trPr>
          <w:trHeight w:val="257"/>
        </w:trPr>
        <w:tc>
          <w:tcPr>
            <w:tcW w:w="4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Shares issued under employee stock plans</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3"/>
                <w:szCs w:val="13"/>
                <w:color w:val="auto"/>
              </w:rPr>
              <w:t>215</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rPr>
              <w:t>215</w:t>
            </w:r>
          </w:p>
        </w:tc>
      </w:tr>
      <w:tr>
        <w:trPr>
          <w:trHeight w:val="262"/>
        </w:trPr>
        <w:tc>
          <w:tcPr>
            <w:tcW w:w="42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3,643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3,643</w:t>
            </w:r>
          </w:p>
        </w:tc>
      </w:tr>
      <w:tr>
        <w:trPr>
          <w:trHeight w:val="278"/>
        </w:trPr>
        <w:tc>
          <w:tcPr>
            <w:tcW w:w="4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Comprehensive income, net</w:t>
            </w:r>
          </w:p>
        </w:tc>
        <w:tc>
          <w:tcPr>
            <w:tcW w:w="8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370</w:t>
            </w:r>
          </w:p>
        </w:tc>
        <w:tc>
          <w:tcPr>
            <w:tcW w:w="1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rPr>
              <w:t>370</w:t>
            </w:r>
          </w:p>
        </w:tc>
      </w:tr>
      <w:tr>
        <w:trPr>
          <w:trHeight w:val="264"/>
        </w:trPr>
        <w:tc>
          <w:tcPr>
            <w:tcW w:w="4240" w:type="dxa"/>
            <w:vAlign w:val="bottom"/>
            <w:tcBorders>
              <w:bottom w:val="single" w:sz="8" w:color="CFF0FC"/>
            </w:tcBorders>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(23,962)</w:t>
            </w:r>
          </w:p>
        </w:tc>
        <w:tc>
          <w:tcPr>
            <w:tcW w:w="1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(23,962)</w:t>
            </w:r>
          </w:p>
        </w:tc>
      </w:tr>
      <w:tr>
        <w:trPr>
          <w:trHeight w:val="257"/>
        </w:trPr>
        <w:tc>
          <w:tcPr>
            <w:tcW w:w="4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June 30, 2019</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27,045</w:t>
            </w:r>
          </w:p>
        </w:tc>
        <w:tc>
          <w:tcPr>
            <w:tcW w:w="120" w:type="dxa"/>
            <w:vAlign w:val="bottom"/>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3"/>
                <w:szCs w:val="13"/>
                <w:color w:val="auto"/>
              </w:rPr>
              <w:t>640,550</w:t>
            </w:r>
          </w:p>
        </w:tc>
        <w:tc>
          <w:tcPr>
            <w:tcW w:w="120" w:type="dxa"/>
            <w:vAlign w:val="bottom"/>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574</w:t>
            </w:r>
          </w:p>
        </w:tc>
        <w:tc>
          <w:tcPr>
            <w:tcW w:w="100" w:type="dxa"/>
            <w:vAlign w:val="bottom"/>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(192,730)</w:t>
            </w:r>
          </w:p>
        </w:tc>
        <w:tc>
          <w:tcPr>
            <w:tcW w:w="120" w:type="dxa"/>
            <w:vAlign w:val="bottom"/>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rPr>
              <w:t>448,421</w:t>
            </w:r>
          </w:p>
        </w:tc>
      </w:tr>
      <w:tr>
        <w:trPr>
          <w:trHeight w:val="242"/>
        </w:trPr>
        <w:tc>
          <w:tcPr>
            <w:tcW w:w="42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Shares issued under employee stock plans</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454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454</w:t>
            </w:r>
          </w:p>
        </w:tc>
      </w:tr>
      <w:tr>
        <w:trPr>
          <w:trHeight w:val="278"/>
        </w:trPr>
        <w:tc>
          <w:tcPr>
            <w:tcW w:w="4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3"/>
                <w:szCs w:val="13"/>
                <w:color w:val="auto"/>
              </w:rPr>
              <w:t>3,144</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rPr>
              <w:t>3,144</w:t>
            </w:r>
          </w:p>
        </w:tc>
      </w:tr>
      <w:tr>
        <w:trPr>
          <w:trHeight w:val="262"/>
        </w:trPr>
        <w:tc>
          <w:tcPr>
            <w:tcW w:w="42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Comprehensive loss, net</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278"/>
        </w:trPr>
        <w:tc>
          <w:tcPr>
            <w:tcW w:w="4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800" w:type="dxa"/>
            <w:vAlign w:val="bottom"/>
            <w:tcBorders>
              <w:bottom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(31,033)</w:t>
            </w:r>
          </w:p>
        </w:tc>
        <w:tc>
          <w:tcPr>
            <w:tcW w:w="120" w:type="dxa"/>
            <w:vAlign w:val="bottom"/>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(31,033)</w:t>
            </w:r>
          </w:p>
        </w:tc>
      </w:tr>
      <w:tr>
        <w:trPr>
          <w:trHeight w:val="230"/>
        </w:trPr>
        <w:tc>
          <w:tcPr>
            <w:tcW w:w="42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September 30, 2019</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27,098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644,148</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rPr>
              <w:t>480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(223,763)</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color w:val="auto"/>
              </w:rPr>
              <w:t>420,892</w:t>
            </w: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6" w:name="page7"/>
    <w:bookmarkEnd w:id="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CONSOLIDATED STATEMENT OF STOCKHOLDERS’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00" w:type="dxa"/>
            <w:vAlign w:val="bottom"/>
          </w:tcPr>
          <w:p>
            <w:pPr>
              <w:spacing w:after="0"/>
              <w:rPr>
                <w:sz w:val="14"/>
                <w:szCs w:val="14"/>
                <w:color w:val="auto"/>
              </w:rPr>
            </w:pPr>
          </w:p>
        </w:tc>
        <w:tc>
          <w:tcPr>
            <w:tcW w:w="1880" w:type="dxa"/>
            <w:vAlign w:val="bottom"/>
            <w:gridSpan w:val="5"/>
          </w:tcPr>
          <w:p>
            <w:pPr>
              <w:ind w:left="5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99"/>
        </w:trPr>
        <w:tc>
          <w:tcPr>
            <w:tcW w:w="42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center"/>
              <w:ind w:right="340"/>
              <w:spacing w:after="0" w:line="100"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00" w:type="dxa"/>
            <w:vAlign w:val="bottom"/>
          </w:tcPr>
          <w:p>
            <w:pPr>
              <w:spacing w:after="0"/>
              <w:rPr>
                <w:sz w:val="8"/>
                <w:szCs w:val="8"/>
                <w:color w:val="auto"/>
              </w:rPr>
            </w:pPr>
          </w:p>
        </w:tc>
        <w:tc>
          <w:tcPr>
            <w:tcW w:w="1240" w:type="dxa"/>
            <w:vAlign w:val="bottom"/>
            <w:gridSpan w:val="2"/>
          </w:tcPr>
          <w:p>
            <w:pPr>
              <w:jc w:val="center"/>
              <w:ind w:right="200"/>
              <w:spacing w:after="0" w:line="100" w:lineRule="exact"/>
              <w:rPr>
                <w:sz w:val="20"/>
                <w:szCs w:val="20"/>
                <w:color w:val="auto"/>
              </w:rPr>
            </w:pPr>
            <w:r>
              <w:rPr>
                <w:rFonts w:ascii="Times New Roman" w:cs="Times New Roman" w:eastAsia="Times New Roman" w:hAnsi="Times New Roman"/>
                <w:sz w:val="11"/>
                <w:szCs w:val="11"/>
                <w:b w:val="1"/>
                <w:bCs w:val="1"/>
                <w:color w:val="auto"/>
                <w:w w:val="99"/>
              </w:rPr>
              <w:t>Comprehensive (Loss)</w:t>
            </w:r>
          </w:p>
        </w:tc>
        <w:tc>
          <w:tcPr>
            <w:tcW w:w="200" w:type="dxa"/>
            <w:vAlign w:val="bottom"/>
          </w:tcPr>
          <w:p>
            <w:pPr>
              <w:spacing w:after="0"/>
              <w:rPr>
                <w:sz w:val="8"/>
                <w:szCs w:val="8"/>
                <w:color w:val="auto"/>
              </w:rPr>
            </w:pPr>
          </w:p>
        </w:tc>
        <w:tc>
          <w:tcPr>
            <w:tcW w:w="1140" w:type="dxa"/>
            <w:vAlign w:val="bottom"/>
            <w:gridSpan w:val="2"/>
          </w:tcPr>
          <w:p>
            <w:pPr>
              <w:jc w:val="center"/>
              <w:ind w:right="320"/>
              <w:spacing w:after="0" w:line="100"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80" w:type="dxa"/>
            <w:vAlign w:val="bottom"/>
          </w:tcPr>
          <w:p>
            <w:pPr>
              <w:spacing w:after="0"/>
              <w:rPr>
                <w:sz w:val="8"/>
                <w:szCs w:val="8"/>
                <w:color w:val="auto"/>
              </w:rPr>
            </w:pPr>
          </w:p>
        </w:tc>
        <w:tc>
          <w:tcPr>
            <w:tcW w:w="1040" w:type="dxa"/>
            <w:vAlign w:val="bottom"/>
          </w:tcPr>
          <w:p>
            <w:pPr>
              <w:jc w:val="center"/>
              <w:ind w:right="118"/>
              <w:spacing w:after="0" w:line="100" w:lineRule="exact"/>
              <w:rPr>
                <w:sz w:val="20"/>
                <w:szCs w:val="20"/>
                <w:color w:val="auto"/>
              </w:rPr>
            </w:pPr>
            <w:r>
              <w:rPr>
                <w:rFonts w:ascii="Times New Roman" w:cs="Times New Roman" w:eastAsia="Times New Roman" w:hAnsi="Times New Roman"/>
                <w:sz w:val="11"/>
                <w:szCs w:val="11"/>
                <w:b w:val="1"/>
                <w:bCs w:val="1"/>
                <w:color w:val="auto"/>
                <w:w w:val="95"/>
              </w:rPr>
              <w:t>Stockholders’</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20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80" w:type="dxa"/>
            <w:vAlign w:val="bottom"/>
          </w:tcPr>
          <w:p>
            <w:pPr>
              <w:spacing w:after="0"/>
              <w:rPr>
                <w:sz w:val="12"/>
                <w:szCs w:val="12"/>
                <w:color w:val="auto"/>
              </w:rPr>
            </w:pPr>
          </w:p>
        </w:tc>
        <w:tc>
          <w:tcPr>
            <w:tcW w:w="104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22"/>
        </w:trPr>
        <w:tc>
          <w:tcPr>
            <w:tcW w:w="420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December 31, 2017</w:t>
            </w: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23,791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393,017</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(426)</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(85,034)</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rPr>
              <w:t>307,581</w:t>
            </w:r>
          </w:p>
        </w:tc>
        <w:tc>
          <w:tcPr>
            <w:tcW w:w="0" w:type="dxa"/>
            <w:vAlign w:val="bottom"/>
          </w:tcPr>
          <w:p>
            <w:pPr>
              <w:spacing w:after="0"/>
              <w:rPr>
                <w:sz w:val="1"/>
                <w:szCs w:val="1"/>
                <w:color w:val="auto"/>
              </w:rPr>
            </w:pPr>
          </w:p>
        </w:tc>
      </w:tr>
      <w:tr>
        <w:trPr>
          <w:trHeight w:val="262"/>
        </w:trPr>
        <w:tc>
          <w:tcPr>
            <w:tcW w:w="4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Shares issued under employee stock plans</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278"/>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 exercised</w:t>
            </w: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262"/>
        </w:trPr>
        <w:tc>
          <w:tcPr>
            <w:tcW w:w="4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Stock-based compensation</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2,260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2,260</w:t>
            </w:r>
          </w:p>
        </w:tc>
        <w:tc>
          <w:tcPr>
            <w:tcW w:w="0" w:type="dxa"/>
            <w:vAlign w:val="bottom"/>
          </w:tcPr>
          <w:p>
            <w:pPr>
              <w:spacing w:after="0"/>
              <w:rPr>
                <w:sz w:val="1"/>
                <w:szCs w:val="1"/>
                <w:color w:val="auto"/>
              </w:rPr>
            </w:pPr>
          </w:p>
        </w:tc>
      </w:tr>
      <w:tr>
        <w:trPr>
          <w:trHeight w:val="278"/>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Comprehensive loss, net</w:t>
            </w:r>
          </w:p>
        </w:tc>
        <w:tc>
          <w:tcPr>
            <w:tcW w:w="8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(375)</w:t>
            </w:r>
          </w:p>
        </w:tc>
        <w:tc>
          <w:tcPr>
            <w:tcW w:w="1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0" w:type="dxa"/>
            <w:vAlign w:val="bottom"/>
          </w:tcPr>
          <w:p>
            <w:pPr>
              <w:spacing w:after="0"/>
              <w:rPr>
                <w:sz w:val="1"/>
                <w:szCs w:val="1"/>
                <w:color w:val="auto"/>
              </w:rPr>
            </w:pPr>
          </w:p>
        </w:tc>
      </w:tr>
      <w:tr>
        <w:trPr>
          <w:trHeight w:val="264"/>
        </w:trPr>
        <w:tc>
          <w:tcPr>
            <w:tcW w:w="4200" w:type="dxa"/>
            <w:vAlign w:val="bottom"/>
            <w:tcBorders>
              <w:bottom w:val="single" w:sz="8" w:color="CFF0FC"/>
            </w:tcBorders>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(15,086)</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(15,086)</w:t>
            </w:r>
          </w:p>
        </w:tc>
        <w:tc>
          <w:tcPr>
            <w:tcW w:w="0" w:type="dxa"/>
            <w:vAlign w:val="bottom"/>
          </w:tcPr>
          <w:p>
            <w:pPr>
              <w:spacing w:after="0"/>
              <w:rPr>
                <w:sz w:val="1"/>
                <w:szCs w:val="1"/>
                <w:color w:val="auto"/>
              </w:rPr>
            </w:pPr>
          </w:p>
        </w:tc>
      </w:tr>
      <w:tr>
        <w:trPr>
          <w:trHeight w:val="257"/>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March 31, 2018</w:t>
            </w: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23,817</w:t>
            </w:r>
          </w:p>
        </w:tc>
        <w:tc>
          <w:tcPr>
            <w:tcW w:w="120" w:type="dxa"/>
            <w:vAlign w:val="bottom"/>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395,424</w:t>
            </w:r>
          </w:p>
        </w:tc>
        <w:tc>
          <w:tcPr>
            <w:tcW w:w="100" w:type="dxa"/>
            <w:vAlign w:val="bottom"/>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(801)</w:t>
            </w:r>
          </w:p>
        </w:tc>
        <w:tc>
          <w:tcPr>
            <w:tcW w:w="100" w:type="dxa"/>
            <w:vAlign w:val="bottom"/>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(100,120)</w:t>
            </w:r>
          </w:p>
        </w:tc>
        <w:tc>
          <w:tcPr>
            <w:tcW w:w="12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rPr>
              <w:t>294,527</w:t>
            </w:r>
          </w:p>
        </w:tc>
        <w:tc>
          <w:tcPr>
            <w:tcW w:w="0" w:type="dxa"/>
            <w:vAlign w:val="bottom"/>
          </w:tcPr>
          <w:p>
            <w:pPr>
              <w:spacing w:after="0"/>
              <w:rPr>
                <w:sz w:val="1"/>
                <w:szCs w:val="1"/>
                <w:color w:val="auto"/>
              </w:rPr>
            </w:pPr>
          </w:p>
        </w:tc>
      </w:tr>
      <w:tr>
        <w:trPr>
          <w:trHeight w:val="242"/>
        </w:trPr>
        <w:tc>
          <w:tcPr>
            <w:tcW w:w="4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Shares issued under employee stock plans</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212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1,397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1,397</w:t>
            </w:r>
          </w:p>
        </w:tc>
        <w:tc>
          <w:tcPr>
            <w:tcW w:w="0" w:type="dxa"/>
            <w:vAlign w:val="bottom"/>
          </w:tcPr>
          <w:p>
            <w:pPr>
              <w:spacing w:after="0"/>
              <w:rPr>
                <w:sz w:val="1"/>
                <w:szCs w:val="1"/>
                <w:color w:val="auto"/>
              </w:rPr>
            </w:pPr>
          </w:p>
        </w:tc>
      </w:tr>
      <w:tr>
        <w:trPr>
          <w:trHeight w:val="278"/>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 exercised</w:t>
            </w:r>
          </w:p>
        </w:tc>
        <w:tc>
          <w:tcPr>
            <w:tcW w:w="8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62"/>
        </w:trPr>
        <w:tc>
          <w:tcPr>
            <w:tcW w:w="4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Stock-based compensation</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2,548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2,548</w:t>
            </w:r>
          </w:p>
        </w:tc>
        <w:tc>
          <w:tcPr>
            <w:tcW w:w="0" w:type="dxa"/>
            <w:vAlign w:val="bottom"/>
          </w:tcPr>
          <w:p>
            <w:pPr>
              <w:spacing w:after="0"/>
              <w:rPr>
                <w:sz w:val="1"/>
                <w:szCs w:val="1"/>
                <w:color w:val="auto"/>
              </w:rPr>
            </w:pPr>
          </w:p>
        </w:tc>
      </w:tr>
      <w:tr>
        <w:trPr>
          <w:trHeight w:val="278"/>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Comprehensive income, net</w:t>
            </w:r>
          </w:p>
        </w:tc>
        <w:tc>
          <w:tcPr>
            <w:tcW w:w="8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264"/>
        </w:trPr>
        <w:tc>
          <w:tcPr>
            <w:tcW w:w="4200" w:type="dxa"/>
            <w:vAlign w:val="bottom"/>
            <w:tcBorders>
              <w:bottom w:val="single" w:sz="8" w:color="CFF0FC"/>
            </w:tcBorders>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(13,618)</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(13,618)</w:t>
            </w:r>
          </w:p>
        </w:tc>
        <w:tc>
          <w:tcPr>
            <w:tcW w:w="0" w:type="dxa"/>
            <w:vAlign w:val="bottom"/>
          </w:tcPr>
          <w:p>
            <w:pPr>
              <w:spacing w:after="0"/>
              <w:rPr>
                <w:sz w:val="1"/>
                <w:szCs w:val="1"/>
                <w:color w:val="auto"/>
              </w:rPr>
            </w:pPr>
          </w:p>
        </w:tc>
      </w:tr>
      <w:tr>
        <w:trPr>
          <w:trHeight w:val="257"/>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June 30, 2018</w:t>
            </w: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24,029</w:t>
            </w:r>
          </w:p>
        </w:tc>
        <w:tc>
          <w:tcPr>
            <w:tcW w:w="120" w:type="dxa"/>
            <w:vAlign w:val="bottom"/>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399,370</w:t>
            </w:r>
          </w:p>
        </w:tc>
        <w:tc>
          <w:tcPr>
            <w:tcW w:w="100" w:type="dxa"/>
            <w:vAlign w:val="bottom"/>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(677)</w:t>
            </w:r>
          </w:p>
        </w:tc>
        <w:tc>
          <w:tcPr>
            <w:tcW w:w="100" w:type="dxa"/>
            <w:vAlign w:val="bottom"/>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(113,738)</w:t>
            </w:r>
          </w:p>
        </w:tc>
        <w:tc>
          <w:tcPr>
            <w:tcW w:w="12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rPr>
              <w:t>284,979</w:t>
            </w:r>
          </w:p>
        </w:tc>
        <w:tc>
          <w:tcPr>
            <w:tcW w:w="0" w:type="dxa"/>
            <w:vAlign w:val="bottom"/>
          </w:tcPr>
          <w:p>
            <w:pPr>
              <w:spacing w:after="0"/>
              <w:rPr>
                <w:sz w:val="1"/>
                <w:szCs w:val="1"/>
                <w:color w:val="auto"/>
              </w:rPr>
            </w:pPr>
          </w:p>
        </w:tc>
      </w:tr>
      <w:tr>
        <w:trPr>
          <w:trHeight w:val="194"/>
        </w:trPr>
        <w:tc>
          <w:tcPr>
            <w:tcW w:w="4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Shares issued for public offerings, net of underwriters' fees</w:t>
            </w:r>
          </w:p>
        </w:tc>
        <w:tc>
          <w:tcPr>
            <w:tcW w:w="820" w:type="dxa"/>
            <w:vAlign w:val="bottom"/>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2,530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restart"/>
          </w:tcPr>
          <w:p>
            <w:pPr>
              <w:jc w:val="right"/>
              <w:ind w:right="78"/>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227,473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38"/>
              <w:spacing w:after="0"/>
              <w:rPr>
                <w:sz w:val="20"/>
                <w:szCs w:val="20"/>
                <w:color w:val="auto"/>
              </w:rPr>
            </w:pPr>
            <w:r>
              <w:rPr>
                <w:rFonts w:ascii="Times New Roman" w:cs="Times New Roman" w:eastAsia="Times New Roman" w:hAnsi="Times New Roman"/>
                <w:sz w:val="13"/>
                <w:szCs w:val="13"/>
                <w:color w:val="auto"/>
              </w:rPr>
              <w:t>227,476</w:t>
            </w:r>
          </w:p>
        </w:tc>
        <w:tc>
          <w:tcPr>
            <w:tcW w:w="0" w:type="dxa"/>
            <w:vAlign w:val="bottom"/>
          </w:tcPr>
          <w:p>
            <w:pPr>
              <w:spacing w:after="0"/>
              <w:rPr>
                <w:sz w:val="1"/>
                <w:szCs w:val="1"/>
                <w:color w:val="auto"/>
              </w:rPr>
            </w:pPr>
          </w:p>
        </w:tc>
      </w:tr>
      <w:tr>
        <w:trPr>
          <w:trHeight w:val="62"/>
        </w:trPr>
        <w:tc>
          <w:tcPr>
            <w:tcW w:w="4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Total offering costs</w:t>
            </w:r>
          </w:p>
        </w:tc>
        <w:tc>
          <w:tcPr>
            <w:tcW w:w="8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262"/>
        </w:trPr>
        <w:tc>
          <w:tcPr>
            <w:tcW w:w="4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Shares issued under employee stock plans</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190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669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669</w:t>
            </w:r>
          </w:p>
        </w:tc>
        <w:tc>
          <w:tcPr>
            <w:tcW w:w="0" w:type="dxa"/>
            <w:vAlign w:val="bottom"/>
          </w:tcPr>
          <w:p>
            <w:pPr>
              <w:spacing w:after="0"/>
              <w:rPr>
                <w:sz w:val="1"/>
                <w:szCs w:val="1"/>
                <w:color w:val="auto"/>
              </w:rPr>
            </w:pPr>
          </w:p>
        </w:tc>
      </w:tr>
      <w:tr>
        <w:trPr>
          <w:trHeight w:val="278"/>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Stock-based compensation</w:t>
            </w:r>
          </w:p>
        </w:tc>
        <w:tc>
          <w:tcPr>
            <w:tcW w:w="8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2,532</w:t>
            </w: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rPr>
              <w:t>2,532</w:t>
            </w:r>
          </w:p>
        </w:tc>
        <w:tc>
          <w:tcPr>
            <w:tcW w:w="0" w:type="dxa"/>
            <w:vAlign w:val="bottom"/>
          </w:tcPr>
          <w:p>
            <w:pPr>
              <w:spacing w:after="0"/>
              <w:rPr>
                <w:sz w:val="1"/>
                <w:szCs w:val="1"/>
                <w:color w:val="auto"/>
              </w:rPr>
            </w:pPr>
          </w:p>
        </w:tc>
      </w:tr>
      <w:tr>
        <w:trPr>
          <w:trHeight w:val="262"/>
        </w:trPr>
        <w:tc>
          <w:tcPr>
            <w:tcW w:w="4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Comprehensive income, net</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278"/>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820" w:type="dxa"/>
            <w:vAlign w:val="bottom"/>
            <w:tcBorders>
              <w:bottom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(15,958)</w:t>
            </w:r>
          </w:p>
        </w:tc>
        <w:tc>
          <w:tcPr>
            <w:tcW w:w="120" w:type="dxa"/>
            <w:vAlign w:val="bottom"/>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(15,958)</w:t>
            </w:r>
          </w:p>
        </w:tc>
        <w:tc>
          <w:tcPr>
            <w:tcW w:w="0" w:type="dxa"/>
            <w:vAlign w:val="bottom"/>
          </w:tcPr>
          <w:p>
            <w:pPr>
              <w:spacing w:after="0"/>
              <w:rPr>
                <w:sz w:val="1"/>
                <w:szCs w:val="1"/>
                <w:color w:val="auto"/>
              </w:rPr>
            </w:pPr>
          </w:p>
        </w:tc>
      </w:tr>
      <w:tr>
        <w:trPr>
          <w:trHeight w:val="230"/>
        </w:trPr>
        <w:tc>
          <w:tcPr>
            <w:tcW w:w="42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September 30, 2018</w:t>
            </w: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26,749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629,887</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color w:val="auto"/>
              </w:rPr>
              <w:t>(541)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(129,696)</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color w:val="auto"/>
              </w:rPr>
              <w:t>499,677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20"/>
          </w:cols>
          <w:pgMar w:left="240" w:top="36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0"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Borders>
              <w:bottom w:val="single" w:sz="8" w:color="CFF0FC"/>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7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60"/>
        </w:trPr>
        <w:tc>
          <w:tcPr>
            <w:tcW w:w="790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1280" w:type="dxa"/>
            <w:vAlign w:val="bottom"/>
            <w:shd w:val="clear" w:color="auto" w:fill="CFF0FC"/>
          </w:tcPr>
          <w:p>
            <w:pPr>
              <w:spacing w:after="0"/>
              <w:rPr>
                <w:sz w:val="5"/>
                <w:szCs w:val="5"/>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(77,073)</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(44,662)</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209</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9,654</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7,340</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Accretion/amortization of investments, net</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481</w:t>
            </w:r>
          </w:p>
        </w:tc>
      </w:tr>
      <w:tr>
        <w:trPr>
          <w:trHeight w:val="224"/>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9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Receivable from collaborative partners</w:t>
            </w:r>
          </w:p>
        </w:tc>
        <w:tc>
          <w:tcPr>
            <w:tcW w:w="10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37"/>
        </w:trPr>
        <w:tc>
          <w:tcPr>
            <w:tcW w:w="79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Australian tax incentive receivable</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1,428</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1,925</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(1,403)</w:t>
            </w:r>
          </w:p>
        </w:tc>
      </w:tr>
      <w:tr>
        <w:trPr>
          <w:trHeight w:val="237"/>
        </w:trPr>
        <w:tc>
          <w:tcPr>
            <w:tcW w:w="79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13,180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5,946</w:t>
            </w:r>
          </w:p>
        </w:tc>
      </w:tr>
      <w:tr>
        <w:trPr>
          <w:trHeight w:val="33"/>
        </w:trPr>
        <w:tc>
          <w:tcPr>
            <w:tcW w:w="79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(53,712)</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(36,216)</w:t>
            </w:r>
          </w:p>
        </w:tc>
      </w:tr>
      <w:tr>
        <w:trPr>
          <w:trHeight w:val="204"/>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60"/>
        </w:trPr>
        <w:tc>
          <w:tcPr>
            <w:tcW w:w="79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Acquisition of investments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(175,049)</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(123,995)</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Sales and maturities of investments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303,146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148,551</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2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(857)</w:t>
            </w:r>
          </w:p>
        </w:tc>
      </w:tr>
      <w:tr>
        <w:trPr>
          <w:trHeight w:val="21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0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127,396</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23,699</w:t>
            </w:r>
          </w:p>
        </w:tc>
      </w:tr>
      <w:tr>
        <w:trPr>
          <w:trHeight w:val="33"/>
        </w:trPr>
        <w:tc>
          <w:tcPr>
            <w:tcW w:w="79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4"/>
        </w:trPr>
        <w:tc>
          <w:tcPr>
            <w:tcW w:w="7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60"/>
        </w:trPr>
        <w:tc>
          <w:tcPr>
            <w:tcW w:w="790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1280" w:type="dxa"/>
            <w:vAlign w:val="bottom"/>
            <w:shd w:val="clear" w:color="auto" w:fill="CFF0FC"/>
          </w:tcPr>
          <w:p>
            <w:pPr>
              <w:spacing w:after="0"/>
              <w:rPr>
                <w:sz w:val="5"/>
                <w:szCs w:val="5"/>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public offerings, net of underwriters' fees</w:t>
            </w:r>
          </w:p>
        </w:tc>
        <w:tc>
          <w:tcPr>
            <w:tcW w:w="10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227,476</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Proceeds from issuance of common stock, upon the exercise of stock options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1,243</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2,138</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issuance of common stock, upon the exercise of warrants</w:t>
            </w:r>
          </w:p>
        </w:tc>
        <w:tc>
          <w:tcPr>
            <w:tcW w:w="10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Payments on notes payable</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for offering costs, net</w:t>
            </w:r>
          </w:p>
        </w:tc>
        <w:tc>
          <w:tcPr>
            <w:tcW w:w="10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r>
      <w:tr>
        <w:trPr>
          <w:trHeight w:val="33"/>
        </w:trPr>
        <w:tc>
          <w:tcPr>
            <w:tcW w:w="79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224,736</w:t>
            </w:r>
          </w:p>
        </w:tc>
      </w:tr>
      <w:tr>
        <w:trPr>
          <w:trHeight w:val="217"/>
        </w:trPr>
        <w:tc>
          <w:tcPr>
            <w:tcW w:w="790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10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69,302</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212,219</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02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113,656</w:t>
            </w:r>
          </w:p>
        </w:tc>
        <w:tc>
          <w:tcPr>
            <w:tcW w:w="1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81,249</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020" w:type="dxa"/>
            <w:vAlign w:val="bottom"/>
            <w:tcBorders>
              <w:top w:val="single" w:sz="8" w:color="auto"/>
            </w:tcBorders>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182,958</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293,468</w:t>
            </w:r>
          </w:p>
        </w:tc>
      </w:tr>
      <w:tr>
        <w:trPr>
          <w:trHeight w:val="73"/>
        </w:trPr>
        <w:tc>
          <w:tcPr>
            <w:tcW w:w="7900" w:type="dxa"/>
            <w:vAlign w:val="bottom"/>
            <w:tcBorders>
              <w:bottom w:val="single" w:sz="8" w:color="CFF0FC"/>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31"/>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paid</w:t>
            </w:r>
          </w:p>
        </w:tc>
        <w:tc>
          <w:tcPr>
            <w:tcW w:w="1020" w:type="dxa"/>
            <w:vAlign w:val="bottom"/>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835</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Amounts accrued for property and equipment</w:t>
            </w:r>
          </w:p>
        </w:tc>
        <w:tc>
          <w:tcPr>
            <w:tcW w:w="1020" w:type="dxa"/>
            <w:vAlign w:val="bottom"/>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Amounts accrued for offering costs</w:t>
            </w:r>
          </w:p>
        </w:tc>
        <w:tc>
          <w:tcPr>
            <w:tcW w:w="1020" w:type="dxa"/>
            <w:vAlign w:val="bottom"/>
            <w:shd w:val="clear" w:color="auto" w:fill="CFF0FC"/>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241</w:t>
            </w:r>
          </w:p>
        </w:tc>
      </w:tr>
      <w:tr>
        <w:trPr>
          <w:trHeight w:val="33"/>
        </w:trPr>
        <w:tc>
          <w:tcPr>
            <w:tcW w:w="790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AnaptysBio, Inc. (“we,” “us,” “our,” or the “Company”) was incorporated in the state of Delaware in November 2005. We are a biotechnology company developing first-in-class antibody product candidates focused on unmet medical needs in inflammation. We develop our product candidates using our proprietary, antibody discovery technology platform, which is designed to replicate,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the natural process of antibody generation. We currently generate revenue from milestones achieved under our collaborative research and development arrangements.</w:t>
      </w:r>
    </w:p>
    <w:p>
      <w:pPr>
        <w:spacing w:after="0" w:line="7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Since our inception, we have devoted our primary effort to raising capital and research and development activities. Our financial support has been provided primarily from the sale of our common and preferred stock,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Management believes its currently available resources will provide sufficient funds to enable the Company to meet its operating plans for at least the next twelve months. The accompanying consolidated financial statements do not include any adjustments that might be necessary if we are unable to continue as a going concern.</w:t>
      </w:r>
    </w:p>
    <w:p>
      <w:pPr>
        <w:spacing w:after="0" w:line="289" w:lineRule="exact"/>
        <w:rPr>
          <w:sz w:val="20"/>
          <w:szCs w:val="20"/>
          <w:color w:val="auto"/>
        </w:rPr>
      </w:pPr>
    </w:p>
    <w:p>
      <w:pPr>
        <w:ind w:left="260" w:right="7860" w:hanging="252"/>
        <w:spacing w:after="0" w:line="378" w:lineRule="auto"/>
        <w:tabs>
          <w:tab w:leader="none" w:pos="19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pursuant to the rules and regulations of the Securities and Exchange Commission, or the SEC. Certain information and note disclosures normally included in annual financial statements prepared in accordance with U.S. generally accepted accounting principles, or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Also, certain reclassifications have been made to 2018 financial information to conform to the current year presentation of long-term liabilities on the Consolidated Balance Sheets. Operating results for the nine months ended September 30, 2019 are not necessarily indicative of the results that may be expected for the year ending December 31, 2019. The financial statements should be read in conjunction with our audited financial statements for the year ended December 31, 2018, included in our Annual Form 10-K.</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620" w:firstLine="446"/>
        <w:spacing w:after="0" w:line="313"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80" w:firstLine="446"/>
        <w:spacing w:after="0" w:line="258"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Our actual results could differ from these estimates under different assumptions or conditions.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0" w:right="23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Prior to January 1, 2019, we recorded our leases in accordance with Accounting Standard Codification (ASC) Topic 840, Leases, and all current leases were classified as operating leases. Rent expense was recognized on a straight-line basis over the terms of the leases and, accordingly, we recorded the cumulative difference between cash rent payments and the recognition of rent expense as a deferred rent liability. When an operating lease included lease incentives, such as a rent abatements or leasehold improvement allowances, or required fixed escalations of the minimum lease payments, the aggregate rental expense, including such incentives or increases, was recognized on a straight-line basis over the term of the lease.</w:t>
      </w:r>
    </w:p>
    <w:p>
      <w:pPr>
        <w:spacing w:after="0" w:line="184"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Effective January 1, 2019, we adopted Accounting Standard Update (ASU) 2016-02, ASC 842, Leases, under which all outstanding leases continued to be classified as operating leases. Rent expense is recognized on a straight-line basis. When an operating lease includes rent abatements or requires fixed escalations of the minimum lease payments, the aggregate rental expense is recognized on a straight-line basis over the term of the lease. When an operating lease includes lease incentives such as leasehold improvement allowances, the lease incentive is included in the right-of-use, or “ROU”, asset. Operating lease ROU assets and operating lease liabilities are recognized based on the present value of the future minimum lease payments over the lease term at the date of adoption of ASC 842, or the lease commencement date. As our leases do not provide an implicit rate, we use our incremental borrowing rate based on the information available at commencement date in determining the present value of future payments. We account for fixed lease components separately from non-lease components.</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72" w:lineRule="exact"/>
        <w:rPr>
          <w:sz w:val="20"/>
          <w:szCs w:val="20"/>
          <w:color w:val="auto"/>
        </w:rPr>
      </w:pPr>
    </w:p>
    <w:p>
      <w:pPr>
        <w:ind w:right="46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7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4"/>
        </w:trPr>
        <w:tc>
          <w:tcPr>
            <w:tcW w:w="6060" w:type="dxa"/>
            <w:vAlign w:val="bottom"/>
          </w:tcPr>
          <w:p>
            <w:pPr>
              <w:spacing w:after="0"/>
              <w:rPr>
                <w:sz w:val="16"/>
                <w:szCs w:val="16"/>
                <w:color w:val="auto"/>
              </w:rPr>
            </w:pPr>
          </w:p>
        </w:tc>
        <w:tc>
          <w:tcPr>
            <w:tcW w:w="1840" w:type="dxa"/>
            <w:vAlign w:val="bottom"/>
            <w:tcBorders>
              <w:bottom w:val="single" w:sz="8" w:color="auto"/>
            </w:tcBorders>
            <w:gridSpan w:val="3"/>
          </w:tcPr>
          <w:p>
            <w:pPr>
              <w:jc w:val="center"/>
              <w:ind w:left="7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gridSpan w:val="3"/>
          </w:tcPr>
          <w:p>
            <w:pPr>
              <w:jc w:val="center"/>
              <w:ind w:left="7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124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86"/>
        </w:trPr>
        <w:tc>
          <w:tcPr>
            <w:tcW w:w="6060" w:type="dxa"/>
            <w:vAlign w:val="bottom"/>
            <w:tcBorders>
              <w:bottom w:val="single" w:sz="8" w:color="CCEEFF"/>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2,451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8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FF0FC"/>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2,451</w:t>
            </w:r>
          </w:p>
        </w:tc>
        <w:tc>
          <w:tcPr>
            <w:tcW w:w="1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2,517</w:t>
            </w: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Recently Adopted</w:t>
      </w:r>
    </w:p>
    <w:p>
      <w:pPr>
        <w:spacing w:after="0" w:line="11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or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requires that lessees recognize a right-of-use, or “ROU”, asset and a related lease liability on the balance sheet for all leases with a term longer than 12 months. Topic 842 was subsequently amended by ASU 2018-01, </w:t>
      </w:r>
      <w:r>
        <w:rPr>
          <w:rFonts w:ascii="Times New Roman" w:cs="Times New Roman" w:eastAsia="Times New Roman" w:hAnsi="Times New Roman"/>
          <w:sz w:val="18"/>
          <w:szCs w:val="18"/>
          <w:i w:val="1"/>
          <w:iCs w:val="1"/>
          <w:color w:val="auto"/>
        </w:rPr>
        <w:t>Land Easement Practical Expedient for Transition to Topic 842</w:t>
      </w:r>
      <w:r>
        <w:rPr>
          <w:rFonts w:ascii="Times New Roman" w:cs="Times New Roman" w:eastAsia="Times New Roman" w:hAnsi="Times New Roman"/>
          <w:sz w:val="18"/>
          <w:szCs w:val="18"/>
          <w:color w:val="auto"/>
        </w:rPr>
        <w:t xml:space="preserve">; ASU 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xml:space="preserve">; ASU 2018-11, </w:t>
      </w:r>
      <w:r>
        <w:rPr>
          <w:rFonts w:ascii="Times New Roman" w:cs="Times New Roman" w:eastAsia="Times New Roman" w:hAnsi="Times New Roman"/>
          <w:sz w:val="18"/>
          <w:szCs w:val="18"/>
          <w:i w:val="1"/>
          <w:iCs w:val="1"/>
          <w:color w:val="auto"/>
        </w:rPr>
        <w:t>Targeted Improvements;</w:t>
      </w:r>
      <w:r>
        <w:rPr>
          <w:rFonts w:ascii="Times New Roman" w:cs="Times New Roman" w:eastAsia="Times New Roman" w:hAnsi="Times New Roman"/>
          <w:sz w:val="18"/>
          <w:szCs w:val="18"/>
          <w:color w:val="auto"/>
        </w:rPr>
        <w:t xml:space="preserve"> and ASU 2019-01, </w:t>
      </w:r>
      <w:r>
        <w:rPr>
          <w:rFonts w:ascii="Times New Roman" w:cs="Times New Roman" w:eastAsia="Times New Roman" w:hAnsi="Times New Roman"/>
          <w:sz w:val="18"/>
          <w:szCs w:val="18"/>
          <w:i w:val="1"/>
          <w:iCs w:val="1"/>
          <w:color w:val="auto"/>
        </w:rPr>
        <w:t>Leases (Topic 842): Codification Improvements</w:t>
      </w:r>
      <w:r>
        <w:rPr>
          <w:rFonts w:ascii="Times New Roman" w:cs="Times New Roman" w:eastAsia="Times New Roman" w:hAnsi="Times New Roman"/>
          <w:sz w:val="18"/>
          <w:szCs w:val="18"/>
          <w:color w:val="auto"/>
        </w:rPr>
        <w:t>. ASU 2016-02 became effective for our annual reporting period beginning January 1, 2019, including interim periods thereafter. A modified retrospective transition approach is required, applying the new standard to all leases existing at the date of initial application. An entity may choose to use either (i) its effective date or (ii) the beginning of the earliest comparative period presented in the financial statements as its date of initial application. We adopted this standard on January 1, 2019 and used the effective date as our date of initial application. Upon adoption, we elected the package of transition practical expedients, which allowed us to carry forward prior conclusions related to whether any expired or existing contracts are or contain leases, the lease classification for any expired or existing leases and initial direct costs for existing leases. We also made an accounting policy election to not recognize leases with an initial term of 12 months or less within our consolidated balance sheets and to recognize those lease payments on a straight-line basis in our consolidated statements of operations over the lease term. Adoption of the new standard resulted in the recording of operating lease ROU assets and lease liabilities of approximately $2.1 million and $2.3 million as of January 1, 2019, respectively related to our real estate leases. Adoption of this new standard did not have a material impact on our consolidated statements of operations or cash flows.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684"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3. Balance Sheet Accounts and Supplemental Disclosures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812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Laboratory equipment</w:t>
            </w: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4,869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6,255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5,642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812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Accrued research, development and manufacturing expenses</w:t>
            </w:r>
          </w:p>
        </w:tc>
        <w:tc>
          <w:tcPr>
            <w:tcW w:w="1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12,027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15,286</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8,761</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260" w:right="7080" w:hanging="252"/>
        <w:spacing w:after="0" w:line="378" w:lineRule="auto"/>
        <w:tabs>
          <w:tab w:leader="none" w:pos="19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Collaborative Research and Development Agreements </w:t>
      </w:r>
      <w:r>
        <w:rPr>
          <w:rFonts w:ascii="Times New Roman" w:cs="Times New Roman" w:eastAsia="Times New Roman" w:hAnsi="Times New Roman"/>
          <w:sz w:val="18"/>
          <w:szCs w:val="18"/>
          <w:b w:val="1"/>
          <w:bCs w:val="1"/>
          <w:i w:val="1"/>
          <w:iCs w:val="1"/>
          <w:color w:val="auto"/>
        </w:rPr>
        <w:t>TESARO Collaboration</w:t>
      </w:r>
    </w:p>
    <w:p>
      <w:pPr>
        <w:ind w:right="260" w:firstLine="446"/>
        <w:spacing w:after="0" w:line="255" w:lineRule="auto"/>
        <w:rPr>
          <w:sz w:val="20"/>
          <w:szCs w:val="20"/>
          <w:color w:val="auto"/>
        </w:rPr>
      </w:pPr>
      <w:r>
        <w:rPr>
          <w:rFonts w:ascii="Times New Roman" w:cs="Times New Roman" w:eastAsia="Times New Roman" w:hAnsi="Times New Roman"/>
          <w:sz w:val="18"/>
          <w:szCs w:val="18"/>
          <w:color w:val="auto"/>
        </w:rPr>
        <w:t>In March 2014, we entered into a Collaboration and Exclusive License Agreement, or the TESARO Agreement, with TESARO, Inc. and TESARO Development, Inc., or collectively, TESARO, an oncology-focused biopharmaceutical company now a part of GlaxoSmithKline.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Amendment No. 1 to the Agreement to add an antibody discovery program against an undisclosed fourth target for an upfront license fee of $2.0 million.</w:t>
      </w:r>
    </w:p>
    <w:p>
      <w:pPr>
        <w:spacing w:after="0" w:line="81"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 xml:space="preserve">For each development program, we are eligible to receive milestone payments of up to $18.0 million if certain preclinical and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Unless earlier terminated by either party upon specified circumstances, the agreement will terminate, with respect to each specific developed product, upon the latter of the 12th anniversary of the first commercial sale of the product or the expiration of the last to expire of any patent. Prior to the adoption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were recognized was extended through December 31, 2016, and have since been recognized in full.</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684" w:right="239" w:bottom="1440" w:gutter="0" w:footer="0" w:header="0"/>
        </w:sectPr>
      </w:pPr>
    </w:p>
    <w:bookmarkStart w:id="11" w:name="page12"/>
    <w:bookmarkEnd w:id="11"/>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We assessed this arrangement in accordance with ASC 606 and concluded that the contract counterparty, TESARO, is a customer. We identified the following material promises under the TESARO Agreement: (1) the licenses under certain patent rights relating to six discovery programs (four targets) and transfer of certain development and regulatory information, (2) R&amp;D services and (3) Joint Steering Committee meetings. We considered the research and discovery capabilities of TESARO for these specific programs, TESARO’s inability to sub-license, and the fact that the discovery and optimization of these antibodies is proprietary and could not, at the time of the contract inception, be provided by other vendors, to conclude that the license does not have stand-alone functionality and is therefore not distinct. Additionally, we determined that the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of the arrangement.</w:t>
      </w:r>
    </w:p>
    <w:p>
      <w:pPr>
        <w:spacing w:after="0" w:line="185"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As of September 30, 2019, the transaction price includes the upfront payment, research reimbursement revenue, and milestones earned to date, which are allocated in their entirety to the single performance obligation. Future potential milestones are generally not included as they are subject to revenue constraint. As part of the constraint evaluation, we considered numerous factors including the fact that the receipt of milestones is outside of our control and contingent upon success in future clinical trials, an outcome that is difficult to predict, and the licensees’ efforts. Any consideration related to sales-based milestones, including royalties, will be recognized when the related sales occur as they were determined to relate predominantly to the IP license granted to TESARO and therefore have also been excluded from the transaction price. We will re-evaluate the variable transaction price in each reporting period and as uncertain events are resolved or other changes in circumstances occur. During the nine months ended September 30, 2019, we recognized and collected one clinical milestone for $5.0 million. This milestone was recognized upon the evaluation of recent actions, efforts, and public disclosures made by TESARO that led to the determination that a significant reversal of revenue would not be probable. No other future clinical or regulatory milestones have been included in the transaction price, as all other milestone amounts continued to be subject to the revenue constraint.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Milestones recognized through September 30, 2019 under the TESARO Agreement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4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Anti-PD-1</w:t>
            </w:r>
          </w:p>
        </w:tc>
        <w:tc>
          <w:tcPr>
            <w:tcW w:w="23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Anti-TIM-3</w:t>
            </w: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Anti-LAG-3</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(TSR042/Dostarlimab)</w:t>
            </w: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(TSR022)</w:t>
            </w: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rPr>
              <w:t>(TSR033)</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60" w:type="dxa"/>
            <w:vAlign w:val="bottom"/>
            <w:gridSpan w:val="2"/>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95"/>
        </w:trPr>
        <w:tc>
          <w:tcPr>
            <w:tcW w:w="43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820" w:type="dxa"/>
            <w:vAlign w:val="bottom"/>
            <w:vMerge w:val="continue"/>
          </w:tcPr>
          <w:p>
            <w:pPr>
              <w:spacing w:after="0"/>
              <w:rPr>
                <w:sz w:val="16"/>
                <w:szCs w:val="16"/>
                <w:color w:val="auto"/>
              </w:rPr>
            </w:pPr>
          </w:p>
        </w:tc>
        <w:tc>
          <w:tcPr>
            <w:tcW w:w="15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820" w:type="dxa"/>
            <w:vAlign w:val="bottom"/>
            <w:vMerge w:val="continue"/>
          </w:tcPr>
          <w:p>
            <w:pPr>
              <w:spacing w:after="0"/>
              <w:rPr>
                <w:sz w:val="16"/>
                <w:szCs w:val="16"/>
                <w:color w:val="auto"/>
              </w:rPr>
            </w:pPr>
          </w:p>
        </w:tc>
        <w:tc>
          <w:tcPr>
            <w:tcW w:w="14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374"/>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 xml:space="preserve">Initiated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toxicology studies using good laboratory practices</w:t>
            </w: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$1.0M</w:t>
            </w:r>
          </w:p>
        </w:tc>
        <w:tc>
          <w:tcPr>
            <w:tcW w:w="132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4"/>
                <w:szCs w:val="14"/>
                <w:color w:val="auto"/>
              </w:rPr>
              <w:t>Q2'15</w:t>
            </w:r>
          </w:p>
        </w:tc>
        <w:tc>
          <w:tcPr>
            <w:tcW w:w="820" w:type="dxa"/>
            <w:vAlign w:val="bottom"/>
            <w:vMerge w:val="restart"/>
            <w:shd w:val="clear" w:color="auto" w:fill="CFF0FC"/>
          </w:tcPr>
          <w:p>
            <w:pPr>
              <w:jc w:val="center"/>
              <w:ind w:left="248"/>
              <w:spacing w:after="0"/>
              <w:rPr>
                <w:sz w:val="20"/>
                <w:szCs w:val="20"/>
                <w:color w:val="auto"/>
              </w:rPr>
            </w:pPr>
            <w:r>
              <w:rPr>
                <w:rFonts w:ascii="Times New Roman" w:cs="Times New Roman" w:eastAsia="Times New Roman" w:hAnsi="Times New Roman"/>
                <w:sz w:val="14"/>
                <w:szCs w:val="14"/>
                <w:color w:val="auto"/>
              </w:rPr>
              <w:t>$1.0M</w:t>
            </w:r>
          </w:p>
        </w:tc>
        <w:tc>
          <w:tcPr>
            <w:tcW w:w="1560" w:type="dxa"/>
            <w:vAlign w:val="bottom"/>
            <w:gridSpan w:val="2"/>
            <w:vMerge w:val="restart"/>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rPr>
              <w:t>Q4'15</w:t>
            </w:r>
          </w:p>
        </w:tc>
        <w:tc>
          <w:tcPr>
            <w:tcW w:w="820" w:type="dxa"/>
            <w:vAlign w:val="bottom"/>
            <w:vMerge w:val="restart"/>
            <w:shd w:val="clear" w:color="auto" w:fill="CFF0FC"/>
          </w:tcPr>
          <w:p>
            <w:pPr>
              <w:jc w:val="center"/>
              <w:ind w:left="208"/>
              <w:spacing w:after="0"/>
              <w:rPr>
                <w:sz w:val="20"/>
                <w:szCs w:val="20"/>
                <w:color w:val="auto"/>
              </w:rPr>
            </w:pPr>
            <w:r>
              <w:rPr>
                <w:rFonts w:ascii="Times New Roman" w:cs="Times New Roman" w:eastAsia="Times New Roman" w:hAnsi="Times New Roman"/>
                <w:sz w:val="14"/>
                <w:szCs w:val="14"/>
                <w:color w:val="auto"/>
              </w:rPr>
              <w:t>$1.0M</w:t>
            </w:r>
          </w:p>
        </w:tc>
        <w:tc>
          <w:tcPr>
            <w:tcW w:w="1440" w:type="dxa"/>
            <w:vAlign w:val="bottom"/>
            <w:vMerge w:val="restart"/>
            <w:shd w:val="clear" w:color="auto" w:fill="CFF0FC"/>
          </w:tcPr>
          <w:p>
            <w:pPr>
              <w:jc w:val="center"/>
              <w:ind w:left="228"/>
              <w:spacing w:after="0"/>
              <w:rPr>
                <w:sz w:val="20"/>
                <w:szCs w:val="20"/>
                <w:color w:val="auto"/>
              </w:rPr>
            </w:pPr>
            <w:r>
              <w:rPr>
                <w:rFonts w:ascii="Times New Roman" w:cs="Times New Roman" w:eastAsia="Times New Roman" w:hAnsi="Times New Roman"/>
                <w:sz w:val="14"/>
                <w:szCs w:val="14"/>
                <w:color w:val="auto"/>
              </w:rPr>
              <w:t>Q3'16</w:t>
            </w:r>
          </w:p>
        </w:tc>
        <w:tc>
          <w:tcPr>
            <w:tcW w:w="0" w:type="dxa"/>
            <w:vAlign w:val="bottom"/>
          </w:tcPr>
          <w:p>
            <w:pPr>
              <w:spacing w:after="0"/>
              <w:rPr>
                <w:sz w:val="1"/>
                <w:szCs w:val="1"/>
                <w:color w:val="auto"/>
              </w:rPr>
            </w:pPr>
          </w:p>
        </w:tc>
      </w:tr>
      <w:tr>
        <w:trPr>
          <w:trHeight w:val="198"/>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(GLPs)</w:t>
            </w:r>
          </w:p>
        </w:tc>
        <w:tc>
          <w:tcPr>
            <w:tcW w:w="1100" w:type="dxa"/>
            <w:vAlign w:val="bottom"/>
            <w:vMerge w:val="continue"/>
            <w:shd w:val="clear" w:color="auto" w:fill="CFF0FC"/>
          </w:tcPr>
          <w:p>
            <w:pPr>
              <w:spacing w:after="0"/>
              <w:rPr>
                <w:sz w:val="17"/>
                <w:szCs w:val="17"/>
                <w:color w:val="auto"/>
              </w:rPr>
            </w:pPr>
          </w:p>
        </w:tc>
        <w:tc>
          <w:tcPr>
            <w:tcW w:w="1320" w:type="dxa"/>
            <w:vAlign w:val="bottom"/>
            <w:gridSpan w:val="2"/>
            <w:vMerge w:val="continue"/>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1560" w:type="dxa"/>
            <w:vAlign w:val="bottom"/>
            <w:gridSpan w:val="2"/>
            <w:vMerge w:val="continue"/>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144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IND clearance from the FDA</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$4.0M</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Q1'16</w:t>
            </w:r>
          </w:p>
        </w:tc>
        <w:tc>
          <w:tcPr>
            <w:tcW w:w="8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$4.0M</w:t>
            </w:r>
          </w:p>
        </w:tc>
        <w:tc>
          <w:tcPr>
            <w:tcW w:w="15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Q2'16</w:t>
            </w:r>
          </w:p>
        </w:tc>
        <w:tc>
          <w:tcPr>
            <w:tcW w:w="82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$4.0M</w:t>
            </w:r>
          </w:p>
        </w:tc>
        <w:tc>
          <w:tcPr>
            <w:tcW w:w="144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Q2'17</w:t>
            </w:r>
          </w:p>
        </w:tc>
        <w:tc>
          <w:tcPr>
            <w:tcW w:w="0" w:type="dxa"/>
            <w:vAlign w:val="bottom"/>
          </w:tcPr>
          <w:p>
            <w:pPr>
              <w:spacing w:after="0"/>
              <w:rPr>
                <w:sz w:val="1"/>
                <w:szCs w:val="1"/>
                <w:color w:val="auto"/>
              </w:rPr>
            </w:pPr>
          </w:p>
        </w:tc>
      </w:tr>
      <w:tr>
        <w:trPr>
          <w:trHeight w:val="275"/>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Phase 2 clinical trial initiation</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$3.0M</w:t>
            </w:r>
          </w:p>
        </w:tc>
        <w:tc>
          <w:tcPr>
            <w:tcW w:w="13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4"/>
                <w:szCs w:val="14"/>
                <w:color w:val="auto"/>
              </w:rPr>
              <w:t>Q2'17</w:t>
            </w:r>
          </w:p>
        </w:tc>
        <w:tc>
          <w:tcPr>
            <w:tcW w:w="820" w:type="dxa"/>
            <w:vAlign w:val="bottom"/>
            <w:shd w:val="clear" w:color="auto" w:fill="CFF0FC"/>
          </w:tcPr>
          <w:p>
            <w:pPr>
              <w:jc w:val="center"/>
              <w:ind w:left="248"/>
              <w:spacing w:after="0"/>
              <w:rPr>
                <w:sz w:val="20"/>
                <w:szCs w:val="20"/>
                <w:color w:val="auto"/>
              </w:rPr>
            </w:pPr>
            <w:r>
              <w:rPr>
                <w:rFonts w:ascii="Times New Roman" w:cs="Times New Roman" w:eastAsia="Times New Roman" w:hAnsi="Times New Roman"/>
                <w:sz w:val="14"/>
                <w:szCs w:val="14"/>
                <w:color w:val="auto"/>
              </w:rPr>
              <w:t>$3.0M</w:t>
            </w:r>
          </w:p>
        </w:tc>
        <w:tc>
          <w:tcPr>
            <w:tcW w:w="156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rPr>
              <w:t>Q4'17</w:t>
            </w:r>
          </w:p>
        </w:tc>
        <w:tc>
          <w:tcPr>
            <w:tcW w:w="820" w:type="dxa"/>
            <w:vAlign w:val="bottom"/>
            <w:shd w:val="clear" w:color="auto" w:fill="CFF0FC"/>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center"/>
              <w:ind w:left="22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Phase 3 clinical trial initiation - first indication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$5.0M</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Q3'18</w:t>
            </w:r>
          </w:p>
        </w:tc>
        <w:tc>
          <w:tcPr>
            <w:tcW w:w="82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75"/>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Phase 3 clinical trial initiation - second indication</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$5.0M</w:t>
            </w:r>
          </w:p>
        </w:tc>
        <w:tc>
          <w:tcPr>
            <w:tcW w:w="13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4"/>
                <w:szCs w:val="14"/>
                <w:color w:val="auto"/>
              </w:rPr>
              <w:t>Q2'19</w:t>
            </w:r>
          </w:p>
        </w:tc>
        <w:tc>
          <w:tcPr>
            <w:tcW w:w="820" w:type="dxa"/>
            <w:vAlign w:val="bottom"/>
            <w:shd w:val="clear" w:color="auto" w:fill="CFF0FC"/>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shd w:val="clear" w:color="auto" w:fill="CFF0FC"/>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center"/>
              <w:ind w:left="22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Milestones achieved during the discovery period were recognized as revenue pro-rata through December 31, 2016. Milestones achieved during fiscal</w:t>
      </w:r>
    </w:p>
    <w:p>
      <w:pPr>
        <w:spacing w:after="0" w:line="27"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2017 were recognized as revenue in the period earned, while milestones after December 31, 2017 are recognized upon determination that a significant reversal of revenue would not be probable. Cash is generally received within 30 days of milestone achievement.</w:t>
      </w:r>
    </w:p>
    <w:p>
      <w:pPr>
        <w:spacing w:after="0" w:line="72" w:lineRule="exact"/>
        <w:rPr>
          <w:sz w:val="20"/>
          <w:szCs w:val="20"/>
          <w:color w:val="auto"/>
        </w:rPr>
      </w:pPr>
    </w:p>
    <w:p>
      <w:pPr>
        <w:ind w:right="40" w:firstLine="446"/>
        <w:spacing w:after="0" w:line="282" w:lineRule="auto"/>
        <w:rPr>
          <w:sz w:val="20"/>
          <w:szCs w:val="20"/>
          <w:color w:val="auto"/>
        </w:rPr>
      </w:pPr>
      <w:r>
        <w:rPr>
          <w:rFonts w:ascii="Times New Roman" w:cs="Times New Roman" w:eastAsia="Times New Roman" w:hAnsi="Times New Roman"/>
          <w:sz w:val="18"/>
          <w:szCs w:val="18"/>
          <w:color w:val="auto"/>
        </w:rPr>
        <w:t>We recognized $0 and $5.0 million in revenue under this agreement during the three and nine months ended September 30, 2019, respectively, and $5.0 million revenue during each of the three and nine months ended September 30, 2018.</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Antibody Generation Agreement with Celgene Corporation</w:t>
      </w:r>
    </w:p>
    <w:p>
      <w:pPr>
        <w:spacing w:after="0" w:line="121" w:lineRule="exact"/>
        <w:rPr>
          <w:sz w:val="20"/>
          <w:szCs w:val="20"/>
          <w:color w:val="auto"/>
        </w:rPr>
      </w:pPr>
    </w:p>
    <w:p>
      <w:pPr>
        <w:jc w:val="both"/>
        <w:ind w:right="220" w:firstLine="446"/>
        <w:spacing w:after="0" w:line="261" w:lineRule="auto"/>
        <w:rPr>
          <w:sz w:val="20"/>
          <w:szCs w:val="20"/>
          <w:color w:val="auto"/>
        </w:rPr>
      </w:pPr>
      <w:r>
        <w:rPr>
          <w:rFonts w:ascii="Times New Roman" w:cs="Times New Roman" w:eastAsia="Times New Roman" w:hAnsi="Times New Roman"/>
          <w:sz w:val="18"/>
          <w:szCs w:val="18"/>
          <w:color w:val="auto"/>
        </w:rPr>
        <w:t>In December 2011, we entered into a license and collaboration agreement with Celgene, or the Celgene Agreement,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72" w:lineRule="exact"/>
        <w:rPr>
          <w:sz w:val="20"/>
          <w:szCs w:val="20"/>
          <w:color w:val="auto"/>
        </w:rPr>
      </w:pPr>
    </w:p>
    <w:p>
      <w:pPr>
        <w:ind w:right="240" w:firstLine="446"/>
        <w:spacing w:after="0" w:line="266" w:lineRule="auto"/>
        <w:rPr>
          <w:sz w:val="20"/>
          <w:szCs w:val="20"/>
          <w:color w:val="auto"/>
        </w:rPr>
      </w:pPr>
      <w:r>
        <w:rPr>
          <w:rFonts w:ascii="Times New Roman" w:cs="Times New Roman" w:eastAsia="Times New Roman" w:hAnsi="Times New Roman"/>
          <w:sz w:val="18"/>
          <w:szCs w:val="18"/>
          <w:color w:val="auto"/>
        </w:rPr>
        <w:t>The agreement provided for an upfront payment of $6.0 million from Celgene, which we received in 2011 and recognized through 2014, milestone payments of up to $53.0 million per target, low single-digit royalties on net sales of antibodies against each target, and reimbursement of specified research and development costs.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72" w:right="239" w:bottom="1440" w:gutter="0" w:footer="0" w:header="0"/>
        </w:sectPr>
      </w:pPr>
    </w:p>
    <w:bookmarkStart w:id="12" w:name="page13"/>
    <w:bookmarkEnd w:id="12"/>
    <w:p>
      <w:pPr>
        <w:ind w:right="60" w:firstLine="446"/>
        <w:spacing w:after="0" w:line="255" w:lineRule="auto"/>
        <w:rPr>
          <w:sz w:val="20"/>
          <w:szCs w:val="20"/>
          <w:color w:val="auto"/>
        </w:rPr>
      </w:pPr>
      <w:r>
        <w:rPr>
          <w:rFonts w:ascii="Times New Roman" w:cs="Times New Roman" w:eastAsia="Times New Roman" w:hAnsi="Times New Roman"/>
          <w:sz w:val="18"/>
          <w:szCs w:val="18"/>
          <w:color w:val="auto"/>
        </w:rPr>
        <w:t>We assessed this arrangement in accordance with ASC 606 and concluded that the contract counterparty, Celgene, is a customer. We identified the following material promises under the Celgene Agreement: (1) the licenses under certain patent rights relating to four targets and transfer of certain development and regulatory information, (2) R&amp;D services, (3) a written report documenting findings and (4) Steering Committee meetings. We considered the research and discovery capabilities of Celgene, Celgene’s inability to sub-license the four targets, and the fact that the discovery and optimization of these antibodies is proprietary and could not, at the time of the contract inception, be provided by other vendors, to conclude that the license does not have stand-alone functionality and is therefore not distinct. Additionally, we determined that the report of findings and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the arrangement.</w:t>
      </w:r>
    </w:p>
    <w:p>
      <w:pPr>
        <w:spacing w:after="0" w:line="77" w:lineRule="exact"/>
        <w:rPr>
          <w:sz w:val="20"/>
          <w:szCs w:val="20"/>
          <w:color w:val="auto"/>
        </w:rPr>
      </w:pPr>
    </w:p>
    <w:p>
      <w:pPr>
        <w:ind w:right="60" w:firstLine="446"/>
        <w:spacing w:after="0" w:line="255" w:lineRule="auto"/>
        <w:rPr>
          <w:sz w:val="20"/>
          <w:szCs w:val="20"/>
          <w:color w:val="auto"/>
        </w:rPr>
      </w:pPr>
      <w:r>
        <w:rPr>
          <w:rFonts w:ascii="Times New Roman" w:cs="Times New Roman" w:eastAsia="Times New Roman" w:hAnsi="Times New Roman"/>
          <w:sz w:val="18"/>
          <w:szCs w:val="18"/>
          <w:color w:val="auto"/>
        </w:rPr>
        <w:t>As of September 30, 2019, the transaction price includes the upfront payment, success fees, expense reimbursement, and milestones earned to date, which are allocated in their entirety to the single performance obligation. None of the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and the licensees’ efforts. Any consideration related to sales-based milestones, including royalties, will be recognized when the related sales occur as they were determined to relate predominantly to the IP license granted to Celgene and therefore have also been excluded from the transaction price. We will re-evaluate the transaction price in each reporting period and as uncertain events are resolved or other changes in circumstances occur.</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Milestones achieved through September 30, 2019 under the Celgene Agreement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4980" w:type="dxa"/>
            <w:vAlign w:val="bottom"/>
            <w:gridSpan w:val="2"/>
          </w:tcPr>
          <w:p>
            <w:pPr>
              <w:jc w:val="center"/>
              <w:ind w:left="2608"/>
              <w:spacing w:after="0"/>
              <w:rPr>
                <w:sz w:val="20"/>
                <w:szCs w:val="20"/>
                <w:color w:val="auto"/>
              </w:rPr>
            </w:pPr>
            <w:r>
              <w:rPr>
                <w:rFonts w:ascii="Times New Roman" w:cs="Times New Roman" w:eastAsia="Times New Roman" w:hAnsi="Times New Roman"/>
                <w:sz w:val="14"/>
                <w:szCs w:val="14"/>
                <w:b w:val="1"/>
                <w:bCs w:val="1"/>
                <w:color w:val="auto"/>
              </w:rPr>
              <w:t>Anti-PD-1</w:t>
            </w:r>
          </w:p>
        </w:tc>
        <w:tc>
          <w:tcPr>
            <w:tcW w:w="0" w:type="dxa"/>
            <w:vAlign w:val="bottom"/>
          </w:tcPr>
          <w:p>
            <w:pPr>
              <w:spacing w:after="0"/>
              <w:rPr>
                <w:sz w:val="1"/>
                <w:szCs w:val="1"/>
                <w:color w:val="auto"/>
              </w:rPr>
            </w:pPr>
          </w:p>
        </w:tc>
      </w:tr>
      <w:tr>
        <w:trPr>
          <w:trHeight w:val="195"/>
        </w:trPr>
        <w:tc>
          <w:tcPr>
            <w:tcW w:w="644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2"/>
          </w:tcPr>
          <w:p>
            <w:pPr>
              <w:jc w:val="center"/>
              <w:ind w:left="2628"/>
              <w:spacing w:after="0"/>
              <w:rPr>
                <w:sz w:val="20"/>
                <w:szCs w:val="20"/>
                <w:color w:val="auto"/>
              </w:rPr>
            </w:pPr>
            <w:r>
              <w:rPr>
                <w:rFonts w:ascii="Times New Roman" w:cs="Times New Roman" w:eastAsia="Times New Roman" w:hAnsi="Times New Roman"/>
                <w:sz w:val="14"/>
                <w:szCs w:val="14"/>
                <w:b w:val="1"/>
                <w:bCs w:val="1"/>
                <w:color w:val="auto"/>
              </w:rPr>
              <w:t>(CC-90006)</w:t>
            </w:r>
          </w:p>
        </w:tc>
        <w:tc>
          <w:tcPr>
            <w:tcW w:w="0" w:type="dxa"/>
            <w:vAlign w:val="bottom"/>
          </w:tcPr>
          <w:p>
            <w:pPr>
              <w:spacing w:after="0"/>
              <w:rPr>
                <w:sz w:val="1"/>
                <w:szCs w:val="1"/>
                <w:color w:val="auto"/>
              </w:rPr>
            </w:pPr>
          </w:p>
        </w:tc>
      </w:tr>
      <w:tr>
        <w:trPr>
          <w:trHeight w:val="149"/>
        </w:trPr>
        <w:tc>
          <w:tcPr>
            <w:tcW w:w="6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3840" w:type="dxa"/>
            <w:vAlign w:val="bottom"/>
            <w:vMerge w:val="restart"/>
          </w:tcPr>
          <w:p>
            <w:pPr>
              <w:jc w:val="center"/>
              <w:ind w:left="27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95"/>
        </w:trPr>
        <w:tc>
          <w:tcPr>
            <w:tcW w:w="6440" w:type="dxa"/>
            <w:vAlign w:val="bottom"/>
            <w:vMerge w:val="continue"/>
          </w:tcPr>
          <w:p>
            <w:pPr>
              <w:spacing w:after="0"/>
              <w:rPr>
                <w:sz w:val="16"/>
                <w:szCs w:val="16"/>
                <w:color w:val="auto"/>
              </w:rPr>
            </w:pPr>
          </w:p>
        </w:tc>
        <w:tc>
          <w:tcPr>
            <w:tcW w:w="3840" w:type="dxa"/>
            <w:vAlign w:val="bottom"/>
            <w:vMerge w:val="continue"/>
          </w:tcPr>
          <w:p>
            <w:pPr>
              <w:spacing w:after="0"/>
              <w:rPr>
                <w:sz w:val="16"/>
                <w:szCs w:val="16"/>
                <w:color w:val="auto"/>
              </w:rPr>
            </w:pPr>
          </w:p>
        </w:tc>
        <w:tc>
          <w:tcPr>
            <w:tcW w:w="114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424"/>
        </w:trPr>
        <w:tc>
          <w:tcPr>
            <w:tcW w:w="64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 xml:space="preserve">Completion of first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toxicology studies using GLPs</w:t>
            </w:r>
          </w:p>
        </w:tc>
        <w:tc>
          <w:tcPr>
            <w:tcW w:w="3840" w:type="dxa"/>
            <w:vAlign w:val="bottom"/>
            <w:shd w:val="clear" w:color="auto" w:fill="CFF0FC"/>
          </w:tcPr>
          <w:p>
            <w:pPr>
              <w:jc w:val="center"/>
              <w:ind w:left="2748"/>
              <w:spacing w:after="0"/>
              <w:rPr>
                <w:sz w:val="20"/>
                <w:szCs w:val="20"/>
                <w:color w:val="auto"/>
              </w:rPr>
            </w:pPr>
            <w:r>
              <w:rPr>
                <w:rFonts w:ascii="Times New Roman" w:cs="Times New Roman" w:eastAsia="Times New Roman" w:hAnsi="Times New Roman"/>
                <w:sz w:val="14"/>
                <w:szCs w:val="14"/>
                <w:color w:val="auto"/>
              </w:rPr>
              <w:t>$0.5M</w:t>
            </w:r>
          </w:p>
        </w:tc>
        <w:tc>
          <w:tcPr>
            <w:tcW w:w="1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Q2'16</w:t>
            </w:r>
          </w:p>
        </w:tc>
        <w:tc>
          <w:tcPr>
            <w:tcW w:w="0" w:type="dxa"/>
            <w:vAlign w:val="bottom"/>
          </w:tcPr>
          <w:p>
            <w:pPr>
              <w:spacing w:after="0"/>
              <w:rPr>
                <w:sz w:val="1"/>
                <w:szCs w:val="1"/>
                <w:color w:val="auto"/>
              </w:rPr>
            </w:pPr>
          </w:p>
        </w:tc>
      </w:tr>
      <w:tr>
        <w:trPr>
          <w:trHeight w:val="193"/>
        </w:trPr>
        <w:tc>
          <w:tcPr>
            <w:tcW w:w="6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Phase 1 clinical trial initiation</w:t>
            </w:r>
          </w:p>
        </w:tc>
        <w:tc>
          <w:tcPr>
            <w:tcW w:w="3840" w:type="dxa"/>
            <w:vAlign w:val="bottom"/>
          </w:tcPr>
          <w:p>
            <w:pPr>
              <w:jc w:val="center"/>
              <w:ind w:left="2748"/>
              <w:spacing w:after="0"/>
              <w:rPr>
                <w:sz w:val="20"/>
                <w:szCs w:val="20"/>
                <w:color w:val="auto"/>
              </w:rPr>
            </w:pPr>
            <w:r>
              <w:rPr>
                <w:rFonts w:ascii="Times New Roman" w:cs="Times New Roman" w:eastAsia="Times New Roman" w:hAnsi="Times New Roman"/>
                <w:sz w:val="14"/>
                <w:szCs w:val="14"/>
                <w:color w:val="auto"/>
              </w:rPr>
              <w:t>$1.0M</w:t>
            </w:r>
          </w:p>
        </w:tc>
        <w:tc>
          <w:tcPr>
            <w:tcW w:w="1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Q4'16</w:t>
            </w:r>
          </w:p>
        </w:tc>
        <w:tc>
          <w:tcPr>
            <w:tcW w:w="0" w:type="dxa"/>
            <w:vAlign w:val="bottom"/>
          </w:tcPr>
          <w:p>
            <w:pPr>
              <w:spacing w:after="0"/>
              <w:rPr>
                <w:sz w:val="1"/>
                <w:szCs w:val="1"/>
                <w:color w:val="auto"/>
              </w:rPr>
            </w:pPr>
          </w:p>
        </w:tc>
      </w:tr>
    </w:tbl>
    <w:p>
      <w:pPr>
        <w:spacing w:after="0" w:line="3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from future contingent milestone payments are recognized upon determination that a significant reversal of revenue would not be probable.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is generally received within 30 days of milestone achievement.</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revenue recognized under this agreement during the three and nine months ended September 30, 2019 and 2018.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Notes Payable</w:t>
      </w:r>
    </w:p>
    <w:p>
      <w:pPr>
        <w:spacing w:after="0" w:line="121" w:lineRule="exact"/>
        <w:rPr>
          <w:sz w:val="20"/>
          <w:szCs w:val="20"/>
          <w:color w:val="auto"/>
        </w:rPr>
      </w:pPr>
    </w:p>
    <w:p>
      <w:pPr>
        <w:ind w:right="280" w:firstLine="446"/>
        <w:spacing w:after="0" w:line="266" w:lineRule="auto"/>
        <w:rPr>
          <w:sz w:val="20"/>
          <w:szCs w:val="20"/>
          <w:color w:val="auto"/>
        </w:rPr>
      </w:pPr>
      <w:r>
        <w:rPr>
          <w:rFonts w:ascii="Times New Roman" w:cs="Times New Roman" w:eastAsia="Times New Roman" w:hAnsi="Times New Roman"/>
          <w:sz w:val="18"/>
          <w:szCs w:val="18"/>
          <w:color w:val="auto"/>
        </w:rPr>
        <w:t>On December 24, 2014, we entered into a Loan and Security Agreement, as amended from time to time, the Loan Agreement, with a bank and a financial institution whereby we may borrow up to $15.0 million in three separate draws of $5.0 million each. The Term A Loans, for an aggregate of $5.0 million, were drawn on December 24, 2014 with a fixed interest rate of 6.97%.</w:t>
      </w:r>
    </w:p>
    <w:p>
      <w:pPr>
        <w:spacing w:after="0" w:line="68"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In January 2016, the Loan Agreement was amended to combine Term B Loans and Term C Loans for a total of $10.0 million available for draw through December 31, 2016 and delay the beginning of our Term A Loans’ principal repayments from February 1, 2016 until February 1, 2017. The Term B Loans and Term C Loans became available for draw on July 1, 2016. In December 2016, we further amended the Loan Agreement to (i) allow for the Term B Loans and Term C Loans to be drawn on December 30, 2016, (ii) delay principal repayments of all Term Loans until February 1, 2018 and (iii) amend the interest rate for each Term Loan. The Term B Loans and the Term C Loans were drawn on December 30, 2016, and Term A, B and C Loans are now collectively referred to as the Term Loans. Principal repayments began in February 2018, and as of September 30, 2019, there are 4 monthly principal and interest payments remaining on the Term Loans, with final maturity in January 2020. The Term Loans bear interest equal to the greater of 3-month U.S. LIBOR plus 6.37% or 7.3%. The interest rate was 8.51% as of September 30, 2019.</w:t>
      </w:r>
    </w:p>
    <w:p>
      <w:pPr>
        <w:spacing w:after="0" w:line="77" w:lineRule="exact"/>
        <w:rPr>
          <w:sz w:val="20"/>
          <w:szCs w:val="20"/>
          <w:color w:val="auto"/>
        </w:rPr>
      </w:pPr>
    </w:p>
    <w:p>
      <w:pPr>
        <w:ind w:right="60" w:firstLine="446"/>
        <w:spacing w:after="0" w:line="282" w:lineRule="auto"/>
        <w:rPr>
          <w:sz w:val="20"/>
          <w:szCs w:val="20"/>
          <w:color w:val="auto"/>
        </w:rPr>
      </w:pPr>
      <w:r>
        <w:rPr>
          <w:rFonts w:ascii="Times New Roman" w:cs="Times New Roman" w:eastAsia="Times New Roman" w:hAnsi="Times New Roman"/>
          <w:sz w:val="18"/>
          <w:szCs w:val="18"/>
          <w:color w:val="auto"/>
        </w:rPr>
        <w:t>The costs incurred to issue the Term Loans were deferred and are included in the discount to the carrying value of the Term Loans in the accompanying balance sheet. The Term Loans also include a final payment fee of $0.8 million due at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72" w:right="239" w:bottom="1440" w:gutter="0" w:footer="0" w:header="0"/>
        </w:sectPr>
      </w:pPr>
    </w:p>
    <w:bookmarkStart w:id="13" w:name="page14"/>
    <w:bookmarkEnd w:id="13"/>
    <w:p>
      <w:pPr>
        <w:ind w:right="240"/>
        <w:spacing w:after="0" w:line="282" w:lineRule="auto"/>
        <w:rPr>
          <w:sz w:val="20"/>
          <w:szCs w:val="20"/>
          <w:color w:val="auto"/>
        </w:rPr>
      </w:pPr>
      <w:r>
        <w:rPr>
          <w:rFonts w:ascii="Times New Roman" w:cs="Times New Roman" w:eastAsia="Times New Roman" w:hAnsi="Times New Roman"/>
          <w:sz w:val="18"/>
          <w:szCs w:val="18"/>
          <w:color w:val="auto"/>
        </w:rPr>
        <w:t>earlier of prepayment or the maturity date of the Term Loans. The deferred costs and the final payment fee are being amortized to interest expense over the expected term of the Term A Loans using the effective interest method.</w:t>
      </w:r>
    </w:p>
    <w:p>
      <w:pPr>
        <w:spacing w:after="0" w:line="54"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As of September 30, 2019, the carrying amount of the Term Loans was $3.1 million, which includes amortized final payment fees of $0.6 million and is classified as current liabilities as of September 30, 2019. The effective interest rate on the Term Loans at September 30, 2019 was 12.90%. As of September 30, 2019, future principal maturities of the Term Loans were $1.9 million and $0.6 million during the remainder of 2019 and 2020, respectively.</w:t>
      </w:r>
    </w:p>
    <w:p>
      <w:pPr>
        <w:spacing w:after="0" w:line="68" w:lineRule="exact"/>
        <w:rPr>
          <w:sz w:val="20"/>
          <w:szCs w:val="20"/>
          <w:color w:val="auto"/>
        </w:rPr>
      </w:pPr>
    </w:p>
    <w:p>
      <w:pPr>
        <w:ind w:right="380" w:firstLine="446"/>
        <w:spacing w:after="0" w:line="282" w:lineRule="auto"/>
        <w:rPr>
          <w:sz w:val="20"/>
          <w:szCs w:val="20"/>
          <w:color w:val="auto"/>
        </w:rPr>
      </w:pPr>
      <w:r>
        <w:rPr>
          <w:rFonts w:ascii="Times New Roman" w:cs="Times New Roman" w:eastAsia="Times New Roman" w:hAnsi="Times New Roman"/>
          <w:sz w:val="18"/>
          <w:szCs w:val="18"/>
          <w:color w:val="auto"/>
        </w:rPr>
        <w:t>The Term Loans are secured by a first priority interest in most of our assets, excluding intellectual property. As of September 30, 2019, we were in compliance with the covenants contained in the Loan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 and Available for Sale Investments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Our financial instruments consist principally of cash, cash equivalents, restricted cash, short-term and long-term investments, receivables, accounts payable, and notes payable. Certain of our financial assets and liabilities have been recorded at fair value in the consolidated balance sheet in accordance with the accounting standards for fair value measurements.</w:t>
      </w:r>
    </w:p>
    <w:p>
      <w:pPr>
        <w:spacing w:after="0" w:line="68"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6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activities, therefore requiring an entity to develop its own assumptions.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72" w:right="259"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21" w:lineRule="exact"/>
        <w:rPr>
          <w:sz w:val="20"/>
          <w:szCs w:val="20"/>
          <w:color w:val="auto"/>
        </w:rPr>
      </w:pPr>
    </w:p>
    <w:p>
      <w:pPr>
        <w:ind w:right="40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assets and liabilities that require fair value measurements on a recurring basis and their respective input levels based on the fair value hierarchy: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 End of Period Using:</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Quoted Market</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4"/>
                <w:szCs w:val="14"/>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 Observable</w:t>
            </w:r>
          </w:p>
        </w:tc>
        <w:tc>
          <w:tcPr>
            <w:tcW w:w="220" w:type="dxa"/>
            <w:vAlign w:val="bottom"/>
          </w:tcPr>
          <w:p>
            <w:pPr>
              <w:spacing w:after="0"/>
              <w:rPr>
                <w:sz w:val="12"/>
                <w:szCs w:val="12"/>
                <w:color w:val="auto"/>
              </w:rPr>
            </w:pPr>
          </w:p>
        </w:tc>
        <w:tc>
          <w:tcPr>
            <w:tcW w:w="126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26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160" w:type="dxa"/>
            <w:vAlign w:val="bottom"/>
            <w:gridSpan w:val="4"/>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8"/>
        </w:trPr>
        <w:tc>
          <w:tcPr>
            <w:tcW w:w="5160" w:type="dxa"/>
            <w:vAlign w:val="bottom"/>
            <w:tcBorders>
              <w:top w:val="single" w:sz="8" w:color="CFF0FC"/>
            </w:tcBorders>
            <w:gridSpan w:val="4"/>
            <w:shd w:val="clear" w:color="auto" w:fill="CFF0FC"/>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At September 30, 2019</w:t>
            </w:r>
          </w:p>
        </w:tc>
        <w:tc>
          <w:tcPr>
            <w:tcW w:w="34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FF0FC"/>
            </w:tcBorders>
            <w:shd w:val="clear" w:color="auto" w:fill="CFF0FC"/>
          </w:tcPr>
          <w:p>
            <w:pPr>
              <w:spacing w:after="0"/>
              <w:rPr>
                <w:sz w:val="5"/>
                <w:szCs w:val="5"/>
                <w:color w:val="auto"/>
              </w:rPr>
            </w:pPr>
          </w:p>
        </w:tc>
        <w:tc>
          <w:tcPr>
            <w:tcW w:w="1680" w:type="dxa"/>
            <w:vAlign w:val="bottom"/>
            <w:tcBorders>
              <w:top w:val="single" w:sz="8" w:color="auto"/>
            </w:tcBorders>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3380" w:type="dxa"/>
            <w:vAlign w:val="bottom"/>
            <w:tcBorders>
              <w:top w:val="single" w:sz="8" w:color="CFF0FC"/>
            </w:tcBorders>
            <w:shd w:val="clear" w:color="auto" w:fill="CFF0FC"/>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116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128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13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126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5"/>
                <w:szCs w:val="25"/>
                <w:color w:val="auto"/>
                <w:vertAlign w:val="superscript"/>
              </w:rPr>
              <w:t>(1)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180,355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180,355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5"/>
                <w:szCs w:val="25"/>
                <w:color w:val="auto"/>
                <w:vertAlign w:val="superscript"/>
              </w:rPr>
              <w:t>(1)</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7,092</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5"/>
                <w:szCs w:val="25"/>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88,821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88,821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Times New Roman" w:cs="Times New Roman" w:eastAsia="Times New Roman" w:hAnsi="Times New Roman"/>
                <w:sz w:val="18"/>
                <w:szCs w:val="18"/>
                <w:color w:val="auto"/>
              </w:rPr>
              <w:t>Certificates of deposit</w:t>
            </w:r>
            <w:r>
              <w:rPr>
                <w:rFonts w:ascii="Times New Roman" w:cs="Times New Roman" w:eastAsia="Times New Roman" w:hAnsi="Times New Roman"/>
                <w:sz w:val="25"/>
                <w:szCs w:val="25"/>
                <w:color w:val="auto"/>
                <w:vertAlign w:val="superscript"/>
              </w:rPr>
              <w:t>(2)</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5,440</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5,440</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5"/>
                <w:szCs w:val="25"/>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34,607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34,607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5"/>
                <w:szCs w:val="25"/>
                <w:color w:val="auto"/>
                <w:vertAlign w:val="superscript"/>
              </w:rPr>
              <w:t>(2)</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132,654</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132,654</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At December 31, 2018</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5"/>
                <w:szCs w:val="25"/>
                <w:color w:val="auto"/>
                <w:vertAlign w:val="superscript"/>
              </w:rPr>
              <w:t>(1)</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87,213</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87,213</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5"/>
                <w:szCs w:val="25"/>
                <w:color w:val="auto"/>
                <w:vertAlign w:val="superscript"/>
              </w:rPr>
              <w:t>(1)</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7,967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5"/>
                <w:szCs w:val="25"/>
                <w:color w:val="auto"/>
                <w:vertAlign w:val="superscript"/>
              </w:rPr>
              <w:t>(2)</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164,245</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164,245</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8"/>
                <w:szCs w:val="18"/>
                <w:color w:val="auto"/>
              </w:rPr>
              <w:t>Certificates of deposit</w:t>
            </w:r>
            <w:r>
              <w:rPr>
                <w:rFonts w:ascii="Times New Roman" w:cs="Times New Roman" w:eastAsia="Times New Roman" w:hAnsi="Times New Roman"/>
                <w:sz w:val="25"/>
                <w:szCs w:val="25"/>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4,784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FF0FC"/>
          </w:tcPr>
          <w:p>
            <w:pPr>
              <w:spacing w:after="0"/>
              <w:rPr>
                <w:sz w:val="23"/>
                <w:szCs w:val="23"/>
                <w:color w:val="auto"/>
              </w:rPr>
            </w:pPr>
          </w:p>
        </w:tc>
        <w:tc>
          <w:tcPr>
            <w:tcW w:w="5120" w:type="dxa"/>
            <w:vAlign w:val="bottom"/>
            <w:gridSpan w:val="3"/>
            <w:shd w:val="clear" w:color="auto" w:fill="CFF0FC"/>
          </w:tcPr>
          <w:p>
            <w:pPr>
              <w:ind w:left="20"/>
              <w:spacing w:after="0" w:line="270"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5"/>
                <w:szCs w:val="25"/>
                <w:color w:val="auto"/>
                <w:vertAlign w:val="superscript"/>
              </w:rPr>
              <w:t>(1)(2)</w:t>
            </w:r>
          </w:p>
        </w:tc>
        <w:tc>
          <w:tcPr>
            <w:tcW w:w="340" w:type="dxa"/>
            <w:vAlign w:val="bottom"/>
            <w:shd w:val="clear" w:color="auto" w:fill="CFF0FC"/>
          </w:tcPr>
          <w:p>
            <w:pPr>
              <w:spacing w:after="0"/>
              <w:rPr>
                <w:sz w:val="23"/>
                <w:szCs w:val="23"/>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81,296</w:t>
            </w:r>
          </w:p>
        </w:tc>
        <w:tc>
          <w:tcPr>
            <w:tcW w:w="1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3"/>
                <w:szCs w:val="23"/>
                <w:color w:val="auto"/>
              </w:rPr>
            </w:pP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81,296</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5"/>
                <w:szCs w:val="25"/>
                <w:color w:val="auto"/>
                <w:vertAlign w:val="superscript"/>
              </w:rPr>
              <w:t>(1)(2)</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153,983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153,983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Included in cash and cash equivalents or restricted cash in the accompanying consolidated balance sheets.</w:t>
      </w:r>
    </w:p>
    <w:p>
      <w:pPr>
        <w:spacing w:after="0" w:line="28" w:lineRule="exact"/>
        <w:rPr>
          <w:rFonts w:ascii="Times New Roman" w:cs="Times New Roman" w:eastAsia="Times New Roman" w:hAnsi="Times New Roman"/>
          <w:sz w:val="25"/>
          <w:szCs w:val="25"/>
          <w:color w:val="auto"/>
          <w:vertAlign w:val="superscript"/>
        </w:rPr>
      </w:pPr>
    </w:p>
    <w:p>
      <w:pPr>
        <w:ind w:left="460" w:hanging="452"/>
        <w:spacing w:after="0" w:line="186" w:lineRule="auto"/>
        <w:tabs>
          <w:tab w:leader="none" w:pos="46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Included in short-term or long-term investments in the accompanying consolidated balance sheets depending on the respective maturity date.</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our financial instruments for which it is practicable to estimate that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97" w:lineRule="exact"/>
        <w:rPr>
          <w:sz w:val="20"/>
          <w:szCs w:val="20"/>
          <w:color w:val="auto"/>
        </w:rPr>
      </w:pPr>
    </w:p>
    <w:p>
      <w:pPr>
        <w:ind w:right="160" w:firstLine="44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Marketable Securities. </w:t>
      </w:r>
      <w:r>
        <w:rPr>
          <w:rFonts w:ascii="Times New Roman" w:cs="Times New Roman" w:eastAsia="Times New Roman" w:hAnsi="Times New Roman"/>
          <w:sz w:val="18"/>
          <w:szCs w:val="18"/>
          <w:color w:val="auto"/>
        </w:rPr>
        <w:t>For fair values determined by Level 1 inputs, which utilize quoted prices in active markets for identical assets, the level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Other Financial Instruments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 of our other financial instruments estimated as of September 30, 2019 and December 31, 2018 are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920" w:type="dxa"/>
            <w:vAlign w:val="bottom"/>
            <w:tcBorders>
              <w:bottom w:val="single" w:sz="8" w:color="auto"/>
            </w:tcBorders>
          </w:tcPr>
          <w:p>
            <w:pPr>
              <w:spacing w:after="0"/>
              <w:rPr>
                <w:sz w:val="16"/>
                <w:szCs w:val="16"/>
                <w:color w:val="auto"/>
              </w:rPr>
            </w:pPr>
          </w:p>
        </w:tc>
      </w:tr>
      <w:tr>
        <w:trPr>
          <w:trHeight w:val="163"/>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560" w:type="dxa"/>
            <w:vAlign w:val="bottom"/>
          </w:tcPr>
          <w:p>
            <w:pPr>
              <w:spacing w:after="0"/>
              <w:rPr>
                <w:sz w:val="14"/>
                <w:szCs w:val="14"/>
                <w:color w:val="auto"/>
              </w:rPr>
            </w:pPr>
          </w:p>
        </w:tc>
        <w:tc>
          <w:tcPr>
            <w:tcW w:w="10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560" w:type="dxa"/>
            <w:vAlign w:val="bottom"/>
          </w:tcPr>
          <w:p>
            <w:pPr>
              <w:spacing w:after="0"/>
              <w:rPr>
                <w:sz w:val="14"/>
                <w:szCs w:val="14"/>
                <w:color w:val="auto"/>
              </w:rPr>
            </w:pPr>
          </w:p>
        </w:tc>
        <w:tc>
          <w:tcPr>
            <w:tcW w:w="92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6"/>
                <w:szCs w:val="16"/>
                <w:color w:val="auto"/>
              </w:rPr>
            </w:pPr>
          </w:p>
        </w:tc>
        <w:tc>
          <w:tcPr>
            <w:tcW w:w="10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6"/>
                <w:szCs w:val="16"/>
                <w:color w:val="auto"/>
              </w:rPr>
            </w:pPr>
          </w:p>
        </w:tc>
        <w:tc>
          <w:tcPr>
            <w:tcW w:w="92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42"/>
        </w:trPr>
        <w:tc>
          <w:tcPr>
            <w:tcW w:w="5160" w:type="dxa"/>
            <w:vAlign w:val="bottom"/>
            <w:tcBorders>
              <w:top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Notes payable</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3,077</w:t>
            </w:r>
          </w:p>
        </w:tc>
        <w:tc>
          <w:tcPr>
            <w:tcW w:w="12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Borders>
              <w:top w:val="single" w:sz="8" w:color="CFF0FC"/>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8,199</w:t>
            </w:r>
          </w:p>
        </w:tc>
        <w:tc>
          <w:tcPr>
            <w:tcW w:w="10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8,806</w:t>
            </w:r>
          </w:p>
        </w:tc>
      </w:tr>
      <w:tr>
        <w:trPr>
          <w:trHeight w:val="27"/>
        </w:trPr>
        <w:tc>
          <w:tcPr>
            <w:tcW w:w="516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our notes payable:</w:t>
      </w:r>
    </w:p>
    <w:p>
      <w:pPr>
        <w:spacing w:after="0" w:line="115"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—We use the income approach to value the aforementioned debt instrument. We use a present value calculation to discount principal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74" w:lineRule="exact"/>
        <w:rPr>
          <w:sz w:val="20"/>
          <w:szCs w:val="20"/>
          <w:color w:val="auto"/>
        </w:rPr>
      </w:pPr>
    </w:p>
    <w:p>
      <w:pPr>
        <w:ind w:right="560" w:firstLine="528"/>
        <w:spacing w:after="0" w:line="282" w:lineRule="auto"/>
        <w:rPr>
          <w:sz w:val="20"/>
          <w:szCs w:val="20"/>
          <w:color w:val="auto"/>
        </w:rPr>
      </w:pPr>
      <w:r>
        <w:rPr>
          <w:rFonts w:ascii="Times New Roman" w:cs="Times New Roman" w:eastAsia="Times New Roman" w:hAnsi="Times New Roman"/>
          <w:sz w:val="18"/>
          <w:szCs w:val="18"/>
          <w:color w:val="auto"/>
        </w:rPr>
        <w:t>The carrying amounts of certain of our financial instruments, including cash and cash equivalents, Australian tax incentive receivable, accounts payable, and accrued expenses approximate fair value due to their short-term nature.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76" w:right="23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Available for Sale Investments</w:t>
      </w:r>
    </w:p>
    <w:p>
      <w:pPr>
        <w:spacing w:after="0" w:line="121" w:lineRule="exact"/>
        <w:rPr>
          <w:sz w:val="20"/>
          <w:szCs w:val="20"/>
          <w:color w:val="auto"/>
        </w:rPr>
      </w:pPr>
    </w:p>
    <w:p>
      <w:pPr>
        <w:ind w:right="80" w:firstLine="459"/>
        <w:spacing w:after="0" w:line="261" w:lineRule="auto"/>
        <w:rPr>
          <w:sz w:val="20"/>
          <w:szCs w:val="20"/>
          <w:color w:val="auto"/>
        </w:rPr>
      </w:pPr>
      <w:r>
        <w:rPr>
          <w:rFonts w:ascii="Times New Roman" w:cs="Times New Roman" w:eastAsia="Times New Roman" w:hAnsi="Times New Roman"/>
          <w:sz w:val="18"/>
          <w:szCs w:val="18"/>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September 30, 2019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3"/>
                <w:szCs w:val="13"/>
                <w:color w:val="auto"/>
              </w:rPr>
            </w:pPr>
          </w:p>
        </w:tc>
        <w:tc>
          <w:tcPr>
            <w:tcW w:w="12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80" w:type="dxa"/>
            <w:vAlign w:val="bottom"/>
          </w:tcPr>
          <w:p>
            <w:pPr>
              <w:spacing w:after="0"/>
              <w:rPr>
                <w:sz w:val="16"/>
                <w:szCs w:val="16"/>
                <w:color w:val="auto"/>
              </w:rPr>
            </w:pPr>
          </w:p>
        </w:tc>
        <w:tc>
          <w:tcPr>
            <w:tcW w:w="12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69"/>
        </w:trPr>
        <w:tc>
          <w:tcPr>
            <w:tcW w:w="5160" w:type="dxa"/>
            <w:vAlign w:val="bottom"/>
            <w:tcBorders>
              <w:top w:val="single" w:sz="8" w:color="CCEEFF"/>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5"/>
                <w:szCs w:val="25"/>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34,524</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34,607</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Certificates of deposit</w:t>
            </w:r>
            <w:r>
              <w:rPr>
                <w:rFonts w:ascii="Times New Roman" w:cs="Times New Roman" w:eastAsia="Times New Roman" w:hAnsi="Times New Roman"/>
                <w:sz w:val="25"/>
                <w:szCs w:val="25"/>
                <w:color w:val="auto"/>
                <w:vertAlign w:val="superscript"/>
              </w:rPr>
              <w:t>(2)</w:t>
            </w:r>
          </w:p>
        </w:tc>
        <w:tc>
          <w:tcPr>
            <w:tcW w:w="26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5,386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5,440</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132,301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132,654</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5"/>
                <w:szCs w:val="25"/>
                <w:color w:val="auto"/>
                <w:vertAlign w:val="superscript"/>
              </w:rPr>
              <w:t>(4)</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88,587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88,821</w:t>
            </w: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260,798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261,522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-25400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-25400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43053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0530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-205105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-205105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43053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0530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-899795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-899795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-899795</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 w:lineRule="exact"/>
        <w:rPr>
          <w:sz w:val="20"/>
          <w:szCs w:val="20"/>
          <w:color w:val="auto"/>
        </w:rPr>
      </w:pPr>
    </w:p>
    <w:p>
      <w:pPr>
        <w:ind w:left="460" w:right="220" w:hanging="452"/>
        <w:spacing w:after="0" w:line="218" w:lineRule="auto"/>
        <w:tabs>
          <w:tab w:leader="none" w:pos="4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Of our outstanding agency securities, $29.6 million have maturity dates of less than one year and $5.0 million have a maturity date of between one to two years as of September 30, 2019.</w:t>
      </w:r>
    </w:p>
    <w:p>
      <w:pPr>
        <w:spacing w:after="0" w:line="37" w:lineRule="exact"/>
        <w:rPr>
          <w:rFonts w:ascii="Times New Roman" w:cs="Times New Roman" w:eastAsia="Times New Roman" w:hAnsi="Times New Roman"/>
          <w:sz w:val="25"/>
          <w:szCs w:val="25"/>
          <w:color w:val="auto"/>
          <w:vertAlign w:val="superscript"/>
        </w:rPr>
      </w:pPr>
    </w:p>
    <w:p>
      <w:pPr>
        <w:ind w:left="460" w:right="120" w:hanging="452"/>
        <w:spacing w:after="0" w:line="218" w:lineRule="auto"/>
        <w:tabs>
          <w:tab w:leader="none" w:pos="4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Of our outstanding certificates of deposit, $2.4 million have a maturity date of less than one year and $3.0 million have a maturity date of between one to two years as of September 30, 2019.</w:t>
      </w:r>
    </w:p>
    <w:p>
      <w:pPr>
        <w:spacing w:after="0" w:line="37" w:lineRule="exact"/>
        <w:rPr>
          <w:rFonts w:ascii="Times New Roman" w:cs="Times New Roman" w:eastAsia="Times New Roman" w:hAnsi="Times New Roman"/>
          <w:sz w:val="25"/>
          <w:szCs w:val="25"/>
          <w:color w:val="auto"/>
          <w:vertAlign w:val="superscript"/>
        </w:rPr>
      </w:pPr>
    </w:p>
    <w:p>
      <w:pPr>
        <w:ind w:left="460" w:right="320" w:hanging="452"/>
        <w:spacing w:after="0" w:line="218" w:lineRule="auto"/>
        <w:tabs>
          <w:tab w:leader="none" w:pos="4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Of our outstanding commercial and corporate obligations, $124.9 million have maturity dates of less than one year and $7.8 million have a maturity date of between one to two years as of September 30, 2019.</w:t>
      </w:r>
    </w:p>
    <w:p>
      <w:pPr>
        <w:spacing w:after="0" w:line="37" w:lineRule="exact"/>
        <w:rPr>
          <w:rFonts w:ascii="Times New Roman" w:cs="Times New Roman" w:eastAsia="Times New Roman" w:hAnsi="Times New Roman"/>
          <w:sz w:val="25"/>
          <w:szCs w:val="25"/>
          <w:color w:val="auto"/>
          <w:vertAlign w:val="superscript"/>
        </w:rPr>
      </w:pPr>
    </w:p>
    <w:p>
      <w:pPr>
        <w:ind w:left="460" w:right="220" w:hanging="452"/>
        <w:spacing w:after="0" w:line="218" w:lineRule="auto"/>
        <w:tabs>
          <w:tab w:leader="none" w:pos="4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Of our outstanding U.S. Treasury securities, $81.3 million have maturity dates of less than one year and $7.6 million have a maturity date of between one to two years as of September 30, 2019.</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440" w:firstLine="446"/>
        <w:spacing w:after="0" w:line="282" w:lineRule="auto"/>
        <w:rPr>
          <w:sz w:val="20"/>
          <w:szCs w:val="20"/>
          <w:color w:val="auto"/>
        </w:rPr>
      </w:pPr>
      <w:r>
        <w:rPr>
          <w:rFonts w:ascii="Times New Roman" w:cs="Times New Roman" w:eastAsia="Times New Roman" w:hAnsi="Times New Roman"/>
          <w:sz w:val="18"/>
          <w:szCs w:val="18"/>
          <w:color w:val="auto"/>
        </w:rPr>
        <w:t>Of the 500,000,000 shares of common stock authorized, 27,098,042 shares were issued and outstanding as of September 30, 2019. Common stock reserved for future issuance upon the exercise, issuance or conversion of the respective equity instruments at September 30,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294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Issued and Outstanding: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Stock options</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2,319,350</w:t>
            </w:r>
          </w:p>
        </w:tc>
      </w:tr>
      <w:tr>
        <w:trPr>
          <w:trHeight w:val="27"/>
        </w:trPr>
        <w:tc>
          <w:tcPr>
            <w:tcW w:w="980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Reserved For:</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57"/>
        </w:trPr>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2017</w:t>
            </w: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2,754,781</w:t>
            </w:r>
          </w:p>
        </w:tc>
      </w:tr>
      <w:tr>
        <w:trPr>
          <w:trHeight w:val="27"/>
        </w:trPr>
        <w:tc>
          <w:tcPr>
            <w:tcW w:w="6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2017</w:t>
            </w:r>
          </w:p>
        </w:tc>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725,132</w:t>
            </w:r>
          </w:p>
        </w:tc>
      </w:tr>
      <w:tr>
        <w:trPr>
          <w:trHeight w:val="237"/>
        </w:trPr>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140" w:type="dxa"/>
            <w:vAlign w:val="bottom"/>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5,799,263</w:t>
            </w:r>
          </w:p>
        </w:tc>
      </w:tr>
      <w:tr>
        <w:trPr>
          <w:trHeight w:val="27"/>
        </w:trPr>
        <w:tc>
          <w:tcPr>
            <w:tcW w:w="6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66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Incentive Plans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w:t>
      </w:r>
    </w:p>
    <w:p>
      <w:pPr>
        <w:spacing w:after="0" w:line="121" w:lineRule="exact"/>
        <w:rPr>
          <w:sz w:val="20"/>
          <w:szCs w:val="20"/>
          <w:color w:val="auto"/>
        </w:rPr>
      </w:pPr>
    </w:p>
    <w:p>
      <w:pPr>
        <w:ind w:right="80" w:firstLine="446"/>
        <w:spacing w:after="0" w:line="255" w:lineRule="auto"/>
        <w:rPr>
          <w:sz w:val="20"/>
          <w:szCs w:val="20"/>
          <w:color w:val="auto"/>
        </w:rPr>
      </w:pPr>
      <w:r>
        <w:rPr>
          <w:rFonts w:ascii="Times New Roman" w:cs="Times New Roman" w:eastAsia="Times New Roman" w:hAnsi="Times New Roman"/>
          <w:sz w:val="18"/>
          <w:szCs w:val="18"/>
          <w:color w:val="auto"/>
        </w:rPr>
        <w:t>On January 12, 2017, our board of directors and stockholders approved and adopted the 2017 Equity Incentive Plan, or the 2017 Plan. The 2017 Plan became effective upon the execution and delivery of the underwriting agreement for our initial public offering on January 26, 2017, and replaced our existing 2006 Equity Incentive Plan, or the 2006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1,076,877 shares as of January 1, 2019.</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684" w:right="239" w:bottom="1440" w:gutter="0" w:footer="0" w:header="0"/>
        </w:sectPr>
      </w:pPr>
    </w:p>
    <w:bookmarkStart w:id="16" w:name="page17"/>
    <w:bookmarkEnd w:id="1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80" w:firstLine="446"/>
        <w:spacing w:after="0" w:line="258" w:lineRule="auto"/>
        <w:rPr>
          <w:sz w:val="20"/>
          <w:szCs w:val="20"/>
          <w:color w:val="auto"/>
        </w:rPr>
      </w:pPr>
      <w:r>
        <w:rPr>
          <w:rFonts w:ascii="Times New Roman" w:cs="Times New Roman" w:eastAsia="Times New Roman" w:hAnsi="Times New Roman"/>
          <w:sz w:val="18"/>
          <w:szCs w:val="18"/>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269,219 shares as of January 1, 2019.</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right="300" w:firstLine="446"/>
        <w:spacing w:after="0" w:line="266" w:lineRule="auto"/>
        <w:rPr>
          <w:sz w:val="20"/>
          <w:szCs w:val="20"/>
          <w:color w:val="auto"/>
        </w:rPr>
      </w:pPr>
      <w:r>
        <w:rPr>
          <w:rFonts w:ascii="Times New Roman" w:cs="Times New Roman" w:eastAsia="Times New Roman" w:hAnsi="Times New Roman"/>
          <w:sz w:val="18"/>
          <w:szCs w:val="18"/>
          <w:color w:val="auto"/>
        </w:rPr>
        <w:t>Stock options granted to employees generally vest over a four-year period while stock options granted to directors vest over a one year period. Each have a maximum term of ten years from the date of grant, subject to earlier cancellation prior to vesting upon cessation of service to us. A summary of the activity related to stock option awards during the nine months ended September 30, 2019 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vMerge w:val="restart"/>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FF0FC"/>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CFF0FC"/>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Outstanding at January 1, 2019</w:t>
            </w:r>
          </w:p>
        </w:tc>
        <w:tc>
          <w:tcPr>
            <w:tcW w:w="160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2,152,455</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584,868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67.33</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Exercises</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(176,220)</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Forfeitures and cancellations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(241,753)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52.28</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4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CFF0FC"/>
            </w:tcBorders>
          </w:tcPr>
          <w:p>
            <w:pPr>
              <w:spacing w:after="0"/>
              <w:rPr>
                <w:sz w:val="2"/>
                <w:szCs w:val="2"/>
                <w:color w:val="auto"/>
              </w:rPr>
            </w:pPr>
          </w:p>
        </w:tc>
        <w:tc>
          <w:tcPr>
            <w:tcW w:w="13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Outstanding at September 30, 2019</w:t>
            </w:r>
          </w:p>
        </w:tc>
        <w:tc>
          <w:tcPr>
            <w:tcW w:w="16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2,319,350</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4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32,251</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Exercisable at September 30, 2019</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vMerge w:val="continue"/>
          </w:tcPr>
          <w:p>
            <w:pPr>
              <w:spacing w:after="0"/>
              <w:rPr>
                <w:sz w:val="21"/>
                <w:szCs w:val="21"/>
                <w:color w:val="auto"/>
              </w:rPr>
            </w:pPr>
          </w:p>
        </w:tc>
        <w:tc>
          <w:tcPr>
            <w:tcW w:w="16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1,446,535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29,966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180" w:firstLine="446"/>
        <w:spacing w:after="0" w:line="282" w:lineRule="auto"/>
        <w:rPr>
          <w:sz w:val="20"/>
          <w:szCs w:val="20"/>
          <w:color w:val="auto"/>
        </w:rPr>
      </w:pPr>
      <w:r>
        <w:rPr>
          <w:rFonts w:ascii="Times New Roman" w:cs="Times New Roman" w:eastAsia="Times New Roman" w:hAnsi="Times New Roman"/>
          <w:sz w:val="18"/>
          <w:szCs w:val="18"/>
          <w:color w:val="auto"/>
        </w:rPr>
        <w:t>The estimated fair values of stock option awards granted to employees were determined on the date of grant using the Black-Scholes option valuation model with the following weighted average assumptions:</w:t>
      </w:r>
    </w:p>
    <w:p>
      <w:pPr>
        <w:spacing w:after="0" w:line="101"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13335</wp:posOffset>
            </wp:positionV>
            <wp:extent cx="21780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9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104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6.25</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04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43.08</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63.49</w:t>
            </w:r>
          </w:p>
        </w:tc>
      </w:tr>
      <w:tr>
        <w:trPr>
          <w:trHeight w:val="27"/>
        </w:trPr>
        <w:tc>
          <w:tcPr>
            <w:tcW w:w="798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r>
    </w:tbl>
    <w:p>
      <w:pPr>
        <w:spacing w:after="0" w:line="360" w:lineRule="exact"/>
        <w:rPr>
          <w:sz w:val="20"/>
          <w:szCs w:val="20"/>
          <w:color w:val="auto"/>
        </w:rPr>
      </w:pPr>
    </w:p>
    <w:p>
      <w:pPr>
        <w:ind w:right="120" w:firstLine="446"/>
        <w:spacing w:after="0" w:line="256" w:lineRule="auto"/>
        <w:rPr>
          <w:sz w:val="20"/>
          <w:szCs w:val="20"/>
          <w:color w:val="auto"/>
        </w:rPr>
      </w:pPr>
      <w:r>
        <w:rPr>
          <w:rFonts w:ascii="Times New Roman" w:cs="Times New Roman" w:eastAsia="Times New Roman" w:hAnsi="Times New Roman"/>
          <w:sz w:val="18"/>
          <w:szCs w:val="18"/>
          <w:color w:val="auto"/>
        </w:rPr>
        <w:t>We determine the appropriate risk free interest rate, expected term for employee stock-based awards, contractual term for non-employee stock-based awards, and volatility assumptions. The weighted-average expected option term for employee and non-employee stock based awards reflects the application of the simplified method, which defines the life as the average of the contractual term of the options and the weighted average vesting period for all option tranches. Estimated volatility incorporates historical volatility of our stock price as well as similar entities whose share prices are publicly available. The risk 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76" w:right="239" w:bottom="1440" w:gutter="0" w:footer="0" w:header="0"/>
        </w:sectPr>
      </w:pPr>
    </w:p>
    <w:bookmarkStart w:id="17" w:name="page18"/>
    <w:bookmarkEnd w:id="17"/>
    <w:p>
      <w:pPr>
        <w:ind w:right="900" w:firstLine="446"/>
        <w:spacing w:after="0" w:line="282" w:lineRule="auto"/>
        <w:rPr>
          <w:sz w:val="20"/>
          <w:szCs w:val="20"/>
          <w:color w:val="auto"/>
        </w:rPr>
      </w:pPr>
      <w:r>
        <w:rPr>
          <w:rFonts w:ascii="Times New Roman" w:cs="Times New Roman" w:eastAsia="Times New Roman" w:hAnsi="Times New Roman"/>
          <w:sz w:val="18"/>
          <w:szCs w:val="18"/>
          <w:color w:val="auto"/>
        </w:rPr>
        <w:t>Total non-cash stock-based compensation expense for all stock awards that was recognized in the consolidated statements of operations and comprehensive loss is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2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FF0FC"/>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60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2,492</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4,848</w:t>
            </w:r>
          </w:p>
        </w:tc>
      </w:tr>
      <w:tr>
        <w:trPr>
          <w:trHeight w:val="27"/>
        </w:trPr>
        <w:tc>
          <w:tcPr>
            <w:tcW w:w="606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3,144</w:t>
            </w:r>
          </w:p>
        </w:tc>
        <w:tc>
          <w:tcPr>
            <w:tcW w:w="1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9,654</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7,340</w:t>
            </w:r>
          </w:p>
        </w:tc>
      </w:tr>
      <w:tr>
        <w:trPr>
          <w:trHeight w:val="20"/>
        </w:trPr>
        <w:tc>
          <w:tcPr>
            <w:tcW w:w="60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240" w:firstLine="446"/>
        <w:spacing w:after="0" w:line="282" w:lineRule="auto"/>
        <w:rPr>
          <w:sz w:val="20"/>
          <w:szCs w:val="20"/>
          <w:color w:val="auto"/>
        </w:rPr>
      </w:pPr>
      <w:r>
        <w:rPr>
          <w:rFonts w:ascii="Times New Roman" w:cs="Times New Roman" w:eastAsia="Times New Roman" w:hAnsi="Times New Roman"/>
          <w:sz w:val="18"/>
          <w:szCs w:val="18"/>
          <w:color w:val="auto"/>
        </w:rPr>
        <w:t>At September 30, 2019, there was $30.9 million of unrecognized compensation cost related to unvested stock option awards, which is expected to be recognized over a remaining weighted average vesting period of 2.70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Australia Research and Development Tax Incentive</w:t>
      </w:r>
    </w:p>
    <w:p>
      <w:pPr>
        <w:spacing w:after="0" w:line="121" w:lineRule="exact"/>
        <w:rPr>
          <w:sz w:val="20"/>
          <w:szCs w:val="20"/>
          <w:color w:val="auto"/>
        </w:rPr>
      </w:pPr>
    </w:p>
    <w:p>
      <w:pPr>
        <w:ind w:firstLine="446"/>
        <w:spacing w:after="0" w:line="274" w:lineRule="auto"/>
        <w:rPr>
          <w:sz w:val="20"/>
          <w:szCs w:val="20"/>
          <w:color w:val="auto"/>
        </w:rPr>
      </w:pPr>
      <w:r>
        <w:rPr>
          <w:rFonts w:ascii="Times New Roman" w:cs="Times New Roman" w:eastAsia="Times New Roman" w:hAnsi="Times New Roman"/>
          <w:sz w:val="17"/>
          <w:szCs w:val="17"/>
          <w:color w:val="auto"/>
        </w:rPr>
        <w:t>Our Australian subsidiary, which conducts core research and development activities on our behalf, is eligible to receive a 43.5% refundable tax incentive for qualified research and development activities during fiscal 2019 and fiscal 2018. For the three and nine months ended September 30, 2019, there were no eligible expenditures incurred in Australia, therefore no tax incentive receivable was recorded. For the three and nine months ended September 30, 2018, we recorded a less than $0.1 million and $0.1 million, respectively, reduction to research and development expenses in the consolidated statements of operations and comprehensive loss for eligible expenses. We received $0.2 million and $1.5 million in cash during the nine months ended September 30, 2019 and 2018, respectively, related to the tax incentive. As of September 30, 2019, we had no remaining tax incentive receivable from the Australian government.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have two non-cancellable office leases with remaining lease terms of approximately 2 years, each of which are classified as operating leases. Only one of our leases has remaining renewal options, which includes three options to renew for one additional year. The exercise of lease renewal options is at our sole discretion, which we currently do not anticipate exercising and as such were not recognized as part of our ROU asset and lease liabilities. Our lease payments are fixed, and we recognize lease expense for these leases on a straight-line basis over the lease term. Operating lease ROU assets and lease liabilities are recorded based on the present value of the future minimum lease payments over the lease term at commencement date. As our leases do not provide an implicit rate, we used our incremental borrowing rate based on the information available at effective date of adoption in determining the present value of future payments. The weighted-average discount rate used was 8.59%.</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balance sheet includes our ROU assets and lease liabilities as follows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Balance Sheet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49"/>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ROU assets</w:t>
            </w:r>
          </w:p>
        </w:tc>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1,586</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845</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6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883</w:t>
            </w:r>
          </w:p>
        </w:tc>
      </w:tr>
      <w:tr>
        <w:trPr>
          <w:trHeight w:val="27"/>
        </w:trPr>
        <w:tc>
          <w:tcPr>
            <w:tcW w:w="6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costs are included in our cash flow statement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Cash Flow</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3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49"/>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18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702"/>
        </w:trPr>
        <w:tc>
          <w:tcPr>
            <w:tcW w:w="5360" w:type="dxa"/>
            <w:vAlign w:val="bottom"/>
          </w:tcPr>
          <w:p>
            <w:pPr>
              <w:spacing w:after="0"/>
              <w:rPr>
                <w:sz w:val="24"/>
                <w:szCs w:val="24"/>
                <w:color w:val="auto"/>
              </w:rPr>
            </w:pP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18" w:name="page19"/>
    <w:bookmarkEnd w:id="18"/>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At September 30, 2019, the future minimum annual obligations under non-cancellable operating lease commitments in excess of one year are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968</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payments required</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1,884</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7"/>
        </w:trPr>
        <w:tc>
          <w:tcPr>
            <w:tcW w:w="97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1,728</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As previously disclosed in our 2018 Annual Report on Form 10-K, and under the previous lease accounting standard, future minimum annual obligations under non-cancellable operating lease commitments in excess of one year would have been as follows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969</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payments required</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2,632</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11. Subsequent Event</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On November 8, 2019, we announced topline data from our ATLAS trial, a Phase 2b randomized, double-blinded, placebo-controlled, multi-dose study in approximately 300 adult patients treated with etokimab in moderate-to-severe atopic dermatitis. Each of the etokimab dosing arms failed to meet the primary endpoint of the trial, which was demonstration of statistically greater improvement in the Eczema Area and Severity Index (EASI) relative placebo at week 16.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360" w:right="2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within the meaning of Section 21E of the Securities Exchange Act of 1934, as amended (Exchange Act), and section 27A of the Securities Act of 1933, as amended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forward-looking statements in this report include, among other things, statements about:</w:t>
      </w:r>
    </w:p>
    <w:p>
      <w:pPr>
        <w:spacing w:after="0" w:line="117" w:lineRule="exact"/>
        <w:rPr>
          <w:sz w:val="20"/>
          <w:szCs w:val="20"/>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candidate development activities and ongoing and planned clinical trials;</w:t>
      </w:r>
    </w:p>
    <w:p>
      <w:pPr>
        <w:spacing w:after="0" w:line="117" w:lineRule="exact"/>
        <w:rPr>
          <w:rFonts w:ascii="Times New Roman" w:cs="Times New Roman" w:eastAsia="Times New Roman" w:hAnsi="Times New Roman"/>
          <w:sz w:val="18"/>
          <w:szCs w:val="18"/>
          <w:color w:val="auto"/>
        </w:rPr>
      </w:pPr>
    </w:p>
    <w:p>
      <w:pPr>
        <w:ind w:left="660" w:right="460" w:hanging="314"/>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antibodies, including our lead product candidates etokimab for patients with severe allergic and atopic diseases and ANB019 for patients with generalized pustular psoriasis, or GPP, and palmoplantar pustulosis, or PPP;</w:t>
      </w:r>
    </w:p>
    <w:p>
      <w:pPr>
        <w:spacing w:after="0" w:line="53" w:lineRule="exact"/>
        <w:rPr>
          <w:rFonts w:ascii="Times New Roman" w:cs="Times New Roman" w:eastAsia="Times New Roman" w:hAnsi="Times New Roman"/>
          <w:sz w:val="18"/>
          <w:szCs w:val="18"/>
          <w:color w:val="auto"/>
        </w:rPr>
      </w:pPr>
    </w:p>
    <w:p>
      <w:pPr>
        <w:ind w:left="660" w:right="80" w:hanging="314"/>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likelihood that the clinical data generated in any study we performed, are performing or plan to perform in a non-US jurisdiction will be subsequently accepted by the </w:t>
      </w:r>
      <w:r>
        <w:rPr>
          <w:rFonts w:ascii="Times New Roman" w:cs="Times New Roman" w:eastAsia="Times New Roman" w:hAnsi="Times New Roman"/>
          <w:sz w:val="18"/>
          <w:szCs w:val="18"/>
          <w:color w:val="231F20"/>
        </w:rPr>
        <w:t>U.S. Food and Drug Administration, or FDA</w:t>
      </w:r>
      <w:r>
        <w:rPr>
          <w:rFonts w:ascii="Times New Roman" w:cs="Times New Roman" w:eastAsia="Times New Roman" w:hAnsi="Times New Roman"/>
          <w:sz w:val="18"/>
          <w:szCs w:val="18"/>
          <w:color w:val="auto"/>
        </w:rPr>
        <w:t xml:space="preserve"> and/or by foreign regulatory authorities outside of the jurisdiction where the study was being performed;</w:t>
      </w:r>
    </w:p>
    <w:p>
      <w:pPr>
        <w:spacing w:after="0" w:line="68"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our collaborators to develop and commercialize our partnered product candidates;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and advantages of our product candidates and approaches versus those of our competitors;</w:t>
      </w:r>
    </w:p>
    <w:p>
      <w:pPr>
        <w:spacing w:after="0" w:line="117" w:lineRule="exact"/>
        <w:rPr>
          <w:rFonts w:ascii="Times New Roman" w:cs="Times New Roman" w:eastAsia="Times New Roman" w:hAnsi="Times New Roman"/>
          <w:sz w:val="18"/>
          <w:szCs w:val="18"/>
          <w:color w:val="auto"/>
        </w:rPr>
      </w:pPr>
    </w:p>
    <w:p>
      <w:pPr>
        <w:ind w:left="660" w:right="120" w:hanging="314"/>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53" w:lineRule="exact"/>
        <w:rPr>
          <w:rFonts w:ascii="Times New Roman" w:cs="Times New Roman" w:eastAsia="Times New Roman" w:hAnsi="Times New Roman"/>
          <w:sz w:val="18"/>
          <w:szCs w:val="18"/>
          <w:color w:val="auto"/>
        </w:rPr>
      </w:pPr>
    </w:p>
    <w:p>
      <w:pPr>
        <w:ind w:left="660" w:right="80" w:hanging="314"/>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commercialization of our product candidates;</w:t>
      </w:r>
    </w:p>
    <w:p>
      <w:pPr>
        <w:spacing w:after="0" w:line="53"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etokimab and ANB019 and our other product candidates;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product candidates;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approved product candidates;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any approved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product candidates;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the United Kingdom, Australia and other foreign countries;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our public offerings;</w:t>
      </w:r>
    </w:p>
    <w:p>
      <w:pPr>
        <w:spacing w:after="0" w:line="117" w:lineRule="exact"/>
        <w:rPr>
          <w:rFonts w:ascii="Times New Roman" w:cs="Times New Roman" w:eastAsia="Times New Roman" w:hAnsi="Times New Roman"/>
          <w:sz w:val="18"/>
          <w:szCs w:val="18"/>
          <w:color w:val="auto"/>
        </w:rPr>
      </w:pPr>
    </w:p>
    <w:p>
      <w:pPr>
        <w:ind w:left="660" w:right="540" w:hanging="314"/>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or product candidates with significant commercial potential that are consistent with our commercial objectives; and</w:t>
      </w:r>
    </w:p>
    <w:p>
      <w:pPr>
        <w:spacing w:after="0" w:line="53"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225" w:lineRule="exact"/>
        <w:rPr>
          <w:sz w:val="20"/>
          <w:szCs w:val="20"/>
          <w:color w:val="auto"/>
        </w:rPr>
      </w:pPr>
    </w:p>
    <w:p>
      <w:pPr>
        <w:jc w:val="both"/>
        <w:ind w:right="20" w:firstLine="567"/>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684" w:right="259" w:bottom="1440" w:gutter="0" w:footer="0" w:header="0"/>
        </w:sectPr>
      </w:pPr>
    </w:p>
    <w:bookmarkStart w:id="21" w:name="page22"/>
    <w:bookmarkEnd w:id="21"/>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76"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180" w:lineRule="exact"/>
        <w:rPr>
          <w:sz w:val="20"/>
          <w:szCs w:val="20"/>
          <w:color w:val="auto"/>
        </w:rPr>
      </w:pPr>
    </w:p>
    <w:p>
      <w:pPr>
        <w:ind w:right="900" w:firstLine="567"/>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with the understanding that our actual future results, levels of activity, performance, and events and circumstances may be materially different from what we expect.</w:t>
      </w:r>
    </w:p>
    <w:p>
      <w:pPr>
        <w:spacing w:after="0" w:line="162" w:lineRule="exact"/>
        <w:rPr>
          <w:sz w:val="20"/>
          <w:szCs w:val="20"/>
          <w:color w:val="auto"/>
        </w:rPr>
      </w:pPr>
    </w:p>
    <w:p>
      <w:pPr>
        <w:ind w:right="40" w:firstLine="567"/>
        <w:spacing w:after="0" w:line="258" w:lineRule="auto"/>
        <w:rPr>
          <w:sz w:val="20"/>
          <w:szCs w:val="20"/>
          <w:color w:val="auto"/>
        </w:rPr>
      </w:pPr>
      <w:r>
        <w:rPr>
          <w:rFonts w:ascii="Times New Roman" w:cs="Times New Roman" w:eastAsia="Times New Roman" w:hAnsi="Times New Roman"/>
          <w:sz w:val="18"/>
          <w:szCs w:val="18"/>
          <w:color w:val="auto"/>
        </w:rPr>
        <w:t>Unless the context indicates otherwise, as used in this Quarterly Report, the terms “AnaptysBio,”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consolidated financial statements and related notes for the nine months ended September 30, 2019, included in Part I, Item 1 of this report and with our audited consolidated financial statements and related notes thereto for the year ended December 31, 2018, included in the Company’s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46"/>
        <w:spacing w:after="0" w:line="255" w:lineRule="auto"/>
        <w:rPr>
          <w:sz w:val="20"/>
          <w:szCs w:val="20"/>
          <w:color w:val="auto"/>
        </w:rPr>
      </w:pPr>
      <w:r>
        <w:rPr>
          <w:rFonts w:ascii="Times New Roman" w:cs="Times New Roman" w:eastAsia="Times New Roman" w:hAnsi="Times New Roman"/>
          <w:sz w:val="18"/>
          <w:szCs w:val="18"/>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Our strategy is to advance the development and commercialization of our proprietary product candidates, and for certain programs, establish partnerships with leading biopharmaceutical companies where we retain certain development and commercialization rights in the United States. Our most advanced wholly-owned antibody programs, etokimab and ANB019, are designed to neutralize therapeutic targets that are genetically associated with severe inflammatory disorders in humans.</w:t>
      </w:r>
    </w:p>
    <w:p>
      <w:pPr>
        <w:spacing w:after="0" w:line="189" w:lineRule="exact"/>
        <w:rPr>
          <w:sz w:val="20"/>
          <w:szCs w:val="20"/>
          <w:color w:val="auto"/>
        </w:rPr>
      </w:pPr>
    </w:p>
    <w:p>
      <w:pPr>
        <w:ind w:right="120" w:firstLine="567"/>
        <w:spacing w:after="0" w:line="282" w:lineRule="auto"/>
        <w:rPr>
          <w:sz w:val="20"/>
          <w:szCs w:val="20"/>
          <w:color w:val="auto"/>
        </w:rPr>
      </w:pPr>
      <w:r>
        <w:rPr>
          <w:rFonts w:ascii="Times New Roman" w:cs="Times New Roman" w:eastAsia="Times New Roman" w:hAnsi="Times New Roman"/>
          <w:sz w:val="18"/>
          <w:szCs w:val="18"/>
          <w:color w:val="auto"/>
        </w:rPr>
        <w:t>Etokimab, our anti-IL-33 antibody previously referred to as ANB020, inhibits the activity of the interleukin-33 cytokine, or IL-33, which we believe is broadly applicable to the treatment of atopic inflammatory disorders.</w:t>
      </w:r>
    </w:p>
    <w:p>
      <w:pPr>
        <w:spacing w:after="0" w:line="162" w:lineRule="exact"/>
        <w:rPr>
          <w:sz w:val="20"/>
          <w:szCs w:val="20"/>
          <w:color w:val="auto"/>
        </w:rPr>
      </w:pPr>
    </w:p>
    <w:p>
      <w:pPr>
        <w:ind w:firstLine="567"/>
        <w:spacing w:after="0" w:line="255" w:lineRule="auto"/>
        <w:rPr>
          <w:sz w:val="20"/>
          <w:szCs w:val="20"/>
          <w:color w:val="auto"/>
        </w:rPr>
      </w:pPr>
      <w:r>
        <w:rPr>
          <w:rFonts w:ascii="Times New Roman" w:cs="Times New Roman" w:eastAsia="Times New Roman" w:hAnsi="Times New Roman"/>
          <w:sz w:val="18"/>
          <w:szCs w:val="18"/>
          <w:color w:val="auto"/>
        </w:rPr>
        <w:t xml:space="preserve">We completed a Phase 2a proof-of-concept trial of etokimab in 12 moderate-to-severe adult atopic dermatitis patients in late 2017 and believe the data from this trial, presented at the 2018 American Academy of Dermatology, or AAD, and 2018 European Academy of Allergy and Clinical Immunology, </w:t>
      </w:r>
      <w:r>
        <w:rPr>
          <w:rFonts w:ascii="Times New Roman" w:cs="Times New Roman" w:eastAsia="Times New Roman" w:hAnsi="Times New Roman"/>
          <w:sz w:val="18"/>
          <w:szCs w:val="18"/>
          <w:color w:val="231F20"/>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EAACI</w:t>
      </w:r>
      <w:r>
        <w:rPr>
          <w:rFonts w:ascii="Times New Roman" w:cs="Times New Roman" w:eastAsia="Times New Roman" w:hAnsi="Times New Roman"/>
          <w:sz w:val="18"/>
          <w:szCs w:val="18"/>
          <w:color w:val="000000"/>
        </w:rPr>
        <w:t>, suggest that etokimab may provide meaningful differentiation in terms of patient convenience. We recently announced topline data from our ATLAS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trial, a Phase 2b randomized, double-blinded, placebo-controlled, multi-dose study in approximately 300 adult patients treated with etokimab in moderate-to-severe atopic dermatitis. Each of the etokimab dosing arms failed to meet the primary endpoint of the trial, which was demonstration of statistically greater improvement in the Eczema Area and Severity Index (EASI) relative placebo at week 16. We will be receiving additional data and plan to provide a detailed update in the first quarter of 2020.</w:t>
      </w:r>
    </w:p>
    <w:p>
      <w:pPr>
        <w:spacing w:after="0" w:line="189" w:lineRule="exact"/>
        <w:rPr>
          <w:sz w:val="20"/>
          <w:szCs w:val="20"/>
          <w:color w:val="auto"/>
        </w:rPr>
      </w:pPr>
    </w:p>
    <w:p>
      <w:pPr>
        <w:ind w:right="60" w:firstLine="567"/>
        <w:spacing w:after="0" w:line="256" w:lineRule="auto"/>
        <w:rPr>
          <w:sz w:val="20"/>
          <w:szCs w:val="20"/>
          <w:color w:val="auto"/>
        </w:rPr>
      </w:pPr>
      <w:r>
        <w:rPr>
          <w:rFonts w:ascii="Times New Roman" w:cs="Times New Roman" w:eastAsia="Times New Roman" w:hAnsi="Times New Roman"/>
          <w:sz w:val="18"/>
          <w:szCs w:val="18"/>
          <w:color w:val="auto"/>
        </w:rPr>
        <w:t>We recently completed a Phase 2a randomized, placebo-controlled, single dose study of etokimab in 25 severe adult eosinophilic asthma patients. We presented full data from this trial at the 2019 EAACI, which demonstrated that a single dose of etokimab resulted in rapid and sustained lung function improvement as measured using Forced Expiratory Volume in One Second, or FEV1, patient reported outcomes associated with asthma symptoms, as measured using the Asthma Control Questionnaire 5 and biomarker levels as measured using blood eosinophils. As a result of the topline data from our ATLAS trial, the Company has decided to postpone the initiation of its Phase 2b etokimab clinical trial in eosinophilic asthma, a multi-dose, randomized, double-blinded, placebo-controlled trial in 300-400 patients, until it has the opportunity to analyze the full data set from the ATLAS trial.</w:t>
      </w:r>
    </w:p>
    <w:p>
      <w:pPr>
        <w:spacing w:after="0" w:line="188" w:lineRule="exact"/>
        <w:rPr>
          <w:sz w:val="20"/>
          <w:szCs w:val="20"/>
          <w:color w:val="auto"/>
        </w:rPr>
      </w:pPr>
    </w:p>
    <w:p>
      <w:pPr>
        <w:jc w:val="both"/>
        <w:ind w:right="40" w:firstLine="567"/>
        <w:spacing w:after="0" w:line="266" w:lineRule="auto"/>
        <w:rPr>
          <w:sz w:val="20"/>
          <w:szCs w:val="20"/>
          <w:color w:val="auto"/>
        </w:rPr>
      </w:pPr>
      <w:r>
        <w:rPr>
          <w:rFonts w:ascii="Times New Roman" w:cs="Times New Roman" w:eastAsia="Times New Roman" w:hAnsi="Times New Roman"/>
          <w:sz w:val="18"/>
          <w:szCs w:val="18"/>
          <w:color w:val="auto"/>
        </w:rPr>
        <w:t>We are conducting a randomized, placebo-controlled Phase 2 trial of etokimab in approximately 100 adult patients with CRSwNP, also referred to as the ECLIPSE trial, which is a debilitating atopic disorder associated with elevated IL-33 pathway signaling. We anticipate interim top-line data from this trial to be available in the first quarter of 2020.</w:t>
      </w:r>
    </w:p>
    <w:p>
      <w:pPr>
        <w:spacing w:after="0" w:line="176" w:lineRule="exact"/>
        <w:rPr>
          <w:sz w:val="20"/>
          <w:szCs w:val="20"/>
          <w:color w:val="auto"/>
        </w:rPr>
      </w:pPr>
    </w:p>
    <w:p>
      <w:pPr>
        <w:ind w:right="60" w:firstLine="567"/>
        <w:spacing w:after="0" w:line="254" w:lineRule="auto"/>
        <w:rPr>
          <w:sz w:val="20"/>
          <w:szCs w:val="20"/>
          <w:color w:val="auto"/>
        </w:rPr>
      </w:pPr>
      <w:r>
        <w:rPr>
          <w:rFonts w:ascii="Times New Roman" w:cs="Times New Roman" w:eastAsia="Times New Roman" w:hAnsi="Times New Roman"/>
          <w:sz w:val="18"/>
          <w:szCs w:val="18"/>
          <w:color w:val="auto"/>
        </w:rPr>
        <w:t>Our ANB019 antibody inhibits the interleukin-36 receptor, or IL-36R, and is being developed for the treatment of rare inflammatory diseases including generalized pustular psoriasis, or GPP, and palmoplantar pustulosis, or PPP. We completed a Phase 1 clinical trial in healthy volunteers, which was presented at EAACI 2018, where ANB019 was well-tolerated by all subjects, no dose-limiting toxicities were observed, and no serious adverse events were reported among any subjects in the trial. We are conducting an open-label, multi-dose, single-arm Phase 2 trial of ANB019 in up to 10 GPP patients, also referred to as the GALLOP trial, where an interim analysis, announced in September 2019, was conducted after the first two patients completed 16-weeks (Day 113) with ANB019 monotherapy. Both patients achieved the primary endpoint of disease improvement at Day 29 and Day 113 without requiring rescue therapy. Patients demonstrated rapid and sustained modified Japanese Dermatology Association (mJDA) improvement and complete clearance of skin pustules from Day 8 through Day 113. C-reactive protein, or CRP, levels decreased to nearly normal in both patients and genotypic testing of these two patients indicated that ANB019 may be broadly applicable to pustular disease patients without a requirement for genetic screening.</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684" w:right="25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Enrollment is ongoing in GALLOP and we anticipate additional clinical data and a regulatory strategy update for the development of ANB019 in GPP during 2020. We are also conducting a randomized, double-blind, placebo-controlled approximately 50-patient multi-dose trial of ANB019 in PPP, also referred to as the POPLAR trial, where top-line data are anticipated in the first half of 2020.</w:t>
      </w:r>
    </w:p>
    <w:p>
      <w:pPr>
        <w:spacing w:after="0" w:line="176" w:lineRule="exact"/>
        <w:rPr>
          <w:sz w:val="20"/>
          <w:szCs w:val="20"/>
          <w:color w:val="auto"/>
        </w:rPr>
      </w:pPr>
    </w:p>
    <w:p>
      <w:pPr>
        <w:ind w:right="40" w:firstLine="567"/>
        <w:spacing w:after="0" w:line="256" w:lineRule="auto"/>
        <w:rPr>
          <w:sz w:val="20"/>
          <w:szCs w:val="20"/>
          <w:color w:val="auto"/>
        </w:rPr>
      </w:pPr>
      <w:r>
        <w:rPr>
          <w:rFonts w:ascii="Times New Roman" w:cs="Times New Roman" w:eastAsia="Times New Roman" w:hAnsi="Times New Roman"/>
          <w:sz w:val="18"/>
          <w:szCs w:val="18"/>
          <w:color w:val="auto"/>
        </w:rPr>
        <w:t>In addition to etokimab and ANB019, our wholly-owned pipeline includes novel anti-inflammatory checkpoint receptor modulator antibodies that we believe are applicable for treatment of certain autoimmune diseases. We recently announced our third wholly-owned program ANB030, an anti-PD-1 agonist antibody program, which was developed using our proprietary antibody discovery platform. Preclinical data for ANB030 was presented at the 2019 Federation of Clinical Immunological Societies (FOCIS) Annual Meeting in June 2019. We plan to focus future clinical development of ANB030 upon certain human autoimmune diseases where PD-1 checkpoint receptor function may be under-represented. We anticipate filing an Investigational New Drug Application, or IND, for ANB030 in the fourth quarter of 2019 and initiation of a Phase 1 healthy volunteer clinical trial in 2020.</w:t>
      </w:r>
    </w:p>
    <w:p>
      <w:pPr>
        <w:spacing w:after="0" w:line="188" w:lineRule="exact"/>
        <w:rPr>
          <w:sz w:val="20"/>
          <w:szCs w:val="20"/>
          <w:color w:val="auto"/>
        </w:rPr>
      </w:pPr>
    </w:p>
    <w:p>
      <w:pPr>
        <w:jc w:val="both"/>
        <w:ind w:right="460" w:firstLine="567"/>
        <w:spacing w:after="0" w:line="261" w:lineRule="auto"/>
        <w:rPr>
          <w:sz w:val="20"/>
          <w:szCs w:val="20"/>
          <w:color w:val="auto"/>
        </w:rPr>
      </w:pPr>
      <w:r>
        <w:rPr>
          <w:rFonts w:ascii="Times New Roman" w:cs="Times New Roman" w:eastAsia="Times New Roman" w:hAnsi="Times New Roman"/>
          <w:sz w:val="18"/>
          <w:szCs w:val="18"/>
          <w:color w:val="auto"/>
        </w:rPr>
        <w:t xml:space="preserve">In addition to our wholly-owned antibody programs, multiple AnaptysBio-developed antibody programs have been advanced to preclinical and clinical milestones under our collaborations. Our collaborations include an immuno-oncology-focused collaboration with </w:t>
      </w:r>
      <w:r>
        <w:rPr>
          <w:rFonts w:ascii="Times New Roman" w:cs="Times New Roman" w:eastAsia="Times New Roman" w:hAnsi="Times New Roman"/>
          <w:sz w:val="18"/>
          <w:szCs w:val="18"/>
          <w:color w:val="231F20"/>
        </w:rPr>
        <w:t>TESARO, Inc. and TESARO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Development, Ltd., or collectively TESARO, </w:t>
      </w:r>
      <w:r>
        <w:rPr>
          <w:rFonts w:ascii="Times New Roman" w:cs="Times New Roman" w:eastAsia="Times New Roman" w:hAnsi="Times New Roman"/>
          <w:sz w:val="18"/>
          <w:szCs w:val="18"/>
          <w:color w:val="000000"/>
        </w:rPr>
        <w:t>now a part of GlaxoSmithKline, and an inflammation-focused collaboration with Celgene Corporation, 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Celgene, as discussed in Part I—Note 4, Collaborative Research and Development Agreements, above.</w:t>
      </w:r>
    </w:p>
    <w:p>
      <w:pPr>
        <w:spacing w:after="0" w:line="2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189230</wp:posOffset>
            </wp:positionV>
            <wp:extent cx="5866130" cy="3670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66130" cy="367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380" w:firstLine="446"/>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 from product sales. Our revenue has been derived from amortization of upfront payments, research and development funding and milestone payments under collaboration and license agreements with our collaborators. From inception through September 30, 2019, we have received $86.6 million in cash in non-dilutive funding from our collaborators.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580" w:right="259"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640" w:firstLine="44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54" w:lineRule="exact"/>
        <w:rPr>
          <w:sz w:val="20"/>
          <w:szCs w:val="20"/>
          <w:color w:val="auto"/>
        </w:rPr>
      </w:pPr>
    </w:p>
    <w:p>
      <w:pPr>
        <w:ind w:left="880" w:right="6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arrangements with third-parties, such as Contract Research Organizations, or CROs, consultants, members of our scientific and therapeutic advisory boards, and Contract Manufacturing Organizations, or CMOs;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stock-based compensation;</w:t>
      </w:r>
    </w:p>
    <w:p>
      <w:pPr>
        <w:spacing w:after="0" w:line="117" w:lineRule="exact"/>
        <w:rPr>
          <w:rFonts w:ascii="Times New Roman" w:cs="Times New Roman" w:eastAsia="Times New Roman" w:hAnsi="Times New Roman"/>
          <w:sz w:val="18"/>
          <w:szCs w:val="18"/>
          <w:color w:val="auto"/>
        </w:rPr>
      </w:pPr>
    </w:p>
    <w:p>
      <w:pPr>
        <w:ind w:left="880" w:right="74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and sub-license fees.</w:t>
      </w:r>
    </w:p>
    <w:p>
      <w:pPr>
        <w:spacing w:after="0" w:line="225" w:lineRule="exact"/>
        <w:rPr>
          <w:sz w:val="20"/>
          <w:szCs w:val="20"/>
          <w:color w:val="auto"/>
        </w:rPr>
      </w:pPr>
    </w:p>
    <w:p>
      <w:pPr>
        <w:ind w:right="180" w:firstLine="446"/>
        <w:spacing w:after="0" w:line="282" w:lineRule="auto"/>
        <w:rPr>
          <w:sz w:val="20"/>
          <w:szCs w:val="20"/>
          <w:color w:val="auto"/>
        </w:rPr>
      </w:pPr>
      <w:r>
        <w:rPr>
          <w:rFonts w:ascii="Times New Roman" w:cs="Times New Roman" w:eastAsia="Times New Roman" w:hAnsi="Times New Roman"/>
          <w:sz w:val="18"/>
          <w:szCs w:val="18"/>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54" w:lineRule="exact"/>
        <w:rPr>
          <w:sz w:val="20"/>
          <w:szCs w:val="20"/>
          <w:color w:val="auto"/>
        </w:rPr>
      </w:pPr>
    </w:p>
    <w:p>
      <w:pPr>
        <w:ind w:right="40" w:firstLine="446"/>
        <w:spacing w:after="0" w:line="256" w:lineRule="auto"/>
        <w:rPr>
          <w:sz w:val="20"/>
          <w:szCs w:val="20"/>
          <w:color w:val="auto"/>
        </w:rPr>
      </w:pPr>
      <w:r>
        <w:rPr>
          <w:rFonts w:ascii="Times New Roman" w:cs="Times New Roman" w:eastAsia="Times New Roman" w:hAnsi="Times New Roman"/>
          <w:sz w:val="18"/>
          <w:szCs w:val="18"/>
          <w:color w:val="auto"/>
        </w:rPr>
        <w:t>We recognize the Australian Research and Development Tax Incentive, or the Tax Incentive, as a reduction of research and development expense. The amounts are determined on a cost reimbursement basis based on our eligible research and development expenditures and are non-refundable, provided that in order to qualify for the Australian benefits we must have revenue of less than AUD $20.0 million during the reimbursable period and cannot be controlled by income tax exempt entities. The Tax Incentive is recognized when there is reasonable assurance that the Tax Incentive will be received, the relevant expenditure has been incurred, and the amount can be reliably measured as discussed in Part I Item 1— Note 9. Australia Research and Development Tax Incentive above.</w:t>
      </w:r>
    </w:p>
    <w:p>
      <w:pPr>
        <w:spacing w:after="0" w:line="80"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and pharmacology studies, drug product manufacturing and clinical trials.</w:t>
      </w:r>
    </w:p>
    <w:p>
      <w:pPr>
        <w:spacing w:after="0" w:line="72" w:lineRule="exact"/>
        <w:rPr>
          <w:sz w:val="20"/>
          <w:szCs w:val="20"/>
          <w:color w:val="auto"/>
        </w:rPr>
      </w:pPr>
    </w:p>
    <w:p>
      <w:pPr>
        <w:ind w:right="440" w:firstLine="446"/>
        <w:spacing w:after="0" w:line="282" w:lineRule="auto"/>
        <w:rPr>
          <w:sz w:val="20"/>
          <w:szCs w:val="20"/>
          <w:color w:val="auto"/>
        </w:rPr>
      </w:pPr>
      <w:r>
        <w:rPr>
          <w:rFonts w:ascii="Times New Roman" w:cs="Times New Roman" w:eastAsia="Times New Roman" w:hAnsi="Times New Roman"/>
          <w:sz w:val="18"/>
          <w:szCs w:val="18"/>
          <w:color w:val="auto"/>
        </w:rPr>
        <w:t>We have completed Phase 1 and 2a trials for etokimab and Phase 1 trials for ANB019 and have ongoing Phase 2 and 2b clinical trials as well</w:t>
      </w:r>
      <w:r>
        <w:rPr>
          <w:rFonts w:ascii="Times New Roman" w:cs="Times New Roman" w:eastAsia="Times New Roman" w:hAnsi="Times New Roman"/>
          <w:sz w:val="18"/>
          <w:szCs w:val="18"/>
          <w:color w:val="231F20"/>
        </w:rPr>
        <w:t>. W</w:t>
      </w:r>
      <w:r>
        <w:rPr>
          <w:rFonts w:ascii="Times New Roman" w:cs="Times New Roman" w:eastAsia="Times New Roman" w:hAnsi="Times New Roman"/>
          <w:sz w:val="18"/>
          <w:szCs w:val="18"/>
          <w:color w:val="auto"/>
        </w:rPr>
        <w:t>e expect our research and development expenses to be higher for the foreseeable future as we continue to advance our product candidates.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140" w:firstLine="44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Interest expense consists of floating interest payments and amortization of discounts on our outstanding notes payable relating to our Loan and Security Agreement with Oxford Finance LLC and Silicon Valley Bank, as amended, which we refer to as the Loan Agreement.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short-term and long-term investments, and is recognized when earned.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40" w:firstLine="446"/>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68" w:right="279" w:bottom="1440" w:gutter="0" w:footer="0" w:header="0"/>
        </w:sectPr>
      </w:pPr>
    </w:p>
    <w:bookmarkStart w:id="25" w:name="page26"/>
    <w:bookmarkEnd w:id="25"/>
    <w:p>
      <w:pPr>
        <w:spacing w:after="0" w:line="258" w:lineRule="auto"/>
        <w:rPr>
          <w:sz w:val="20"/>
          <w:szCs w:val="20"/>
          <w:color w:val="auto"/>
        </w:rPr>
      </w:pPr>
      <w:r>
        <w:rPr>
          <w:rFonts w:ascii="Times New Roman" w:cs="Times New Roman" w:eastAsia="Times New Roman" w:hAnsi="Times New Roman"/>
          <w:sz w:val="18"/>
          <w:szCs w:val="18"/>
          <w:color w:val="auto"/>
        </w:rPr>
        <w:t>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 on February 28, 2019, other than to leases upon adoption of ASC Topic 842, as discussed below.</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60" w:firstLine="554"/>
        <w:spacing w:after="0" w:line="258" w:lineRule="auto"/>
        <w:rPr>
          <w:sz w:val="20"/>
          <w:szCs w:val="20"/>
          <w:color w:val="auto"/>
        </w:rPr>
      </w:pPr>
      <w:r>
        <w:rPr>
          <w:rFonts w:ascii="Times New Roman" w:cs="Times New Roman" w:eastAsia="Times New Roman" w:hAnsi="Times New Roman"/>
          <w:sz w:val="18"/>
          <w:szCs w:val="18"/>
          <w:color w:val="auto"/>
        </w:rPr>
        <w:t>Prior to January 1, 2019, we recognized our leases in accordance with ASC 840, Leases, and all current leases were classified as operating leases. Rent expense was recognized on a straight-line basis over the terms of the leases and, accordingly, we recorded the cumulative difference between cash rent payments and the recognition of rent expense as a deferred rent liability. When an operating lease included lease incentives, such as a rent abatements or leasehold improvement allowances, or required fixed escalations of the minimum lease payments, the aggregate rental expense, including such incentives or increases, was recognized on a straight-line basis over the term of the lease.</w:t>
      </w:r>
    </w:p>
    <w:p>
      <w:pPr>
        <w:spacing w:after="0" w:line="76" w:lineRule="exact"/>
        <w:rPr>
          <w:sz w:val="20"/>
          <w:szCs w:val="20"/>
          <w:color w:val="auto"/>
        </w:rPr>
      </w:pPr>
    </w:p>
    <w:p>
      <w:pPr>
        <w:ind w:right="60" w:firstLine="554"/>
        <w:spacing w:after="0" w:line="255" w:lineRule="auto"/>
        <w:rPr>
          <w:sz w:val="20"/>
          <w:szCs w:val="20"/>
          <w:color w:val="auto"/>
        </w:rPr>
      </w:pPr>
      <w:r>
        <w:rPr>
          <w:rFonts w:ascii="Times New Roman" w:cs="Times New Roman" w:eastAsia="Times New Roman" w:hAnsi="Times New Roman"/>
          <w:sz w:val="18"/>
          <w:szCs w:val="18"/>
          <w:color w:val="auto"/>
        </w:rPr>
        <w:t>Effective January 1, 2019, we adopted ASU 2016-02, ASC 842, Leases, under which all outstanding leases continued to be classified as operating leases. Rent expense is recognized on a straight-line basis. When an operating lease includes rent abatements or requires fixed escalations of the minimum lease payments, the aggregate rental expense is recognized on a straight-line basis over the term of the lease. When an operating lease includes lease incentives such as leasehold improvement allowances, the lease incentive is included in the right-of-use asset “ROU”. Operating lease ROU assets and operating lease liabilities are recognized based on the present value of the future minimum lease payments over the lease term at commencement date. As our leases do not provide an implicit rate, we use our incremental borrowing rate based on the information available at commencement date in determining the present value of future payments. We account for fixed lease components separately from non-lease components.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Comparison of the Three and Nine Months Ended September 30, 2019 and 2018</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jc w:val="both"/>
        <w:ind w:right="60" w:firstLine="486"/>
        <w:spacing w:after="0" w:line="258" w:lineRule="auto"/>
        <w:rPr>
          <w:sz w:val="20"/>
          <w:szCs w:val="20"/>
          <w:color w:val="auto"/>
        </w:rPr>
      </w:pPr>
      <w:r>
        <w:rPr>
          <w:rFonts w:ascii="Times New Roman" w:cs="Times New Roman" w:eastAsia="Times New Roman" w:hAnsi="Times New Roman"/>
          <w:sz w:val="18"/>
          <w:szCs w:val="18"/>
          <w:color w:val="auto"/>
        </w:rPr>
        <w:t>We recognized $0 million and $5.0 million in collaboration revenue for the three and nine months ended September 30, 2019, respectively, related to a milestone for the initiation of a Phase 3 trial in a second indication for dostarlimab, the anti-PD-1 antagonist antibody partnered with TESARO, compared to $5.0 million collaboration revenue for both the three and nine months ended September 30, 2018 related to a milestone for the initiation of a Phase 3 trial in a first indication for dostarlimab. We expect that any collaboration revenue we generate will continue to fluctuate from period to period as a result of the timing and amount of milestones from our existing collaborations.</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$29.9 million during the three months ended September 30, 2019 compared to $17.9 million during the three months ended September 30, 2018 for an increase of $12.0 million, primarily due to a $3.5 million increase in outside services for preclinical and manufacturing expenses, a $6.4 million increase in clinical expenses, a $1.5 million increase in internal costs, including salaries and related expenses such as stock compensation expense, and a $0.6 million increase in professional fees.</w:t>
      </w:r>
    </w:p>
    <w:p>
      <w:pPr>
        <w:spacing w:after="0" w:line="18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$77.9 million during the nine months ended September 30, 2019 compared to $40.3 million during the nine months ended September 30, 2018 for an increase of $37.6 million, primarily due to a $14.8 million increase in outside services for preclinical and manufacturing expenses, a $16.1 million increase in clinical expenses, a $4.4 million increase in internal costs, including salaries and related expenses such as stock compensation expense and a $1.5 million increase in professional fees.</w:t>
      </w:r>
    </w:p>
    <w:p>
      <w:pPr>
        <w:spacing w:after="0" w:line="180"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do not track fully burdened research and development costs separately for each of our drug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72"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95"/>
        </w:trPr>
        <w:tc>
          <w:tcPr>
            <w:tcW w:w="3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4"/>
        </w:trPr>
        <w:tc>
          <w:tcPr>
            <w:tcW w:w="3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22"/>
                <w:szCs w:val="22"/>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280" w:type="dxa"/>
            <w:vAlign w:val="bottom"/>
          </w:tcPr>
          <w:p>
            <w:pPr>
              <w:spacing w:after="0"/>
              <w:rPr>
                <w:sz w:val="22"/>
                <w:szCs w:val="22"/>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249"/>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External Costs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Etokimab</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13,934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7,038</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6,896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33,214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13,857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19,357</w:t>
            </w: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ANB019</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14,382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4,305</w:t>
            </w: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Preclinical and other unallocated costs</w:t>
            </w:r>
          </w:p>
        </w:tc>
        <w:tc>
          <w:tcPr>
            <w:tcW w:w="2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6,574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15,649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9,526</w:t>
            </w:r>
          </w:p>
        </w:tc>
      </w:tr>
      <w:tr>
        <w:trPr>
          <w:trHeight w:val="27"/>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External Costs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24,792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63,245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30,057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33,188</w:t>
            </w: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Internal Costs</w:t>
            </w:r>
          </w:p>
        </w:tc>
        <w:tc>
          <w:tcPr>
            <w:tcW w:w="2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5,139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14,667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4,448</w:t>
            </w:r>
          </w:p>
        </w:tc>
      </w:tr>
      <w:tr>
        <w:trPr>
          <w:trHeight w:val="27"/>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29,931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17,883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77,912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40,276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37,636</w:t>
            </w:r>
          </w:p>
        </w:tc>
      </w:tr>
      <w:tr>
        <w:trPr>
          <w:trHeight w:val="20"/>
        </w:trPr>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as we conduct additional clinical trials.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00" w:firstLine="567"/>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$3.8 million during the three months ended September 30, 2019 compared to $4.0 million during the three months ended September 30, 2018 for a decrease of $0.2 million, primarily due to a $0.2 million decrease in personnel costs including stock compensation expense and a $0.1 million decrease in legal fees, partially offset by a $0.1 million increase in insurance expense.</w:t>
      </w:r>
    </w:p>
    <w:p>
      <w:pPr>
        <w:spacing w:after="0" w:line="68" w:lineRule="exact"/>
        <w:rPr>
          <w:sz w:val="20"/>
          <w:szCs w:val="20"/>
          <w:color w:val="auto"/>
        </w:rPr>
      </w:pPr>
    </w:p>
    <w:p>
      <w:pPr>
        <w:ind w:right="40" w:firstLine="567"/>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$12.3 million during the nine months ended September 30, 2019 compared to $11.8 million during the nine months ended September 30, 2018 for an increase of $0.5 million, primarily due to a $0.9 million increase in personnel costs including stock compensation expense and an increase in $0.2 million in insurance expense, partially offset by a $0.4 million decrease in legal fees and a $0.2 million decrease in professional fees.</w:t>
      </w:r>
    </w:p>
    <w:p>
      <w:pPr>
        <w:spacing w:after="0" w:line="72" w:lineRule="exact"/>
        <w:rPr>
          <w:sz w:val="20"/>
          <w:szCs w:val="20"/>
          <w:color w:val="auto"/>
        </w:rPr>
      </w:pPr>
    </w:p>
    <w:p>
      <w:pPr>
        <w:ind w:right="120" w:firstLine="446"/>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00" w:firstLine="446"/>
        <w:spacing w:after="0" w:line="261" w:lineRule="auto"/>
        <w:rPr>
          <w:sz w:val="20"/>
          <w:szCs w:val="20"/>
          <w:color w:val="auto"/>
        </w:rPr>
      </w:pPr>
      <w:r>
        <w:rPr>
          <w:rFonts w:ascii="Times New Roman" w:cs="Times New Roman" w:eastAsia="Times New Roman" w:hAnsi="Times New Roman"/>
          <w:sz w:val="18"/>
          <w:szCs w:val="18"/>
          <w:color w:val="auto"/>
        </w:rPr>
        <w:t>Interest expense was $0.2 million and $0.8 million during the three and nine months ended September 30, 2019, respectively, and represented an effective interest rate of approximately 12.90% as of September 30, 2019, on an outstanding principal balance of $2.5 million. Interest expense was $0.4 million and $1.3 million during the three and nine months ended September 30, 2018, respectively, and represented an effective interest rate of 13.08% on an outstanding principal balance of $10.0 million as of September 30, 2018.</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right="80" w:firstLine="446"/>
        <w:spacing w:after="0" w:line="266" w:lineRule="auto"/>
        <w:rPr>
          <w:sz w:val="20"/>
          <w:szCs w:val="20"/>
          <w:color w:val="auto"/>
        </w:rPr>
      </w:pPr>
      <w:r>
        <w:rPr>
          <w:rFonts w:ascii="Times New Roman" w:cs="Times New Roman" w:eastAsia="Times New Roman" w:hAnsi="Times New Roman"/>
          <w:sz w:val="18"/>
          <w:szCs w:val="18"/>
          <w:color w:val="auto"/>
        </w:rPr>
        <w:t>Interest income was $2.8 million and $1.4 million during the three months ended September 30, 2019 and 2018, respectively, and was $8.7 million and $3.9 million during the nine months ended September 30, 2019 and 2018, respectively, which primarily related to our short-term and long-term investments, the balance of which increased as a result of the investment of proceeds from our follow-on offering of common stock in September 2018.</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Other income (expense), net was income of $0.1 million during both the three and nine months ended September 30, 2019 and a loss of less than $0.1 million and $0.2 million during the three and nine months ended September 30, 2018, respectively, and primarily related to foreign exchange transactions through our Australian subsidiary and with our foreign CROs and CMOs.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629"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20" w:firstLine="446"/>
        <w:spacing w:after="0" w:line="266" w:lineRule="auto"/>
        <w:rPr>
          <w:sz w:val="20"/>
          <w:szCs w:val="20"/>
          <w:color w:val="auto"/>
        </w:rPr>
      </w:pPr>
      <w:r>
        <w:rPr>
          <w:rFonts w:ascii="Times New Roman" w:cs="Times New Roman" w:eastAsia="Times New Roman" w:hAnsi="Times New Roman"/>
          <w:sz w:val="18"/>
          <w:szCs w:val="18"/>
          <w:color w:val="auto"/>
        </w:rPr>
        <w:t>From our inception through September 30, 2019, we have received an aggregate of $723.7 million to fund our operations which included $618.0 million from the sale of equity securities, $86.6 million from our collaboration agreements and $19.1 million from venture debt. As of September 30, 2019, we had $444.4 million in cash, cash equivalents and investments.</w:t>
      </w:r>
    </w:p>
    <w:p>
      <w:pPr>
        <w:spacing w:after="0" w:line="68"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rights to payments under our collaboration agreements are our only committed external source of funds.</w:t>
      </w:r>
    </w:p>
    <w:p>
      <w:pPr>
        <w:spacing w:after="0" w:line="76" w:lineRule="exact"/>
        <w:rPr>
          <w:sz w:val="20"/>
          <w:szCs w:val="20"/>
          <w:color w:val="auto"/>
        </w:rPr>
      </w:pPr>
    </w:p>
    <w:p>
      <w:pPr>
        <w:ind w:right="140" w:firstLine="446"/>
        <w:spacing w:after="0" w:line="266" w:lineRule="auto"/>
        <w:rPr>
          <w:sz w:val="20"/>
          <w:szCs w:val="20"/>
          <w:color w:val="auto"/>
        </w:rPr>
      </w:pPr>
      <w:r>
        <w:rPr>
          <w:rFonts w:ascii="Times New Roman" w:cs="Times New Roman" w:eastAsia="Times New Roman" w:hAnsi="Times New Roman"/>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68" w:lineRule="exact"/>
        <w:rPr>
          <w:sz w:val="20"/>
          <w:szCs w:val="20"/>
          <w:color w:val="auto"/>
        </w:rPr>
      </w:pPr>
    </w:p>
    <w:p>
      <w:pPr>
        <w:jc w:val="both"/>
        <w:ind w:right="180" w:firstLine="446"/>
        <w:spacing w:after="0" w:line="266" w:lineRule="auto"/>
        <w:rPr>
          <w:sz w:val="20"/>
          <w:szCs w:val="20"/>
          <w:color w:val="auto"/>
        </w:rPr>
      </w:pPr>
      <w:r>
        <w:rPr>
          <w:rFonts w:ascii="Times New Roman" w:cs="Times New Roman" w:eastAsia="Times New Roman" w:hAnsi="Times New Roman"/>
          <w:sz w:val="18"/>
          <w:szCs w:val="18"/>
          <w:color w:val="auto"/>
        </w:rPr>
        <w:t>Under our original Loan Agreement, as defined in Part I Item 1—Note 5. Notes Payable, we could borrow up to $15.0 million in three separate draws of $5.0 million each. In January 2016, we amended the Loan Agreement to combine Term B Loans and Term C Loans for a total of $10.0 million available for draw and delay the principal repayments for our Term A Loans from February 1, 2016 until February 1, 2017.</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December 2016, we further amended the Loan Agreement to (i) allow for the Term B Loans and Term C Loans to be drawn on December 30, 2016,</w:t>
      </w:r>
    </w:p>
    <w:p>
      <w:pPr>
        <w:spacing w:after="0" w:line="27" w:lineRule="exact"/>
        <w:rPr>
          <w:sz w:val="20"/>
          <w:szCs w:val="20"/>
          <w:color w:val="auto"/>
        </w:rPr>
      </w:pPr>
    </w:p>
    <w:p>
      <w:pPr>
        <w:ind w:right="20" w:firstLine="8"/>
        <w:spacing w:after="0" w:line="254"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principal repayments of all Term Loans until February 1, 2018 and (iii) amend the interest rate for each Term Loan. The Term B Loans and the Term C Loans were drawn on December 30, 2016; principal repayments began in February 2018. As of September 30, 2019, there are 4 equal monthly principal and interest payments remaining on the Term Loans, with final maturity in January 2020. The Term Loans bear interest equal to the greater of 3-month U.S. LIBOR plus 6.37% or 7.3%. The interest rate was 8.51% as of September 30, 2019.</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right="240" w:firstLine="446"/>
        <w:spacing w:after="0" w:line="258"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76" w:lineRule="exact"/>
        <w:rPr>
          <w:sz w:val="20"/>
          <w:szCs w:val="20"/>
          <w:color w:val="auto"/>
        </w:rPr>
      </w:pPr>
    </w:p>
    <w:p>
      <w:pPr>
        <w:ind w:right="20" w:firstLine="446"/>
        <w:spacing w:after="0" w:line="256" w:lineRule="auto"/>
        <w:rPr>
          <w:sz w:val="20"/>
          <w:szCs w:val="20"/>
          <w:color w:val="auto"/>
        </w:rPr>
      </w:pPr>
      <w:r>
        <w:rPr>
          <w:rFonts w:ascii="Times New Roman" w:cs="Times New Roman" w:eastAsia="Times New Roman" w:hAnsi="Times New Roman"/>
          <w:sz w:val="18"/>
          <w:szCs w:val="18"/>
          <w:color w:val="auto"/>
        </w:rPr>
        <w:t>Cash, cash equivalents and investments totaled $444.4 million as of September 30, 2019, compared to $500.2 million as of December 31, 2018. We believe that our existing cash, cash equivalents and investments will fund our current operating plan, taking into account the adjustments to etokimab clinical development activities referenced above, at least into 2021. We expect to re-evaluate our current operating plan in light of the topline data from the ATLAS trial and to make adjustments as appropriate to manage our available cash resources.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0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vMerge w:val="restart"/>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vMerge w:val="restart"/>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86"/>
        </w:trPr>
        <w:tc>
          <w:tcPr>
            <w:tcW w:w="5020" w:type="dxa"/>
            <w:vAlign w:val="bottom"/>
            <w:tcBorders>
              <w:bottom w:val="single" w:sz="8" w:color="CFF0FC"/>
            </w:tcBorders>
          </w:tcPr>
          <w:p>
            <w:pPr>
              <w:spacing w:after="0"/>
              <w:rPr>
                <w:sz w:val="7"/>
                <w:szCs w:val="7"/>
                <w:color w:val="auto"/>
              </w:rPr>
            </w:pPr>
          </w:p>
        </w:tc>
        <w:tc>
          <w:tcPr>
            <w:tcW w:w="3100" w:type="dxa"/>
            <w:vAlign w:val="bottom"/>
            <w:tcBorders>
              <w:bottom w:val="single" w:sz="8" w:color="CFF0FC"/>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FF0FC"/>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50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3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(53,712)</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3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127,396</w:t>
            </w: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23,699</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3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224,736</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FF0FC"/>
            </w:tcBorders>
          </w:tcPr>
          <w:p>
            <w:pPr>
              <w:spacing w:after="0"/>
              <w:rPr>
                <w:sz w:val="2"/>
                <w:szCs w:val="2"/>
                <w:color w:val="auto"/>
              </w:rPr>
            </w:pPr>
          </w:p>
        </w:tc>
        <w:tc>
          <w:tcPr>
            <w:tcW w:w="3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48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69,302</w:t>
            </w:r>
          </w:p>
        </w:tc>
        <w:tc>
          <w:tcPr>
            <w:tcW w:w="10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212,219</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3100" w:type="dxa"/>
            <w:vAlign w:val="bottom"/>
            <w:tcBorders>
              <w:top w:val="single" w:sz="8" w:color="CFF0FC"/>
              <w:bottom w:val="single" w:sz="8" w:color="CFF0FC"/>
            </w:tcBorders>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28" w:name="page29"/>
    <w:bookmarkEnd w:id="28"/>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20" w:firstLine="446"/>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September 30, 2019 of $53.7 million was primarily due to our net loss of $77.1 million, adjusted for addbacks for non-cash expenses of $8.1 million which includes stock-based compensation and net increases in working capital of $15.3 million. Net cash used in operating activities during the nine months ended September 30, 2018 of $36.2 million was primarily due to our net loss of $44.7 million, adjusted for non-cash expenses of $7.5 million which includes stock-based compensation and increases in working capital of $1.0 million.</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40" w:firstLine="446"/>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nine months ended September 30, 2019 and 2018 primarily relates to the timing of our investment maturity, which was used to fund our operating expenses.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80" w:firstLine="446"/>
        <w:spacing w:after="0" w:line="258" w:lineRule="auto"/>
        <w:rPr>
          <w:sz w:val="20"/>
          <w:szCs w:val="20"/>
          <w:color w:val="auto"/>
        </w:rPr>
      </w:pPr>
      <w:r>
        <w:rPr>
          <w:rFonts w:ascii="Times New Roman" w:cs="Times New Roman" w:eastAsia="Times New Roman" w:hAnsi="Times New Roman"/>
          <w:sz w:val="18"/>
          <w:szCs w:val="18"/>
          <w:color w:val="auto"/>
        </w:rPr>
        <w:t>The net cash (used in) provided by financing activities during the nine months ended September 30, 2019 of $4.4 million primarily related to principal payments of $5.6 million made on our Term Loans, offset by $1.2 million in proceeds from the issuance of common stock upon the exercise of stock options. The net cash provided by financing activities during the nine months ended September 30, 2018 of $224.7 million was primarily related to net proceeds of $227.5 million from our follow-on offering of common stock in September 2018 and proceeds of $2.1 million from the issuance of common stock upon the exercise of stock options, offset by principal payments of $5.0 million made on our Term Loans.</w:t>
      </w:r>
    </w:p>
    <w:p>
      <w:pPr>
        <w:spacing w:after="0" w:line="288" w:lineRule="exact"/>
        <w:rPr>
          <w:sz w:val="20"/>
          <w:szCs w:val="20"/>
          <w:color w:val="auto"/>
        </w:rPr>
      </w:pPr>
    </w:p>
    <w:p>
      <w:pPr>
        <w:jc w:val="center"/>
        <w:ind w:right="954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7" w:lineRule="exact"/>
        <w:rPr>
          <w:sz w:val="20"/>
          <w:szCs w:val="20"/>
          <w:color w:val="auto"/>
        </w:rPr>
      </w:pPr>
    </w:p>
    <w:p>
      <w:pPr>
        <w:jc w:val="center"/>
        <w:ind w:right="954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have two non-cancellable office leases with remaining lease terms of approximately 2 years, each of which are classified as operating leases. Only one of our leases has remaining renewal options, which includes three options to renew for one additional year. The exercise of lease renewal options is at our sole discretion, which we currently do not anticipate exercising and as such were not recognized as part of our ROU asset and lease liabilities. Our lease payments are fixed, and we recognize lease expense for these leases on a straight-line basis over the lease term. Operating lease ROU assets and lease liabilities are recorded based on the present value of the future minimum lease payments over the lease term at commencement date. As our leases do not provide an implicit rate, we used our incremental borrowing rate based on the information available at effective date of adoption in determining the present value of future payments. The weighted-average discount rate used was 8.59%.</w:t>
      </w:r>
    </w:p>
    <w:p>
      <w:pPr>
        <w:spacing w:after="0" w:line="18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At September 30, 2019, the future minimum annual obligations under non-cancellable operating lease commitments are $0.2 million, $1.0 million, and $0.7 million, for the remainder of fiscal years ending 2019, 2020, and 2021,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229"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certain of these arrangements, we indemnify, hold harmless, and agree to reimburse the indemnified parties for losses suffered or incurred by the indemnified party for third-party claims in connection with our breach of the agreement, our negligence or willful misconduct in connection with the agreement, or any trade secret, copyright, patent or other intellectual property infringement claim with respect to our technology. The term of these indemnification arrangements is generally perpetual. The maximum potential amount of future payments we could be required to make under these agreements is not determinable because it involves claims that may be made against us in the future, but have not yet been made.</w:t>
      </w:r>
    </w:p>
    <w:p>
      <w:pPr>
        <w:spacing w:after="0" w:line="188" w:lineRule="exact"/>
        <w:rPr>
          <w:sz w:val="20"/>
          <w:szCs w:val="20"/>
          <w:color w:val="auto"/>
        </w:rPr>
      </w:pPr>
    </w:p>
    <w:p>
      <w:pPr>
        <w:jc w:val="both"/>
        <w:ind w:right="280" w:firstLine="567"/>
        <w:spacing w:after="0" w:line="266" w:lineRule="auto"/>
        <w:rPr>
          <w:sz w:val="20"/>
          <w:szCs w:val="20"/>
          <w:color w:val="auto"/>
        </w:rPr>
      </w:pPr>
      <w:r>
        <w:rPr>
          <w:rFonts w:ascii="Times New Roman" w:cs="Times New Roman" w:eastAsia="Times New Roman" w:hAnsi="Times New Roman"/>
          <w:sz w:val="18"/>
          <w:szCs w:val="18"/>
          <w:color w:val="auto"/>
        </w:rPr>
        <w:t>We indemnify our officers and directors for certain events or occurrences, subject to certain limits, while the officer or director is or was serving in such capacity, as permitted under Delaware law, in accordance with our certificate of incorporation and bylaws, and pursuant to agreements providing for indemnification entered into with our officers and directors. The term of</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78" w:right="239" w:bottom="1440" w:gutter="0" w:footer="0" w:header="0"/>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t>the indemnification period lasts as long as an officer or director may be subject to any proceeding arising out of acts or omissions of such officer or director in such capacity.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40" w:firstLine="446"/>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580" w:right="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2019, there have been no material changes surrounding our market risk, including interest rate risk, inflation risk, and foreign currency exchange risk from the discussion provided in Item 7A. Quantitative and Qualitative Disclosures About Market Risk of our Fiscal 2018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in the reports we file or submit under the Securities Exchange Act of 1934, as amended, or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September 30, 2019,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spacing w:after="0" w:line="185" w:lineRule="exact"/>
        <w:rPr>
          <w:sz w:val="20"/>
          <w:szCs w:val="20"/>
          <w:color w:val="auto"/>
        </w:rPr>
      </w:pPr>
    </w:p>
    <w:p>
      <w:pPr>
        <w:ind w:right="540" w:firstLine="446"/>
        <w:spacing w:after="0" w:line="282"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13a-15(f) and 15d-15(f) of the Exchange Act that occurred during the quarter ended September 30, 2019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360" w:right="25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486"/>
        <w:spacing w:after="0" w:line="259"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Discovery and Development of Our Product Candidates</w:t>
      </w:r>
    </w:p>
    <w:p>
      <w:pPr>
        <w:spacing w:after="0" w:line="117"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b w:val="1"/>
          <w:bCs w:val="1"/>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181" w:lineRule="exact"/>
        <w:rPr>
          <w:sz w:val="20"/>
          <w:szCs w:val="20"/>
          <w:color w:val="auto"/>
        </w:rPr>
      </w:pPr>
    </w:p>
    <w:p>
      <w:pPr>
        <w:ind w:right="80" w:firstLine="567"/>
        <w:spacing w:after="0" w:line="266" w:lineRule="auto"/>
        <w:rPr>
          <w:sz w:val="20"/>
          <w:szCs w:val="20"/>
          <w:color w:val="auto"/>
        </w:rPr>
      </w:pPr>
      <w:r>
        <w:rPr>
          <w:rFonts w:ascii="Times New Roman" w:cs="Times New Roman" w:eastAsia="Times New Roman" w:hAnsi="Times New Roman"/>
          <w:sz w:val="18"/>
          <w:szCs w:val="18"/>
          <w:color w:val="auto"/>
        </w:rPr>
        <w:t>We are using our proprietary technology platform to develop therapeutic antibodies, including our wholly-owned product candidates,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76" w:lineRule="exact"/>
        <w:rPr>
          <w:sz w:val="20"/>
          <w:szCs w:val="20"/>
          <w:color w:val="auto"/>
        </w:rPr>
      </w:pPr>
    </w:p>
    <w:p>
      <w:pPr>
        <w:ind w:right="80" w:firstLine="567"/>
        <w:spacing w:after="0" w:line="255" w:lineRule="auto"/>
        <w:rPr>
          <w:sz w:val="20"/>
          <w:szCs w:val="20"/>
          <w:color w:val="auto"/>
        </w:rPr>
      </w:pPr>
      <w:r>
        <w:rPr>
          <w:rFonts w:ascii="Times New Roman" w:cs="Times New Roman" w:eastAsia="Times New Roman" w:hAnsi="Times New Roman"/>
          <w:sz w:val="18"/>
          <w:szCs w:val="18"/>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 of etokimab in moderate-to-severe atopic dermatitis patients was not representative of the results we experienced in our later Phase 2b trial. Similarly, we reported interim results of our GALLOP Phase 2 clinical trial of ANB019, which included data for two patients who had completed the Day 113 trial period. We believe this is likely to be predictive of subsequent patients in the trial, but the results we have observed to date may not be predictive of results once all 10 patients have completed the trial. If our later clinical trials are unsuccessful, our product candidates may be delayed in development or fail entirely, which would have a material adverse impact on our business.</w:t>
      </w:r>
    </w:p>
    <w:p>
      <w:pPr>
        <w:spacing w:after="0" w:line="185"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We have elected to structure our initial Phase 2a clinical trials with etokimab as investigational studies that enroll a relatively limited number of patients and are intended to allow us to better assess patient responses and potential efficacy results before designing and commencing Phase 2b clinical trials. We believe the results we have observed in the initial Phase 2a clinical trials of etokimab in severe adult eosinophilic asthma may suggest a reasonable basis for continuing development of etokimab in this indication through a larger Phase 2b clinical trial. However, as a result of the recently announced topline data from our ATLAS trial in atopic dermatitis, we have decided to postpone the initiation of our planned Phase 2b etokimab clinical trial in eosinophilic asthma, a multi-dose, randomized, double-blinded, placebo-controlled trial in 300-400 patients, until we have the opportunity to analyze the full data set from our ATLAS trial. Our Phase 2a trials involved relatively small patient populations, for example 25 patients in our Phase 2a trial in severe adult eosinophilic asthma. The results we have observed in this smaller patient populations may not be predictive of results we will experience in later studies. Furthermore, the average results reported from our Phase 2a trials (for example, the average change in FEV1 reported in connection with our Phase 2a trial in severe adult eosinophilic asthma) are subject to significant variability due to the small number of patients enrolled, and are not expected to be, and are unlikely to be, statistically significant. In addition, we have elected to structure our initial Phase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360" w:right="259" w:bottom="1440" w:gutter="0" w:footer="0" w:header="0"/>
        </w:sectPr>
      </w:pPr>
    </w:p>
    <w:bookmarkStart w:id="32" w:name="page33"/>
    <w:bookmarkEnd w:id="32"/>
    <w:p>
      <w:pPr>
        <w:ind w:right="120"/>
        <w:spacing w:after="0" w:line="282" w:lineRule="auto"/>
        <w:rPr>
          <w:sz w:val="20"/>
          <w:szCs w:val="20"/>
          <w:color w:val="auto"/>
        </w:rPr>
      </w:pPr>
      <w:r>
        <w:rPr>
          <w:rFonts w:ascii="Times New Roman" w:cs="Times New Roman" w:eastAsia="Times New Roman" w:hAnsi="Times New Roman"/>
          <w:sz w:val="18"/>
          <w:szCs w:val="18"/>
          <w:color w:val="auto"/>
        </w:rPr>
        <w:t>2a clinical trials as single dose studies, which may not be representative of the efficacy and/or safety observed in subsequent multi-dose Phase 2, Phase 2b or Phase 3 clinical trials.</w:t>
      </w:r>
    </w:p>
    <w:p>
      <w:pPr>
        <w:spacing w:after="0" w:line="162"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 addition, later studies may also include different design elements that could contribute to us experiencing different results than we have observed in our Phase 2a trials. One such design element may be differences in efficacy endpoints between Phase 2a trials and subsequent Phase 2, Phase 2b or Phase 3 clinical trials. For instance, while our single dose Phase 2a clinical trial of etokimab demonstrated efficacy in terms of FEV1 improvement versus placebo, we did not structure this trial to assess efficacy in terms of exacerbation reduction, which is the endpoint historically used by the FDA for drug approval in asthma, and hence our future Phase 2, Phase 2b or Phase 3 trials in asthma may not demonstrate efficacy in exacerbation reduction leading to potential delays or failure to obtain approval of etokimab in asthma. In addition, the initial results we have reported from our completed Phase 2a clinical trials have included interim analyses and top-line results at early timepoints, which may not accurately predict the final results of this clinical trial or the results of future clinical trials. For instance, our single dose Phase 2a trial of etokimab in atopic dermatitis demonstrated certain levels of EASI-50 response upon interim analysis at Day 29, but this EASI-50 response level was not maintained at the end of this clinical trial at Day 140. In another example, interim analysis data from our Phase 2a study of severe adult eosinophilic asthma demonstrated FEV1 improvement over placebo at Day 64, but this FEV1 improvement was not maintained at the same levels through study completion at the Day 127 timepoint.</w:t>
      </w:r>
    </w:p>
    <w:p>
      <w:pPr>
        <w:spacing w:after="0" w:line="19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Furthermore, our rationale for conducting clinical trials of etokimab in multiple indications is that we believe etokimab’s mechanism of action, the inhibition of IL-33, has the potential be effective for treatment of a range of atopic inflammatory disorders. However, in light of the recently announced topline data from our ATLAS trial of etokimab in atopic dermatitis, it is possible that our assumptions regarding the effectiveness of etokimab’s mechanism of action may be incorrect, and that etokimab may be ineffective in certain inflammatory disorders or may be ineffective in treating inflammatory disorders generally. If this were the case, then results from our ongoing Phase 2b clinical trial of etokimab in CRSwNP, and results from any other clinical trials of etokimab that we conduct, are less likely to be positive.</w:t>
      </w:r>
    </w:p>
    <w:p>
      <w:pPr>
        <w:spacing w:after="0" w:line="18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If our later clinical trials of etokimab or ANB019 are unsuccessful, whether for one of the reasons mentioned above or otherwise, etokimab or ANB019 may be delayed in development or fail entirely, which would have a material adverse impact on our business.</w:t>
      </w:r>
    </w:p>
    <w:p>
      <w:pPr>
        <w:spacing w:after="0" w:line="162" w:lineRule="exact"/>
        <w:rPr>
          <w:sz w:val="20"/>
          <w:szCs w:val="20"/>
          <w:color w:val="auto"/>
        </w:rPr>
      </w:pPr>
    </w:p>
    <w:p>
      <w:pPr>
        <w:ind w:right="20" w:firstLine="567"/>
        <w:spacing w:after="0" w:line="282" w:lineRule="auto"/>
        <w:rPr>
          <w:sz w:val="20"/>
          <w:szCs w:val="20"/>
          <w:color w:val="auto"/>
        </w:rPr>
      </w:pPr>
      <w:r>
        <w:rPr>
          <w:rFonts w:ascii="Times New Roman" w:cs="Times New Roman" w:eastAsia="Times New Roman" w:hAnsi="Times New Roman"/>
          <w:sz w:val="18"/>
          <w:szCs w:val="18"/>
          <w:color w:val="auto"/>
        </w:rPr>
        <w:t>The success of our current product candidates, and any other product candidates we may develop in the future, will depend on many factors, including the following:</w:t>
      </w:r>
    </w:p>
    <w:p>
      <w:pPr>
        <w:spacing w:after="0" w:line="54" w:lineRule="exact"/>
        <w:rPr>
          <w:sz w:val="20"/>
          <w:szCs w:val="20"/>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our planned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and/or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non-patent exclusivity for our product candidates and their components;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therapeutic properties for our product candidates’ intended indications;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third parties;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right="280" w:firstLine="567"/>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62" w:lineRule="exact"/>
        <w:rPr>
          <w:sz w:val="20"/>
          <w:szCs w:val="20"/>
          <w:color w:val="auto"/>
        </w:rPr>
      </w:pPr>
    </w:p>
    <w:p>
      <w:pPr>
        <w:jc w:val="both"/>
        <w:ind w:right="140" w:firstLine="567"/>
        <w:spacing w:after="0" w:line="250" w:lineRule="auto"/>
        <w:rPr>
          <w:sz w:val="20"/>
          <w:szCs w:val="20"/>
          <w:color w:val="auto"/>
        </w:rPr>
      </w:pPr>
      <w:r>
        <w:rPr>
          <w:rFonts w:ascii="Times New Roman" w:cs="Times New Roman" w:eastAsia="Times New Roman" w:hAnsi="Times New Roman"/>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80" w:right="239" w:bottom="1440" w:gutter="0" w:footer="0" w:header="0"/>
        </w:sectPr>
      </w:pPr>
    </w:p>
    <w:bookmarkStart w:id="33" w:name="page34"/>
    <w:bookmarkEnd w:id="33"/>
    <w:p>
      <w:pPr>
        <w:ind w:right="20"/>
        <w:spacing w:after="0" w:line="241" w:lineRule="auto"/>
        <w:rPr>
          <w:sz w:val="20"/>
          <w:szCs w:val="20"/>
          <w:color w:val="auto"/>
        </w:rPr>
      </w:pPr>
      <w:r>
        <w:rPr>
          <w:rFonts w:ascii="Times New Roman" w:cs="Times New Roman" w:eastAsia="Times New Roman" w:hAnsi="Times New Roman"/>
          <w:sz w:val="18"/>
          <w:szCs w:val="18"/>
          <w:color w:val="auto"/>
        </w:rPr>
        <w:t>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2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65" w:lineRule="exact"/>
        <w:rPr>
          <w:sz w:val="20"/>
          <w:szCs w:val="20"/>
          <w:color w:val="auto"/>
        </w:rPr>
      </w:pPr>
    </w:p>
    <w:p>
      <w:pPr>
        <w:ind w:right="100" w:firstLine="567"/>
        <w:spacing w:after="0" w:line="242" w:lineRule="auto"/>
        <w:rPr>
          <w:sz w:val="20"/>
          <w:szCs w:val="20"/>
          <w:color w:val="auto"/>
        </w:rPr>
      </w:pPr>
      <w:r>
        <w:rPr>
          <w:rFonts w:ascii="Times New Roman" w:cs="Times New Roman" w:eastAsia="Times New Roman" w:hAnsi="Times New Roman"/>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5" w:lineRule="exact"/>
        <w:rPr>
          <w:sz w:val="20"/>
          <w:szCs w:val="20"/>
          <w:color w:val="auto"/>
        </w:rPr>
      </w:pPr>
    </w:p>
    <w:p>
      <w:pPr>
        <w:ind w:right="20" w:firstLine="567"/>
        <w:spacing w:after="0" w:line="238" w:lineRule="auto"/>
        <w:rPr>
          <w:sz w:val="20"/>
          <w:szCs w:val="20"/>
          <w:color w:val="auto"/>
        </w:rPr>
      </w:pPr>
      <w:r>
        <w:rPr>
          <w:rFonts w:ascii="Times New Roman" w:cs="Times New Roman" w:eastAsia="Times New Roman" w:hAnsi="Times New Roman"/>
          <w:sz w:val="18"/>
          <w:szCs w:val="18"/>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completed early Phase 1 and Phase 2a clinical trials for etokimab, and subsequent patient trials with etokimab are currently ongoing. We also have only recently completed a Phase 1 clinical trial with ANB019 and subsequent patient trials with ANB019 are currently ongoing.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189" w:lineRule="exact"/>
        <w:rPr>
          <w:sz w:val="20"/>
          <w:szCs w:val="20"/>
          <w:color w:val="auto"/>
        </w:rPr>
      </w:pPr>
    </w:p>
    <w:p>
      <w:pPr>
        <w:ind w:firstLine="567"/>
        <w:spacing w:after="0" w:line="252" w:lineRule="auto"/>
        <w:rPr>
          <w:sz w:val="20"/>
          <w:szCs w:val="20"/>
          <w:color w:val="auto"/>
        </w:rPr>
      </w:pPr>
      <w:r>
        <w:rPr>
          <w:rFonts w:ascii="Times New Roman" w:cs="Times New Roman" w:eastAsia="Times New Roman" w:hAnsi="Times New Roman"/>
          <w:sz w:val="18"/>
          <w:szCs w:val="18"/>
          <w:color w:val="auto"/>
        </w:rPr>
        <w:t>Some patients in our clinical trials have experienced adverse events, including serious adverse events. The most frequent treatment-emergent adverse events reported were mild dizziness or vomiting in patients subsequent to placebo dosing, and mild headache, strep throat, upper respiratory tract infection, or in one case, severe neutropenia which was acute and not persistent in patients post-etokimab administration. In addition, we reported that one patient dropped out of the GALLOP Phase 2 clinical trial for ANB019 due to diagnosis with Staphylococcal aureus bacteremia on Day 3 post-ANB019 administration, which was a serious adverse event deemed to be possibly drug-related. Subjects in our ongoing and planned clinical trials may in the future suffer significant adverse events or other side effects not observed in our preclinical studies or in our Phase 1 or Phase 2a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99" w:lineRule="exact"/>
        <w:rPr>
          <w:sz w:val="20"/>
          <w:szCs w:val="20"/>
          <w:color w:val="auto"/>
        </w:rPr>
      </w:pPr>
    </w:p>
    <w:p>
      <w:pPr>
        <w:ind w:right="60" w:firstLine="567"/>
        <w:spacing w:after="0"/>
        <w:rPr>
          <w:sz w:val="20"/>
          <w:szCs w:val="20"/>
          <w:color w:val="auto"/>
        </w:rPr>
      </w:pPr>
      <w:r>
        <w:rPr>
          <w:rFonts w:ascii="Times New Roman" w:cs="Times New Roman" w:eastAsia="Times New Roman" w:hAnsi="Times New Roman"/>
          <w:sz w:val="18"/>
          <w:szCs w:val="18"/>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80" w:right="239" w:bottom="1440" w:gutter="0" w:footer="0" w:header="0"/>
        </w:sectPr>
      </w:pPr>
    </w:p>
    <w:bookmarkStart w:id="34" w:name="page35"/>
    <w:bookmarkEnd w:id="34"/>
    <w:p>
      <w:pPr>
        <w:ind w:right="320"/>
        <w:spacing w:after="0" w:line="266" w:lineRule="auto"/>
        <w:rPr>
          <w:sz w:val="20"/>
          <w:szCs w:val="20"/>
          <w:color w:val="auto"/>
        </w:rPr>
      </w:pPr>
      <w:r>
        <w:rPr>
          <w:rFonts w:ascii="Times New Roman" w:cs="Times New Roman" w:eastAsia="Times New Roman" w:hAnsi="Times New Roman"/>
          <w:sz w:val="18"/>
          <w:szCs w:val="18"/>
          <w:color w:val="auto"/>
        </w:rPr>
        <w:t>the approved product due to its tolerability versus other therapies. Any of these developments could materially harm our business, financial condition and prospects.</w:t>
      </w:r>
    </w:p>
    <w:p>
      <w:pPr>
        <w:spacing w:after="0" w:line="162" w:lineRule="exact"/>
        <w:rPr>
          <w:sz w:val="20"/>
          <w:szCs w:val="20"/>
          <w:color w:val="auto"/>
        </w:rPr>
      </w:pPr>
    </w:p>
    <w:p>
      <w:pPr>
        <w:ind w:right="180" w:firstLine="567"/>
        <w:spacing w:after="0" w:line="261" w:lineRule="auto"/>
        <w:rPr>
          <w:sz w:val="20"/>
          <w:szCs w:val="20"/>
          <w:color w:val="auto"/>
        </w:rPr>
      </w:pPr>
      <w:r>
        <w:rPr>
          <w:rFonts w:ascii="Times New Roman" w:cs="Times New Roman" w:eastAsia="Times New Roman" w:hAnsi="Times New Roman"/>
          <w:sz w:val="18"/>
          <w:szCs w:val="18"/>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8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5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CTA to conduct clinical trials for both etokimab and ANB019 in the United States and United Kingdom, respectively,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Therapeutic Goods Administration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91"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Even if we or our collaborators initiate and complete clinical trials for our product candidates, these product candidates will not be permitted to be marketed in the United States until approval of a Biologics License Application, or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Australia, the United States and United Kingdom, we have not yet discussed with the FDA or foreign regulatory authorities the development plans for any of our product candidates or the designs of any of our later-stage clinical studies. We thus may not have the full benefit of the FDA’s or foreign regulatory authorities’ current thinking on trial designs or product development for our target indications. For example, we believe a small pivotal trial, potentially with approximately 100 patients, may be sufficient to demonstrate substantial evidence of efficacy of ANB019 in generalized pustular psoriasis, or GPP, patients. However,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Preclinical studies and clinical trials are expensive, difficult to design and implement, can take many years to complete and are uncertain as to outcome.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on average, take 10 to 15 years to be developed from the time they are discovered to the time they are approved and available for treating patients.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start or end of a clinical trial is often delayed or halted for many reasons, including:</w:t>
      </w:r>
    </w:p>
    <w:p>
      <w:pPr>
        <w:spacing w:after="0" w:line="99" w:lineRule="exact"/>
        <w:rPr>
          <w:sz w:val="20"/>
          <w:szCs w:val="20"/>
          <w:color w:val="auto"/>
        </w:rPr>
      </w:pPr>
    </w:p>
    <w:p>
      <w:pPr>
        <w:ind w:left="880" w:right="56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for safety reasons or following an inspection of clinical trial operations or site by the FDA or other regulatory authorities;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challenges;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quality of product candidates or other materials necessary to conduct clinical trials;</w:t>
      </w:r>
    </w:p>
    <w:p>
      <w:pPr>
        <w:spacing w:after="0" w:line="117" w:lineRule="exact"/>
        <w:rPr>
          <w:rFonts w:ascii="Times New Roman" w:cs="Times New Roman" w:eastAsia="Times New Roman" w:hAnsi="Times New Roman"/>
          <w:sz w:val="18"/>
          <w:szCs w:val="18"/>
          <w:color w:val="auto"/>
        </w:rPr>
      </w:pPr>
    </w:p>
    <w:p>
      <w:pPr>
        <w:ind w:left="880" w:right="60" w:hanging="440"/>
        <w:spacing w:after="0" w:line="266"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6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electing to terminate their participation in one of our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patients or medical investigators to follow clinical trial protocols;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580" w:right="259" w:bottom="1440" w:gutter="0" w:footer="0" w:header="0"/>
        </w:sectPr>
      </w:pPr>
    </w:p>
    <w:bookmarkStart w:id="35" w:name="page36"/>
    <w:bookmarkEnd w:id="35"/>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clinical trial administrative actions;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patient enrollment;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standards of care;</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concerns;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or prevalence of use of a comparative drug or required prior therapy; or</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outcomes or financial constraints.</w:t>
      </w:r>
    </w:p>
    <w:p>
      <w:pPr>
        <w:spacing w:after="0" w:line="225" w:lineRule="exact"/>
        <w:rPr>
          <w:sz w:val="20"/>
          <w:szCs w:val="20"/>
          <w:color w:val="auto"/>
        </w:rPr>
      </w:pPr>
    </w:p>
    <w:p>
      <w:pPr>
        <w:ind w:right="100" w:firstLine="446"/>
        <w:spacing w:after="0" w:line="255" w:lineRule="auto"/>
        <w:rPr>
          <w:sz w:val="20"/>
          <w:szCs w:val="20"/>
          <w:color w:val="auto"/>
        </w:rPr>
      </w:pPr>
      <w:r>
        <w:rPr>
          <w:rFonts w:ascii="Times New Roman" w:cs="Times New Roman" w:eastAsia="Times New Roman" w:hAnsi="Times New Roman"/>
          <w:sz w:val="18"/>
          <w:szCs w:val="18"/>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experience any of the issues described above, or other similar or related issues, we may:</w:t>
      </w:r>
    </w:p>
    <w:p>
      <w:pPr>
        <w:spacing w:after="0" w:line="117" w:lineRule="exact"/>
        <w:rPr>
          <w:sz w:val="20"/>
          <w:szCs w:val="20"/>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880" w:right="380" w:hanging="440"/>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 obtain approval for indications or patient populations that are not as broad as intended or desired;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32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successful in our efforts to use our technology platform to expand our pipeline of product candidates and develop marketable products.</w:t>
      </w:r>
    </w:p>
    <w:p>
      <w:pPr>
        <w:spacing w:after="0" w:line="5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86" w:lineRule="exact"/>
        <w:rPr>
          <w:sz w:val="20"/>
          <w:szCs w:val="20"/>
          <w:color w:val="auto"/>
        </w:rPr>
      </w:pPr>
    </w:p>
    <w:p>
      <w:pPr>
        <w:ind w:right="40" w:firstLine="446"/>
        <w:spacing w:after="0" w:line="239" w:lineRule="auto"/>
        <w:rPr>
          <w:sz w:val="20"/>
          <w:szCs w:val="20"/>
          <w:color w:val="auto"/>
        </w:rPr>
      </w:pPr>
      <w:r>
        <w:rPr>
          <w:rFonts w:ascii="Times New Roman" w:cs="Times New Roman" w:eastAsia="Times New Roman" w:hAnsi="Times New Roman"/>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60"/>
          </w:cols>
          <w:pgMar w:left="240" w:top="472" w:right="299" w:bottom="1440" w:gutter="0" w:footer="0" w:header="0"/>
        </w:sectPr>
      </w:pPr>
    </w:p>
    <w:bookmarkStart w:id="36" w:name="page37"/>
    <w:bookmarkEnd w:id="36"/>
    <w:p>
      <w:pPr>
        <w:ind w:right="1060"/>
        <w:spacing w:after="0" w:line="271" w:lineRule="auto"/>
        <w:rPr>
          <w:sz w:val="20"/>
          <w:szCs w:val="20"/>
          <w:color w:val="auto"/>
        </w:rPr>
      </w:pPr>
      <w:r>
        <w:rPr>
          <w:rFonts w:ascii="Times New Roman" w:cs="Times New Roman" w:eastAsia="Times New Roman" w:hAnsi="Times New Roman"/>
          <w:sz w:val="18"/>
          <w:szCs w:val="18"/>
          <w:b w:val="1"/>
          <w:bCs w:val="1"/>
          <w:color w:val="auto"/>
        </w:rPr>
        <w:t>We have recently commenced clinical development of etokimab and ANB019, and have no other history of conducting clinical trials or commercializing biotechnology products, which may make it difficult to evaluate the prospects for our future viability.</w:t>
      </w:r>
    </w:p>
    <w:p>
      <w:pPr>
        <w:spacing w:after="0" w:line="50" w:lineRule="exact"/>
        <w:rPr>
          <w:sz w:val="20"/>
          <w:szCs w:val="20"/>
          <w:color w:val="auto"/>
        </w:rPr>
      </w:pPr>
    </w:p>
    <w:p>
      <w:pPr>
        <w:ind w:firstLine="446"/>
        <w:spacing w:after="0" w:line="239" w:lineRule="auto"/>
        <w:rPr>
          <w:sz w:val="20"/>
          <w:szCs w:val="20"/>
          <w:color w:val="auto"/>
        </w:rPr>
      </w:pPr>
      <w:r>
        <w:rPr>
          <w:rFonts w:ascii="Times New Roman" w:cs="Times New Roman" w:eastAsia="Times New Roman" w:hAnsi="Times New Roman"/>
          <w:sz w:val="18"/>
          <w:szCs w:val="18"/>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88" w:lineRule="exact"/>
        <w:rPr>
          <w:sz w:val="20"/>
          <w:szCs w:val="20"/>
          <w:color w:val="auto"/>
        </w:rPr>
      </w:pPr>
    </w:p>
    <w:p>
      <w:pPr>
        <w:jc w:val="both"/>
        <w:ind w:right="620" w:firstLine="446"/>
        <w:spacing w:after="0" w:line="250" w:lineRule="auto"/>
        <w:rPr>
          <w:sz w:val="20"/>
          <w:szCs w:val="20"/>
          <w:color w:val="auto"/>
        </w:rPr>
      </w:pPr>
      <w:r>
        <w:rPr>
          <w:rFonts w:ascii="Times New Roman" w:cs="Times New Roman" w:eastAsia="Times New Roman" w:hAnsi="Times New Roman"/>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69" w:lineRule="exact"/>
        <w:rPr>
          <w:sz w:val="20"/>
          <w:szCs w:val="20"/>
          <w:color w:val="auto"/>
        </w:rPr>
      </w:pPr>
    </w:p>
    <w:p>
      <w:pPr>
        <w:ind w:left="880" w:right="100" w:hanging="440"/>
        <w:spacing w:after="0" w:line="266"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54" w:lineRule="exact"/>
        <w:rPr>
          <w:rFonts w:ascii="Times New Roman" w:cs="Times New Roman" w:eastAsia="Times New Roman" w:hAnsi="Times New Roman"/>
          <w:sz w:val="18"/>
          <w:szCs w:val="18"/>
          <w:color w:val="auto"/>
        </w:rPr>
      </w:pPr>
    </w:p>
    <w:p>
      <w:pPr>
        <w:ind w:left="880" w:right="600" w:hanging="440"/>
        <w:spacing w:after="0" w:line="266"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5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foreign regulatory authorities regarding the number, scope or design of our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clinical trial materials or other supplies necessary for the conduct of our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or unacceptable side effects of our product candidates during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17" w:lineRule="exact"/>
        <w:rPr>
          <w:rFonts w:ascii="Times New Roman" w:cs="Times New Roman" w:eastAsia="Times New Roman" w:hAnsi="Times New Roman"/>
          <w:sz w:val="18"/>
          <w:szCs w:val="18"/>
          <w:color w:val="auto"/>
        </w:rPr>
      </w:pPr>
    </w:p>
    <w:p>
      <w:pPr>
        <w:ind w:left="880" w:right="100" w:hanging="440"/>
        <w:spacing w:after="0" w:line="28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880" w:right="60" w:hanging="440"/>
        <w:spacing w:after="0" w:line="28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experienced by participants in our planned clinical trials or by individuals using drugs similar to our product candidates;</w:t>
      </w:r>
    </w:p>
    <w:p>
      <w:pPr>
        <w:spacing w:after="0" w:line="53" w:lineRule="exact"/>
        <w:rPr>
          <w:rFonts w:ascii="Times New Roman" w:cs="Times New Roman" w:eastAsia="Times New Roman" w:hAnsi="Times New Roman"/>
          <w:sz w:val="18"/>
          <w:szCs w:val="18"/>
          <w:color w:val="auto"/>
        </w:rPr>
      </w:pPr>
    </w:p>
    <w:p>
      <w:pPr>
        <w:ind w:left="880" w:right="80" w:hanging="440"/>
        <w:spacing w:after="0" w:line="28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foreign regulatory authorities.</w:t>
      </w:r>
    </w:p>
    <w:p>
      <w:pPr>
        <w:spacing w:after="0" w:line="225" w:lineRule="exact"/>
        <w:rPr>
          <w:sz w:val="20"/>
          <w:szCs w:val="20"/>
          <w:color w:val="auto"/>
        </w:rPr>
      </w:pPr>
    </w:p>
    <w:p>
      <w:pPr>
        <w:ind w:right="40" w:firstLine="446"/>
        <w:spacing w:after="0" w:line="282" w:lineRule="auto"/>
        <w:rPr>
          <w:sz w:val="20"/>
          <w:szCs w:val="20"/>
          <w:color w:val="auto"/>
        </w:rPr>
      </w:pPr>
      <w:r>
        <w:rPr>
          <w:rFonts w:ascii="Times New Roman" w:cs="Times New Roman" w:eastAsia="Times New Roman" w:hAnsi="Times New Roman"/>
          <w:sz w:val="18"/>
          <w:szCs w:val="18"/>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62" w:lineRule="exact"/>
        <w:rPr>
          <w:sz w:val="20"/>
          <w:szCs w:val="20"/>
          <w:color w:val="auto"/>
        </w:rPr>
      </w:pPr>
    </w:p>
    <w:p>
      <w:pPr>
        <w:ind w:right="100" w:firstLine="446"/>
        <w:spacing w:after="0" w:line="266" w:lineRule="auto"/>
        <w:rPr>
          <w:sz w:val="20"/>
          <w:szCs w:val="20"/>
          <w:color w:val="auto"/>
        </w:rPr>
      </w:pPr>
      <w:r>
        <w:rPr>
          <w:rFonts w:ascii="Times New Roman" w:cs="Times New Roman" w:eastAsia="Times New Roman" w:hAnsi="Times New Roman"/>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60"/>
          </w:cols>
          <w:pgMar w:left="240" w:top="684" w:right="299" w:bottom="1440" w:gutter="0" w:footer="0" w:header="0"/>
        </w:sectPr>
      </w:pPr>
    </w:p>
    <w:bookmarkStart w:id="37" w:name="page38"/>
    <w:bookmarkEnd w:id="37"/>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91" w:lineRule="exact"/>
        <w:rPr>
          <w:sz w:val="20"/>
          <w:szCs w:val="20"/>
          <w:color w:val="auto"/>
        </w:rPr>
      </w:pPr>
    </w:p>
    <w:p>
      <w:pPr>
        <w:ind w:right="60" w:firstLine="567"/>
        <w:spacing w:after="0" w:line="256" w:lineRule="auto"/>
        <w:rPr>
          <w:sz w:val="20"/>
          <w:szCs w:val="20"/>
          <w:color w:val="auto"/>
        </w:rPr>
      </w:pPr>
      <w:r>
        <w:rPr>
          <w:rFonts w:ascii="Times New Roman" w:cs="Times New Roman" w:eastAsia="Times New Roman" w:hAnsi="Times New Roman"/>
          <w:sz w:val="18"/>
          <w:szCs w:val="18"/>
          <w:color w:val="auto"/>
        </w:rPr>
        <w:t>For atopic dermatitis, our competitors include dupilumab (Dupixent, Regeneron, Sanofi), which has been approved by the FDA, crisaborole (EUCRISA, Pfizer), which has been approved by the FDA, VTP-38543 (Vitae, acquired by Allergan), JAK inhibitors such as baricitinib, PF-04965842 and upadacitinib under development by Lilly/Incyte, Pfizer and Abbvie, respectively, an IL-33 program by Regeneron (REGN3500) in a Phase 2 clinical trial for atopic dermatitis, a recently announced IL-33 related program by Lilly in a Phase 1 clinical trial indicated for autoimmune disorders, an IL-1 alpha antibody, bermekimab (XBiotech) and antibodies that bind to IL-13 such as lebrikizumab (Dermira) and tralokinumab (AstraZeneca, LEO Pharma), and antibodies that bind TSLP such as tezepelumab (AMG157, MEDI9929, Amgen/AstraZeneca).</w:t>
      </w:r>
    </w:p>
    <w:p>
      <w:pPr>
        <w:spacing w:after="0" w:line="188" w:lineRule="exact"/>
        <w:rPr>
          <w:sz w:val="20"/>
          <w:szCs w:val="20"/>
          <w:color w:val="auto"/>
        </w:rPr>
      </w:pPr>
    </w:p>
    <w:p>
      <w:pPr>
        <w:ind w:right="20" w:firstLine="567"/>
        <w:spacing w:after="0" w:line="269" w:lineRule="auto"/>
        <w:rPr>
          <w:sz w:val="20"/>
          <w:szCs w:val="20"/>
          <w:color w:val="auto"/>
        </w:rPr>
      </w:pPr>
      <w:r>
        <w:rPr>
          <w:rFonts w:ascii="Times New Roman" w:cs="Times New Roman" w:eastAsia="Times New Roman" w:hAnsi="Times New Roman"/>
          <w:sz w:val="17"/>
          <w:szCs w:val="17"/>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and reslizumab (Cinqair; Teva), both of which the FDA has approved for the add-on maintenance treatment in patients with severe eosinophilic asthma; antibodies such as benralizumab (FASENRA, AstraZeneca) that bind the IL-5 receptor; antibodies that bind the IL-4 receptor and inhibit its signaling through IL-4 and IL-13 cytokines such as dupilumab (Dupixent; Regeneron/Sanofi), which has been approved by the FDA for use with other asthma medicines for the maintenance treatment of moderate-to-severe asthma in patients aged 12 years and older whose asthma is not controlled with their current asthma medicines; antibodies that bind to IL-13 such as lebrikizumab (Dermira), tralokinumab (AstraZeneca, LEO Pharma) and anrukinzumab (Pfizer), which are in clinical testing; antibodies that bind the IL-4 receptor alpha chain, such as AMG 317 (Amgen) in clinical testing; ST2-binding antibodies including Roche’s RG6149 and GSK’s GSK3772847, and Regeneron’s IL-33 antibody (REGN3500) each in clinical development for asthma and chronic obstructive pulmonary disease; a recently announced IL-33 related program by AstraZeneca (MEDI3506) in a Phase 1 clinical trial indicated for chronic obstructive pulmonary disease; DP-2 antagonists including fevipiprant (Novartis) under development for asthma and GB001 (Gossamer Bio) under development for asthma; and an anti-TSLP antibody called tezepelumab (AMG 157, MEDI9929, Amgen/AstraZeneca) being developed by Amgen and AstraZeneca for asthma.</w:t>
      </w:r>
    </w:p>
    <w:p>
      <w:pPr>
        <w:spacing w:after="0" w:line="180" w:lineRule="exact"/>
        <w:rPr>
          <w:sz w:val="20"/>
          <w:szCs w:val="20"/>
          <w:color w:val="auto"/>
        </w:rPr>
      </w:pPr>
    </w:p>
    <w:p>
      <w:pPr>
        <w:ind w:right="340" w:firstLine="567"/>
        <w:spacing w:after="0" w:line="282" w:lineRule="auto"/>
        <w:rPr>
          <w:sz w:val="20"/>
          <w:szCs w:val="20"/>
          <w:color w:val="auto"/>
        </w:rPr>
      </w:pPr>
      <w:r>
        <w:rPr>
          <w:rFonts w:ascii="Times New Roman" w:cs="Times New Roman" w:eastAsia="Times New Roman" w:hAnsi="Times New Roman"/>
          <w:sz w:val="18"/>
          <w:szCs w:val="18"/>
          <w:color w:val="auto"/>
        </w:rPr>
        <w:t>Our competitors in CRSwNP include dupilumab (Regeneron/Sanofi), mepolizumab (GSK), benralizumab (AstraZeneca), omalizumab (Novartis), GB001 (Gossamer Bio) and PF-06817024 (Pfizer), each of which are in clinical testing.</w:t>
      </w:r>
    </w:p>
    <w:p>
      <w:pPr>
        <w:spacing w:after="0" w:line="162" w:lineRule="exact"/>
        <w:rPr>
          <w:sz w:val="20"/>
          <w:szCs w:val="20"/>
          <w:color w:val="auto"/>
        </w:rPr>
      </w:pPr>
    </w:p>
    <w:p>
      <w:pPr>
        <w:ind w:right="40" w:firstLine="567"/>
        <w:spacing w:after="0" w:line="258" w:lineRule="auto"/>
        <w:rPr>
          <w:sz w:val="20"/>
          <w:szCs w:val="20"/>
          <w:color w:val="auto"/>
        </w:rPr>
      </w:pPr>
      <w:r>
        <w:rPr>
          <w:rFonts w:ascii="Times New Roman" w:cs="Times New Roman" w:eastAsia="Times New Roman" w:hAnsi="Times New Roman"/>
          <w:sz w:val="18"/>
          <w:szCs w:val="18"/>
          <w:color w:val="auto"/>
        </w:rPr>
        <w:t>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and canakinumab (Ilaris, Novartis), which binds IL-1 beta, anakinra (Kineret; Swedish Orphan Biovitrum AB), a recombinant form the IL-1 receptor antagonist and an anti-IL-36 receptor antibody called BI-655130 (Boehringer Ingelheim).</w:t>
      </w:r>
    </w:p>
    <w:p>
      <w:pPr>
        <w:spacing w:after="0" w:line="184"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684" w:right="239" w:bottom="1440" w:gutter="0" w:footer="0" w:header="0"/>
        </w:sectPr>
      </w:pPr>
    </w:p>
    <w:bookmarkStart w:id="38" w:name="page39"/>
    <w:bookmarkEnd w:id="38"/>
    <w:p>
      <w:pPr>
        <w:ind w:right="80"/>
        <w:spacing w:after="0" w:line="266" w:lineRule="auto"/>
        <w:rPr>
          <w:sz w:val="20"/>
          <w:szCs w:val="20"/>
          <w:color w:val="auto"/>
        </w:rPr>
      </w:pPr>
      <w:r>
        <w:rPr>
          <w:rFonts w:ascii="Times New Roman" w:cs="Times New Roman" w:eastAsia="Times New Roman" w:hAnsi="Times New Roman"/>
          <w:sz w:val="18"/>
          <w:szCs w:val="18"/>
          <w:color w:val="auto"/>
        </w:rPr>
        <w:t>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6" w:lineRule="exact"/>
        <w:rPr>
          <w:sz w:val="20"/>
          <w:szCs w:val="20"/>
          <w:color w:val="auto"/>
        </w:rPr>
      </w:pPr>
    </w:p>
    <w:p>
      <w:pPr>
        <w:ind w:right="40" w:firstLine="446"/>
        <w:spacing w:after="0" w:line="256" w:lineRule="auto"/>
        <w:rPr>
          <w:sz w:val="20"/>
          <w:szCs w:val="20"/>
          <w:color w:val="auto"/>
        </w:rPr>
      </w:pPr>
      <w:r>
        <w:rPr>
          <w:rFonts w:ascii="Times New Roman" w:cs="Times New Roman" w:eastAsia="Times New Roman" w:hAnsi="Times New Roman"/>
          <w:sz w:val="18"/>
          <w:szCs w:val="18"/>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88"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88" w:lineRule="exact"/>
        <w:rPr>
          <w:sz w:val="20"/>
          <w:szCs w:val="20"/>
          <w:color w:val="auto"/>
        </w:rPr>
      </w:pPr>
    </w:p>
    <w:p>
      <w:pPr>
        <w:ind w:right="60" w:firstLine="446"/>
        <w:spacing w:after="0" w:line="256" w:lineRule="auto"/>
        <w:rPr>
          <w:sz w:val="20"/>
          <w:szCs w:val="20"/>
          <w:color w:val="auto"/>
        </w:rPr>
      </w:pPr>
      <w:r>
        <w:rPr>
          <w:rFonts w:ascii="Times New Roman" w:cs="Times New Roman" w:eastAsia="Times New Roman" w:hAnsi="Times New Roman"/>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9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Our product candidates may not achieve adequate market acceptance among physicians, patients, health care payors and others in the medical community necessary for commercial success.</w:t>
      </w:r>
    </w:p>
    <w:p>
      <w:pPr>
        <w:spacing w:after="0" w:line="51" w:lineRule="exact"/>
        <w:rPr>
          <w:sz w:val="20"/>
          <w:szCs w:val="20"/>
          <w:color w:val="auto"/>
        </w:rPr>
      </w:pPr>
    </w:p>
    <w:p>
      <w:pPr>
        <w:ind w:right="60" w:firstLine="446"/>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68" w:lineRule="exact"/>
        <w:rPr>
          <w:sz w:val="20"/>
          <w:szCs w:val="20"/>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planned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17"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clinics and patients;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 parties and government authorities;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 candidate.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80" w:right="239" w:bottom="1440" w:gutter="0" w:footer="0" w:header="0"/>
        </w:sectPr>
      </w:pPr>
    </w:p>
    <w:bookmarkStart w:id="39" w:name="page40"/>
    <w:bookmarkEnd w:id="39"/>
    <w:p>
      <w:pPr>
        <w:ind w:right="100" w:firstLine="446"/>
        <w:spacing w:after="0" w:line="282" w:lineRule="auto"/>
        <w:rPr>
          <w:sz w:val="20"/>
          <w:szCs w:val="20"/>
          <w:color w:val="auto"/>
        </w:rPr>
      </w:pPr>
      <w:r>
        <w:rPr>
          <w:rFonts w:ascii="Times New Roman" w:cs="Times New Roman" w:eastAsia="Times New Roman" w:hAnsi="Times New Roman"/>
          <w:sz w:val="18"/>
          <w:szCs w:val="18"/>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26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51"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ANB019 for the treatment of GPP or PPP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186" w:lineRule="exact"/>
        <w:rPr>
          <w:sz w:val="20"/>
          <w:szCs w:val="20"/>
          <w:color w:val="auto"/>
        </w:rPr>
      </w:pPr>
    </w:p>
    <w:p>
      <w:pPr>
        <w:ind w:right="180" w:firstLine="446"/>
        <w:spacing w:after="0" w:line="282" w:lineRule="auto"/>
        <w:rPr>
          <w:sz w:val="20"/>
          <w:szCs w:val="20"/>
          <w:color w:val="auto"/>
        </w:rPr>
      </w:pPr>
      <w:r>
        <w:rPr>
          <w:rFonts w:ascii="Times New Roman" w:cs="Times New Roman" w:eastAsia="Times New Roman" w:hAnsi="Times New Roman"/>
          <w:sz w:val="18"/>
          <w:szCs w:val="18"/>
          <w:color w:val="auto"/>
        </w:rPr>
        <w:t>If we or our partners, or any third party, are unable to successfully develop companion diagnostics for our product candidates, or experience delays in doing so:</w:t>
      </w:r>
    </w:p>
    <w:p>
      <w:pPr>
        <w:spacing w:after="0" w:line="54" w:lineRule="exact"/>
        <w:rPr>
          <w:sz w:val="20"/>
          <w:szCs w:val="20"/>
          <w:color w:val="auto"/>
        </w:rPr>
      </w:pPr>
    </w:p>
    <w:p>
      <w:pPr>
        <w:ind w:left="880" w:right="520" w:hanging="440"/>
        <w:spacing w:after="0" w:line="282"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product candidates may be adversely affected if we are unable to appropriately select patients for enrollment in our planned clinical trials;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receive marketing approval if their safe and effective use depends on a companion diagnostic; and</w:t>
      </w:r>
    </w:p>
    <w:p>
      <w:pPr>
        <w:spacing w:after="0" w:line="117" w:lineRule="exact"/>
        <w:rPr>
          <w:rFonts w:ascii="Times New Roman" w:cs="Times New Roman" w:eastAsia="Times New Roman" w:hAnsi="Times New Roman"/>
          <w:sz w:val="18"/>
          <w:szCs w:val="18"/>
          <w:color w:val="auto"/>
        </w:rPr>
      </w:pPr>
    </w:p>
    <w:p>
      <w:pPr>
        <w:ind w:left="880" w:right="500" w:hanging="440"/>
        <w:spacing w:after="0" w:line="282"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62" w:lineRule="exact"/>
        <w:rPr>
          <w:sz w:val="20"/>
          <w:szCs w:val="20"/>
          <w:color w:val="auto"/>
        </w:rPr>
      </w:pPr>
    </w:p>
    <w:p>
      <w:pPr>
        <w:ind w:right="320" w:firstLine="446"/>
        <w:spacing w:after="0" w:line="261" w:lineRule="auto"/>
        <w:rPr>
          <w:sz w:val="20"/>
          <w:szCs w:val="20"/>
          <w:color w:val="auto"/>
        </w:rPr>
      </w:pPr>
      <w:r>
        <w:rPr>
          <w:rFonts w:ascii="Times New Roman" w:cs="Times New Roman" w:eastAsia="Times New Roman" w:hAnsi="Times New Roman"/>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any of these events were to occur, our business would be harmed, possibly materially.</w:t>
      </w:r>
    </w:p>
    <w:p>
      <w:pPr>
        <w:spacing w:after="0" w:line="32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67" w:lineRule="exact"/>
        <w:rPr>
          <w:sz w:val="20"/>
          <w:szCs w:val="20"/>
          <w:color w:val="auto"/>
        </w:rPr>
      </w:pPr>
    </w:p>
    <w:p>
      <w:pPr>
        <w:ind w:right="100" w:firstLine="446"/>
        <w:spacing w:after="0" w:line="255" w:lineRule="auto"/>
        <w:rPr>
          <w:sz w:val="20"/>
          <w:szCs w:val="20"/>
          <w:color w:val="auto"/>
        </w:rPr>
      </w:pPr>
      <w:r>
        <w:rPr>
          <w:rFonts w:ascii="Times New Roman" w:cs="Times New Roman" w:eastAsia="Times New Roman" w:hAnsi="Times New Roman"/>
          <w:sz w:val="18"/>
          <w:szCs w:val="18"/>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current good manufacturing practices, or cGMPs, the FDA may deny BLA approval until the deficiencies are corrected or we replace the manufacturer in our BLA with a manufacturer that is in compliance.</w:t>
      </w:r>
    </w:p>
    <w:p>
      <w:pPr>
        <w:spacing w:after="0" w:line="185" w:lineRule="exact"/>
        <w:rPr>
          <w:sz w:val="20"/>
          <w:szCs w:val="20"/>
          <w:color w:val="auto"/>
        </w:rPr>
      </w:pPr>
    </w:p>
    <w:p>
      <w:pPr>
        <w:ind w:right="140" w:firstLine="446"/>
        <w:spacing w:after="0" w:line="266"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580" w:right="259" w:bottom="1440" w:gutter="0" w:footer="0" w:header="0"/>
        </w:sectPr>
      </w:pPr>
    </w:p>
    <w:bookmarkStart w:id="40" w:name="page41"/>
    <w:bookmarkEnd w:id="40"/>
    <w:p>
      <w:pPr>
        <w:ind w:right="140"/>
        <w:spacing w:after="0" w:line="258" w:lineRule="auto"/>
        <w:rPr>
          <w:sz w:val="20"/>
          <w:szCs w:val="20"/>
          <w:color w:val="auto"/>
        </w:rPr>
      </w:pPr>
      <w:r>
        <w:rPr>
          <w:rFonts w:ascii="Times New Roman" w:cs="Times New Roman" w:eastAsia="Times New Roman" w:hAnsi="Times New Roman"/>
          <w:sz w:val="18"/>
          <w:szCs w:val="18"/>
          <w:color w:val="auto"/>
        </w:rPr>
        <w:t>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84" w:lineRule="exact"/>
        <w:rPr>
          <w:sz w:val="20"/>
          <w:szCs w:val="20"/>
          <w:color w:val="auto"/>
        </w:rPr>
      </w:pPr>
    </w:p>
    <w:p>
      <w:pPr>
        <w:ind w:right="60" w:firstLine="446"/>
        <w:spacing w:after="0" w:line="256" w:lineRule="auto"/>
        <w:rPr>
          <w:sz w:val="20"/>
          <w:szCs w:val="20"/>
          <w:color w:val="auto"/>
        </w:rPr>
      </w:pPr>
      <w:r>
        <w:rPr>
          <w:rFonts w:ascii="Times New Roman" w:cs="Times New Roman" w:eastAsia="Times New Roman" w:hAnsi="Times New Roman"/>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1"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We are an early-stage biotechnology company with a limited operating history. We have no approved products. To date, our revenue has been primarily derived from our TESARO and Celgene research collaboration and license agreements,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84"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in every year except fiscal year 2014. We had $5.0 million in collaboration revenue and our net loss was $77.1 million for the nine months ended September 30, 2019 and $44.7 million for the nine months ended September 30, 2018, with $5.0 million in collaboration revenue. As of September 30, 2019, we had an accumulated deficit of $223.8 million.</w:t>
      </w:r>
    </w:p>
    <w:p>
      <w:pPr>
        <w:spacing w:after="0" w:line="176"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have financed our operations primarily through our initial public offering of common stock in January 2017, our follow-on public offerings of common stock in October 2017 and September 2018, private placements of our preferred stock and the issuance of debt. We have devoted substantially all of our efforts to research and development. We have only recently initiated clinical development for two of our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77" w:lineRule="exact"/>
        <w:rPr>
          <w:sz w:val="20"/>
          <w:szCs w:val="20"/>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of our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existing and enter into new collaboration agreements;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preclinical studies and initiate clinical trials for our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approvals for the product candidates we develop or developed under our collaboration arrangements;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marketing approval;</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executive,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880" w:right="400" w:hanging="440"/>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efforts;</w:t>
      </w:r>
    </w:p>
    <w:p>
      <w:pPr>
        <w:spacing w:after="0" w:line="53"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and ensure adequate and legally compliant manufacturing of our products;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580" w:right="259" w:bottom="1440" w:gutter="0" w:footer="0" w:header="0"/>
        </w:sectPr>
      </w:pPr>
    </w:p>
    <w:bookmarkStart w:id="41" w:name="page42"/>
    <w:bookmarkEnd w:id="41"/>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our or our collaborators’ products, if any.</w:t>
      </w:r>
    </w:p>
    <w:p>
      <w:pPr>
        <w:spacing w:after="0" w:line="225" w:lineRule="exact"/>
        <w:rPr>
          <w:sz w:val="20"/>
          <w:szCs w:val="20"/>
          <w:color w:val="auto"/>
        </w:rPr>
      </w:pPr>
    </w:p>
    <w:p>
      <w:pPr>
        <w:ind w:right="100" w:firstLine="446"/>
        <w:spacing w:after="0" w:line="258" w:lineRule="auto"/>
        <w:rPr>
          <w:sz w:val="20"/>
          <w:szCs w:val="20"/>
          <w:color w:val="auto"/>
        </w:rPr>
      </w:pPr>
      <w:r>
        <w:rPr>
          <w:rFonts w:ascii="Times New Roman" w:cs="Times New Roman" w:eastAsia="Times New Roman" w:hAnsi="Times New Roman"/>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etokimab, or any of our other product candidates, are approved for commercial sale, we anticipate incurring significant costs associated with the commercial launch of any product candidate.</w:t>
      </w:r>
    </w:p>
    <w:p>
      <w:pPr>
        <w:spacing w:after="0" w:line="184" w:lineRule="exact"/>
        <w:rPr>
          <w:sz w:val="20"/>
          <w:szCs w:val="20"/>
          <w:color w:val="auto"/>
        </w:rPr>
      </w:pPr>
    </w:p>
    <w:p>
      <w:pPr>
        <w:ind w:right="60" w:firstLine="446"/>
        <w:spacing w:after="0" w:line="254" w:lineRule="auto"/>
        <w:rPr>
          <w:sz w:val="20"/>
          <w:szCs w:val="20"/>
          <w:color w:val="auto"/>
        </w:rPr>
      </w:pPr>
      <w:r>
        <w:rPr>
          <w:rFonts w:ascii="Times New Roman" w:cs="Times New Roman" w:eastAsia="Times New Roman" w:hAnsi="Times New Roman"/>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at least through the end of 2020. However, circumstances may cause us to consume capital more rapidly than we currently anticipate. For example, as we continue to move our product candidates through preclinical studies, submit INDs or foreign equivalents and conduct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93" w:lineRule="exact"/>
        <w:rPr>
          <w:sz w:val="20"/>
          <w:szCs w:val="20"/>
          <w:color w:val="auto"/>
        </w:rPr>
      </w:pPr>
    </w:p>
    <w:p>
      <w:pPr>
        <w:ind w:right="160" w:firstLine="446"/>
        <w:spacing w:after="0" w:line="266" w:lineRule="auto"/>
        <w:rPr>
          <w:sz w:val="20"/>
          <w:szCs w:val="20"/>
          <w:color w:val="auto"/>
        </w:rPr>
      </w:pPr>
      <w:r>
        <w:rPr>
          <w:rFonts w:ascii="Times New Roman" w:cs="Times New Roman" w:eastAsia="Times New Roman" w:hAnsi="Times New Roman"/>
          <w:sz w:val="18"/>
          <w:szCs w:val="18"/>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68" w:lineRule="exact"/>
        <w:rPr>
          <w:sz w:val="20"/>
          <w:szCs w:val="20"/>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 scale back or discontinue the development or commercialization of our product candidates or cease operations altogether;</w:t>
      </w:r>
    </w:p>
    <w:p>
      <w:pPr>
        <w:spacing w:after="0" w:line="117" w:lineRule="exact"/>
        <w:rPr>
          <w:rFonts w:ascii="Times New Roman" w:cs="Times New Roman" w:eastAsia="Times New Roman" w:hAnsi="Times New Roman"/>
          <w:sz w:val="18"/>
          <w:szCs w:val="18"/>
          <w:color w:val="auto"/>
        </w:rPr>
      </w:pPr>
    </w:p>
    <w:p>
      <w:pPr>
        <w:ind w:left="880" w:right="40" w:hanging="440"/>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alliances for research and development programs at an earlier stage than we would otherwise desire or on terms less favorable than might otherwise be available;</w:t>
      </w:r>
    </w:p>
    <w:p>
      <w:pPr>
        <w:spacing w:after="0" w:line="53" w:lineRule="exact"/>
        <w:rPr>
          <w:rFonts w:ascii="Times New Roman" w:cs="Times New Roman" w:eastAsia="Times New Roman" w:hAnsi="Times New Roman"/>
          <w:sz w:val="18"/>
          <w:szCs w:val="18"/>
          <w:color w:val="auto"/>
        </w:rPr>
      </w:pPr>
    </w:p>
    <w:p>
      <w:pPr>
        <w:ind w:left="880" w:right="260" w:hanging="440"/>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future product candidates that we otherwise would seek to develop or commercialize ourselves; or</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staff to conserve resources.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472" w:right="279" w:bottom="1440" w:gutter="0" w:footer="0" w:header="0"/>
        </w:sectPr>
      </w:pPr>
    </w:p>
    <w:bookmarkStart w:id="42" w:name="page43"/>
    <w:bookmarkEnd w:id="42"/>
    <w:p>
      <w:pPr>
        <w:ind w:right="80" w:firstLine="446"/>
        <w:spacing w:after="0" w:line="256" w:lineRule="auto"/>
        <w:rPr>
          <w:sz w:val="20"/>
          <w:szCs w:val="20"/>
          <w:color w:val="auto"/>
        </w:rPr>
      </w:pPr>
      <w:r>
        <w:rPr>
          <w:rFonts w:ascii="Times New Roman" w:cs="Times New Roman" w:eastAsia="Times New Roman" w:hAnsi="Times New Roman"/>
          <w:sz w:val="18"/>
          <w:szCs w:val="18"/>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80" w:lineRule="exact"/>
        <w:rPr>
          <w:sz w:val="20"/>
          <w:szCs w:val="20"/>
          <w:color w:val="auto"/>
        </w:rPr>
      </w:pPr>
    </w:p>
    <w:p>
      <w:pPr>
        <w:ind w:left="880" w:right="14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size of clinical trials needed to show safety, efficacy and an acceptable risk/benefit profile for any of our product candidates;</w:t>
      </w:r>
    </w:p>
    <w:p>
      <w:pPr>
        <w:spacing w:after="0" w:line="117" w:lineRule="exact"/>
        <w:rPr>
          <w:rFonts w:ascii="Times New Roman" w:cs="Times New Roman" w:eastAsia="Times New Roman" w:hAnsi="Times New Roman"/>
          <w:sz w:val="18"/>
          <w:szCs w:val="18"/>
          <w:color w:val="auto"/>
        </w:rPr>
      </w:pPr>
    </w:p>
    <w:p>
      <w:pPr>
        <w:ind w:left="880" w:right="54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enter into new collaboration agreements;</w:t>
      </w:r>
    </w:p>
    <w:p>
      <w:pPr>
        <w:spacing w:after="0" w:line="117" w:lineRule="exact"/>
        <w:rPr>
          <w:rFonts w:ascii="Times New Roman" w:cs="Times New Roman" w:eastAsia="Times New Roman" w:hAnsi="Times New Roman"/>
          <w:sz w:val="18"/>
          <w:szCs w:val="18"/>
          <w:color w:val="auto"/>
        </w:rPr>
      </w:pPr>
    </w:p>
    <w:p>
      <w:pPr>
        <w:jc w:val="both"/>
        <w:ind w:left="880" w:right="600" w:hanging="440"/>
        <w:spacing w:after="0" w:line="266"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6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recruiting and retaining key employees;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any delays or cancellations of forecasted manufacturing batches;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manufacturing sites for commercial-scale manufacturing; and</w:t>
      </w:r>
    </w:p>
    <w:p>
      <w:pPr>
        <w:spacing w:after="0" w:line="11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337" w:lineRule="exact"/>
        <w:rPr>
          <w:sz w:val="20"/>
          <w:szCs w:val="20"/>
          <w:color w:val="auto"/>
        </w:rPr>
      </w:pPr>
    </w:p>
    <w:p>
      <w:pPr>
        <w:ind w:right="180" w:firstLine="446"/>
        <w:spacing w:after="0" w:line="282" w:lineRule="auto"/>
        <w:rPr>
          <w:sz w:val="20"/>
          <w:szCs w:val="20"/>
          <w:color w:val="auto"/>
        </w:rPr>
      </w:pPr>
      <w:r>
        <w:rPr>
          <w:rFonts w:ascii="Times New Roman" w:cs="Times New Roman" w:eastAsia="Times New Roman" w:hAnsi="Times New Roman"/>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26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1"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89" w:lineRule="exact"/>
        <w:rPr>
          <w:sz w:val="20"/>
          <w:szCs w:val="20"/>
          <w:color w:val="auto"/>
        </w:rPr>
      </w:pPr>
    </w:p>
    <w:p>
      <w:pPr>
        <w:ind w:right="5260"/>
        <w:spacing w:after="0" w:line="450" w:lineRule="auto"/>
        <w:rPr>
          <w:sz w:val="20"/>
          <w:szCs w:val="20"/>
          <w:color w:val="auto"/>
        </w:rPr>
      </w:pPr>
      <w:r>
        <w:rPr>
          <w:rFonts w:ascii="Times New Roman" w:cs="Times New Roman" w:eastAsia="Times New Roman" w:hAnsi="Times New Roman"/>
          <w:sz w:val="17"/>
          <w:szCs w:val="17"/>
          <w:b w:val="1"/>
          <w:bCs w:val="1"/>
          <w:color w:val="auto"/>
        </w:rPr>
        <w:t>Risks Related to Managing Growth, Operations and Macroeconomic Conditions We must attract and retain highly skilled employees in order to succeed.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80" w:right="239" w:bottom="1440" w:gutter="0" w:footer="0" w:header="0"/>
        </w:sectPr>
      </w:pPr>
    </w:p>
    <w:bookmarkStart w:id="43" w:name="page44"/>
    <w:bookmarkEnd w:id="43"/>
    <w:p>
      <w:pPr>
        <w:ind w:firstLine="567"/>
        <w:spacing w:after="0" w:line="253"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 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particularly our President and Chief Executive Officer, as well as our senior scientists. We also appointed Eric Loumeau, our General Counsel, to serve as interim Chief Financial Officer in August 2019, and until we appoint a permanent chief financial officer, this transition may be disruptive and may require additional attention from our senior management.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have worked together for only a relatively short period of time, and it may be difficult to evaluate their effectiveness, on an individual or collective basis, and ability to address future challenges to our business.</w:t>
      </w:r>
    </w:p>
    <w:p>
      <w:pPr>
        <w:spacing w:after="0" w:line="189" w:lineRule="exact"/>
        <w:rPr>
          <w:sz w:val="20"/>
          <w:szCs w:val="20"/>
          <w:color w:val="auto"/>
        </w:rPr>
      </w:pPr>
    </w:p>
    <w:p>
      <w:pPr>
        <w:jc w:val="both"/>
        <w:ind w:right="100" w:firstLine="567"/>
        <w:spacing w:after="0" w:line="261"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8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could be delayed or stopped.</w:t>
      </w:r>
    </w:p>
    <w:p>
      <w:pPr>
        <w:spacing w:after="0" w:line="70" w:lineRule="exact"/>
        <w:rPr>
          <w:sz w:val="20"/>
          <w:szCs w:val="20"/>
          <w:color w:val="auto"/>
        </w:rPr>
      </w:pPr>
    </w:p>
    <w:p>
      <w:pPr>
        <w:ind w:firstLine="446"/>
        <w:spacing w:after="0"/>
        <w:rPr>
          <w:sz w:val="20"/>
          <w:szCs w:val="20"/>
          <w:color w:val="auto"/>
        </w:rPr>
      </w:pPr>
      <w:r>
        <w:rPr>
          <w:rFonts w:ascii="Times New Roman" w:cs="Times New Roman" w:eastAsia="Times New Roman" w:hAnsi="Times New Roman"/>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 regulations and guidelines for the manufacturing of biologics used in clinical trials and, if approved, marketed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85" w:lineRule="exact"/>
        <w:rPr>
          <w:sz w:val="20"/>
          <w:szCs w:val="20"/>
          <w:color w:val="auto"/>
        </w:rPr>
      </w:pPr>
    </w:p>
    <w:p>
      <w:pPr>
        <w:ind w:right="140" w:firstLine="446"/>
        <w:spacing w:after="0" w:line="245" w:lineRule="auto"/>
        <w:rPr>
          <w:sz w:val="20"/>
          <w:szCs w:val="20"/>
          <w:color w:val="auto"/>
        </w:rPr>
      </w:pPr>
      <w:r>
        <w:rPr>
          <w:rFonts w:ascii="Times New Roman" w:cs="Times New Roman" w:eastAsia="Times New Roman" w:hAnsi="Times New Roman"/>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1" w:lineRule="exact"/>
        <w:rPr>
          <w:sz w:val="20"/>
          <w:szCs w:val="20"/>
          <w:color w:val="auto"/>
        </w:rPr>
      </w:pPr>
    </w:p>
    <w:p>
      <w:pPr>
        <w:ind w:right="40" w:firstLine="446"/>
        <w:spacing w:after="0" w:line="237" w:lineRule="auto"/>
        <w:rPr>
          <w:sz w:val="20"/>
          <w:szCs w:val="20"/>
          <w:color w:val="auto"/>
        </w:rPr>
      </w:pPr>
      <w:r>
        <w:rPr>
          <w:rFonts w:ascii="Times New Roman" w:cs="Times New Roman" w:eastAsia="Times New Roman" w:hAnsi="Times New Roman"/>
          <w:sz w:val="18"/>
          <w:szCs w:val="18"/>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our product candidates or products and could have an adverse effect on our business, prospects, financial condition and results of operations.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72" w:right="259" w:bottom="1440" w:gutter="0" w:footer="0" w:header="0"/>
        </w:sectPr>
      </w:pPr>
    </w:p>
    <w:bookmarkStart w:id="44" w:name="page45"/>
    <w:bookmarkEnd w:id="44"/>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67"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We expect to expand our development and regulatory capabilities, and as a result, we may encounter difficulties in managing our growth, which could disrupt our operations.</w:t>
      </w:r>
    </w:p>
    <w:p>
      <w:pPr>
        <w:spacing w:after="0" w:line="51" w:lineRule="exact"/>
        <w:rPr>
          <w:sz w:val="20"/>
          <w:szCs w:val="20"/>
          <w:color w:val="auto"/>
        </w:rPr>
      </w:pPr>
    </w:p>
    <w:p>
      <w:pPr>
        <w:ind w:right="40" w:firstLine="446"/>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color w:val="auto"/>
        </w:rPr>
        <w:t>We conduct certain operations through our Australian wholly-owned subsidiary. If we are unable to receive the research and development tax credit allowed by Australian regulations, our business and results of operations will suffer.</w:t>
      </w:r>
    </w:p>
    <w:p>
      <w:pPr>
        <w:spacing w:after="0" w:line="50" w:lineRule="exact"/>
        <w:rPr>
          <w:sz w:val="20"/>
          <w:szCs w:val="20"/>
          <w:color w:val="auto"/>
        </w:rPr>
      </w:pPr>
    </w:p>
    <w:p>
      <w:pPr>
        <w:ind w:right="80" w:firstLine="446"/>
        <w:spacing w:after="0" w:line="250" w:lineRule="auto"/>
        <w:rPr>
          <w:sz w:val="20"/>
          <w:szCs w:val="20"/>
          <w:color w:val="auto"/>
        </w:rPr>
      </w:pPr>
      <w:r>
        <w:rPr>
          <w:rFonts w:ascii="Times New Roman" w:cs="Times New Roman" w:eastAsia="Times New Roman" w:hAnsi="Times New Roman"/>
          <w:sz w:val="18"/>
          <w:szCs w:val="18"/>
          <w:color w:val="auto"/>
        </w:rPr>
        <w:t>In March 2015, we formed a wholly-owned Australian subsidiary, AnaptysBio Pty Ltd, or AnaptysBio Pty, to develop and commercialize our ANB019 and etokimab antibody program in Australia. We have no assurance that the results of any clinical trials that we conducted for our product candidates in Australia will be accepted by the FDA or foreign regulatory authorities for development and commercialization approvals.</w:t>
      </w:r>
    </w:p>
    <w:p>
      <w:pPr>
        <w:spacing w:after="0" w:line="177" w:lineRule="exact"/>
        <w:rPr>
          <w:sz w:val="20"/>
          <w:szCs w:val="20"/>
          <w:color w:val="auto"/>
        </w:rPr>
      </w:pPr>
    </w:p>
    <w:p>
      <w:pPr>
        <w:ind w:right="40" w:firstLine="446"/>
        <w:spacing w:after="0" w:line="245" w:lineRule="auto"/>
        <w:rPr>
          <w:sz w:val="20"/>
          <w:szCs w:val="20"/>
          <w:color w:val="auto"/>
        </w:rPr>
      </w:pPr>
      <w:r>
        <w:rPr>
          <w:rFonts w:ascii="Times New Roman" w:cs="Times New Roman" w:eastAsia="Times New Roman" w:hAnsi="Times New Roman"/>
          <w:sz w:val="18"/>
          <w:szCs w:val="18"/>
          <w:color w:val="auto"/>
        </w:rPr>
        <w:t>In addition, current Australian tax regulations provide for a refundable research and development, or R&amp;D, tax credit equal to 43.5% of qualified expenditures. We have received $9.3 million USD in R&amp;D tax credits since the inception of our operations in Australia, and currently do not intend to submit for any additional tax credits. If we are ineligible or unable to retain the research and development tax credits received thus far and are required to repay all or a portion of the credit, our business and results of operation would be adversely affected.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vulnerable to disruption, damage and financial obligation as a result of system failures.</w:t>
      </w:r>
    </w:p>
    <w:p>
      <w:pPr>
        <w:spacing w:after="0" w:line="108" w:lineRule="exact"/>
        <w:rPr>
          <w:sz w:val="20"/>
          <w:szCs w:val="20"/>
          <w:color w:val="auto"/>
        </w:rPr>
      </w:pPr>
    </w:p>
    <w:p>
      <w:pPr>
        <w:ind w:firstLine="446"/>
        <w:spacing w:after="0" w:line="239" w:lineRule="auto"/>
        <w:rPr>
          <w:sz w:val="20"/>
          <w:szCs w:val="20"/>
          <w:color w:val="auto"/>
        </w:rPr>
      </w:pPr>
      <w:r>
        <w:rPr>
          <w:rFonts w:ascii="Times New Roman" w:cs="Times New Roman" w:eastAsia="Times New Roman" w:hAnsi="Times New Roman"/>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76"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candidates may be delayed. Furthermore, we may incur additional costs to remedy the damages caused by these disruptions or security breaches.</w:t>
      </w:r>
    </w:p>
    <w:p>
      <w:pPr>
        <w:spacing w:after="0" w:line="316"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color w:val="auto"/>
        </w:rPr>
        <w:t>Our operations, or the third parties upon whom we depend, are vulnerable to interruption by fire, earthquake, power loss, telecommunications failure, terrorist activity and other events beyond our control, which could harm our business.</w:t>
      </w:r>
    </w:p>
    <w:p>
      <w:pPr>
        <w:spacing w:after="0" w:line="50" w:lineRule="exact"/>
        <w:rPr>
          <w:sz w:val="20"/>
          <w:szCs w:val="20"/>
          <w:color w:val="auto"/>
        </w:rPr>
      </w:pPr>
    </w:p>
    <w:p>
      <w:pPr>
        <w:ind w:firstLine="446"/>
        <w:spacing w:after="0"/>
        <w:rPr>
          <w:sz w:val="20"/>
          <w:szCs w:val="20"/>
          <w:color w:val="auto"/>
        </w:rPr>
      </w:pPr>
      <w:r>
        <w:rPr>
          <w:rFonts w:ascii="Times New Roman" w:cs="Times New Roman" w:eastAsia="Times New Roman" w:hAnsi="Times New Roman"/>
          <w:sz w:val="18"/>
          <w:szCs w:val="18"/>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185"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Furthermore, integral parties in our supply chain are geographically concentrated and operating from single sites, increasing their vulnerability to natural disasters or other sudden, unforeseen and severe and/or serious adverse events. If such an event were to affect our supply chain, it could have a material adverse effect on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67" w:lineRule="exact"/>
        <w:rPr>
          <w:sz w:val="20"/>
          <w:szCs w:val="20"/>
          <w:color w:val="auto"/>
        </w:rPr>
      </w:pPr>
    </w:p>
    <w:p>
      <w:pPr>
        <w:ind w:right="20" w:firstLine="567"/>
        <w:spacing w:after="0" w:line="256" w:lineRule="auto"/>
        <w:rPr>
          <w:sz w:val="20"/>
          <w:szCs w:val="20"/>
          <w:color w:val="auto"/>
        </w:rPr>
      </w:pPr>
      <w:r>
        <w:rPr>
          <w:rFonts w:ascii="Times New Roman" w:cs="Times New Roman" w:eastAsia="Times New Roman" w:hAnsi="Times New Roman"/>
          <w:sz w:val="18"/>
          <w:szCs w:val="18"/>
          <w:color w:val="auto"/>
        </w:rPr>
        <w:t>We have entered into collaborations with TESARO and Celgene to develop several of our product candidates. We have also entered into antibody generation and/or development collaborations with various collaborators, including TESARO and Celgene, under which we have generated therapeutic quality antibodies using our technology platform and conducted certain preclinical studies in collaboration. We are currently aware that TESARO and Celgene have advanced multiple antibodies generated through our collaboration into clinical trials. If our collaborators terminate any of our collaborations, we may not receive all or any of this funding, which would adversely affect our business or financial condition. Our operational obligations under each of our collaborations has ended.</w:t>
      </w:r>
    </w:p>
    <w:p>
      <w:pPr>
        <w:spacing w:after="0" w:line="188" w:lineRule="exact"/>
        <w:rPr>
          <w:sz w:val="20"/>
          <w:szCs w:val="20"/>
          <w:color w:val="auto"/>
        </w:rPr>
      </w:pPr>
    </w:p>
    <w:p>
      <w:pPr>
        <w:ind w:right="80" w:firstLine="567"/>
        <w:spacing w:after="0" w:line="256" w:lineRule="auto"/>
        <w:rPr>
          <w:sz w:val="20"/>
          <w:szCs w:val="20"/>
          <w:color w:val="auto"/>
        </w:rPr>
      </w:pPr>
      <w:r>
        <w:rPr>
          <w:rFonts w:ascii="Times New Roman" w:cs="Times New Roman" w:eastAsia="Times New Roman" w:hAnsi="Times New Roman"/>
          <w:sz w:val="18"/>
          <w:szCs w:val="18"/>
          <w:color w:val="auto"/>
        </w:rPr>
        <w:t>Moreover, both TESARO and Celgene recently announced agreements to be acquired by large pharmaceutical companies. On December 3, 2018, GlaxoSmithKline plc announced an agreement to acquire TESARO, which closed on January 22, 2019, and on January 3, 2019, Bristol-Myers Squibb Co. announced an agreement to acquire Celgene Corp, which is expected to close by the end of 2019. There can be no assurance that these collaborators, following their respective acquisitions by third parties, or such third-party acquirers, will continue to develop and commercialize these product candidates consistent with and with similar timelines as done previous to the acquisitions or that they will comply with the covenants, restrictions, sub-license and other agreement provisions, which, if they don’t comply, could lead us into disputes and potentially trigger breaches of our agreements with other partners.</w:t>
      </w:r>
    </w:p>
    <w:p>
      <w:pPr>
        <w:spacing w:after="0" w:line="188"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472" w:right="279" w:bottom="1440" w:gutter="0" w:footer="0" w:header="0"/>
        </w:sectPr>
      </w:pPr>
    </w:p>
    <w:bookmarkStart w:id="46" w:name="page47"/>
    <w:bookmarkEnd w:id="46"/>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We may not succeed in establishing and maintaining additional development collaborations, which could adversely affect our ability to develop and commercialize product candidates.</w:t>
      </w:r>
    </w:p>
    <w:p>
      <w:pPr>
        <w:spacing w:after="0" w:line="51" w:lineRule="exact"/>
        <w:rPr>
          <w:sz w:val="20"/>
          <w:szCs w:val="20"/>
          <w:color w:val="auto"/>
        </w:rPr>
      </w:pPr>
    </w:p>
    <w:p>
      <w:pPr>
        <w:ind w:right="40" w:firstLine="446"/>
        <w:spacing w:after="0" w:line="253" w:lineRule="auto"/>
        <w:rPr>
          <w:sz w:val="20"/>
          <w:szCs w:val="20"/>
          <w:color w:val="auto"/>
        </w:rPr>
      </w:pPr>
      <w:r>
        <w:rPr>
          <w:rFonts w:ascii="Times New Roman" w:cs="Times New Roman" w:eastAsia="Times New Roman" w:hAnsi="Times New Roman"/>
          <w:sz w:val="18"/>
          <w:szCs w:val="18"/>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development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Moreover, if we fail to establish and maintain additional development collaborations related to our product candidates:</w:t>
      </w:r>
    </w:p>
    <w:p>
      <w:pPr>
        <w:spacing w:after="0" w:line="117" w:lineRule="exact"/>
        <w:rPr>
          <w:sz w:val="20"/>
          <w:szCs w:val="20"/>
          <w:color w:val="auto"/>
        </w:rPr>
      </w:pPr>
    </w:p>
    <w:p>
      <w:pPr>
        <w:ind w:left="880" w:hanging="440"/>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certain of our current or future product candidates may be terminated or delayed;</w:t>
      </w:r>
    </w:p>
    <w:p>
      <w:pPr>
        <w:spacing w:after="0" w:line="117" w:lineRule="exact"/>
        <w:rPr>
          <w:rFonts w:ascii="Times New Roman" w:cs="Times New Roman" w:eastAsia="Times New Roman" w:hAnsi="Times New Roman"/>
          <w:sz w:val="18"/>
          <w:szCs w:val="18"/>
          <w:color w:val="auto"/>
        </w:rPr>
      </w:pPr>
    </w:p>
    <w:p>
      <w:pPr>
        <w:ind w:left="880" w:right="60" w:hanging="440"/>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related to development of certain of our current or future product candidates would increase significantly and we may need to seek additional financing;</w:t>
      </w:r>
    </w:p>
    <w:p>
      <w:pPr>
        <w:spacing w:after="0" w:line="53" w:lineRule="exact"/>
        <w:rPr>
          <w:rFonts w:ascii="Times New Roman" w:cs="Times New Roman" w:eastAsia="Times New Roman" w:hAnsi="Times New Roman"/>
          <w:sz w:val="18"/>
          <w:szCs w:val="18"/>
          <w:color w:val="auto"/>
        </w:rPr>
      </w:pPr>
    </w:p>
    <w:p>
      <w:pPr>
        <w:ind w:left="880" w:right="280" w:hanging="440"/>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hire additional employees or otherwise develop expertise, such as sales and marketing expertise, for which we have not budgeted; and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risk related to the development of any such product candidates.</w:t>
      </w:r>
    </w:p>
    <w:p>
      <w:pPr>
        <w:spacing w:after="0" w:line="32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67"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We rely on third party clinical investigators, contract research organizations (for non-clinical and clinical activities), or CROs, contract manufacturing organizations, or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186" w:lineRule="exact"/>
        <w:rPr>
          <w:sz w:val="20"/>
          <w:szCs w:val="20"/>
          <w:color w:val="auto"/>
        </w:rPr>
      </w:pPr>
    </w:p>
    <w:p>
      <w:pPr>
        <w:ind w:right="80" w:firstLine="446"/>
        <w:spacing w:after="0" w:line="256"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completely on third parties to manufacture our nonclinical, clinical and future commercial drug supplies of any approved products.</w:t>
      </w:r>
    </w:p>
    <w:p>
      <w:pPr>
        <w:spacing w:after="0" w:line="121" w:lineRule="exact"/>
        <w:rPr>
          <w:sz w:val="20"/>
          <w:szCs w:val="20"/>
          <w:color w:val="auto"/>
        </w:rPr>
      </w:pPr>
    </w:p>
    <w:p>
      <w:pPr>
        <w:ind w:right="160" w:firstLine="500"/>
        <w:spacing w:after="0" w:line="261" w:lineRule="auto"/>
        <w:rPr>
          <w:sz w:val="20"/>
          <w:szCs w:val="20"/>
          <w:color w:val="auto"/>
        </w:rPr>
      </w:pPr>
      <w:r>
        <w:rPr>
          <w:rFonts w:ascii="Times New Roman" w:cs="Times New Roman" w:eastAsia="Times New Roman" w:hAnsi="Times New Roman"/>
          <w:sz w:val="18"/>
          <w:szCs w:val="18"/>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684" w:right="239" w:bottom="1440" w:gutter="0" w:footer="0" w:header="0"/>
        </w:sectPr>
      </w:pPr>
    </w:p>
    <w:bookmarkStart w:id="47" w:name="page48"/>
    <w:bookmarkEnd w:id="47"/>
    <w:p>
      <w:pPr>
        <w:ind w:right="40"/>
        <w:spacing w:after="0" w:line="255" w:lineRule="auto"/>
        <w:rPr>
          <w:sz w:val="20"/>
          <w:szCs w:val="20"/>
          <w:color w:val="auto"/>
        </w:rPr>
      </w:pPr>
      <w:r>
        <w:rPr>
          <w:rFonts w:ascii="Times New Roman" w:cs="Times New Roman" w:eastAsia="Times New Roman" w:hAnsi="Times New Roman"/>
          <w:sz w:val="18"/>
          <w:szCs w:val="18"/>
          <w:color w:val="auto"/>
        </w:rPr>
        <w:t>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8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6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2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5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 if our product candidates receive regulatory approval, they will be subject to significant post-marketing regulatory requirements.</w:t>
      </w:r>
    </w:p>
    <w:p>
      <w:pPr>
        <w:spacing w:after="0" w:line="121" w:lineRule="exact"/>
        <w:rPr>
          <w:sz w:val="20"/>
          <w:szCs w:val="20"/>
          <w:color w:val="auto"/>
        </w:rPr>
      </w:pPr>
    </w:p>
    <w:p>
      <w:pPr>
        <w:ind w:firstLine="446"/>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91" w:lineRule="exact"/>
        <w:rPr>
          <w:sz w:val="20"/>
          <w:szCs w:val="20"/>
          <w:color w:val="auto"/>
        </w:rPr>
      </w:pPr>
    </w:p>
    <w:p>
      <w:pPr>
        <w:ind w:left="5620" w:right="2040" w:hanging="5180"/>
        <w:spacing w:after="0" w:line="564" w:lineRule="auto"/>
        <w:tabs>
          <w:tab w:leader="none" w:pos="88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 45</w:t>
      </w:r>
    </w:p>
    <w:p>
      <w:pPr>
        <w:sectPr>
          <w:pgSz w:w="11900" w:h="16838" w:orient="portrait"/>
          <w:cols w:equalWidth="0" w:num="1">
            <w:col w:w="11420"/>
          </w:cols>
          <w:pgMar w:left="240" w:top="472" w:right="239" w:bottom="1440" w:gutter="0" w:footer="0" w:header="0"/>
        </w:sectPr>
      </w:pPr>
    </w:p>
    <w:bookmarkStart w:id="48" w:name="page49"/>
    <w:bookmarkEnd w:id="48"/>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BLAs or supplements to approved BLAs.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w:t>
      </w:r>
    </w:p>
    <w:p>
      <w:pPr>
        <w:spacing w:after="0" w:line="225" w:lineRule="exact"/>
        <w:rPr>
          <w:sz w:val="20"/>
          <w:szCs w:val="20"/>
          <w:color w:val="auto"/>
        </w:rPr>
      </w:pPr>
    </w:p>
    <w:p>
      <w:pPr>
        <w:ind w:right="120" w:firstLine="446"/>
        <w:spacing w:after="0" w:line="258"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84"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9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failure to obtain regulatory approval in international jurisdictions would prevent us from marketing our product candidates outside the United States.</w:t>
      </w:r>
    </w:p>
    <w:p>
      <w:pPr>
        <w:spacing w:after="0" w:line="51" w:lineRule="exact"/>
        <w:rPr>
          <w:sz w:val="20"/>
          <w:szCs w:val="20"/>
          <w:color w:val="auto"/>
        </w:rPr>
      </w:pPr>
    </w:p>
    <w:p>
      <w:pPr>
        <w:ind w:right="160" w:firstLine="446"/>
        <w:spacing w:after="0" w:line="256" w:lineRule="auto"/>
        <w:rPr>
          <w:sz w:val="20"/>
          <w:szCs w:val="20"/>
          <w:color w:val="auto"/>
        </w:rPr>
      </w:pPr>
      <w:r>
        <w:rPr>
          <w:rFonts w:ascii="Times New Roman" w:cs="Times New Roman" w:eastAsia="Times New Roman" w:hAnsi="Times New Roman"/>
          <w:sz w:val="18"/>
          <w:szCs w:val="18"/>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88"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72" w:right="239" w:bottom="1440" w:gutter="0" w:footer="0" w:header="0"/>
        </w:sectPr>
      </w:pPr>
    </w:p>
    <w:bookmarkStart w:id="49" w:name="page50"/>
    <w:bookmarkEnd w:id="49"/>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5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91" w:lineRule="exact"/>
        <w:rPr>
          <w:sz w:val="20"/>
          <w:szCs w:val="20"/>
          <w:color w:val="auto"/>
        </w:rPr>
      </w:pPr>
    </w:p>
    <w:p>
      <w:pPr>
        <w:ind w:right="180" w:firstLine="446"/>
        <w:spacing w:after="0" w:line="261" w:lineRule="auto"/>
        <w:rPr>
          <w:sz w:val="20"/>
          <w:szCs w:val="20"/>
          <w:color w:val="auto"/>
        </w:rPr>
      </w:pPr>
      <w:r>
        <w:rPr>
          <w:rFonts w:ascii="Times New Roman" w:cs="Times New Roman" w:eastAsia="Times New Roman" w:hAnsi="Times New Roman"/>
          <w:sz w:val="18"/>
          <w:szCs w:val="18"/>
          <w:color w:val="auto"/>
        </w:rPr>
        <w:t>We have not been granted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80" w:lineRule="exact"/>
        <w:rPr>
          <w:sz w:val="20"/>
          <w:szCs w:val="20"/>
          <w:color w:val="auto"/>
        </w:rPr>
      </w:pPr>
    </w:p>
    <w:p>
      <w:pPr>
        <w:ind w:right="20" w:firstLine="446"/>
        <w:spacing w:after="0" w:line="256" w:lineRule="auto"/>
        <w:rPr>
          <w:sz w:val="20"/>
          <w:szCs w:val="20"/>
          <w:color w:val="auto"/>
        </w:rPr>
      </w:pPr>
      <w:r>
        <w:rPr>
          <w:rFonts w:ascii="Times New Roman" w:cs="Times New Roman" w:eastAsia="Times New Roman" w:hAnsi="Times New Roman"/>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right="140" w:firstLine="446"/>
        <w:spacing w:after="0" w:line="254"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at limited levels, we may not successfully commercialize any product candidate for which we obtain marketing approval.</w:t>
      </w:r>
    </w:p>
    <w:p>
      <w:pPr>
        <w:spacing w:after="0" w:line="189" w:lineRule="exact"/>
        <w:rPr>
          <w:sz w:val="20"/>
          <w:szCs w:val="20"/>
          <w:color w:val="auto"/>
        </w:rPr>
      </w:pPr>
    </w:p>
    <w:p>
      <w:pPr>
        <w:ind w:right="40" w:firstLine="446"/>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684" w:right="239" w:bottom="1440" w:gutter="0" w:footer="0" w:header="0"/>
        </w:sectPr>
      </w:pPr>
    </w:p>
    <w:bookmarkStart w:id="50" w:name="page51"/>
    <w:bookmarkEnd w:id="50"/>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and the timing of achieving a reimbursement determination will be.</w:t>
      </w:r>
    </w:p>
    <w:p>
      <w:pPr>
        <w:spacing w:after="0" w:line="185"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6" w:lineRule="exact"/>
        <w:rPr>
          <w:sz w:val="20"/>
          <w:szCs w:val="20"/>
          <w:color w:val="auto"/>
        </w:rPr>
      </w:pPr>
    </w:p>
    <w:p>
      <w:pPr>
        <w:ind w:right="200" w:firstLine="446"/>
        <w:spacing w:after="0" w:line="241"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184" w:lineRule="exact"/>
        <w:rPr>
          <w:sz w:val="20"/>
          <w:szCs w:val="20"/>
          <w:color w:val="auto"/>
        </w:rPr>
      </w:pPr>
    </w:p>
    <w:p>
      <w:pPr>
        <w:ind w:right="40" w:firstLine="446"/>
        <w:spacing w:after="0" w:line="245" w:lineRule="auto"/>
        <w:rPr>
          <w:sz w:val="20"/>
          <w:szCs w:val="20"/>
          <w:color w:val="auto"/>
        </w:rPr>
      </w:pPr>
      <w:r>
        <w:rPr>
          <w:rFonts w:ascii="Times New Roman" w:cs="Times New Roman" w:eastAsia="Times New Roman" w:hAnsi="Times New Roman"/>
          <w:sz w:val="18"/>
          <w:szCs w:val="18"/>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81" w:lineRule="exact"/>
        <w:rPr>
          <w:sz w:val="20"/>
          <w:szCs w:val="20"/>
          <w:color w:val="auto"/>
        </w:rPr>
      </w:pPr>
    </w:p>
    <w:p>
      <w:pPr>
        <w:ind w:right="40" w:firstLine="446"/>
        <w:spacing w:after="0" w:line="245" w:lineRule="auto"/>
        <w:rPr>
          <w:sz w:val="20"/>
          <w:szCs w:val="20"/>
          <w:color w:val="auto"/>
        </w:rPr>
      </w:pPr>
      <w:r>
        <w:rPr>
          <w:rFonts w:ascii="Times New Roman" w:cs="Times New Roman" w:eastAsia="Times New Roman" w:hAnsi="Times New Roman"/>
          <w:sz w:val="18"/>
          <w:szCs w:val="18"/>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1" w:lineRule="exact"/>
        <w:rPr>
          <w:sz w:val="20"/>
          <w:szCs w:val="20"/>
          <w:color w:val="auto"/>
        </w:rPr>
      </w:pPr>
    </w:p>
    <w:p>
      <w:pPr>
        <w:ind w:right="20" w:firstLine="446"/>
        <w:spacing w:after="0" w:line="242"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8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Recently enacted legislation may increase the difficulty and cost for us to obtain marketing approval of and commercialize our product candidates and affect the prices we may obtain.</w:t>
      </w:r>
    </w:p>
    <w:p>
      <w:pPr>
        <w:spacing w:after="0" w:line="159"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Some of the provisions of the ACA have yet to be implemented, and there have been judicial and Congressional challenges to certain aspects of the ACA. In addition, the current administration and Congress have previously sought, and will likely continue to seek, legislative and regulatory changes, including repeal and replacement of all or certain provisions of the ACA. While Congress has not passed repeal legislation, the Tax Cuts and Jobs Act of 2017 includes a provision repealing, effective January 1, 2019, the tax-based shared responsibility payment imposed by the ACA on certain individuals who fail to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580" w:right="239" w:bottom="1440" w:gutter="0" w:footer="0" w:header="0"/>
        </w:sectPr>
      </w:pPr>
    </w:p>
    <w:bookmarkStart w:id="51" w:name="page52"/>
    <w:bookmarkEnd w:id="51"/>
    <w:p>
      <w:pPr>
        <w:ind w:right="60"/>
        <w:spacing w:after="0" w:line="255" w:lineRule="auto"/>
        <w:rPr>
          <w:sz w:val="20"/>
          <w:szCs w:val="20"/>
          <w:color w:val="auto"/>
        </w:rPr>
      </w:pPr>
      <w:r>
        <w:rPr>
          <w:rFonts w:ascii="Times New Roman" w:cs="Times New Roman" w:eastAsia="Times New Roman" w:hAnsi="Times New Roman"/>
          <w:sz w:val="18"/>
          <w:szCs w:val="18"/>
          <w:color w:val="auto"/>
        </w:rPr>
        <w:t>maintain qualifying health coverage for all or part of a year that is commonly referred to as the “individual mandate”. Additionally, the current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to 70% the point-of-sale discount that is owed by pharmaceutical manufacturers who participate in Medicare Part D and to close the coverage gap in most Medicare drug plans, commonly referred to as the “donut hole”. Congress may consider other legislation to repeal or replace elements of the ACA.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face difficulties from changes to current regulations and future legislation.</w:t>
      </w:r>
    </w:p>
    <w:p>
      <w:pPr>
        <w:spacing w:after="0" w:line="121"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4" w:lineRule="exact"/>
        <w:rPr>
          <w:sz w:val="20"/>
          <w:szCs w:val="20"/>
          <w:color w:val="auto"/>
        </w:rPr>
      </w:pPr>
    </w:p>
    <w:p>
      <w:pPr>
        <w:ind w:right="20" w:firstLine="446"/>
        <w:spacing w:after="0" w:line="254" w:lineRule="auto"/>
        <w:rPr>
          <w:sz w:val="20"/>
          <w:szCs w:val="20"/>
          <w:color w:val="auto"/>
        </w:rPr>
      </w:pPr>
      <w:r>
        <w:rPr>
          <w:rFonts w:ascii="Times New Roman" w:cs="Times New Roman" w:eastAsia="Times New Roman" w:hAnsi="Times New Roman"/>
          <w:sz w:val="18"/>
          <w:szCs w:val="18"/>
          <w:color w:val="auto"/>
        </w:rPr>
        <w:t>More recently, President Trump has signed an executive order and made statements that suggest he plans to seek repeal of all or portions of the ACA. There is uncertainty with respect to which legislation, if any, will be enacted and the impact President Trump’s Administration may have, if any, and any changes likely will take time to unfold, and could have an impact on coverage and reimbursement for health care items and services covered by plans that were authorized by the ACA. However, we cannot predict the ultimate content, timing or effect of any health care reform legislation or the impact of potential legislation on us. 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2027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 care funding, which could have a material adverse effect on customers for our drugs, if approved, and accordingly, our financial operations.</w:t>
      </w:r>
    </w:p>
    <w:p>
      <w:pPr>
        <w:spacing w:after="0" w:line="186"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Likewise, the annual Medicare Physician Fee Schedule update, which, until recently, was based on a target-setting formula system called the Sustainable Growth Rate, or SGR, was adjusted to reflect the comparison of actual expenditures to target expenditures. Because one of the factors for calculating the SGR was linked to the growth in the U.S. gross domestic product, or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91"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We expect that the ACA, as well as other health 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 care reforms may prevent us from being able to generate revenue, attain profitability, or commercialize our product candidates.</w:t>
      </w:r>
    </w:p>
    <w:p>
      <w:pPr>
        <w:spacing w:after="0" w:line="180" w:lineRule="exact"/>
        <w:rPr>
          <w:sz w:val="20"/>
          <w:szCs w:val="20"/>
          <w:color w:val="auto"/>
        </w:rPr>
      </w:pPr>
    </w:p>
    <w:p>
      <w:pPr>
        <w:ind w:right="160" w:firstLine="446"/>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580" w:right="239" w:bottom="1440" w:gutter="0" w:footer="0" w:header="0"/>
        </w:sectPr>
      </w:pPr>
    </w:p>
    <w:bookmarkStart w:id="52" w:name="page53"/>
    <w:bookmarkEnd w:id="52"/>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1"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6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Health 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 care laws and regulations that may constrain the business or financial arrangements and relationships through which we market, sell and distribute our products for which we obtain marketing approval. Restrictions under applicable federal and state health care laws and regulations include the following:</w:t>
      </w:r>
    </w:p>
    <w:p>
      <w:pPr>
        <w:spacing w:after="0" w:line="72" w:lineRule="exact"/>
        <w:rPr>
          <w:sz w:val="20"/>
          <w:szCs w:val="20"/>
          <w:color w:val="auto"/>
        </w:rPr>
      </w:pPr>
    </w:p>
    <w:p>
      <w:pPr>
        <w:ind w:left="900" w:right="80" w:hanging="487"/>
        <w:spacing w:after="0" w:line="261"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71" w:lineRule="exact"/>
        <w:rPr>
          <w:rFonts w:ascii="Times New Roman" w:cs="Times New Roman" w:eastAsia="Times New Roman" w:hAnsi="Times New Roman"/>
          <w:sz w:val="18"/>
          <w:szCs w:val="18"/>
          <w:color w:val="auto"/>
        </w:rPr>
      </w:pPr>
    </w:p>
    <w:p>
      <w:pPr>
        <w:ind w:left="880" w:right="20" w:hanging="440"/>
        <w:spacing w:after="0" w:line="261" w:lineRule="auto"/>
        <w:tabs>
          <w:tab w:leader="none" w:pos="8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among other things, executing or attempting to execute a scheme to defraud any health care benefit program or making false statements relating to health care matters;</w:t>
      </w:r>
    </w:p>
    <w:p>
      <w:pPr>
        <w:spacing w:after="0" w:line="53"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68" w:lineRule="exact"/>
        <w:rPr>
          <w:rFonts w:ascii="Times New Roman" w:cs="Times New Roman" w:eastAsia="Times New Roman" w:hAnsi="Times New Roman"/>
          <w:sz w:val="18"/>
          <w:szCs w:val="18"/>
          <w:color w:val="auto"/>
        </w:rPr>
      </w:pPr>
    </w:p>
    <w:p>
      <w:pPr>
        <w:ind w:left="880" w:right="240" w:hanging="440"/>
        <w:spacing w:after="0" w:line="258" w:lineRule="auto"/>
        <w:tabs>
          <w:tab w:leader="none" w:pos="8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75" w:lineRule="exact"/>
        <w:rPr>
          <w:rFonts w:ascii="Times New Roman" w:cs="Times New Roman" w:eastAsia="Times New Roman" w:hAnsi="Times New Roman"/>
          <w:sz w:val="18"/>
          <w:szCs w:val="18"/>
          <w:color w:val="auto"/>
        </w:rPr>
      </w:pPr>
    </w:p>
    <w:p>
      <w:pPr>
        <w:ind w:left="880" w:right="40" w:hanging="440"/>
        <w:spacing w:after="0" w:line="282" w:lineRule="auto"/>
        <w:tabs>
          <w:tab w:leader="none" w:pos="8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162" w:lineRule="exact"/>
        <w:rPr>
          <w:sz w:val="20"/>
          <w:szCs w:val="20"/>
          <w:color w:val="auto"/>
        </w:rPr>
      </w:pPr>
    </w:p>
    <w:p>
      <w:pPr>
        <w:jc w:val="both"/>
        <w:ind w:right="540" w:firstLine="446"/>
        <w:spacing w:after="0" w:line="266" w:lineRule="auto"/>
        <w:rPr>
          <w:sz w:val="20"/>
          <w:szCs w:val="20"/>
          <w:color w:val="auto"/>
        </w:rPr>
      </w:pPr>
      <w:r>
        <w:rPr>
          <w:rFonts w:ascii="Times New Roman" w:cs="Times New Roman" w:eastAsia="Times New Roman" w:hAnsi="Times New Roman"/>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684" w:right="239" w:bottom="1440" w:gutter="0" w:footer="0" w:header="0"/>
        </w:sectPr>
      </w:pPr>
    </w:p>
    <w:bookmarkStart w:id="53" w:name="page54"/>
    <w:bookmarkEnd w:id="53"/>
    <w:p>
      <w:pPr>
        <w:ind w:right="60"/>
        <w:spacing w:after="0" w:line="255" w:lineRule="auto"/>
        <w:rPr>
          <w:sz w:val="20"/>
          <w:szCs w:val="20"/>
          <w:color w:val="auto"/>
        </w:rPr>
      </w:pPr>
      <w:r>
        <w:rPr>
          <w:rFonts w:ascii="Times New Roman" w:cs="Times New Roman" w:eastAsia="Times New Roman" w:hAnsi="Times New Roman"/>
          <w:sz w:val="18"/>
          <w:szCs w:val="18"/>
          <w:color w:val="auto"/>
        </w:rPr>
        <w:t>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And states such as California, Connecticut, Nevada, and Massachusetts require pharmaceutical companies to implement compliance programs and/or marketing codes. Other states are considering similar proposals. Compliance with these laws is difficult and time consuming, and companies that do not comply with these state laws face civil penalties.</w:t>
      </w:r>
    </w:p>
    <w:p>
      <w:pPr>
        <w:spacing w:after="0" w:line="18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is governed by the General Data Protection Regulation (GDPR), which became fully applicable in May 2018. The GDPR extends the geographical scope of EU Data protection law to non-EU entities under certain conditions, tightens existing EU data protection principles and creates new obligations for companies and new rights for individuals. The GDPR is new and guidance, interpretation and application under the GDPR are still developing. Failure to comply with the GDPR may result in substantial fines and other administrative penalties. The GDPR may increase our responsibility and liability in relation to personal data that we process and we may be required to put in place additional</w:t>
      </w:r>
    </w:p>
    <w:p>
      <w:pPr>
        <w:spacing w:after="0" w:line="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mechanisms ensuring compliance with the GDPR. The GDPR is new and the pending EU ePrivacy Regulation is expected to establish, new requirements applicable to the handling of personal data and imposes penalties for non-compliance of up to the greater of €20 million or 4% of worldwide revenue. Additionally, in June 2018, California passed the California Consumer Privacy Act, or CCPA, which provides new data privacy rights for consumers and new operational requirements for companies effective in 2020. The costs of compliance with, and other burdens imposed by, the GDPR, CCPA and other U.S., EU and worldwide laws may impose onerous requirements on our business and, if our efforts to comply with such laws are not successful, our business could be adversely affected.</w:t>
      </w:r>
    </w:p>
    <w:p>
      <w:pPr>
        <w:spacing w:after="0" w:line="190"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2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employees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580" w:right="2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right="20" w:firstLine="446"/>
        <w:spacing w:after="0" w:line="253"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89" w:lineRule="exact"/>
        <w:rPr>
          <w:sz w:val="20"/>
          <w:szCs w:val="20"/>
          <w:color w:val="auto"/>
        </w:rPr>
      </w:pPr>
    </w:p>
    <w:p>
      <w:pPr>
        <w:ind w:right="60" w:firstLine="446"/>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86"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9" w:lineRule="exact"/>
        <w:rPr>
          <w:sz w:val="20"/>
          <w:szCs w:val="20"/>
          <w:color w:val="auto"/>
        </w:rPr>
      </w:pPr>
    </w:p>
    <w:p>
      <w:pPr>
        <w:ind w:right="40" w:firstLine="446"/>
        <w:spacing w:after="0" w:line="253" w:lineRule="auto"/>
        <w:rPr>
          <w:sz w:val="20"/>
          <w:szCs w:val="20"/>
          <w:color w:val="auto"/>
        </w:rPr>
      </w:pPr>
      <w:r>
        <w:rPr>
          <w:rFonts w:ascii="Times New Roman" w:cs="Times New Roman" w:eastAsia="Times New Roman" w:hAnsi="Times New Roman"/>
          <w:sz w:val="18"/>
          <w:szCs w:val="18"/>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684" w:right="239" w:bottom="1440" w:gutter="0" w:footer="0" w:header="0"/>
        </w:sectPr>
      </w:pPr>
    </w:p>
    <w:bookmarkStart w:id="55" w:name="page56"/>
    <w:bookmarkEnd w:id="55"/>
    <w:p>
      <w:pPr>
        <w:ind w:firstLine="446"/>
        <w:spacing w:after="0" w:line="254"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right="20" w:firstLine="446"/>
        <w:spacing w:after="0" w:line="254"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86" w:lineRule="exact"/>
        <w:rPr>
          <w:sz w:val="20"/>
          <w:szCs w:val="20"/>
          <w:color w:val="auto"/>
        </w:rPr>
      </w:pPr>
    </w:p>
    <w:p>
      <w:pPr>
        <w:ind w:right="120" w:firstLine="446"/>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 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patent law could diminish the value of patents in general, thereby impairing our ability to protect our product candidates.</w:t>
      </w:r>
    </w:p>
    <w:p>
      <w:pPr>
        <w:spacing w:after="0" w:line="121" w:lineRule="exact"/>
        <w:rPr>
          <w:sz w:val="20"/>
          <w:szCs w:val="20"/>
          <w:color w:val="auto"/>
        </w:rPr>
      </w:pPr>
    </w:p>
    <w:p>
      <w:pPr>
        <w:jc w:val="both"/>
        <w:ind w:right="240" w:firstLine="446"/>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76"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80"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580" w:right="279" w:bottom="1440" w:gutter="0" w:footer="0" w:header="0"/>
        </w:sectPr>
      </w:pPr>
    </w:p>
    <w:bookmarkStart w:id="56" w:name="page57"/>
    <w:bookmarkEnd w:id="56"/>
    <w:p>
      <w:pPr>
        <w:ind w:right="60" w:firstLine="446"/>
        <w:spacing w:after="0" w:line="255"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85" w:lineRule="exact"/>
        <w:rPr>
          <w:sz w:val="20"/>
          <w:szCs w:val="20"/>
          <w:color w:val="auto"/>
        </w:rPr>
      </w:pPr>
    </w:p>
    <w:p>
      <w:pPr>
        <w:ind w:right="80" w:firstLine="446"/>
        <w:spacing w:after="0" w:line="253" w:lineRule="auto"/>
        <w:rPr>
          <w:sz w:val="20"/>
          <w:szCs w:val="20"/>
          <w:color w:val="auto"/>
        </w:rPr>
      </w:pPr>
      <w:r>
        <w:rPr>
          <w:rFonts w:ascii="Times New Roman" w:cs="Times New Roman" w:eastAsia="Times New Roman" w:hAnsi="Times New Roman"/>
          <w:sz w:val="18"/>
          <w:szCs w:val="18"/>
          <w:color w:val="auto"/>
        </w:rPr>
        <w:t>The USPTO has developed new regulations and procedures to govern administration of the Leahy-Smith Act, and many of the substantive changes to patent law associated with the Leahy-Smith Act, and, in particular, the first to file provisions, only became effective in 2013.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 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185"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8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580" w:right="239" w:bottom="1440" w:gutter="0" w:footer="0" w:header="0"/>
        </w:sectPr>
      </w:pPr>
    </w:p>
    <w:bookmarkStart w:id="57" w:name="page58"/>
    <w:bookmarkEnd w:id="57"/>
    <w:p>
      <w:pPr>
        <w:ind w:right="80" w:firstLine="446"/>
        <w:spacing w:after="0" w:line="254"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1" w:lineRule="exact"/>
        <w:rPr>
          <w:sz w:val="20"/>
          <w:szCs w:val="20"/>
          <w:color w:val="auto"/>
        </w:rPr>
      </w:pPr>
    </w:p>
    <w:p>
      <w:pPr>
        <w:ind w:right="200" w:firstLine="446"/>
        <w:spacing w:after="0" w:line="254" w:lineRule="auto"/>
        <w:rPr>
          <w:sz w:val="20"/>
          <w:szCs w:val="20"/>
          <w:color w:val="auto"/>
        </w:rPr>
      </w:pPr>
      <w:r>
        <w:rPr>
          <w:rFonts w:ascii="Times New Roman" w:cs="Times New Roman" w:eastAsia="Times New Roman" w:hAnsi="Times New Roman"/>
          <w:sz w:val="18"/>
          <w:szCs w:val="18"/>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86"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0"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89"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580" w:right="239" w:bottom="1440" w:gutter="0" w:footer="0" w:header="0"/>
        </w:sectPr>
      </w:pPr>
    </w:p>
    <w:bookmarkStart w:id="58" w:name="page59"/>
    <w:bookmarkEnd w:id="58"/>
    <w:p>
      <w:pPr>
        <w:ind w:right="20" w:firstLine="446"/>
        <w:spacing w:after="0" w:line="24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8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color w:val="auto"/>
        </w:rPr>
        <w:t>If we breach the license agreements related to our product candidates, we could lose the ability to continue the development and commercialization of our product candidates.</w:t>
      </w:r>
    </w:p>
    <w:p>
      <w:pPr>
        <w:spacing w:after="0" w:line="50" w:lineRule="exact"/>
        <w:rPr>
          <w:sz w:val="20"/>
          <w:szCs w:val="20"/>
          <w:color w:val="auto"/>
        </w:rPr>
      </w:pPr>
    </w:p>
    <w:p>
      <w:pPr>
        <w:ind w:firstLine="446"/>
        <w:spacing w:after="0" w:line="23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04" w:lineRule="exact"/>
        <w:rPr>
          <w:sz w:val="20"/>
          <w:szCs w:val="20"/>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0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0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any collaboration relationships we might enter into in the future;</w:t>
      </w:r>
    </w:p>
    <w:p>
      <w:pPr>
        <w:spacing w:after="0" w:line="10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03" w:lineRule="exact"/>
        <w:rPr>
          <w:rFonts w:ascii="Times New Roman" w:cs="Times New Roman" w:eastAsia="Times New Roman" w:hAnsi="Times New Roman"/>
          <w:sz w:val="18"/>
          <w:szCs w:val="18"/>
          <w:color w:val="auto"/>
        </w:rPr>
      </w:pPr>
    </w:p>
    <w:p>
      <w:pPr>
        <w:ind w:left="880" w:right="520" w:hanging="440"/>
        <w:spacing w:after="0" w:line="266"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collaborators; and</w:t>
      </w:r>
    </w:p>
    <w:p>
      <w:pPr>
        <w:spacing w:after="0" w:line="5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12" w:lineRule="exact"/>
        <w:rPr>
          <w:sz w:val="20"/>
          <w:szCs w:val="20"/>
          <w:color w:val="auto"/>
        </w:rPr>
      </w:pPr>
    </w:p>
    <w:p>
      <w:pPr>
        <w:ind w:right="160" w:firstLine="446"/>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66"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65" w:lineRule="exact"/>
        <w:rPr>
          <w:sz w:val="20"/>
          <w:szCs w:val="20"/>
          <w:color w:val="auto"/>
        </w:rPr>
      </w:pPr>
    </w:p>
    <w:p>
      <w:pPr>
        <w:ind w:right="40" w:firstLine="446"/>
        <w:spacing w:after="0" w:line="241" w:lineRule="auto"/>
        <w:rPr>
          <w:sz w:val="20"/>
          <w:szCs w:val="20"/>
          <w:color w:val="auto"/>
        </w:rPr>
      </w:pPr>
      <w:r>
        <w:rPr>
          <w:rFonts w:ascii="Times New Roman" w:cs="Times New Roman" w:eastAsia="Times New Roman" w:hAnsi="Times New Roman"/>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84" w:lineRule="exact"/>
        <w:rPr>
          <w:sz w:val="20"/>
          <w:szCs w:val="20"/>
          <w:color w:val="auto"/>
        </w:rPr>
      </w:pPr>
    </w:p>
    <w:p>
      <w:pPr>
        <w:ind w:right="300" w:firstLine="446"/>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w:t>
      </w: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40"/>
          </w:cols>
          <w:pgMar w:left="240" w:top="580" w:right="319" w:bottom="1440" w:gutter="0" w:footer="0" w:header="0"/>
        </w:sectPr>
      </w:pPr>
    </w:p>
    <w:bookmarkStart w:id="59" w:name="page60"/>
    <w:bookmarkEnd w:id="59"/>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8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140" w:firstLine="446"/>
        <w:spacing w:after="0" w:line="258"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84" w:lineRule="exact"/>
        <w:rPr>
          <w:sz w:val="20"/>
          <w:szCs w:val="20"/>
          <w:color w:val="auto"/>
        </w:rPr>
      </w:pPr>
    </w:p>
    <w:p>
      <w:pPr>
        <w:ind w:right="60" w:firstLine="446"/>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9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1"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580"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20" w:firstLine="446"/>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54" w:lineRule="exact"/>
        <w:rPr>
          <w:sz w:val="20"/>
          <w:szCs w:val="20"/>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880" w:right="1000" w:hanging="440"/>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our existing collaboration agreements and announcements of new collaboration agreements;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breaches and terminations of our manufacturing agreements, collaborations agreements or other important agreements;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in-license or acquire additional product candidates or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biotechnology sector;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80"/>
          </w:cols>
          <w:pgMar w:left="240" w:top="684" w:right="2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300" w:firstLine="446"/>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is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incur increased costs and devote substantial management time as a result of operating as a public company.</w:t>
      </w:r>
    </w:p>
    <w:p>
      <w:pPr>
        <w:spacing w:after="0" w:line="121"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and these expenses have increased and will continue to increase. 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Moreover, these rules and regulations substantially increase our legal and financial compliance costs and make some activities more time-consuming and costly. The increased costs increase our net loss.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9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1"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260" w:firstLine="446"/>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684" w:right="259" w:bottom="1440" w:gutter="0" w:footer="0" w:header="0"/>
        </w:sectPr>
      </w:pPr>
    </w:p>
    <w:bookmarkStart w:id="62" w:name="page63"/>
    <w:bookmarkEnd w:id="62"/>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60" w:firstLine="446"/>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ind w:right="220" w:firstLine="446"/>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68" w:lineRule="exact"/>
        <w:rPr>
          <w:sz w:val="20"/>
          <w:szCs w:val="20"/>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17" w:lineRule="exact"/>
        <w:rPr>
          <w:rFonts w:ascii="Times New Roman" w:cs="Times New Roman" w:eastAsia="Times New Roman" w:hAnsi="Times New Roman"/>
          <w:sz w:val="18"/>
          <w:szCs w:val="18"/>
          <w:color w:val="auto"/>
        </w:rPr>
      </w:pPr>
    </w:p>
    <w:p>
      <w:pPr>
        <w:ind w:left="880" w:right="80" w:hanging="440"/>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62" w:lineRule="exact"/>
        <w:rPr>
          <w:sz w:val="20"/>
          <w:szCs w:val="20"/>
          <w:color w:val="auto"/>
        </w:rPr>
      </w:pPr>
    </w:p>
    <w:p>
      <w:pPr>
        <w:ind w:right="160" w:firstLine="446"/>
        <w:spacing w:after="0" w:line="282"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right="60" w:firstLine="446"/>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additional issuances of equity securities.</w:t>
      </w:r>
    </w:p>
    <w:p>
      <w:pPr>
        <w:spacing w:after="0" w:line="67" w:lineRule="exact"/>
        <w:rPr>
          <w:sz w:val="20"/>
          <w:szCs w:val="20"/>
          <w:color w:val="auto"/>
        </w:rPr>
      </w:pPr>
    </w:p>
    <w:p>
      <w:pPr>
        <w:ind w:right="60" w:firstLine="446"/>
        <w:spacing w:after="0" w:line="266" w:lineRule="auto"/>
        <w:rPr>
          <w:sz w:val="20"/>
          <w:szCs w:val="20"/>
          <w:color w:val="auto"/>
        </w:rPr>
      </w:pPr>
      <w:r>
        <w:rPr>
          <w:rFonts w:ascii="Times New Roman" w:cs="Times New Roman" w:eastAsia="Times New Roman" w:hAnsi="Times New Roman"/>
          <w:sz w:val="18"/>
          <w:szCs w:val="18"/>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580" w:right="259" w:bottom="1440" w:gutter="0" w:footer="0" w:header="0"/>
        </w:sectPr>
      </w:pPr>
    </w:p>
    <w:bookmarkStart w:id="63" w:name="page64"/>
    <w:bookmarkEnd w:id="63"/>
    <w:p>
      <w:pPr>
        <w:ind w:right="60"/>
        <w:spacing w:after="0" w:line="254" w:lineRule="auto"/>
        <w:rPr>
          <w:sz w:val="20"/>
          <w:szCs w:val="20"/>
          <w:color w:val="auto"/>
        </w:rPr>
      </w:pPr>
      <w:r>
        <w:rPr>
          <w:rFonts w:ascii="Times New Roman" w:cs="Times New Roman" w:eastAsia="Times New Roman" w:hAnsi="Times New Roman"/>
          <w:sz w:val="18"/>
          <w:szCs w:val="18"/>
          <w:color w:val="auto"/>
        </w:rPr>
        <w:t>may be impaired or limited under Section 382 of the Internal Revenue Code of 1984, as amended, or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2018, noting an additional ownership change during fiscal 2017 that may limit the utilization of federal and state NOLs.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8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On December 22, 2017, the President of the United States signed into law the Tax Reform Act. The legislation significantly changes U.S. tax law by, among other things, lowering the corporate income tax rates. The Tax Reform Act permanently reduces the U.S. corporate income tax rate from a maximum of 35% to a flat 21% rate, effective January 1, 2018. Additionally, the Tax Reform Act will no longer allow deductions for compensation in excess of $1 million for certain employees, even if paid as commissions or performance-based compensation. We may be subject to these limitations as provided for under Section 162(m) of the Internal Revenue Code in the future. The Tax Reform Act also limits the amount taxpayers are able to deduct for federal NOL carryforwards generated in taxable years beginning after December 31, 2017 to 80% of the taxpayer’s taxable income. The law also generally repeals all carrybacks. However, any NOLs generated in taxable years after December 31, 2017 can be carried forward indefinitely. Losses arising in taxable years beginning before December 31, 2017 may still be carried back two years and are subject to their current expiration period. As of December 31, 2018, we have federal NOLs of approximately $145.3 million, which expire beginning December 31, 2028 through December 31, 2037, if not used to reduce income taxes payable in the future. The federal net operating loss carryover includes $85.2 million of net operating losses generated in 2018. Federal net operating losses generated in 2018 carryover indefinitely and may generally be used to offset up to 80% of future taxable income in the year it is utilized.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472" w:right="2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below.</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40" w:type="dxa"/>
            <w:vAlign w:val="bottom"/>
            <w:gridSpan w:val="5"/>
          </w:tcPr>
          <w:p>
            <w:pPr>
              <w:ind w:left="38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9"/>
        </w:trPr>
        <w:tc>
          <w:tcPr>
            <w:tcW w:w="11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40" w:type="dxa"/>
            <w:vAlign w:val="bottom"/>
            <w:gridSpan w:val="5"/>
          </w:tcPr>
          <w:p>
            <w:pPr>
              <w:ind w:left="436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303"/>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10040" w:type="dxa"/>
            <w:vAlign w:val="bottom"/>
            <w:gridSpan w:val="5"/>
          </w:tcPr>
          <w:p>
            <w:pPr>
              <w:spacing w:after="0"/>
              <w:rPr>
                <w:rFonts w:ascii="Times New Roman" w:cs="Times New Roman" w:eastAsia="Times New Roman" w:hAnsi="Times New Roman"/>
                <w:sz w:val="16"/>
                <w:szCs w:val="16"/>
                <w:color w:val="0000FF"/>
              </w:rPr>
            </w:pPr>
            <w:hyperlink w:anchor="page67">
              <w:r>
                <w:rPr>
                  <w:rFonts w:ascii="Times New Roman" w:cs="Times New Roman" w:eastAsia="Times New Roman" w:hAnsi="Times New Roman"/>
                  <w:sz w:val="16"/>
                  <w:szCs w:val="16"/>
                  <w:color w:val="0000FF"/>
                </w:rPr>
                <w:t>Certification of Principal Executive Officer, pursuant to Rule 13a-14(a)/15d-14(a), as adopted pursuant to Section 302 of the Sarbanes-Oxley Act of 2002.</w:t>
              </w:r>
            </w:hyperlink>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0000" w:type="dxa"/>
            <w:vAlign w:val="bottom"/>
            <w:tcBorders>
              <w:top w:val="single" w:sz="8" w:color="0000FF"/>
            </w:tcBorders>
            <w:gridSpan w:val="4"/>
          </w:tcPr>
          <w:p>
            <w:pPr>
              <w:spacing w:after="0"/>
              <w:rPr>
                <w:rFonts w:ascii="Times New Roman" w:cs="Times New Roman" w:eastAsia="Times New Roman" w:hAnsi="Times New Roman"/>
                <w:sz w:val="16"/>
                <w:szCs w:val="16"/>
                <w:color w:val="0000FF"/>
              </w:rPr>
            </w:pPr>
            <w:hyperlink w:anchor="page68">
              <w:r>
                <w:rPr>
                  <w:rFonts w:ascii="Times New Roman" w:cs="Times New Roman" w:eastAsia="Times New Roman" w:hAnsi="Times New Roman"/>
                  <w:sz w:val="16"/>
                  <w:szCs w:val="16"/>
                  <w:color w:val="0000FF"/>
                </w:rPr>
                <w:t>Certification of Principal Financial Officer, pursuant to Rule 13a-14(a)/15d-14(a), as adopted pursuant to Section 302 of the Sarbanes-Oxley Act of 2002.</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966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6"/>
                <w:szCs w:val="16"/>
                <w:color w:val="0000FF"/>
              </w:rPr>
            </w:pPr>
            <w:hyperlink w:anchor="page69">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hyperlink>
          </w:p>
        </w:tc>
        <w:tc>
          <w:tcPr>
            <w:tcW w:w="300" w:type="dxa"/>
            <w:vAlign w:val="bottom"/>
            <w:tcBorders>
              <w:top w:val="single" w:sz="8" w:color="0000FF"/>
            </w:tcBorders>
          </w:tcPr>
          <w:p>
            <w:pPr>
              <w:spacing w:after="0"/>
              <w:rPr>
                <w:sz w:val="24"/>
                <w:szCs w:val="24"/>
                <w:color w:val="auto"/>
              </w:rPr>
            </w:pP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10040" w:type="dxa"/>
            <w:vAlign w:val="bottom"/>
            <w:gridSpan w:val="5"/>
          </w:tcPr>
          <w:p>
            <w:pPr>
              <w:spacing w:after="0"/>
              <w:rPr>
                <w:rFonts w:ascii="Times New Roman" w:cs="Times New Roman" w:eastAsia="Times New Roman" w:hAnsi="Times New Roman"/>
                <w:sz w:val="16"/>
                <w:szCs w:val="16"/>
                <w:color w:val="0000FF"/>
              </w:rPr>
            </w:pPr>
            <w:hyperlink w:anchor="page70">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600" w:type="dxa"/>
            <w:vAlign w:val="bottom"/>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101.INS</w:t>
            </w:r>
          </w:p>
        </w:tc>
        <w:tc>
          <w:tcPr>
            <w:tcW w:w="10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Report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54"/>
        </w:trPr>
        <w:tc>
          <w:tcPr>
            <w:tcW w:w="1140" w:type="dxa"/>
            <w:vAlign w:val="bottom"/>
            <w:vMerge w:val="continue"/>
          </w:tcPr>
          <w:p>
            <w:pPr>
              <w:spacing w:after="0"/>
              <w:rPr>
                <w:sz w:val="4"/>
                <w:szCs w:val="4"/>
                <w:color w:val="auto"/>
              </w:rPr>
            </w:pPr>
          </w:p>
        </w:tc>
        <w:tc>
          <w:tcPr>
            <w:tcW w:w="100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the Inline XBRL document</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0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Calculation Linkbase Document</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Label Linkbase Document</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Presentation Linkbase Document</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0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Cover Page Interactive Data File - (formatted in Inline XBRL and contained in Exhibit 101)</w:t>
            </w:r>
          </w:p>
        </w:tc>
        <w:tc>
          <w:tcPr>
            <w:tcW w:w="0" w:type="dxa"/>
            <w:vAlign w:val="bottom"/>
          </w:tcPr>
          <w:p>
            <w:pPr>
              <w:spacing w:after="0"/>
              <w:rPr>
                <w:sz w:val="1"/>
                <w:szCs w:val="1"/>
                <w:color w:val="auto"/>
              </w:rPr>
            </w:pPr>
          </w:p>
        </w:tc>
      </w:tr>
      <w:tr>
        <w:trPr>
          <w:trHeight w:val="81"/>
        </w:trPr>
        <w:tc>
          <w:tcPr>
            <w:tcW w:w="1140" w:type="dxa"/>
            <w:vAlign w:val="bottom"/>
          </w:tcPr>
          <w:p>
            <w:pPr>
              <w:spacing w:after="0"/>
              <w:rPr>
                <w:sz w:val="7"/>
                <w:szCs w:val="7"/>
                <w:color w:val="auto"/>
              </w:rPr>
            </w:pPr>
          </w:p>
        </w:tc>
        <w:tc>
          <w:tcPr>
            <w:tcW w:w="100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40"/>
          </w:cols>
          <w:pgMar w:left="240" w:top="684"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9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ANAPTYSBIO, INC.</w:t>
            </w:r>
          </w:p>
        </w:tc>
      </w:tr>
      <w:tr>
        <w:trPr>
          <w:trHeight w:val="54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8, 2019</w:t>
            </w:r>
          </w:p>
        </w:tc>
        <w:tc>
          <w:tcPr>
            <w:tcW w:w="18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Hamza Suria</w:t>
            </w:r>
          </w:p>
        </w:tc>
      </w:tr>
      <w:tr>
        <w:trPr>
          <w:trHeight w:val="41"/>
        </w:trPr>
        <w:tc>
          <w:tcPr>
            <w:tcW w:w="54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40" w:type="dxa"/>
            <w:vAlign w:val="bottom"/>
            <w:tcBorders>
              <w:bottom w:val="single" w:sz="8" w:color="auto"/>
            </w:tcBorders>
          </w:tcPr>
          <w:p>
            <w:pPr>
              <w:spacing w:after="0"/>
              <w:rPr>
                <w:sz w:val="3"/>
                <w:szCs w:val="3"/>
                <w:color w:val="auto"/>
              </w:rPr>
            </w:pPr>
          </w:p>
        </w:tc>
      </w:tr>
      <w:tr>
        <w:trPr>
          <w:trHeight w:val="237"/>
        </w:trPr>
        <w:tc>
          <w:tcPr>
            <w:tcW w:w="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Hamza Suria</w:t>
            </w:r>
          </w:p>
        </w:tc>
      </w:tr>
      <w:tr>
        <w:trPr>
          <w:trHeight w:val="270"/>
        </w:trPr>
        <w:tc>
          <w:tcPr>
            <w:tcW w:w="5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5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8, 2019</w:t>
            </w:r>
          </w:p>
        </w:tc>
        <w:tc>
          <w:tcPr>
            <w:tcW w:w="18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Eric Loumeau</w:t>
            </w:r>
          </w:p>
        </w:tc>
      </w:tr>
      <w:tr>
        <w:trPr>
          <w:trHeight w:val="41"/>
        </w:trPr>
        <w:tc>
          <w:tcPr>
            <w:tcW w:w="54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040" w:type="dxa"/>
            <w:vAlign w:val="bottom"/>
            <w:tcBorders>
              <w:bottom w:val="single" w:sz="8" w:color="auto"/>
            </w:tcBorders>
          </w:tcPr>
          <w:p>
            <w:pPr>
              <w:spacing w:after="0"/>
              <w:rPr>
                <w:sz w:val="3"/>
                <w:szCs w:val="3"/>
                <w:color w:val="auto"/>
              </w:rPr>
            </w:pPr>
          </w:p>
        </w:tc>
      </w:tr>
      <w:tr>
        <w:trPr>
          <w:trHeight w:val="237"/>
        </w:trPr>
        <w:tc>
          <w:tcPr>
            <w:tcW w:w="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Eric Loumeau</w:t>
            </w:r>
          </w:p>
        </w:tc>
      </w:tr>
      <w:tr>
        <w:trPr>
          <w:trHeight w:val="270"/>
        </w:trPr>
        <w:tc>
          <w:tcPr>
            <w:tcW w:w="5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Chief Financial Officer and General Counsel</w:t>
            </w:r>
          </w:p>
        </w:tc>
      </w:tr>
      <w:tr>
        <w:trPr>
          <w:trHeight w:val="270"/>
        </w:trPr>
        <w:tc>
          <w:tcPr>
            <w:tcW w:w="5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86"/>
        </w:trPr>
        <w:tc>
          <w:tcPr>
            <w:tcW w:w="5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63</w:t>
            </w:r>
          </w:p>
        </w:tc>
      </w:tr>
    </w:tbl>
    <w:p>
      <w:pPr>
        <w:sectPr>
          <w:pgSz w:w="11900" w:h="16838" w:orient="portrait"/>
          <w:cols w:equalWidth="0" w:num="1">
            <w:col w:w="11420"/>
          </w:cols>
          <w:pgMar w:left="240" w:top="360"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Hamza Suria, certify that:</w:t>
      </w:r>
    </w:p>
    <w:p>
      <w:pPr>
        <w:spacing w:after="0" w:line="158"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AnaptysBio, Inc.;</w:t>
      </w:r>
    </w:p>
    <w:p>
      <w:pPr>
        <w:spacing w:after="0" w:line="117" w:lineRule="exact"/>
        <w:rPr>
          <w:rFonts w:ascii="Times New Roman" w:cs="Times New Roman" w:eastAsia="Times New Roman" w:hAnsi="Times New Roman"/>
          <w:sz w:val="18"/>
          <w:szCs w:val="18"/>
          <w:color w:val="auto"/>
        </w:rPr>
      </w:pPr>
    </w:p>
    <w:p>
      <w:pPr>
        <w:ind w:left="180" w:right="280" w:hanging="172"/>
        <w:spacing w:after="0" w:line="313" w:lineRule="auto"/>
        <w:tabs>
          <w:tab w:leader="none" w:pos="19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180" w:right="60" w:hanging="172"/>
        <w:spacing w:after="0" w:line="282" w:lineRule="auto"/>
        <w:tabs>
          <w:tab w:leader="none" w:pos="19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80" w:right="200" w:hanging="172"/>
        <w:spacing w:after="0" w:line="266" w:lineRule="auto"/>
        <w:tabs>
          <w:tab w:leader="none" w:pos="19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420" w:right="260" w:hanging="169"/>
        <w:spacing w:after="0" w:line="266" w:lineRule="auto"/>
        <w:tabs>
          <w:tab w:leader="none" w:pos="44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20" w:right="60" w:hanging="169"/>
        <w:spacing w:after="0" w:line="266" w:lineRule="auto"/>
        <w:tabs>
          <w:tab w:leader="none" w:pos="45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20" w:right="100" w:hanging="169"/>
        <w:spacing w:after="0" w:line="282" w:lineRule="auto"/>
        <w:tabs>
          <w:tab w:leader="none" w:pos="44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180" w:hanging="169"/>
        <w:spacing w:after="0" w:line="266" w:lineRule="auto"/>
        <w:tabs>
          <w:tab w:leader="none" w:pos="45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80" w:right="640" w:hanging="172"/>
        <w:spacing w:after="0" w:line="282" w:lineRule="auto"/>
        <w:tabs>
          <w:tab w:leader="none" w:pos="19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0" w:hanging="169"/>
        <w:spacing w:after="0" w:line="282" w:lineRule="auto"/>
        <w:tabs>
          <w:tab w:leader="none" w:pos="44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260" w:hanging="169"/>
        <w:spacing w:after="0" w:line="282" w:lineRule="auto"/>
        <w:tabs>
          <w:tab w:leader="none" w:pos="45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2019</w:t>
      </w:r>
    </w:p>
    <w:p>
      <w:pPr>
        <w:spacing w:after="0" w:line="38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Hamza Suria</w:t>
      </w:r>
    </w:p>
    <w:p>
      <w:pPr>
        <w:spacing w:after="0" w:line="6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8"/>
          <w:szCs w:val="18"/>
          <w:i w:val="1"/>
          <w:iCs w:val="1"/>
          <w:color w:val="auto"/>
        </w:rPr>
        <w:t>)</w:t>
      </w:r>
    </w:p>
    <w:p>
      <w:pPr>
        <w:sectPr>
          <w:pgSz w:w="11900" w:h="16838" w:orient="portrait"/>
          <w:cols w:equalWidth="0" w:num="1">
            <w:col w:w="11420"/>
          </w:cols>
          <w:pgMar w:left="240" w:top="617"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Loumeau, certify that:</w:t>
      </w:r>
    </w:p>
    <w:p>
      <w:pPr>
        <w:spacing w:after="0" w:line="212"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AnaptysBio, Inc.;</w:t>
      </w:r>
    </w:p>
    <w:p>
      <w:pPr>
        <w:spacing w:after="0" w:line="157" w:lineRule="exact"/>
        <w:rPr>
          <w:rFonts w:ascii="Times New Roman" w:cs="Times New Roman" w:eastAsia="Times New Roman" w:hAnsi="Times New Roman"/>
          <w:sz w:val="18"/>
          <w:szCs w:val="18"/>
          <w:color w:val="auto"/>
        </w:rPr>
      </w:pPr>
    </w:p>
    <w:p>
      <w:pPr>
        <w:ind w:left="180" w:right="280" w:hanging="172"/>
        <w:spacing w:after="0" w:line="313" w:lineRule="auto"/>
        <w:tabs>
          <w:tab w:leader="none" w:pos="19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180" w:right="60" w:hanging="172"/>
        <w:spacing w:after="0" w:line="282" w:lineRule="auto"/>
        <w:tabs>
          <w:tab w:leader="none" w:pos="19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80" w:right="200" w:hanging="172"/>
        <w:spacing w:after="0" w:line="266" w:lineRule="auto"/>
        <w:tabs>
          <w:tab w:leader="none" w:pos="19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420" w:right="260" w:hanging="169"/>
        <w:spacing w:after="0" w:line="266" w:lineRule="auto"/>
        <w:tabs>
          <w:tab w:leader="none" w:pos="44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20" w:right="60" w:hanging="169"/>
        <w:spacing w:after="0" w:line="266" w:lineRule="auto"/>
        <w:tabs>
          <w:tab w:leader="none" w:pos="45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20" w:right="100" w:hanging="169"/>
        <w:spacing w:after="0" w:line="282" w:lineRule="auto"/>
        <w:tabs>
          <w:tab w:leader="none" w:pos="44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180" w:hanging="169"/>
        <w:spacing w:after="0" w:line="266" w:lineRule="auto"/>
        <w:tabs>
          <w:tab w:leader="none" w:pos="45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80" w:right="640" w:hanging="172"/>
        <w:spacing w:after="0" w:line="282" w:lineRule="auto"/>
        <w:tabs>
          <w:tab w:leader="none" w:pos="19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0" w:hanging="169"/>
        <w:spacing w:after="0" w:line="282" w:lineRule="auto"/>
        <w:tabs>
          <w:tab w:leader="none" w:pos="44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260" w:hanging="169"/>
        <w:spacing w:after="0" w:line="282" w:lineRule="auto"/>
        <w:tabs>
          <w:tab w:leader="none" w:pos="45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2019</w:t>
      </w:r>
    </w:p>
    <w:p>
      <w:pPr>
        <w:spacing w:after="0" w:line="38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34290</wp:posOffset>
            </wp:positionV>
            <wp:extent cx="44081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Eric Loumeau</w:t>
      </w:r>
    </w:p>
    <w:p>
      <w:pPr>
        <w:spacing w:after="0" w:line="6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Interim Chief Financial Officer and General Counsel</w:t>
      </w:r>
    </w:p>
    <w:p>
      <w:pPr>
        <w:spacing w:after="0" w:line="28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617"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Hamza Suria, Chief Executive Officer of AnaptysBio, Inc.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99" w:lineRule="exact"/>
        <w:rPr>
          <w:sz w:val="20"/>
          <w:szCs w:val="20"/>
          <w:color w:val="auto"/>
        </w:rPr>
      </w:pPr>
    </w:p>
    <w:p>
      <w:pPr>
        <w:ind w:left="880" w:right="340" w:hanging="440"/>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2019 (the “Report”), as filed with the Securities and Exchange Commission,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2019</w:t>
      </w:r>
    </w:p>
    <w:p>
      <w:pPr>
        <w:spacing w:after="0" w:line="38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Hamza Suria</w:t>
      </w:r>
    </w:p>
    <w:p>
      <w:pPr>
        <w:spacing w:after="0" w:line="6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8"/>
          <w:szCs w:val="18"/>
          <w:i w:val="1"/>
          <w:iCs w:val="1"/>
          <w:color w:val="auto"/>
        </w:rPr>
        <w:t>)</w:t>
      </w:r>
    </w:p>
    <w:p>
      <w:pPr>
        <w:sectPr>
          <w:pgSz w:w="11900" w:h="16838" w:orient="portrait"/>
          <w:cols w:equalWidth="0" w:num="1">
            <w:col w:w="11420"/>
          </w:cols>
          <w:pgMar w:left="240" w:top="617" w:right="2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 Eric Loumeau, Chief Financial Officer and General Counsel of AnaptysBio, Inc. (Company), do hereby certify, pursuant to 18 U.S.C. Section 1350, as adopted pursuant to Section 906 of the Sarbanes-Oxley Act of 2002, that to the best of my knowledge:</w:t>
      </w:r>
    </w:p>
    <w:p>
      <w:pPr>
        <w:spacing w:after="0" w:line="54" w:lineRule="exact"/>
        <w:rPr>
          <w:sz w:val="20"/>
          <w:szCs w:val="20"/>
          <w:color w:val="auto"/>
        </w:rPr>
      </w:pPr>
    </w:p>
    <w:p>
      <w:pPr>
        <w:ind w:left="880" w:right="340" w:hanging="440"/>
        <w:spacing w:after="0" w:line="282"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2019 (the “Report”), as filed with the Securities and Exchange Commission,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2019</w:t>
      </w:r>
    </w:p>
    <w:p>
      <w:pPr>
        <w:spacing w:after="0" w:line="38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34290</wp:posOffset>
            </wp:positionV>
            <wp:extent cx="42964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5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Eric Loumeau</w:t>
      </w:r>
    </w:p>
    <w:p>
      <w:pPr>
        <w:spacing w:after="0" w:line="6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Interim Chief Financial Officer and General Counsel</w:t>
      </w: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6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2"/>
    </w:lvl>
  </w:abstractNum>
  <w:abstractNum w:abstractNumId="3">
    <w:nsid w:val="519B500D"/>
    <w:multiLevelType w:val="hybridMultilevel"/>
    <w:lvl w:ilvl="0">
      <w:lvlJc w:val="left"/>
      <w:lvlText w:val="%1."/>
      <w:numFmt w:val="decimal"/>
      <w:start w:val="4"/>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lowerRoman"/>
      <w:start w:val="2"/>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lvl w:ilvl="1">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2019-12-28T02:08:25Z</dcterms:created>
  <dcterms:modified xsi:type="dcterms:W3CDTF">2019-12-28T02:08:25Z</dcterms:modified>
</cp:coreProperties>
</file>