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219075</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Steve R. Bailey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Frazier Healthcare Partners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601 Union Street, Suite 3200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Seattle, WA 98101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(206) 621-7200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November 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249.13d-1(g), check the following box. </w:t>
      </w:r>
      <w:r>
        <w:rPr>
          <w:rFonts w:ascii="MS PGothic" w:cs="MS PGothic" w:eastAsia="MS PGothic" w:hAnsi="MS PGothic"/>
          <w:sz w:val="18"/>
          <w:szCs w:val="18"/>
          <w:color w:val="auto"/>
        </w:rPr>
        <w:t>☐</w:t>
      </w:r>
    </w:p>
    <w:p>
      <w:pPr>
        <w:spacing w:after="0" w:line="206"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93" w:lineRule="exact"/>
        <w:rPr>
          <w:sz w:val="24"/>
          <w:szCs w:val="24"/>
          <w:color w:val="auto"/>
        </w:rPr>
      </w:pPr>
    </w:p>
    <w:p>
      <w:pPr>
        <w:ind w:firstLine="8"/>
        <w:spacing w:after="0" w:line="277" w:lineRule="auto"/>
        <w:tabs>
          <w:tab w:leader="none" w:pos="19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2720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154305"/>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Page 2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2"/>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Frazier Healthcare V, L.P.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3"/>
        </w:numPr>
        <w:rPr>
          <w:rFonts w:ascii="Arial" w:cs="Arial" w:eastAsia="Arial" w:hAnsi="Arial"/>
          <w:sz w:val="50"/>
          <w:szCs w:val="50"/>
          <w:b w:val="1"/>
          <w:bCs w:val="1"/>
          <w:color w:val="auto"/>
          <w:vertAlign w:val="superscript"/>
        </w:rPr>
      </w:pPr>
      <w:r>
        <w:rPr>
          <w:rFonts w:ascii="Arial" w:cs="Arial" w:eastAsia="Arial" w:hAnsi="Arial"/>
          <w:sz w:val="16"/>
          <w:szCs w:val="16"/>
          <w:color w:val="auto"/>
        </w:rPr>
        <w:t>WC</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4"/>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3,688,447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15.7%</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Page 3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5"/>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Frazier Healthcare VII, L.P.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6"/>
        </w:numPr>
        <w:rPr>
          <w:rFonts w:ascii="Arial" w:cs="Arial" w:eastAsia="Arial" w:hAnsi="Arial"/>
          <w:sz w:val="50"/>
          <w:szCs w:val="50"/>
          <w:b w:val="1"/>
          <w:bCs w:val="1"/>
          <w:color w:val="auto"/>
          <w:vertAlign w:val="superscript"/>
        </w:rPr>
      </w:pPr>
      <w:r>
        <w:rPr>
          <w:rFonts w:ascii="Arial" w:cs="Arial" w:eastAsia="Arial" w:hAnsi="Arial"/>
          <w:sz w:val="16"/>
          <w:szCs w:val="16"/>
          <w:color w:val="auto"/>
        </w:rPr>
        <w:t>WC</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7"/>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3,688,447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15.7%</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Page 4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8"/>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Frazier Healthcare VII-A, L.P.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9"/>
        </w:numPr>
        <w:rPr>
          <w:rFonts w:ascii="Arial" w:cs="Arial" w:eastAsia="Arial" w:hAnsi="Arial"/>
          <w:sz w:val="50"/>
          <w:szCs w:val="50"/>
          <w:b w:val="1"/>
          <w:bCs w:val="1"/>
          <w:color w:val="auto"/>
          <w:vertAlign w:val="superscript"/>
        </w:rPr>
      </w:pPr>
      <w:r>
        <w:rPr>
          <w:rFonts w:ascii="Arial" w:cs="Arial" w:eastAsia="Arial" w:hAnsi="Arial"/>
          <w:sz w:val="16"/>
          <w:szCs w:val="16"/>
          <w:color w:val="auto"/>
        </w:rPr>
        <w:t>WC</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10"/>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3,688,447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15.7%</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Page 5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11"/>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FHM V, L.P.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12"/>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13"/>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3,688,447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15.7%</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Page 6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14"/>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FHM V, L.L.C.</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15"/>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16"/>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3,688,447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15.7%</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Page 7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17"/>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FHM VII, L.P.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18"/>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19"/>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3,688,447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15.7%</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line="184" w:lineRule="auto"/>
        <w:tabs>
          <w:tab w:leader="none" w:pos="1580" w:val="left"/>
        </w:tabs>
        <w:rPr>
          <w:sz w:val="20"/>
          <w:szCs w:val="20"/>
          <w:color w:val="auto"/>
        </w:rPr>
      </w:pPr>
      <w:r>
        <w:rPr>
          <w:rFonts w:ascii="Arial" w:cs="Arial" w:eastAsia="Arial" w:hAnsi="Arial"/>
          <w:sz w:val="26"/>
          <w:szCs w:val="26"/>
          <w:b w:val="1"/>
          <w:bCs w:val="1"/>
          <w:color w:val="auto"/>
          <w:vertAlign w:val="superscript"/>
        </w:rPr>
        <w:t>14</w:t>
      </w:r>
      <w:r>
        <w:rPr>
          <w:sz w:val="20"/>
          <w:szCs w:val="20"/>
          <w:color w:val="auto"/>
        </w:rPr>
        <w:tab/>
      </w:r>
      <w:r>
        <w:rPr>
          <w:rFonts w:ascii="Arial" w:cs="Arial" w:eastAsia="Arial" w:hAnsi="Arial"/>
          <w:sz w:val="14"/>
          <w:szCs w:val="14"/>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663575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Page 8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20"/>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FHM VII, L.L.C.</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21"/>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22"/>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3,688,447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15.7%</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Page 9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23"/>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Alan Frazier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24"/>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25"/>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3,688,447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15.7%</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10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26"/>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Nader Naini</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27"/>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28"/>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3,688,447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15.7%</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11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29"/>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Patrick Heron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30"/>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31"/>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3,688,447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15.7%</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12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32"/>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James Topper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33"/>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34"/>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3,688,447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15.7%</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line="184" w:lineRule="auto"/>
        <w:tabs>
          <w:tab w:leader="none" w:pos="1580" w:val="left"/>
        </w:tabs>
        <w:rPr>
          <w:sz w:val="20"/>
          <w:szCs w:val="20"/>
          <w:color w:val="auto"/>
        </w:rPr>
      </w:pPr>
      <w:r>
        <w:rPr>
          <w:rFonts w:ascii="Arial" w:cs="Arial" w:eastAsia="Arial" w:hAnsi="Arial"/>
          <w:sz w:val="26"/>
          <w:szCs w:val="26"/>
          <w:b w:val="1"/>
          <w:bCs w:val="1"/>
          <w:color w:val="auto"/>
          <w:vertAlign w:val="superscript"/>
        </w:rPr>
        <w:t>14</w:t>
      </w:r>
      <w:r>
        <w:rPr>
          <w:sz w:val="20"/>
          <w:szCs w:val="20"/>
          <w:color w:val="auto"/>
        </w:rPr>
        <w:tab/>
      </w:r>
      <w:r>
        <w:rPr>
          <w:rFonts w:ascii="Arial" w:cs="Arial" w:eastAsia="Arial" w:hAnsi="Arial"/>
          <w:sz w:val="14"/>
          <w:szCs w:val="14"/>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663575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13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35"/>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Nathan Every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36"/>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37"/>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3,688,447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3,688,447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15.7%</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1240" w:type="dxa"/>
            <w:vAlign w:val="bottom"/>
            <w:tcBorders>
              <w:top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14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243"/>
        </w:trPr>
        <w:tc>
          <w:tcPr>
            <w:tcW w:w="5080" w:type="dxa"/>
            <w:vAlign w:val="bottom"/>
            <w:tcBorders>
              <w:bottom w:val="single" w:sz="8" w:color="auto"/>
            </w:tcBorders>
            <w:gridSpan w:val="2"/>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237"/>
        </w:trPr>
        <w:tc>
          <w:tcPr>
            <w:tcW w:w="508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64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38"/>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Brian Morfitt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39"/>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40"/>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70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1,342,835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7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70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70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1,342,835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4"/>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3"/>
          </w:tcPr>
          <w:p>
            <w:pPr>
              <w:ind w:left="160"/>
              <w:spacing w:after="0"/>
              <w:rPr>
                <w:sz w:val="20"/>
                <w:szCs w:val="20"/>
                <w:color w:val="auto"/>
              </w:rPr>
            </w:pPr>
            <w:r>
              <w:rPr>
                <w:rFonts w:ascii="Arial" w:cs="Arial" w:eastAsia="Arial" w:hAnsi="Arial"/>
                <w:sz w:val="18"/>
                <w:szCs w:val="18"/>
                <w:color w:val="auto"/>
                <w:w w:val="90"/>
              </w:rPr>
              <w:t>1,342,835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4"/>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4"/>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4"/>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4"/>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5.7%</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3880" w:type="dxa"/>
            <w:vAlign w:val="bottom"/>
            <w:tcBorders>
              <w:top w:val="single" w:sz="8" w:color="auto"/>
              <w:right w:val="single" w:sz="8" w:color="auto"/>
            </w:tcBorders>
          </w:tcPr>
          <w:p>
            <w:pPr>
              <w:ind w:left="178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15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Amendment No. 1 ("Amendment No. 1") to Schedule 13D amends the statement on Schedule 13D filed on February 10, 2017 (the "Original Schedule 13D", and together with this Amendment No. 1, the "Schedule 13D") with respect to the common stock, $0.001 par value (the "Common Stock") of AnaptysBio, Inc. (the "Issuer") having its principal executive office at 10421 Pacific Center Court, Suite 200, San Diego, CA 92121.</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terms used but not defined in this Amendment No. 1 have the meanings assigned thereto in the Original Schedule 13D. Except as specifically provided herein, this Amendment No. 1 does not modify any of the information previously reported on the Original Schedule 13D.</w:t>
      </w:r>
    </w:p>
    <w:p>
      <w:pPr>
        <w:spacing w:after="0" w:line="3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statement is being filed by:</w:t>
      </w:r>
    </w:p>
    <w:p>
      <w:pPr>
        <w:spacing w:after="0" w:line="225" w:lineRule="exact"/>
        <w:rPr>
          <w:sz w:val="20"/>
          <w:szCs w:val="20"/>
          <w:color w:val="auto"/>
        </w:rPr>
      </w:pPr>
    </w:p>
    <w:p>
      <w:pPr>
        <w:ind w:left="300" w:hanging="292"/>
        <w:spacing w:after="0"/>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Frazier Healthcare V, L.P. ("FH V"), Frazier Healthcare VII, L.P. ("FH VII") and Frazier Healthcare VII-A, L.P. ("FH VII-A");</w:t>
      </w:r>
    </w:p>
    <w:p>
      <w:pPr>
        <w:spacing w:after="0" w:line="225" w:lineRule="exact"/>
        <w:rPr>
          <w:rFonts w:ascii="Arial" w:cs="Arial" w:eastAsia="Arial" w:hAnsi="Arial"/>
          <w:sz w:val="18"/>
          <w:szCs w:val="18"/>
          <w:color w:val="auto"/>
        </w:rPr>
      </w:pPr>
    </w:p>
    <w:p>
      <w:pPr>
        <w:jc w:val="both"/>
        <w:ind w:firstLine="8"/>
        <w:spacing w:after="0" w:line="264" w:lineRule="auto"/>
        <w:tabs>
          <w:tab w:leader="none" w:pos="308" w:val="left"/>
        </w:tabs>
        <w:numPr>
          <w:ilvl w:val="0"/>
          <w:numId w:val="41"/>
        </w:numPr>
        <w:rPr>
          <w:rFonts w:ascii="Arial" w:cs="Arial" w:eastAsia="Arial" w:hAnsi="Arial"/>
          <w:sz w:val="18"/>
          <w:szCs w:val="18"/>
          <w:color w:val="auto"/>
        </w:rPr>
      </w:pPr>
      <w:r>
        <w:rPr>
          <w:rFonts w:ascii="Arial" w:cs="Arial" w:eastAsia="Arial" w:hAnsi="Arial"/>
          <w:sz w:val="18"/>
          <w:szCs w:val="18"/>
          <w:color w:val="auto"/>
        </w:rPr>
        <w:t>FHM V, L.P. ("FM V L.P."), which is the sole general partner of FH V; FHM V, L.L.C. ("FM V L.L.C."), which is the sole general partner of FM V L.P.; FHM VII, L.P. ("FM VII L.P."), which is the sole general partner of FH VII and FH VII-A; and FHM VII, L.L.C. ("FM VII L.L.C."), which is the sole general partner of FM VII L.P.; and</w:t>
      </w:r>
    </w:p>
    <w:p>
      <w:pPr>
        <w:spacing w:after="0" w:line="181" w:lineRule="exact"/>
        <w:rPr>
          <w:rFonts w:ascii="Arial" w:cs="Arial" w:eastAsia="Arial" w:hAnsi="Arial"/>
          <w:sz w:val="18"/>
          <w:szCs w:val="18"/>
          <w:color w:val="auto"/>
        </w:rPr>
      </w:pPr>
    </w:p>
    <w:p>
      <w:pPr>
        <w:ind w:firstLine="8"/>
        <w:spacing w:after="0" w:line="277" w:lineRule="auto"/>
        <w:tabs>
          <w:tab w:leader="none" w:pos="296"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Alan Frazier ("Frazier"), Nader Naini ("Naini"), Patrick Heron ("Heron"), James Topper ("Topper") and Nathan Every ("Every") (collectively, the "FM V Members"); and</w:t>
      </w:r>
    </w:p>
    <w:p>
      <w:pPr>
        <w:spacing w:after="0" w:line="170" w:lineRule="exact"/>
        <w:rPr>
          <w:rFonts w:ascii="Arial" w:cs="Arial" w:eastAsia="Arial" w:hAnsi="Arial"/>
          <w:sz w:val="18"/>
          <w:szCs w:val="18"/>
          <w:color w:val="auto"/>
        </w:rPr>
      </w:pPr>
    </w:p>
    <w:p>
      <w:pPr>
        <w:ind w:firstLine="8"/>
        <w:spacing w:after="0" w:line="277" w:lineRule="auto"/>
        <w:tabs>
          <w:tab w:leader="none" w:pos="3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Brian Morfitt ("Morfitt") (collectively with Frazier, Naini, Heron, Topper and Every, the "FM VII Members"). The FM V Members and the FM VII Members are the members of FM V L.L.C. and FM VII L.L.C.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persons named in this Item 2 are referred to individually herein as a "Reporting Person" and collectively as the "Reporting Persons."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principal business office of each Reporting Person is: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Frazier Healthcare Partners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601 Union Street, Suite 3200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Seattle, WA 98101</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FH V, FH VII and FH VII-A are affiliated venture capital funds concentrating in healthcare and related fields. The sole business of FM V L.P. and FM V L.L.C. is to serve as general partner entities for FH V. The sole business of FM VII L.P. and FM VII L.L.C. is to serve as general partner entities for FH VII and FH VII-A. The principal business of each of the FM V Members is to manage FH V, FM V L.P., FM V L.L.C. and a number of affiliated partnerships with similar businesses. The principal business of each of the FM VII Members is to manage FH VII, FH VII-A, FM VII L.P., FM VII L.L.C. and a number of affiliated partnerships with similar businesses.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five years prior to the date hereof, none of the Reporting Persons has been convicted in a criminal proceeding or has been a party to a civil proceeding ending in a judgment, decree or final order enjoining future violations of, or prohibiting or mandating activities subject to, federal or state securities laws or finding any violation with respect to such laws.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Each of FH V, FM V L.P., FH VII, FH VII-A, and FM VII L.P. are limited partnerships organized under the laws of the State of Delaware. FM V L.L.C. and FM VII L.L.C. are limited liability companies organized under the laws of the State of Delaware. Each of the Members is a United States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CUSIP NO. 032724106</w:t>
            </w:r>
          </w:p>
        </w:tc>
        <w:tc>
          <w:tcPr>
            <w:tcW w:w="900" w:type="dxa"/>
            <w:vAlign w:val="bottom"/>
            <w:tcBorders>
              <w:top w:val="single" w:sz="8" w:color="auto"/>
            </w:tcBorders>
          </w:tcPr>
          <w:p>
            <w:pPr>
              <w:spacing w:after="0"/>
              <w:rPr>
                <w:sz w:val="24"/>
                <w:szCs w:val="24"/>
                <w:color w:val="auto"/>
              </w:rPr>
            </w:pPr>
          </w:p>
        </w:tc>
        <w:tc>
          <w:tcPr>
            <w:tcW w:w="2980" w:type="dxa"/>
            <w:vAlign w:val="bottom"/>
            <w:tcBorders>
              <w:top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16 of 22 Pages</w:t>
            </w:r>
          </w:p>
        </w:tc>
      </w:tr>
      <w:tr>
        <w:trPr>
          <w:trHeight w:val="61"/>
        </w:trPr>
        <w:tc>
          <w:tcPr>
            <w:tcW w:w="920" w:type="dxa"/>
            <w:vAlign w:val="bottom"/>
            <w:tcBorders>
              <w:left w:val="single" w:sz="8" w:color="auto"/>
              <w:bottom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98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r>
        <w:trPr>
          <w:trHeight w:val="1107"/>
        </w:trPr>
        <w:tc>
          <w:tcPr>
            <w:tcW w:w="9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3820" w:type="dxa"/>
            <w:vAlign w:val="bottom"/>
            <w:gridSpan w:val="2"/>
          </w:tcPr>
          <w:p>
            <w:pPr>
              <w:ind w:left="380"/>
              <w:spacing w:after="0"/>
              <w:rPr>
                <w:sz w:val="20"/>
                <w:szCs w:val="20"/>
                <w:color w:val="auto"/>
              </w:rPr>
            </w:pPr>
            <w:r>
              <w:rPr>
                <w:rFonts w:ascii="Arial" w:cs="Arial" w:eastAsia="Arial" w:hAnsi="Arial"/>
                <w:sz w:val="18"/>
                <w:szCs w:val="18"/>
                <w:b w:val="1"/>
                <w:bCs w:val="1"/>
                <w:color w:val="auto"/>
              </w:rPr>
              <w:t>Interest in Securities of the Issuer</w:t>
            </w:r>
          </w:p>
        </w:tc>
        <w:tc>
          <w:tcPr>
            <w:tcW w:w="2980" w:type="dxa"/>
            <w:vAlign w:val="bottom"/>
          </w:tcPr>
          <w:p>
            <w:pPr>
              <w:spacing w:after="0"/>
              <w:rPr>
                <w:sz w:val="24"/>
                <w:szCs w:val="24"/>
                <w:color w:val="auto"/>
              </w:rPr>
            </w:pPr>
          </w:p>
        </w:tc>
        <w:tc>
          <w:tcPr>
            <w:tcW w:w="3700" w:type="dxa"/>
            <w:vAlign w:val="bottom"/>
          </w:tcPr>
          <w:p>
            <w:pPr>
              <w:spacing w:after="0"/>
              <w:rPr>
                <w:sz w:val="24"/>
                <w:szCs w:val="24"/>
                <w:color w:val="auto"/>
              </w:rPr>
            </w:pPr>
          </w:p>
        </w:tc>
      </w:tr>
    </w:tbl>
    <w:p>
      <w:pPr>
        <w:spacing w:after="0" w:line="202" w:lineRule="exact"/>
        <w:rPr>
          <w:sz w:val="20"/>
          <w:szCs w:val="20"/>
          <w:color w:val="auto"/>
        </w:rPr>
      </w:pPr>
    </w:p>
    <w:p>
      <w:pPr>
        <w:ind w:left="1960" w:right="60" w:hanging="655"/>
        <w:spacing w:after="0" w:line="259" w:lineRule="auto"/>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FH V is the record owner of 2,345,612 shares of Common Stock (the "FH V Shares"). As the sole general partner of FH V, FM V L.P. may be deemed to own beneficially the FH V Shares. As the sole general partner of FM V L.P., FM V L.L.C. may be deemed to own beneficially the FH V Shares. As members of FM V L.L.C., each of the FM V Members may be deemed to own beneficially the FH V Shares.</w:t>
      </w:r>
    </w:p>
    <w:p>
      <w:pPr>
        <w:spacing w:after="0" w:line="186" w:lineRule="exact"/>
        <w:rPr>
          <w:rFonts w:ascii="Arial" w:cs="Arial" w:eastAsia="Arial" w:hAnsi="Arial"/>
          <w:sz w:val="18"/>
          <w:szCs w:val="18"/>
          <w:color w:val="auto"/>
        </w:rPr>
      </w:pPr>
    </w:p>
    <w:p>
      <w:pPr>
        <w:jc w:val="both"/>
        <w:ind w:left="1960"/>
        <w:spacing w:after="0" w:line="276" w:lineRule="auto"/>
        <w:rPr>
          <w:rFonts w:ascii="Arial" w:cs="Arial" w:eastAsia="Arial" w:hAnsi="Arial"/>
          <w:sz w:val="18"/>
          <w:szCs w:val="18"/>
          <w:color w:val="auto"/>
        </w:rPr>
      </w:pPr>
      <w:r>
        <w:rPr>
          <w:rFonts w:ascii="Arial" w:cs="Arial" w:eastAsia="Arial" w:hAnsi="Arial"/>
          <w:sz w:val="17"/>
          <w:szCs w:val="17"/>
          <w:color w:val="auto"/>
        </w:rPr>
        <w:t>FH VII is the record owner of 1,045,031 shares of Common Stock (the "FH VII Shares") and FH VII-A is the record owner of 297,804 shares of Common Stock (the "FH VII-A Shares"). As the sole general partner of FH VII and of FH VII-A, FM VII L.P. may be deemed to own beneficially the FH VII Shares and FH VII-A Shares. As the sole general partner of FM VII L.P., FM VII L.L.C. may be deemed to own beneficially the FH VII Shares and FH VII-A Shares. As members of FM VII L.L.C., each of the FM VII Members may be deemed to own beneficially the FH VII Shares and FH VII-A Shares.</w:t>
      </w:r>
    </w:p>
    <w:p>
      <w:pPr>
        <w:spacing w:after="0" w:line="172" w:lineRule="exact"/>
        <w:rPr>
          <w:rFonts w:ascii="Arial" w:cs="Arial" w:eastAsia="Arial" w:hAnsi="Arial"/>
          <w:sz w:val="18"/>
          <w:szCs w:val="18"/>
          <w:color w:val="auto"/>
        </w:rPr>
      </w:pPr>
    </w:p>
    <w:p>
      <w:pPr>
        <w:jc w:val="both"/>
        <w:ind w:left="1960"/>
        <w:spacing w:after="0" w:line="259" w:lineRule="auto"/>
        <w:rPr>
          <w:rFonts w:ascii="Arial" w:cs="Arial" w:eastAsia="Arial" w:hAnsi="Arial"/>
          <w:sz w:val="18"/>
          <w:szCs w:val="18"/>
          <w:color w:val="auto"/>
        </w:rPr>
      </w:pPr>
      <w:r>
        <w:rPr>
          <w:rFonts w:ascii="Arial" w:cs="Arial" w:eastAsia="Arial" w:hAnsi="Arial"/>
          <w:sz w:val="18"/>
          <w:szCs w:val="18"/>
          <w:color w:val="auto"/>
        </w:rPr>
        <w:t>The percentage of outstanding Common Stock of the Issuer which may be deemed to be beneficially owned by each Reporting Person is set forth on Line 13 of such Reporting Person's cover sheet. Such percentage was calculated based on the 23,497,680 shares of Common Stock outstanding on November 3, 2017 as reported in the Issuer's 10Q filed with the Securities Exchange Commission on November 7, 2017.</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Regarding the number of shares as to which such person has:</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sole power to vote or to direct the vote: See line 7 of cover sheets</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shared power to vote or to direct the vote: See line 8 of cover sheets</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See line 9 of cover sheets</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See line 10 of cover sheets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other person is known to have the right to receive or the power to direct the receipt of dividends from, or any proceeds from the sale of, FH Shares beneficially owned by any of the Reporting Persons.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1 – Agreement regarding filing of joint Schedule 13D.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2 – Power of Attorney regarding Schedule 13D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2750820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3880" w:type="dxa"/>
            <w:vAlign w:val="bottom"/>
            <w:tcBorders>
              <w:top w:val="single" w:sz="8" w:color="auto"/>
              <w:right w:val="single" w:sz="8" w:color="auto"/>
            </w:tcBorders>
          </w:tcPr>
          <w:p>
            <w:pPr>
              <w:ind w:left="178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17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2018</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FRAZIER HEALTHCARE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FHM V,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FHM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FHM V, L.L.C.,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FRAZIER HEALTHCARE VII,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VII,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FHM VII,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FRAZIER HEALTHCARE VII-A,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VII,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FHM VII,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FHM VII,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VII,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FHM VII,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3880" w:type="dxa"/>
            <w:vAlign w:val="bottom"/>
            <w:tcBorders>
              <w:top w:val="single" w:sz="8" w:color="auto"/>
              <w:right w:val="single" w:sz="8" w:color="auto"/>
            </w:tcBorders>
          </w:tcPr>
          <w:p>
            <w:pPr>
              <w:ind w:left="178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18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Alan Frazier</w:t>
      </w:r>
    </w:p>
    <w:p>
      <w:pPr>
        <w:spacing w:after="0" w:line="200" w:lineRule="exact"/>
        <w:rPr>
          <w:sz w:val="20"/>
          <w:szCs w:val="20"/>
          <w:color w:val="auto"/>
        </w:rPr>
      </w:pPr>
    </w:p>
    <w:p>
      <w:pPr>
        <w:spacing w:after="0" w:line="25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Nader Naini</w:t>
      </w:r>
    </w:p>
    <w:p>
      <w:pPr>
        <w:spacing w:after="0" w:line="200" w:lineRule="exact"/>
        <w:rPr>
          <w:sz w:val="20"/>
          <w:szCs w:val="20"/>
          <w:color w:val="auto"/>
        </w:rPr>
      </w:pPr>
    </w:p>
    <w:p>
      <w:pPr>
        <w:spacing w:after="0" w:line="25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Patrick Heron</w:t>
      </w:r>
    </w:p>
    <w:p>
      <w:pPr>
        <w:spacing w:after="0" w:line="200" w:lineRule="exact"/>
        <w:rPr>
          <w:sz w:val="20"/>
          <w:szCs w:val="20"/>
          <w:color w:val="auto"/>
        </w:rPr>
      </w:pPr>
    </w:p>
    <w:p>
      <w:pPr>
        <w:spacing w:after="0" w:line="25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Topper</w:t>
      </w:r>
    </w:p>
    <w:p>
      <w:pPr>
        <w:spacing w:after="0" w:line="200" w:lineRule="exact"/>
        <w:rPr>
          <w:sz w:val="20"/>
          <w:szCs w:val="20"/>
          <w:color w:val="auto"/>
        </w:rPr>
      </w:pPr>
    </w:p>
    <w:p>
      <w:pPr>
        <w:spacing w:after="0" w:line="25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Nathan Every</w:t>
      </w:r>
    </w:p>
    <w:p>
      <w:pPr>
        <w:spacing w:after="0" w:line="200" w:lineRule="exact"/>
        <w:rPr>
          <w:sz w:val="20"/>
          <w:szCs w:val="20"/>
          <w:color w:val="auto"/>
        </w:rPr>
      </w:pPr>
    </w:p>
    <w:p>
      <w:pPr>
        <w:spacing w:after="0" w:line="25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Brian Morfitt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040"/>
        <w:spacing w:after="0"/>
        <w:tabs>
          <w:tab w:leader="none" w:pos="5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-10160</wp:posOffset>
            </wp:positionV>
            <wp:extent cx="18510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51025" cy="8890"/>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Steve R. Bailey, as Attorney-in-Fact</w:t>
      </w:r>
    </w:p>
    <w:p>
      <w:pPr>
        <w:spacing w:after="0" w:line="2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Amendment No. 1 to Schedule 13D was executed by Steve R. Bailey on behalf of the individuals listed above pursuant to a Power of Attorney a copy of which is attached as 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3521710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3880" w:type="dxa"/>
            <w:vAlign w:val="bottom"/>
            <w:tcBorders>
              <w:top w:val="single" w:sz="8" w:color="auto"/>
              <w:right w:val="single" w:sz="8" w:color="auto"/>
            </w:tcBorders>
          </w:tcPr>
          <w:p>
            <w:pPr>
              <w:ind w:left="178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19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3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Pursuant to Rule 13d-1(k)(1) under the Securities Exchange Act of 1934, the undersigned hereby agree that only one statement containing the information required by Schedule 13D need to be filed with respect to the ownership by each of the undersigned of shares of Common Stock of AnaptysBio,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FRAZIER HEALTHCARE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FHM V,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FHM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FHM V, L.L.C.,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FRAZIER HEALTHCARE VII,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VII,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FHM VII,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FRAZIER HEALTHCARE VII-A,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VII,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FHM VII,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FHM VII,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FHM VII,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FHM VII,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9653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Steve R. Bailey,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3880" w:type="dxa"/>
            <w:vAlign w:val="bottom"/>
            <w:tcBorders>
              <w:top w:val="single" w:sz="8" w:color="auto"/>
              <w:right w:val="single" w:sz="8" w:color="auto"/>
            </w:tcBorders>
          </w:tcPr>
          <w:p>
            <w:pPr>
              <w:ind w:left="178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20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Alan Frazier</w:t>
      </w:r>
    </w:p>
    <w:p>
      <w:pPr>
        <w:spacing w:after="0" w:line="200" w:lineRule="exact"/>
        <w:rPr>
          <w:sz w:val="20"/>
          <w:szCs w:val="20"/>
          <w:color w:val="auto"/>
        </w:rPr>
      </w:pPr>
    </w:p>
    <w:p>
      <w:pPr>
        <w:spacing w:after="0" w:line="22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Nader Naini</w:t>
      </w:r>
    </w:p>
    <w:p>
      <w:pPr>
        <w:spacing w:after="0" w:line="200" w:lineRule="exact"/>
        <w:rPr>
          <w:sz w:val="20"/>
          <w:szCs w:val="20"/>
          <w:color w:val="auto"/>
        </w:rPr>
      </w:pPr>
    </w:p>
    <w:p>
      <w:pPr>
        <w:spacing w:after="0" w:line="22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Patrick Heron</w:t>
      </w:r>
    </w:p>
    <w:p>
      <w:pPr>
        <w:spacing w:after="0" w:line="200" w:lineRule="exact"/>
        <w:rPr>
          <w:sz w:val="20"/>
          <w:szCs w:val="20"/>
          <w:color w:val="auto"/>
        </w:rPr>
      </w:pPr>
    </w:p>
    <w:p>
      <w:pPr>
        <w:spacing w:after="0" w:line="22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Topper</w:t>
      </w:r>
    </w:p>
    <w:p>
      <w:pPr>
        <w:spacing w:after="0" w:line="200" w:lineRule="exact"/>
        <w:rPr>
          <w:sz w:val="20"/>
          <w:szCs w:val="20"/>
          <w:color w:val="auto"/>
        </w:rPr>
      </w:pPr>
    </w:p>
    <w:p>
      <w:pPr>
        <w:spacing w:after="0" w:line="22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Nathan Every</w:t>
      </w:r>
    </w:p>
    <w:p>
      <w:pPr>
        <w:spacing w:after="0" w:line="200" w:lineRule="exact"/>
        <w:rPr>
          <w:sz w:val="20"/>
          <w:szCs w:val="20"/>
          <w:color w:val="auto"/>
        </w:rPr>
      </w:pPr>
    </w:p>
    <w:p>
      <w:pPr>
        <w:spacing w:after="0" w:line="22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74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Brian Morfitt</w:t>
      </w:r>
    </w:p>
    <w:p>
      <w:pPr>
        <w:spacing w:after="0" w:line="200" w:lineRule="exact"/>
        <w:rPr>
          <w:sz w:val="20"/>
          <w:szCs w:val="20"/>
          <w:color w:val="auto"/>
        </w:rPr>
      </w:pPr>
    </w:p>
    <w:p>
      <w:pPr>
        <w:spacing w:after="0" w:line="254" w:lineRule="exact"/>
        <w:rPr>
          <w:sz w:val="20"/>
          <w:szCs w:val="20"/>
          <w:color w:val="auto"/>
        </w:rPr>
      </w:pPr>
    </w:p>
    <w:p>
      <w:pPr>
        <w:ind w:left="5040"/>
        <w:spacing w:after="0"/>
        <w:tabs>
          <w:tab w:leader="none" w:pos="5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-10160</wp:posOffset>
            </wp:positionV>
            <wp:extent cx="18510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51025" cy="8890"/>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Steve R. Bailey, as Attorney-in-Fact</w:t>
      </w:r>
    </w:p>
    <w:p>
      <w:pPr>
        <w:spacing w:after="0" w:line="2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This Agreement was executed by Steve R. Bailey on behalf of the individuals listed above pursuant to a Power of Attorney a copy of which is attached as 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3880" w:type="dxa"/>
            <w:vAlign w:val="bottom"/>
            <w:tcBorders>
              <w:top w:val="single" w:sz="8" w:color="auto"/>
              <w:right w:val="single" w:sz="8" w:color="auto"/>
            </w:tcBorders>
          </w:tcPr>
          <w:p>
            <w:pPr>
              <w:ind w:left="178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21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ind w:right="20" w:firstLine="648"/>
        <w:spacing w:after="0" w:line="218" w:lineRule="exact"/>
        <w:rPr>
          <w:sz w:val="20"/>
          <w:szCs w:val="20"/>
          <w:color w:val="auto"/>
        </w:rPr>
      </w:pPr>
      <w:r>
        <w:rPr>
          <w:rFonts w:ascii="Arial" w:cs="Arial" w:eastAsia="Arial" w:hAnsi="Arial"/>
          <w:sz w:val="17"/>
          <w:szCs w:val="17"/>
          <w:color w:val="auto"/>
        </w:rPr>
        <w:t>KNOW ALL BY THESE PRESENTS, that each person whose signature appears below hereby constitutes and appoints Steve R. Bailey with full power to act singly, his true and lawful attorney-in-fact, with full power of substitution, to: (i) sign any and all instruments, certificates and documents that may be necessary, desirable or appropriate to be executed on behalf of himself as an individual or in his capacity as a general partner of any partnership or limited liability company, pursuant to Section 13 or 16 of the Securities Exchange Act of 1934, as amended, and any and all regulations promulgated thereunder, (ii) file the same (including any amendments thereto), with all exhibits thereto, and any other documents in connection therewith, with the Securities and Exchange Commission, and any stock exchange or similar authority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may approve in such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fact's discretion, granting unto said attorney-in-fact full power and authority to do and perform each and every act and thing necessary, desirable or appropriate.</w:t>
      </w:r>
    </w:p>
    <w:p>
      <w:pPr>
        <w:spacing w:after="0" w:line="202"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Each of the undersigned hereby grant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power of attorney shall remain in full force and effect until revoked by the undersigned in a signed writing delivered to the attorney-in-fact.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Power of Attorney has been signed as of the 17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2016.</w:t>
      </w:r>
    </w:p>
    <w:p>
      <w:pPr>
        <w:spacing w:after="0" w:line="200" w:lineRule="exact"/>
        <w:rPr>
          <w:sz w:val="20"/>
          <w:szCs w:val="20"/>
          <w:color w:val="auto"/>
        </w:rPr>
      </w:pPr>
    </w:p>
    <w:p>
      <w:pPr>
        <w:spacing w:after="0" w:line="32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Brian Morfitt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-10160</wp:posOffset>
            </wp:positionV>
            <wp:extent cx="17780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78000"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Brian Morfitt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2089785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297"/>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032724106</w:t>
            </w:r>
          </w:p>
        </w:tc>
        <w:tc>
          <w:tcPr>
            <w:tcW w:w="3880" w:type="dxa"/>
            <w:vAlign w:val="bottom"/>
            <w:tcBorders>
              <w:top w:val="single" w:sz="8" w:color="auto"/>
              <w:right w:val="single" w:sz="8" w:color="auto"/>
            </w:tcBorders>
          </w:tcPr>
          <w:p>
            <w:pPr>
              <w:ind w:left="1780"/>
              <w:spacing w:after="0"/>
              <w:rPr>
                <w:sz w:val="20"/>
                <w:szCs w:val="20"/>
                <w:color w:val="auto"/>
              </w:rPr>
            </w:pPr>
            <w:r>
              <w:rPr>
                <w:rFonts w:ascii="Arial" w:cs="Arial" w:eastAsia="Arial" w:hAnsi="Arial"/>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9"/>
              </w:rPr>
              <w:t>Page 22 of 22 Pages</w:t>
            </w:r>
          </w:p>
        </w:tc>
      </w:tr>
      <w:tr>
        <w:trPr>
          <w:trHeight w:val="61"/>
        </w:trPr>
        <w:tc>
          <w:tcPr>
            <w:tcW w:w="3840" w:type="dxa"/>
            <w:vAlign w:val="bottom"/>
            <w:tcBorders>
              <w:left w:val="single" w:sz="8" w:color="auto"/>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ind w:right="20" w:firstLine="648"/>
        <w:spacing w:after="0" w:line="218" w:lineRule="exact"/>
        <w:rPr>
          <w:sz w:val="20"/>
          <w:szCs w:val="20"/>
          <w:color w:val="auto"/>
        </w:rPr>
      </w:pPr>
      <w:r>
        <w:rPr>
          <w:rFonts w:ascii="Arial" w:cs="Arial" w:eastAsia="Arial" w:hAnsi="Arial"/>
          <w:sz w:val="17"/>
          <w:szCs w:val="17"/>
          <w:color w:val="auto"/>
        </w:rPr>
        <w:t>KNOW ALL BY THESE PRESENTS, that each person whose signature appears below hereby constitutes and appoints Steve R. Bailey with full power to act singly, his true and lawful attorney-in-fact, with full power of substitution, to: (i) sign any and all instruments, certificates and documents that may be necessary, desirable or appropriate to be executed on behalf of himself as an individual or in his capacity as a general partner of any partnership or limited liability company, pursuant to Section 13 or 16 of the Securities Exchange Act of 1934, as amended, and any and all regulations promulgated thereunder, (ii) file the same (including any amendments thereto), with all exhibits thereto, and any other documents in connection therewith, with the Securities and Exchange Commission, and any stock exchange or similar authority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may approve in such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fact's discretion, granting unto said attorney-in-fact full power and authority to do and perform each and every act and thing necessary, desirable or appropriate.</w:t>
      </w:r>
    </w:p>
    <w:p>
      <w:pPr>
        <w:spacing w:after="0" w:line="202"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Each of the undersigned hereby grant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power of attorney shall remain in full force and effect until revoked by the undersigned in a signed writing delivered to the attorney-in-fact.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Power of Attorney has been signed as of the 16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February, 2016.</w:t>
      </w:r>
    </w:p>
    <w:p>
      <w:pPr>
        <w:spacing w:after="0" w:line="200" w:lineRule="exact"/>
        <w:rPr>
          <w:sz w:val="20"/>
          <w:szCs w:val="20"/>
          <w:color w:val="auto"/>
        </w:rPr>
      </w:pPr>
    </w:p>
    <w:p>
      <w:pPr>
        <w:spacing w:after="0" w:line="32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Alan Frazier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-10160</wp:posOffset>
            </wp:positionV>
            <wp:extent cx="17970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97050"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Alan Frazier</w:t>
      </w:r>
    </w:p>
    <w:p>
      <w:pPr>
        <w:spacing w:after="0" w:line="200" w:lineRule="exact"/>
        <w:rPr>
          <w:sz w:val="20"/>
          <w:szCs w:val="20"/>
          <w:color w:val="auto"/>
        </w:rPr>
      </w:pPr>
    </w:p>
    <w:p>
      <w:pPr>
        <w:spacing w:after="0" w:line="22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Nader Naini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-10160</wp:posOffset>
            </wp:positionV>
            <wp:extent cx="17843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84350"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Nader Naini</w:t>
      </w:r>
    </w:p>
    <w:p>
      <w:pPr>
        <w:spacing w:after="0" w:line="200" w:lineRule="exact"/>
        <w:rPr>
          <w:sz w:val="20"/>
          <w:szCs w:val="20"/>
          <w:color w:val="auto"/>
        </w:rPr>
      </w:pPr>
    </w:p>
    <w:p>
      <w:pPr>
        <w:spacing w:after="0" w:line="22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Patrick Heron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-10160</wp:posOffset>
            </wp:positionV>
            <wp:extent cx="17748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74825"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Patrick Heron</w:t>
      </w:r>
    </w:p>
    <w:p>
      <w:pPr>
        <w:spacing w:after="0" w:line="200" w:lineRule="exact"/>
        <w:rPr>
          <w:sz w:val="20"/>
          <w:szCs w:val="20"/>
          <w:color w:val="auto"/>
        </w:rPr>
      </w:pPr>
    </w:p>
    <w:p>
      <w:pPr>
        <w:spacing w:after="0" w:line="22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James Topper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-10160</wp:posOffset>
            </wp:positionV>
            <wp:extent cx="17665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James Topper</w:t>
      </w:r>
    </w:p>
    <w:p>
      <w:pPr>
        <w:spacing w:after="0" w:line="200" w:lineRule="exact"/>
        <w:rPr>
          <w:sz w:val="20"/>
          <w:szCs w:val="20"/>
          <w:color w:val="auto"/>
        </w:rPr>
      </w:pPr>
    </w:p>
    <w:p>
      <w:pPr>
        <w:spacing w:after="0" w:line="22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 Nathan Every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-10160</wp:posOffset>
            </wp:positionV>
            <wp:extent cx="17684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68475"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Nathan Every</w:t>
      </w:r>
    </w:p>
    <w:sectPr>
      <w:pgSz w:w="11900" w:h="16838" w:orient="portrait"/>
      <w:cols w:equalWidth="0" w:num="1">
        <w:col w:w="11420"/>
      </w:cols>
      <w:pgMar w:left="240" w:top="1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bullet"/>
      <w:start w:val="1"/>
    </w:lvl>
  </w:abstractNum>
  <w:abstractNum w:abstractNumId="2">
    <w:nsid w:val="2443A858"/>
    <w:multiLevelType w:val="hybridMultilevel"/>
    <w:lvl w:ilvl="0">
      <w:lvlJc w:val="left"/>
      <w:lvlText w:val="4"/>
      <w:numFmt w:val="bullet"/>
      <w:start w:val="1"/>
    </w:lvl>
  </w:abstractNum>
  <w:abstractNum w:abstractNumId="3">
    <w:nsid w:val="2D1D5AE9"/>
    <w:multiLevelType w:val="hybridMultilevel"/>
    <w:lvl w:ilvl="0">
      <w:lvlJc w:val="left"/>
      <w:lvlText w:val="6"/>
      <w:numFmt w:val="bullet"/>
      <w:start w:val="1"/>
    </w:lvl>
  </w:abstractNum>
  <w:abstractNum w:abstractNumId="4">
    <w:nsid w:val="6763845E"/>
    <w:multiLevelType w:val="hybridMultilevel"/>
    <w:lvl w:ilvl="0">
      <w:lvlJc w:val="left"/>
      <w:lvlText w:val="1"/>
      <w:numFmt w:val="bullet"/>
      <w:start w:val="1"/>
    </w:lvl>
  </w:abstractNum>
  <w:abstractNum w:abstractNumId="5">
    <w:nsid w:val="75A2A8D4"/>
    <w:multiLevelType w:val="hybridMultilevel"/>
    <w:lvl w:ilvl="0">
      <w:lvlJc w:val="left"/>
      <w:lvlText w:val="4"/>
      <w:numFmt w:val="bullet"/>
      <w:start w:val="1"/>
    </w:lvl>
  </w:abstractNum>
  <w:abstractNum w:abstractNumId="6">
    <w:nsid w:val="8EDBDAB"/>
    <w:multiLevelType w:val="hybridMultilevel"/>
    <w:lvl w:ilvl="0">
      <w:lvlJc w:val="left"/>
      <w:lvlText w:val="6"/>
      <w:numFmt w:val="bullet"/>
      <w:start w:val="1"/>
    </w:lvl>
  </w:abstractNum>
  <w:abstractNum w:abstractNumId="7">
    <w:nsid w:val="79838CB2"/>
    <w:multiLevelType w:val="hybridMultilevel"/>
    <w:lvl w:ilvl="0">
      <w:lvlJc w:val="left"/>
      <w:lvlText w:val="1"/>
      <w:numFmt w:val="bullet"/>
      <w:start w:val="1"/>
    </w:lvl>
  </w:abstractNum>
  <w:abstractNum w:abstractNumId="8">
    <w:nsid w:val="4353D0CD"/>
    <w:multiLevelType w:val="hybridMultilevel"/>
    <w:lvl w:ilvl="0">
      <w:lvlJc w:val="left"/>
      <w:lvlText w:val="4"/>
      <w:numFmt w:val="bullet"/>
      <w:start w:val="1"/>
    </w:lvl>
  </w:abstractNum>
  <w:abstractNum w:abstractNumId="9">
    <w:nsid w:val="B03E0C6"/>
    <w:multiLevelType w:val="hybridMultilevel"/>
    <w:lvl w:ilvl="0">
      <w:lvlJc w:val="left"/>
      <w:lvlText w:val="6"/>
      <w:numFmt w:val="bullet"/>
      <w:start w:val="1"/>
    </w:lvl>
  </w:abstractNum>
  <w:abstractNum w:abstractNumId="10">
    <w:nsid w:val="189A769B"/>
    <w:multiLevelType w:val="hybridMultilevel"/>
    <w:lvl w:ilvl="0">
      <w:lvlJc w:val="left"/>
      <w:lvlText w:val="1"/>
      <w:numFmt w:val="bullet"/>
      <w:start w:val="1"/>
    </w:lvl>
  </w:abstractNum>
  <w:abstractNum w:abstractNumId="11">
    <w:nsid w:val="54E49EB4"/>
    <w:multiLevelType w:val="hybridMultilevel"/>
    <w:lvl w:ilvl="0">
      <w:lvlJc w:val="left"/>
      <w:lvlText w:val="4"/>
      <w:numFmt w:val="bullet"/>
      <w:start w:val="1"/>
    </w:lvl>
  </w:abstractNum>
  <w:abstractNum w:abstractNumId="12">
    <w:nsid w:val="71F32454"/>
    <w:multiLevelType w:val="hybridMultilevel"/>
    <w:lvl w:ilvl="0">
      <w:lvlJc w:val="left"/>
      <w:lvlText w:val="6"/>
      <w:numFmt w:val="bullet"/>
      <w:start w:val="1"/>
    </w:lvl>
  </w:abstractNum>
  <w:abstractNum w:abstractNumId="13">
    <w:nsid w:val="2CA88611"/>
    <w:multiLevelType w:val="hybridMultilevel"/>
    <w:lvl w:ilvl="0">
      <w:lvlJc w:val="left"/>
      <w:lvlText w:val="1"/>
      <w:numFmt w:val="bullet"/>
      <w:start w:val="1"/>
    </w:lvl>
  </w:abstractNum>
  <w:abstractNum w:abstractNumId="14">
    <w:nsid w:val="836C40E"/>
    <w:multiLevelType w:val="hybridMultilevel"/>
    <w:lvl w:ilvl="0">
      <w:lvlJc w:val="left"/>
      <w:lvlText w:val="4"/>
      <w:numFmt w:val="bullet"/>
      <w:start w:val="1"/>
    </w:lvl>
  </w:abstractNum>
  <w:abstractNum w:abstractNumId="15">
    <w:nsid w:val="2901D82"/>
    <w:multiLevelType w:val="hybridMultilevel"/>
    <w:lvl w:ilvl="0">
      <w:lvlJc w:val="left"/>
      <w:lvlText w:val="6"/>
      <w:numFmt w:val="bullet"/>
      <w:start w:val="1"/>
    </w:lvl>
  </w:abstractNum>
  <w:abstractNum w:abstractNumId="16">
    <w:nsid w:val="3A95F874"/>
    <w:multiLevelType w:val="hybridMultilevel"/>
    <w:lvl w:ilvl="0">
      <w:lvlJc w:val="left"/>
      <w:lvlText w:val="1"/>
      <w:numFmt w:val="bullet"/>
      <w:start w:val="1"/>
    </w:lvl>
  </w:abstractNum>
  <w:abstractNum w:abstractNumId="17">
    <w:nsid w:val="8138641"/>
    <w:multiLevelType w:val="hybridMultilevel"/>
    <w:lvl w:ilvl="0">
      <w:lvlJc w:val="left"/>
      <w:lvlText w:val="4"/>
      <w:numFmt w:val="bullet"/>
      <w:start w:val="1"/>
    </w:lvl>
  </w:abstractNum>
  <w:abstractNum w:abstractNumId="18">
    <w:nsid w:val="1E7FF521"/>
    <w:multiLevelType w:val="hybridMultilevel"/>
    <w:lvl w:ilvl="0">
      <w:lvlJc w:val="left"/>
      <w:lvlText w:val="6"/>
      <w:numFmt w:val="bullet"/>
      <w:start w:val="1"/>
    </w:lvl>
  </w:abstractNum>
  <w:abstractNum w:abstractNumId="19">
    <w:nsid w:val="7C3DBD3D"/>
    <w:multiLevelType w:val="hybridMultilevel"/>
    <w:lvl w:ilvl="0">
      <w:lvlJc w:val="left"/>
      <w:lvlText w:val="1"/>
      <w:numFmt w:val="bullet"/>
      <w:start w:val="1"/>
    </w:lvl>
  </w:abstractNum>
  <w:abstractNum w:abstractNumId="20">
    <w:nsid w:val="737B8DDC"/>
    <w:multiLevelType w:val="hybridMultilevel"/>
    <w:lvl w:ilvl="0">
      <w:lvlJc w:val="left"/>
      <w:lvlText w:val="4"/>
      <w:numFmt w:val="bullet"/>
      <w:start w:val="1"/>
    </w:lvl>
  </w:abstractNum>
  <w:abstractNum w:abstractNumId="21">
    <w:nsid w:val="6CEAF087"/>
    <w:multiLevelType w:val="hybridMultilevel"/>
    <w:lvl w:ilvl="0">
      <w:lvlJc w:val="left"/>
      <w:lvlText w:val="6"/>
      <w:numFmt w:val="bullet"/>
      <w:start w:val="1"/>
    </w:lvl>
  </w:abstractNum>
  <w:abstractNum w:abstractNumId="22">
    <w:nsid w:val="22221A70"/>
    <w:multiLevelType w:val="hybridMultilevel"/>
    <w:lvl w:ilvl="0">
      <w:lvlJc w:val="left"/>
      <w:lvlText w:val="1"/>
      <w:numFmt w:val="bullet"/>
      <w:start w:val="1"/>
    </w:lvl>
  </w:abstractNum>
  <w:abstractNum w:abstractNumId="23">
    <w:nsid w:val="4516DDE9"/>
    <w:multiLevelType w:val="hybridMultilevel"/>
    <w:lvl w:ilvl="0">
      <w:lvlJc w:val="left"/>
      <w:lvlText w:val="4"/>
      <w:numFmt w:val="bullet"/>
      <w:start w:val="1"/>
    </w:lvl>
  </w:abstractNum>
  <w:abstractNum w:abstractNumId="24">
    <w:nsid w:val="3006C83E"/>
    <w:multiLevelType w:val="hybridMultilevel"/>
    <w:lvl w:ilvl="0">
      <w:lvlJc w:val="left"/>
      <w:lvlText w:val="6"/>
      <w:numFmt w:val="bullet"/>
      <w:start w:val="1"/>
    </w:lvl>
  </w:abstractNum>
  <w:abstractNum w:abstractNumId="25">
    <w:nsid w:val="614FD4A1"/>
    <w:multiLevelType w:val="hybridMultilevel"/>
    <w:lvl w:ilvl="0">
      <w:lvlJc w:val="left"/>
      <w:lvlText w:val="1"/>
      <w:numFmt w:val="bullet"/>
      <w:start w:val="1"/>
    </w:lvl>
  </w:abstractNum>
  <w:abstractNum w:abstractNumId="26">
    <w:nsid w:val="419AC241"/>
    <w:multiLevelType w:val="hybridMultilevel"/>
    <w:lvl w:ilvl="0">
      <w:lvlJc w:val="left"/>
      <w:lvlText w:val="4"/>
      <w:numFmt w:val="bullet"/>
      <w:start w:val="1"/>
    </w:lvl>
  </w:abstractNum>
  <w:abstractNum w:abstractNumId="27">
    <w:nsid w:val="5577F8E1"/>
    <w:multiLevelType w:val="hybridMultilevel"/>
    <w:lvl w:ilvl="0">
      <w:lvlJc w:val="left"/>
      <w:lvlText w:val="6"/>
      <w:numFmt w:val="bullet"/>
      <w:start w:val="1"/>
    </w:lvl>
  </w:abstractNum>
  <w:abstractNum w:abstractNumId="28">
    <w:nsid w:val="440BADFC"/>
    <w:multiLevelType w:val="hybridMultilevel"/>
    <w:lvl w:ilvl="0">
      <w:lvlJc w:val="left"/>
      <w:lvlText w:val="1"/>
      <w:numFmt w:val="bullet"/>
      <w:start w:val="1"/>
    </w:lvl>
  </w:abstractNum>
  <w:abstractNum w:abstractNumId="29">
    <w:nsid w:val="5072367"/>
    <w:multiLevelType w:val="hybridMultilevel"/>
    <w:lvl w:ilvl="0">
      <w:lvlJc w:val="left"/>
      <w:lvlText w:val="4"/>
      <w:numFmt w:val="bullet"/>
      <w:start w:val="1"/>
    </w:lvl>
  </w:abstractNum>
  <w:abstractNum w:abstractNumId="30">
    <w:nsid w:val="3804823E"/>
    <w:multiLevelType w:val="hybridMultilevel"/>
    <w:lvl w:ilvl="0">
      <w:lvlJc w:val="left"/>
      <w:lvlText w:val="6"/>
      <w:numFmt w:val="bullet"/>
      <w:start w:val="1"/>
    </w:lvl>
  </w:abstractNum>
  <w:abstractNum w:abstractNumId="31">
    <w:nsid w:val="77465F01"/>
    <w:multiLevelType w:val="hybridMultilevel"/>
    <w:lvl w:ilvl="0">
      <w:lvlJc w:val="left"/>
      <w:lvlText w:val="1"/>
      <w:numFmt w:val="bullet"/>
      <w:start w:val="1"/>
    </w:lvl>
  </w:abstractNum>
  <w:abstractNum w:abstractNumId="32">
    <w:nsid w:val="7724C67E"/>
    <w:multiLevelType w:val="hybridMultilevel"/>
    <w:lvl w:ilvl="0">
      <w:lvlJc w:val="left"/>
      <w:lvlText w:val="4"/>
      <w:numFmt w:val="bullet"/>
      <w:start w:val="1"/>
    </w:lvl>
  </w:abstractNum>
  <w:abstractNum w:abstractNumId="33">
    <w:nsid w:val="5C482A97"/>
    <w:multiLevelType w:val="hybridMultilevel"/>
    <w:lvl w:ilvl="0">
      <w:lvlJc w:val="left"/>
      <w:lvlText w:val="6"/>
      <w:numFmt w:val="bullet"/>
      <w:start w:val="1"/>
    </w:lvl>
  </w:abstractNum>
  <w:abstractNum w:abstractNumId="34">
    <w:nsid w:val="2463B9EA"/>
    <w:multiLevelType w:val="hybridMultilevel"/>
    <w:lvl w:ilvl="0">
      <w:lvlJc w:val="left"/>
      <w:lvlText w:val="1"/>
      <w:numFmt w:val="bullet"/>
      <w:start w:val="1"/>
    </w:lvl>
  </w:abstractNum>
  <w:abstractNum w:abstractNumId="35">
    <w:nsid w:val="5E884ADC"/>
    <w:multiLevelType w:val="hybridMultilevel"/>
    <w:lvl w:ilvl="0">
      <w:lvlJc w:val="left"/>
      <w:lvlText w:val="4"/>
      <w:numFmt w:val="bullet"/>
      <w:start w:val="1"/>
    </w:lvl>
  </w:abstractNum>
  <w:abstractNum w:abstractNumId="36">
    <w:nsid w:val="51EAD36B"/>
    <w:multiLevelType w:val="hybridMultilevel"/>
    <w:lvl w:ilvl="0">
      <w:lvlJc w:val="left"/>
      <w:lvlText w:val="6"/>
      <w:numFmt w:val="bullet"/>
      <w:start w:val="1"/>
    </w:lvl>
  </w:abstractNum>
  <w:abstractNum w:abstractNumId="37">
    <w:nsid w:val="2D517796"/>
    <w:multiLevelType w:val="hybridMultilevel"/>
    <w:lvl w:ilvl="0">
      <w:lvlJc w:val="left"/>
      <w:lvlText w:val="1"/>
      <w:numFmt w:val="bullet"/>
      <w:start w:val="1"/>
    </w:lvl>
  </w:abstractNum>
  <w:abstractNum w:abstractNumId="38">
    <w:nsid w:val="580BD78F"/>
    <w:multiLevelType w:val="hybridMultilevel"/>
    <w:lvl w:ilvl="0">
      <w:lvlJc w:val="left"/>
      <w:lvlText w:val="4"/>
      <w:numFmt w:val="bullet"/>
      <w:start w:val="1"/>
    </w:lvl>
  </w:abstractNum>
  <w:abstractNum w:abstractNumId="39">
    <w:nsid w:val="153EA438"/>
    <w:multiLevelType w:val="hybridMultilevel"/>
    <w:lvl w:ilvl="0">
      <w:lvlJc w:val="left"/>
      <w:lvlText w:val="6"/>
      <w:numFmt w:val="bullet"/>
      <w:start w:val="1"/>
    </w:lvl>
  </w:abstractNum>
  <w:abstractNum w:abstractNumId="40">
    <w:nsid w:val="3855585C"/>
    <w:multiLevelType w:val="hybridMultilevel"/>
    <w:lvl w:ilvl="0">
      <w:lvlJc w:val="left"/>
      <w:lvlText w:val="(%1)"/>
      <w:numFmt w:val="lowerLetter"/>
      <w:start w:val="1"/>
    </w:lvl>
  </w:abstractNum>
  <w:abstractNum w:abstractNumId="41">
    <w:nsid w:val="70A64E2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2019-12-16T20:06:17Z</dcterms:created>
  <dcterms:modified xsi:type="dcterms:W3CDTF">2019-12-16T20:06:17Z</dcterms:modified>
</cp:coreProperties>
</file>