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Rita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4,534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-2282190</wp:posOffset>
            </wp:positionV>
            <wp:extent cx="29210" cy="2287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as to 1/3 of the total shares on June 15, 2024, and thereafter vests as to 1/3 of the total RSUs on June 15, 2025; and as to 1/3 of the total RSUs on June 15, 2026, subject to the provision of services to the Company on each vesting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779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2024-06-18T19:25:56Z</dcterms:created>
  <dcterms:modified xsi:type="dcterms:W3CDTF">2024-06-18T19:25:56Z</dcterms:modified>
</cp:coreProperties>
</file>