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2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8-K</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CURRENT REPORT PURSUANT TO</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February 12, 2025</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(Date of earliest event reported)</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ANAPTYSBIO,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Charter)</w:t>
      </w:r>
    </w:p>
    <w:p>
      <w:pPr>
        <w:sectPr>
          <w:pgSz w:w="11900" w:h="16838" w:orient="portrait"/>
          <w:cols w:equalWidth="0" w:num="1">
            <w:col w:w="11300"/>
          </w:cols>
          <w:pgMar w:left="300" w:top="1059" w:right="299" w:bottom="1440" w:gutter="0" w:footer="0" w:header="0"/>
        </w:sectPr>
      </w:pPr>
    </w:p>
    <w:p>
      <w:pPr>
        <w:spacing w:after="0" w:line="186"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2"/>
          <w:szCs w:val="12"/>
          <w:b w:val="1"/>
          <w:bCs w:val="1"/>
          <w:color w:val="auto"/>
        </w:rPr>
        <w:t>001-37985</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20-3828755</w:t>
      </w:r>
    </w:p>
    <w:p>
      <w:pPr>
        <w:spacing w:after="0" w:line="24" w:lineRule="exact"/>
        <w:rPr>
          <w:sz w:val="24"/>
          <w:szCs w:val="24"/>
          <w:color w:val="auto"/>
        </w:rPr>
      </w:pPr>
    </w:p>
    <w:p>
      <w:pPr>
        <w:sectPr>
          <w:pgSz w:w="11900" w:h="16838" w:orient="portrait"/>
          <w:cols w:equalWidth="0" w:num="3">
            <w:col w:w="4680" w:space="720"/>
            <w:col w:w="2920" w:space="720"/>
            <w:col w:w="2260"/>
          </w:cols>
          <w:pgMar w:left="300" w:top="1059" w:right="29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40" w:space="720"/>
            <w:col w:w="2760" w:space="720"/>
            <w:col w:w="2860"/>
          </w:cols>
          <w:pgMar w:left="300" w:top="1059" w:right="299" w:bottom="1440" w:gutter="0" w:footer="0" w:header="0"/>
          <w:type w:val="continuous"/>
        </w:sectPr>
      </w:pPr>
    </w:p>
    <w:p>
      <w:pPr>
        <w:spacing w:after="0" w:line="2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3"/>
          <w:szCs w:val="13"/>
          <w:b w:val="1"/>
          <w:bCs w:val="1"/>
          <w:color w:val="auto"/>
        </w:rPr>
        <w:t>10770 Wateridge Circle, Suite 210,</w:t>
      </w:r>
    </w:p>
    <w:p>
      <w:pPr>
        <w:spacing w:after="0" w:line="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San Diego, CA 92121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(Address of Principal Executive Offices, and Zip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(858) 362-6295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(Registrant’s Telephone Number, Including Area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color w:val="auto"/>
        </w:rPr>
        <w:t>(Former name or former address, if changed since last report.)</w:t>
      </w:r>
    </w:p>
    <w:p>
      <w:pPr>
        <w:sectPr>
          <w:pgSz w:w="11900" w:h="16838" w:orient="portrait"/>
          <w:cols w:equalWidth="0" w:num="1">
            <w:col w:w="11300"/>
          </w:cols>
          <w:pgMar w:left="300" w:top="1059" w:right="299" w:bottom="1440" w:gutter="0" w:footer="0" w:header="0"/>
          <w:type w:val="continuous"/>
        </w:sectPr>
      </w:pP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4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Written communication pursuant to Rule 425 under the Securities Act (17 CFR 230.425)</w:t>
      </w:r>
    </w:p>
    <w:p>
      <w:pPr>
        <w:spacing w:after="0" w:line="46"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Soliciting material pursuant to Rule 14a-12 under the Exchange Act (17 CFR 240.14a-12)</w:t>
      </w:r>
    </w:p>
    <w:p>
      <w:pPr>
        <w:spacing w:after="0" w:line="2"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14d-2(b) under the Exchange Act (17 CFR 240.14d-2(b))</w:t>
      </w:r>
    </w:p>
    <w:p>
      <w:pPr>
        <w:spacing w:after="0" w:line="1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13e-4(c) under the Exchange Act (17 CFR 240.13e-4(c))</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78" w:lineRule="exact"/>
        <w:rPr>
          <w:sz w:val="24"/>
          <w:szCs w:val="24"/>
          <w:color w:val="auto"/>
        </w:rPr>
      </w:pPr>
    </w:p>
    <w:tbl>
      <w:tblPr>
        <w:tblLayout w:type="fixed"/>
        <w:tblInd w:w="190" w:type="dxa"/>
        <w:tblCellMar>
          <w:top w:w="0" w:type="dxa"/>
          <w:left w:w="0" w:type="dxa"/>
          <w:bottom w:w="0" w:type="dxa"/>
          <w:right w:w="0" w:type="dxa"/>
        </w:tblCellMar>
      </w:tblPr>
      <w:tr>
        <w:trPr>
          <w:trHeight w:val="164"/>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144"/>
        </w:trPr>
        <w:tc>
          <w:tcPr>
            <w:tcW w:w="4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ANAB</w:t>
            </w:r>
          </w:p>
        </w:tc>
        <w:tc>
          <w:tcPr>
            <w:tcW w:w="4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bl>
    <w:p>
      <w:pPr>
        <w:spacing w:after="0" w:line="196" w:lineRule="exact"/>
        <w:rPr>
          <w:sz w:val="24"/>
          <w:szCs w:val="24"/>
          <w:color w:val="auto"/>
        </w:rPr>
      </w:pPr>
    </w:p>
    <w:p>
      <w:pPr>
        <w:ind w:right="2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9" w:lineRule="exact"/>
        <w:rPr>
          <w:sz w:val="24"/>
          <w:szCs w:val="24"/>
          <w:color w:val="auto"/>
        </w:rPr>
      </w:pPr>
    </w:p>
    <w:p>
      <w:pPr>
        <w:ind w:left="98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208"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570865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9" w:right="299"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7.01.</w:t>
        <w:tab/>
        <w:t>Regulation FD.</w:t>
      </w:r>
    </w:p>
    <w:p>
      <w:pPr>
        <w:spacing w:after="0" w:line="14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2"/>
          <w:szCs w:val="12"/>
          <w:color w:val="auto"/>
        </w:rPr>
        <w:t>On February 12, 2025, AnaptysBio, Inc. (“</w:t>
      </w:r>
      <w:r>
        <w:rPr>
          <w:rFonts w:ascii="Times New Roman" w:cs="Times New Roman" w:eastAsia="Times New Roman" w:hAnsi="Times New Roman"/>
          <w:sz w:val="12"/>
          <w:szCs w:val="12"/>
          <w:b w:val="1"/>
          <w:bCs w:val="1"/>
          <w:i w:val="1"/>
          <w:iCs w:val="1"/>
          <w:color w:val="auto"/>
        </w:rPr>
        <w:t>AnaptysBio</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issued a press release announcing top-line data from rosnilimab’s Phase 2b clinical trial in rheumatoid arthritis (the “Top-Line Data”), a copy of which is attached hereto as Exhibit 99.1.</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February 12, 2025, AnaptysBio presented a slide presentation regarding the Top-Line Data, a copy of which is attached hereto as Exhibit 99.2.</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information in this Item 7.01, including Exhibits 99.1 and 99.2,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10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8.01.</w:t>
        <w:tab/>
        <w:t>Other Events.</w:t>
      </w:r>
    </w:p>
    <w:p>
      <w:pPr>
        <w:spacing w:after="0" w:line="162"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On February 12, 2025, AnaptysBio announced the Top-Line Data from the global 424-patient Phase 2b RENOIR trial of investigational rosnilimab, a depleter and agonist of PD-1+ T cells, for moderate-to-severe rheumatoid arthritis (RA).</w:t>
      </w:r>
    </w:p>
    <w:p>
      <w:pPr>
        <w:spacing w:after="0" w:line="11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The Phase 2b RENOIR trial is evaluating the efficacy, safety, tolerability, pharmacokinetics and pharmacodynamics of rosnilimab in patients with moderate-to-severe RA on background conventional disease-modifying antirheumatic drugs (cDMARDs) (e.g., methotrexate). The trial enrolled 424 patients with a mean baseline disease activity score -- 28 joints (DAS-28) C-Reactive Protein (CRP) score of 5.64 and mean baseline clinical disease activity index (CDAI) score of 37.7 across the U.S., Canada and Europe, who were either biologic or targeted synthetic DMARD (b/tsDMARD) naïve (n=250; 59%) or experienced (n=174; 41%). Patients classified as b/tsDMARD-experienced reported prior utilization of at least one biologic or targeted synthetic therapy, such as TNFα inhibitors, B cell inhibitors, selective costimulatory modulators or JAK inhibitors.</w:t>
      </w:r>
    </w:p>
    <w:p>
      <w:pPr>
        <w:spacing w:after="0" w:line="12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Patients were randomized to receive either 100mg of subcutaneous rosnilimab every four weeks (Q4W), 400mg Q4W, 600mg every two weeks (Q2W), or placebo. The primary endpoint was assessed at Week 12 and secondary endpoints were assessed at both Week 12 and Week 14. Following completion of the Week 14 visit, rosnilimab-treated patients who achieved CDAI low disease activity (LDA) of ≤ 10, continued their assigned treatment through Week 28 in a blinded, all-active treatment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Efficacy Endpoints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trial achieved its primary endpoint of the mean change from baseline in DAS-28 CRP at Week 12 for all three doses of rosnilimab vs. placebo.</w:t>
      </w:r>
    </w:p>
    <w:p>
      <w:pPr>
        <w:spacing w:after="0" w:line="150"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2"/>
          <w:szCs w:val="12"/>
          <w:color w:val="auto"/>
        </w:rPr>
        <w:t>Rosnilimab achieved statistical significance in at least one dose and numerical superiority at all doses, including once monthly administration, on key secondary endpoints of ACR20, ACR50 and CDAI LDA at Week 12, even though higher than typical placebo rates were observed. Also, rosnilimab demonstrated the highest ever reported responses for these key secondary endpoints at Week 14. 69% of rosnilimab-treated patients achieved CDAI LDA at Week 14 and appear to show sustained CDAI LDA and ACR50 responses, as well as potentially deepening ACR70 responses out to Week 28.</w:t>
      </w:r>
    </w:p>
    <w:p>
      <w:pPr>
        <w:spacing w:after="0" w:line="119"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1"/>
          <w:szCs w:val="11"/>
          <w:color w:val="auto"/>
        </w:rPr>
        <w:t>Translational blood biomarker data, across all doses, showed similar immunological impact with robust on-target pharmacological activity in rosnilimab-treated patients that was not observed on placebo. Rosnilimab demonstrated rapid and sustained reduction of ~90% PD-1high T cells and ~50% of PD-1+ T cells, and an increase in total Tregs. Together, this resulted in a minimal impact on total T cell counts and favorable T cell composition reflective of healthy immune homeostasis. Additionally, a ~50% reduction in the mean CRP from baseline, an objective measure of inflammation, was observed in rosnilimab-treated patients through the entire trial period that was not observed on placebo.</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Week 14, 69% (71% of b/tsDMARD-naïve and 66% of b/tsDMARD-experienced) or 220 of the 318 rosnilimab-treated patients across all doses achieved CDAI LDA and were eligible to remain on continued active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0" w:right="299" w:bottom="1440" w:gutter="0" w:footer="0" w:header="0"/>
        </w:sectPr>
      </w:pPr>
    </w:p>
    <w:bookmarkStart w:id="2" w:name="page3"/>
    <w:bookmarkEnd w:id="2"/>
    <w:p>
      <w:pPr>
        <w:ind w:right="160"/>
        <w:spacing w:after="0" w:line="279" w:lineRule="auto"/>
        <w:rPr>
          <w:sz w:val="20"/>
          <w:szCs w:val="20"/>
          <w:color w:val="auto"/>
        </w:rPr>
      </w:pPr>
      <w:r>
        <w:rPr>
          <w:rFonts w:ascii="Times New Roman" w:cs="Times New Roman" w:eastAsia="Times New Roman" w:hAnsi="Times New Roman"/>
          <w:sz w:val="12"/>
          <w:szCs w:val="12"/>
          <w:color w:val="auto"/>
        </w:rPr>
        <w:t>through Week 28. As of the Dec. 10, 2024 data cutoff, these patients appear to show sustained CDAI LDA and ACR50 responses and potentially deepening ACR70 responses out to Week 28. This portion of the ongoing trial remains blinded, and complete Week 28 data are anticipated in Q2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Safety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Consistent with prior studies, these rosnilimab Phase 2b data demonstrate a favorable safety and tolerability profile. The data through Week 12 show:</w:t>
      </w:r>
    </w:p>
    <w:p>
      <w:pPr>
        <w:spacing w:after="0" w:line="14" w:lineRule="exact"/>
        <w:rPr>
          <w:sz w:val="20"/>
          <w:szCs w:val="20"/>
          <w:color w:val="auto"/>
        </w:rPr>
      </w:pPr>
    </w:p>
    <w:p>
      <w:pPr>
        <w:ind w:left="420" w:hanging="212"/>
        <w:spacing w:after="0"/>
        <w:tabs>
          <w:tab w:leader="none" w:pos="42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color w:val="auto"/>
        </w:rPr>
        <w:t>No malignancies</w:t>
      </w:r>
    </w:p>
    <w:p>
      <w:pPr>
        <w:spacing w:after="0" w:line="11" w:lineRule="exact"/>
        <w:rPr>
          <w:rFonts w:ascii="Arial" w:cs="Arial" w:eastAsia="Arial" w:hAnsi="Arial"/>
          <w:sz w:val="13"/>
          <w:szCs w:val="13"/>
          <w:color w:val="auto"/>
        </w:rPr>
      </w:pPr>
    </w:p>
    <w:p>
      <w:pPr>
        <w:ind w:left="420" w:hanging="212"/>
        <w:spacing w:after="0"/>
        <w:tabs>
          <w:tab w:leader="none" w:pos="4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MACE</w:t>
      </w:r>
    </w:p>
    <w:p>
      <w:pPr>
        <w:spacing w:after="0" w:line="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elevation of serious infections vs. placebo</w:t>
      </w:r>
    </w:p>
    <w:p>
      <w:pPr>
        <w:spacing w:after="0" w:line="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anaphylaxis or systemic hypersensitivity associated with rosnilimab</w:t>
      </w:r>
    </w:p>
    <w:p>
      <w:pPr>
        <w:spacing w:after="0" w:line="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Low incidence of injection site reactions and similar to placebo</w:t>
      </w:r>
    </w:p>
    <w:p>
      <w:pPr>
        <w:spacing w:after="0" w:line="146"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As of the Dec. 10, 2024 data cutoff, the safety profile for patients who achieved CDAI LDA through Week 14, and continued active therapy up to Week 28, remains consistent with the reported profile of all rosnilimab-treated patients through Week 12.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2"/>
          <w:szCs w:val="12"/>
          <w:color w:val="auto"/>
        </w:rPr>
        <w:t>This Current Report contains forward-looking statements within the meaning of the “safe harbor” provisions of the Private Securities Litigation Reform Act of 1995, including, but not limited to: the timing of the release of data from the Company’s clinical trials, including rosnilimab’s Phase 2b clinical trial in rheumatoid arthritis at Week 28 and Phase 2 clinical trial in ulcerative colitis; and whether current trends in partial 28 Week data will be maintained once complete Week 28 data becomes available.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report, and the company undertakes no obligation to revise or update any forward-looking statements to reflect events or circumstances after the date hereof.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960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Exhibit Title or Description</w:t>
            </w:r>
          </w:p>
        </w:tc>
      </w:tr>
      <w:tr>
        <w:trPr>
          <w:trHeight w:val="149"/>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1480" w:type="dxa"/>
            <w:vAlign w:val="bottom"/>
          </w:tcPr>
          <w:p>
            <w:pPr>
              <w:spacing w:after="0"/>
              <w:rPr>
                <w:sz w:val="12"/>
                <w:szCs w:val="12"/>
                <w:color w:val="auto"/>
              </w:rPr>
            </w:pPr>
          </w:p>
        </w:tc>
        <w:tc>
          <w:tcPr>
            <w:tcW w:w="960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Press release issued by AnaptysBio, Inc. regarding the Top-Line Data, dated February 12, 2025.</w:t>
            </w:r>
          </w:p>
        </w:tc>
      </w:tr>
      <w:tr>
        <w:trPr>
          <w:trHeight w:val="151"/>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1480" w:type="dxa"/>
            <w:vAlign w:val="bottom"/>
          </w:tcPr>
          <w:p>
            <w:pPr>
              <w:spacing w:after="0"/>
              <w:rPr>
                <w:sz w:val="13"/>
                <w:szCs w:val="13"/>
                <w:color w:val="auto"/>
              </w:rPr>
            </w:pPr>
          </w:p>
        </w:tc>
        <w:tc>
          <w:tcPr>
            <w:tcW w:w="960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Presentation regarding Top-Line Data, presented February 12, 2025.</w:t>
            </w:r>
          </w:p>
        </w:tc>
      </w:tr>
      <w:tr>
        <w:trPr>
          <w:trHeight w:val="178"/>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480" w:type="dxa"/>
            <w:vAlign w:val="bottom"/>
          </w:tcPr>
          <w:p>
            <w:pPr>
              <w:spacing w:after="0"/>
              <w:rPr>
                <w:sz w:val="15"/>
                <w:szCs w:val="15"/>
                <w:color w:val="auto"/>
              </w:rPr>
            </w:pPr>
          </w:p>
        </w:tc>
        <w:tc>
          <w:tcPr>
            <w:tcW w:w="960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Cover Page Interactive Data File (the cover page XBRL tags are embedded within the inline XBRL document).</w:t>
            </w:r>
          </w:p>
        </w:tc>
      </w:tr>
      <w:tr>
        <w:trPr>
          <w:trHeight w:val="576"/>
        </w:trPr>
        <w:tc>
          <w:tcPr>
            <w:tcW w:w="2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37"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00" w:type="dxa"/>
            <w:vAlign w:val="bottom"/>
          </w:tcPr>
          <w:p>
            <w:pPr>
              <w:spacing w:after="0"/>
              <w:rPr>
                <w:sz w:val="14"/>
                <w:szCs w:val="14"/>
                <w:color w:val="auto"/>
              </w:rPr>
            </w:pPr>
          </w:p>
        </w:tc>
        <w:tc>
          <w:tcPr>
            <w:tcW w:w="8600" w:type="dxa"/>
            <w:vAlign w:val="bottom"/>
            <w:gridSpan w:val="2"/>
          </w:tcPr>
          <w:p>
            <w:pPr>
              <w:ind w:left="1540"/>
              <w:spacing w:after="0"/>
              <w:rPr>
                <w:sz w:val="20"/>
                <w:szCs w:val="20"/>
                <w:color w:val="auto"/>
              </w:rPr>
            </w:pPr>
            <w:r>
              <w:rPr>
                <w:rFonts w:ascii="Times New Roman" w:cs="Times New Roman" w:eastAsia="Times New Roman" w:hAnsi="Times New Roman"/>
                <w:sz w:val="13"/>
                <w:szCs w:val="13"/>
                <w:color w:val="auto"/>
              </w:rPr>
              <w:t>AnaptysBio, Inc.</w:t>
            </w:r>
          </w:p>
        </w:tc>
      </w:tr>
      <w:tr>
        <w:trPr>
          <w:trHeight w:val="158"/>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12, 2025</w:t>
            </w:r>
          </w:p>
        </w:tc>
        <w:tc>
          <w:tcPr>
            <w:tcW w:w="2080" w:type="dxa"/>
            <w:vAlign w:val="bottom"/>
          </w:tcPr>
          <w:p>
            <w:pPr>
              <w:ind w:left="1540"/>
              <w:spacing w:after="0"/>
              <w:rPr>
                <w:sz w:val="20"/>
                <w:szCs w:val="20"/>
                <w:color w:val="auto"/>
              </w:rPr>
            </w:pPr>
            <w:r>
              <w:rPr>
                <w:rFonts w:ascii="Times New Roman" w:cs="Times New Roman" w:eastAsia="Times New Roman" w:hAnsi="Times New Roman"/>
                <w:sz w:val="12"/>
                <w:szCs w:val="12"/>
                <w:color w:val="auto"/>
              </w:rPr>
              <w:t>By:</w:t>
            </w:r>
          </w:p>
        </w:tc>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Eric Loumeau</w:t>
            </w:r>
          </w:p>
        </w:tc>
      </w:tr>
      <w:tr>
        <w:trPr>
          <w:trHeight w:val="144"/>
        </w:trPr>
        <w:tc>
          <w:tcPr>
            <w:tcW w:w="27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 Eric Loumeau</w:t>
            </w:r>
          </w:p>
        </w:tc>
      </w:tr>
      <w:tr>
        <w:trPr>
          <w:trHeight w:val="169"/>
        </w:trPr>
        <w:tc>
          <w:tcPr>
            <w:tcW w:w="2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 Chief Legal Officer</w:t>
            </w:r>
          </w:p>
        </w:tc>
      </w:tr>
    </w:tbl>
    <w:p>
      <w:pPr>
        <w:sectPr>
          <w:pgSz w:w="11900" w:h="16838" w:orient="portrait"/>
          <w:cols w:equalWidth="0" w:num="1">
            <w:col w:w="11300"/>
          </w:cols>
          <w:pgMar w:left="300" w:top="987" w:right="2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2025-02-12T07:38:03Z</dcterms:created>
  <dcterms:modified xsi:type="dcterms:W3CDTF">2025-02-12T07:38:03Z</dcterms:modified>
</cp:coreProperties>
</file>