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 As Filed Pursuant to Rule 424(b)(5)</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333-283001</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15, 2024)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$100,000,000</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26670</wp:posOffset>
            </wp:positionV>
            <wp:extent cx="1311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1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or the sales agreement, with TD Securities (USA) LLC, or TD Cowen, relating to the sale of shares of our common stock, $0.001 par value per share, offered by this prospectus supplement and the accompanying base prospectus. In accordance with the terms of the sales agreement, under this prospectus, we may offer and sell shares of our common stock, having an aggregate offering price of up to $100 million from time to time through TD Cowen, acting as our agent.</w:t>
      </w:r>
    </w:p>
    <w:p>
      <w:pPr>
        <w:spacing w:after="0" w:line="126"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“ANAB.” The last reported sales price of our common stock on The Nasdaq Global Select Market on November 13, 2024 was $20.75 per share.</w:t>
      </w:r>
    </w:p>
    <w:p>
      <w:pPr>
        <w:spacing w:after="0" w:line="108"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may be made in sales deemed to be an “at-the-market” offering as defined in Rule 415(a)(4) promulgated under the Securities Act of 1933, as amended, or the Securities Act. TD Cowen is not required to sell any specific number or dollar amount of securities, but will act as a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26" w:lineRule="exact"/>
        <w:rPr>
          <w:sz w:val="24"/>
          <w:szCs w:val="24"/>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compensation to TD Cowen for sales of common stock sold pursuant to the sales agreement will be at a commission rate up to 3.0% of the aggregate gross proceeds of any shares of common stock sold under the sales agreement. In connection with the sale of the common stock on our behalf, TD Cowen will be deemed to be an “underwriter” within the meaning of the Securities Act and the compensation of TD Cowen will be deemed to be underwriting commissions or discounts. We have also agreed to provide indemnification and contribution to TD Cowen with respect to certain liabilities, including liabilities under the Securities Act or the Securities Exchange Act of 1934, as amended, or the Exchange Act. See “Plan of Distribution” beginning on page </w:t>
      </w:r>
      <w:r>
        <w:rPr>
          <w:rFonts w:ascii="Times New Roman" w:cs="Times New Roman" w:eastAsia="Times New Roman" w:hAnsi="Times New Roman"/>
          <w:sz w:val="18"/>
          <w:szCs w:val="18"/>
          <w:u w:val="single" w:color="auto"/>
          <w:color w:val="0000FF"/>
        </w:rPr>
        <w:t>S-14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prospectus supplement regarding the compensation to be paid to TD Cowen.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113665</wp:posOffset>
            </wp:positionV>
            <wp:extent cx="1311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FF"/>
        </w:rPr>
        <w:t>S-5</w:t>
      </w:r>
      <w:r>
        <w:rPr>
          <w:rFonts w:ascii="Times New Roman" w:cs="Times New Roman" w:eastAsia="Times New Roman" w:hAnsi="Times New Roman"/>
          <w:sz w:val="18"/>
          <w:szCs w:val="18"/>
          <w:b w:val="1"/>
          <w:bCs w:val="1"/>
          <w:color w:val="auto"/>
        </w:rPr>
        <w:t xml:space="preserve"> of this prospectus supplement and under similar headings in the documents incorporated by reference into this prospectus supplement and the accompanying base prospectus.</w:t>
      </w:r>
    </w:p>
    <w:p>
      <w:pPr>
        <w:spacing w:after="0" w:line="117" w:lineRule="exact"/>
        <w:rPr>
          <w:sz w:val="24"/>
          <w:szCs w:val="24"/>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95250</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TD Cowen</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15, 2024.</w:t>
      </w:r>
    </w:p>
    <w:p>
      <w:pPr>
        <w:sectPr>
          <w:pgSz w:w="11900" w:h="16838" w:orient="portrait"/>
          <w:cols w:equalWidth="0" w:num="1">
            <w:col w:w="11240"/>
          </w:cols>
          <w:pgMar w:left="320" w:top="239" w:right="339" w:bottom="1440" w:gutter="0" w:footer="0" w:header="0"/>
        </w:sectPr>
      </w:pPr>
    </w:p>
    <w:bookmarkStart w:id="1" w:name="page2"/>
    <w:bookmarkEnd w:id="1"/>
    <w:p>
      <w:pPr>
        <w:spacing w:after="0" w:line="1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8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360" w:type="dxa"/>
            <w:vAlign w:val="bottom"/>
            <w:gridSpan w:val="17"/>
            <w:vMerge w:val="continue"/>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6"/>
                <w:szCs w:val="16"/>
                <w:color w:val="0000FF"/>
                <w:w w:val="71"/>
              </w:rPr>
              <w:t>S-1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PROSPECTUS SUPPLEMENT SUMMARY</w:t>
            </w:r>
          </w:p>
        </w:tc>
        <w:tc>
          <w:tcPr>
            <w:tcW w:w="140" w:type="dxa"/>
            <w:vAlign w:val="bottom"/>
          </w:tcPr>
          <w:p>
            <w:pPr>
              <w:spacing w:after="0"/>
              <w:rPr>
                <w:sz w:val="18"/>
                <w:szCs w:val="18"/>
                <w:color w:val="auto"/>
              </w:rPr>
            </w:pPr>
          </w:p>
        </w:tc>
        <w:tc>
          <w:tcPr>
            <w:tcW w:w="692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40" w:type="dxa"/>
            <w:vAlign w:val="bottom"/>
            <w:gridSpan w:val="8"/>
          </w:tcPr>
          <w:p>
            <w:pPr>
              <w:spacing w:after="0"/>
              <w:rPr>
                <w:sz w:val="18"/>
                <w:szCs w:val="18"/>
                <w:color w:val="auto"/>
              </w:rPr>
            </w:pPr>
          </w:p>
        </w:tc>
        <w:tc>
          <w:tcPr>
            <w:tcW w:w="7060" w:type="dxa"/>
            <w:vAlign w:val="bottom"/>
            <w:gridSpan w:val="6"/>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520" w:type="dxa"/>
            <w:vAlign w:val="bottom"/>
            <w:gridSpan w:val="2"/>
          </w:tcPr>
          <w:p>
            <w:pPr>
              <w:spacing w:after="0"/>
              <w:rPr>
                <w:sz w:val="18"/>
                <w:szCs w:val="18"/>
                <w:color w:val="auto"/>
              </w:rPr>
            </w:pPr>
          </w:p>
        </w:tc>
        <w:tc>
          <w:tcPr>
            <w:tcW w:w="5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INCORPORATION OF INFORMATION BY REFERENCE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2800" w:type="dxa"/>
            <w:vAlign w:val="bottom"/>
            <w:gridSpan w:val="10"/>
          </w:tcPr>
          <w:p>
            <w:pPr>
              <w:spacing w:after="0"/>
              <w:rPr>
                <w:sz w:val="18"/>
                <w:szCs w:val="18"/>
                <w:color w:val="auto"/>
              </w:rPr>
            </w:pPr>
          </w:p>
        </w:tc>
        <w:tc>
          <w:tcPr>
            <w:tcW w:w="59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S-10</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DIVIDEND POLICY</w:t>
            </w:r>
          </w:p>
        </w:tc>
        <w:tc>
          <w:tcPr>
            <w:tcW w:w="8780" w:type="dxa"/>
            <w:vAlign w:val="bottom"/>
            <w:gridSpan w:val="12"/>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S-11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DILUTION</w:t>
            </w:r>
          </w:p>
        </w:tc>
        <w:tc>
          <w:tcPr>
            <w:tcW w:w="8780" w:type="dxa"/>
            <w:vAlign w:val="bottom"/>
            <w:gridSpan w:val="12"/>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S-12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30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S-14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11"/>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S-15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EXPERTS</w:t>
            </w:r>
          </w:p>
        </w:tc>
        <w:tc>
          <w:tcPr>
            <w:tcW w:w="890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8"/>
              </w:rPr>
              <w:t>S-15</w:t>
            </w:r>
          </w:p>
        </w:tc>
        <w:tc>
          <w:tcPr>
            <w:tcW w:w="0" w:type="dxa"/>
            <w:vAlign w:val="bottom"/>
          </w:tcPr>
          <w:p>
            <w:pPr>
              <w:spacing w:after="0"/>
              <w:rPr>
                <w:sz w:val="1"/>
                <w:szCs w:val="1"/>
                <w:color w:val="auto"/>
              </w:rPr>
            </w:pPr>
          </w:p>
        </w:tc>
      </w:tr>
      <w:tr>
        <w:trPr>
          <w:trHeight w:val="493"/>
        </w:trPr>
        <w:tc>
          <w:tcPr>
            <w:tcW w:w="7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8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5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0"/>
            <w:vMerge w:val="restart"/>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7"/>
            <w:vMerge w:val="continue"/>
          </w:tcPr>
          <w:p>
            <w:pPr>
              <w:spacing w:after="0"/>
              <w:rPr>
                <w:sz w:val="15"/>
                <w:szCs w:val="15"/>
                <w:color w:val="auto"/>
              </w:rPr>
            </w:pPr>
          </w:p>
        </w:tc>
        <w:tc>
          <w:tcPr>
            <w:tcW w:w="8120" w:type="dxa"/>
            <w:vAlign w:val="bottom"/>
            <w:gridSpan w:val="10"/>
            <w:vMerge w:val="continue"/>
          </w:tcPr>
          <w:p>
            <w:pPr>
              <w:spacing w:after="0"/>
              <w:rPr>
                <w:sz w:val="15"/>
                <w:szCs w:val="15"/>
                <w:color w:val="auto"/>
              </w:rPr>
            </w:pPr>
          </w:p>
        </w:tc>
        <w:tc>
          <w:tcPr>
            <w:tcW w:w="860" w:type="dxa"/>
            <w:vAlign w:val="bottom"/>
            <w:gridSpan w:val="5"/>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180" w:type="dxa"/>
            <w:vAlign w:val="bottom"/>
          </w:tcPr>
          <w:p>
            <w:pPr>
              <w:spacing w:after="0"/>
              <w:rPr>
                <w:sz w:val="18"/>
                <w:szCs w:val="18"/>
                <w:color w:val="auto"/>
              </w:rPr>
            </w:pPr>
          </w:p>
        </w:tc>
        <w:tc>
          <w:tcPr>
            <w:tcW w:w="8120" w:type="dxa"/>
            <w:vAlign w:val="bottom"/>
            <w:gridSpan w:val="10"/>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3"/>
          </w:tcPr>
          <w:p>
            <w:pPr>
              <w:spacing w:after="0"/>
              <w:rPr>
                <w:sz w:val="18"/>
                <w:szCs w:val="18"/>
                <w:color w:val="auto"/>
              </w:rPr>
            </w:pPr>
          </w:p>
        </w:tc>
        <w:tc>
          <w:tcPr>
            <w:tcW w:w="8300" w:type="dxa"/>
            <w:vAlign w:val="bottom"/>
            <w:gridSpan w:val="11"/>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02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520" w:type="dxa"/>
            <w:vAlign w:val="bottom"/>
            <w:gridSpan w:val="2"/>
          </w:tcPr>
          <w:p>
            <w:pPr>
              <w:spacing w:after="0"/>
              <w:rPr>
                <w:sz w:val="18"/>
                <w:szCs w:val="18"/>
                <w:color w:val="auto"/>
              </w:rPr>
            </w:pPr>
          </w:p>
        </w:tc>
        <w:tc>
          <w:tcPr>
            <w:tcW w:w="502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INCORPORATION OF INFORMATION BY REFERENCE</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2800" w:type="dxa"/>
            <w:vAlign w:val="bottom"/>
            <w:gridSpan w:val="10"/>
          </w:tcPr>
          <w:p>
            <w:pPr>
              <w:spacing w:after="0"/>
              <w:rPr>
                <w:sz w:val="18"/>
                <w:szCs w:val="18"/>
                <w:color w:val="auto"/>
              </w:rPr>
            </w:pPr>
          </w:p>
        </w:tc>
        <w:tc>
          <w:tcPr>
            <w:tcW w:w="5980" w:type="dxa"/>
            <w:vAlign w:val="bottom"/>
            <w:gridSpan w:val="2"/>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DIVIDEND POLICY</w:t>
            </w:r>
          </w:p>
        </w:tc>
        <w:tc>
          <w:tcPr>
            <w:tcW w:w="8780" w:type="dxa"/>
            <w:vAlign w:val="bottom"/>
            <w:gridSpan w:val="12"/>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300" w:type="dxa"/>
            <w:vAlign w:val="bottom"/>
            <w:gridSpan w:val="11"/>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80" w:type="dxa"/>
            <w:vAlign w:val="bottom"/>
            <w:gridSpan w:val="8"/>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340" w:type="dxa"/>
            <w:vAlign w:val="bottom"/>
            <w:gridSpan w:val="7"/>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DESCRIPTION OF SUBSCRIPTION RIGHTS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6900" w:type="dxa"/>
            <w:vAlign w:val="bottom"/>
            <w:gridSpan w:val="4"/>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11"/>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3"/>
          </w:tcPr>
          <w:p>
            <w:pPr>
              <w:spacing w:after="0"/>
              <w:rPr>
                <w:sz w:val="18"/>
                <w:szCs w:val="18"/>
                <w:color w:val="auto"/>
              </w:rPr>
            </w:pPr>
          </w:p>
        </w:tc>
        <w:tc>
          <w:tcPr>
            <w:tcW w:w="8900" w:type="dxa"/>
            <w:vAlign w:val="bottom"/>
            <w:gridSpan w:val="13"/>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or the SEC, using a “shelf” registration process. Under this shelf registration process, we may from time to time sell any combination of the securities described in our base prospectus included in the shelf registration statement in one or more offerings up to a total aggregate offering price of $500 million. The $100 million of common stock that may be offered, issued and sold under this prospectus supplement is included in the $500 million of securities that may be offered, issued and sold by us pursuant to our shelf registration statement.</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provide information to you about this offering of shares of our common stock in two separate documents: (1) this prospectus supplement, which describes the specific details regarding this offering; and (2) the base prospectus referred to on the cover page of this prospectus, which provides general information, some of which may not apply to this offering. Generally, when we refer to this prospectus, we are referring to both parts of this document combined. Before you invest, you should carefully read this prospectus supplement, the accompanying base prospectus and the information incorporated by reference herein and therein, as well as the additional information described in this prospectus supplement under “Where You Can Find More Information.” This prospectus supplement may add, update or change information contained in the accompanying base prospectus. To the extent that any statement we make in this prospectus supplement is inconsistent with statements made in the accompanying base prospectus or any documents incorporated by reference therein, the statements made in this prospectus supplement will be deemed to modify or supersede those made in the accompanying base prospectus and such documents incorporated by reference therein.</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not, and TD Cowen has not, authorized anyone to provide you with any information other than that contained or incorporated by reference in this prospectus supplement, the accompanying base prospectus or any related free writing prospectus to which we have referred you. Neither we nor TD Cowen take any responsibility for, and can provide no assurance as to the reliability of, any other information others may give you. We are not, and TD Cowen is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this prospectus supplement, unless the context otherwise requires, the terms “AnaptysBio,” the “Company,” “we,” “us,” and “our” refer to AnaptysBio, Inc., a Delaware corporation. This prospectus supplement, the accompanying base prospectus and the information incorporated by reference herein and therein may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619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561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securities. You should read the entire prospectus supplement, the accompanying base prospectus and the information incorporated by reference herein and therein carefully, including “Risk Factors” and the financial data and related notes and other information incorporated by reference, before making an investment decision.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for autoimmune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inflammatory diseases. Our pipeline includes two programs targeting co-inhibitory receptors: rosnilimab, our PD-1 agonist in a Phase 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trial for the treatment of moderate-to-severe rheumatoid arthritis, and a Phase 2 trial for the treatment of moderate-to-severe ulcerative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colitis; and ANB032, our BTLA agonist, in a Phase 2b trial for the treatment of moderate-to-severe atopic dermatitis. We also have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antibodies in our portfolio, including ANB033, an anti-CD122 antagonist, in a Phase 1 trial and ANB101, a BDCA2 modulator, soon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 clinical development. In addition, we have developed two cytokine antagonists that are available for out-licensing: imsidolimab,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anti-IL-36R antagonist, that has completed Phase 3 trials for the treatment of generalized pustular psoriasis, and etokimab, our anti-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IL-33 antagonist that is Phase 2/3 ready. We have also discovered multiple therapeutic antibodies licensed to GlaxoSmithKline,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(“GSK”), in a financial collaboration for immuno-oncology, including an anti-PD-1 antagonist (Jemperli (dostarlimab-gxly)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and an anti-TIM-3 antagonist (cobolimab, GSK4069889). We currently recognize revenue from milestones and royalties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achieved under our immuno-oncology collaboration with GSK.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prospectus supplement or into the accompanying base prospectus.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Rule 405 of the Securities Act. We will remain a smaller reporting company until the last day of the fiscal year in which the aggregate market value of our common stock that is held by non-affiliates is at least $250 million or the last day of the fiscal year in which we have at least $100 million in revenue and the aggregate market value of our common stock that is held by non-affiliates is at least $700 million (in each case, with respect to the aggregate market value of our common stock held by non-affiliates, as measured as of the last business day of the second quarter of such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9880"/>
          </w:cols>
          <w:pgMar w:left="1000" w:top="1440" w:right="10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5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606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37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60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$100</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60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million.</w:t>
            </w:r>
          </w:p>
        </w:tc>
        <w:tc>
          <w:tcPr>
            <w:tcW w:w="0" w:type="dxa"/>
            <w:vAlign w:val="bottom"/>
          </w:tcPr>
          <w:p>
            <w:pPr>
              <w:spacing w:after="0"/>
              <w:rPr>
                <w:sz w:val="1"/>
                <w:szCs w:val="1"/>
                <w:color w:val="auto"/>
              </w:rPr>
            </w:pPr>
          </w:p>
        </w:tc>
      </w:tr>
      <w:tr>
        <w:trPr>
          <w:trHeight w:val="34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to be outstanding immediately</w:t>
            </w:r>
          </w:p>
        </w:tc>
        <w:tc>
          <w:tcPr>
            <w:tcW w:w="60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Up to 35,247,959 shares (as more fully described in the notes following this</w:t>
            </w:r>
          </w:p>
        </w:tc>
        <w:tc>
          <w:tcPr>
            <w:tcW w:w="0" w:type="dxa"/>
            <w:vAlign w:val="bottom"/>
          </w:tcPr>
          <w:p>
            <w:pPr>
              <w:spacing w:after="0"/>
              <w:rPr>
                <w:sz w:val="1"/>
                <w:szCs w:val="1"/>
                <w:color w:val="auto"/>
              </w:rPr>
            </w:pPr>
          </w:p>
        </w:tc>
      </w:tr>
      <w:tr>
        <w:trPr>
          <w:trHeight w:val="184"/>
        </w:trPr>
        <w:tc>
          <w:tcPr>
            <w:tcW w:w="37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b w:val="1"/>
                <w:bCs w:val="1"/>
                <w:color w:val="auto"/>
              </w:rPr>
              <w:t>after this offering</w:t>
            </w:r>
          </w:p>
        </w:tc>
        <w:tc>
          <w:tcPr>
            <w:tcW w:w="6060" w:type="dxa"/>
            <w:vAlign w:val="bottom"/>
            <w:gridSpan w:val="7"/>
          </w:tcPr>
          <w:p>
            <w:pPr>
              <w:ind w:left="260"/>
              <w:spacing w:after="0" w:line="184" w:lineRule="exact"/>
              <w:rPr>
                <w:sz w:val="20"/>
                <w:szCs w:val="20"/>
                <w:color w:val="auto"/>
              </w:rPr>
            </w:pPr>
            <w:r>
              <w:rPr>
                <w:rFonts w:ascii="Times New Roman" w:cs="Times New Roman" w:eastAsia="Times New Roman" w:hAnsi="Times New Roman"/>
                <w:sz w:val="18"/>
                <w:szCs w:val="18"/>
                <w:color w:val="auto"/>
              </w:rPr>
              <w:t>table), assuming sales of 4,819,277 shares of our common stock in this offering</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15"/>
                <w:szCs w:val="15"/>
                <w:color w:val="auto"/>
              </w:rPr>
            </w:pPr>
          </w:p>
        </w:tc>
        <w:tc>
          <w:tcPr>
            <w:tcW w:w="6060" w:type="dxa"/>
            <w:vAlign w:val="bottom"/>
            <w:gridSpan w:val="7"/>
          </w:tcPr>
          <w:p>
            <w:pPr>
              <w:ind w:left="260"/>
              <w:spacing w:after="0" w:line="176" w:lineRule="exact"/>
              <w:rPr>
                <w:sz w:val="20"/>
                <w:szCs w:val="20"/>
                <w:color w:val="auto"/>
              </w:rPr>
            </w:pPr>
            <w:r>
              <w:rPr>
                <w:rFonts w:ascii="Times New Roman" w:cs="Times New Roman" w:eastAsia="Times New Roman" w:hAnsi="Times New Roman"/>
                <w:sz w:val="18"/>
                <w:szCs w:val="18"/>
                <w:color w:val="auto"/>
                <w:w w:val="99"/>
              </w:rPr>
              <w:t>at an offering price of $20.75 per share, which was the last reported sale price of</w:t>
            </w: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6060" w:type="dxa"/>
            <w:vAlign w:val="bottom"/>
            <w:gridSpan w:val="7"/>
          </w:tcPr>
          <w:p>
            <w:pPr>
              <w:ind w:left="260"/>
              <w:spacing w:after="0" w:line="184" w:lineRule="exact"/>
              <w:rPr>
                <w:sz w:val="20"/>
                <w:szCs w:val="20"/>
                <w:color w:val="auto"/>
              </w:rPr>
            </w:pPr>
            <w:r>
              <w:rPr>
                <w:rFonts w:ascii="Times New Roman" w:cs="Times New Roman" w:eastAsia="Times New Roman" w:hAnsi="Times New Roman"/>
                <w:sz w:val="18"/>
                <w:szCs w:val="18"/>
                <w:color w:val="auto"/>
                <w:w w:val="99"/>
              </w:rPr>
              <w:t>our common stock on The Nasdaq Global Select Market on November 13, 2024.</w:t>
            </w: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6060" w:type="dxa"/>
            <w:vAlign w:val="bottom"/>
            <w:gridSpan w:val="7"/>
          </w:tcPr>
          <w:p>
            <w:pPr>
              <w:ind w:left="260"/>
              <w:spacing w:after="0" w:line="181" w:lineRule="exact"/>
              <w:rPr>
                <w:sz w:val="20"/>
                <w:szCs w:val="20"/>
                <w:color w:val="auto"/>
              </w:rPr>
            </w:pPr>
            <w:r>
              <w:rPr>
                <w:rFonts w:ascii="Times New Roman" w:cs="Times New Roman" w:eastAsia="Times New Roman" w:hAnsi="Times New Roman"/>
                <w:sz w:val="18"/>
                <w:szCs w:val="18"/>
                <w:color w:val="auto"/>
              </w:rPr>
              <w:t>The actual number of shares issued will vary depending on the sales price under</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60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this offering.</w:t>
            </w:r>
          </w:p>
        </w:tc>
        <w:tc>
          <w:tcPr>
            <w:tcW w:w="0" w:type="dxa"/>
            <w:vAlign w:val="bottom"/>
          </w:tcPr>
          <w:p>
            <w:pPr>
              <w:spacing w:after="0"/>
              <w:rPr>
                <w:sz w:val="1"/>
                <w:szCs w:val="1"/>
                <w:color w:val="auto"/>
              </w:rPr>
            </w:pPr>
          </w:p>
        </w:tc>
      </w:tr>
      <w:tr>
        <w:trPr>
          <w:trHeight w:val="341"/>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60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“At-the-market” offering that may be made from time to time through our sales</w:t>
            </w: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6060" w:type="dxa"/>
            <w:vAlign w:val="bottom"/>
            <w:gridSpan w:val="7"/>
          </w:tcPr>
          <w:p>
            <w:pPr>
              <w:ind w:left="260"/>
              <w:spacing w:after="0" w:line="181" w:lineRule="exact"/>
              <w:rPr>
                <w:sz w:val="20"/>
                <w:szCs w:val="20"/>
                <w:color w:val="auto"/>
              </w:rPr>
            </w:pPr>
            <w:r>
              <w:rPr>
                <w:rFonts w:ascii="Times New Roman" w:cs="Times New Roman" w:eastAsia="Times New Roman" w:hAnsi="Times New Roman"/>
                <w:sz w:val="18"/>
                <w:szCs w:val="18"/>
                <w:color w:val="auto"/>
              </w:rPr>
              <w:t>agent, TD Securities (USA) LLC, or TD Cowen. See “Plan of Distribution” on</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6060" w:type="dxa"/>
            <w:vAlign w:val="bottom"/>
            <w:gridSpan w:val="7"/>
          </w:tcPr>
          <w:p>
            <w:pPr>
              <w:ind w:left="260"/>
              <w:spacing w:after="0" w:line="189"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S-14</w:t>
            </w:r>
            <w:r>
              <w:rPr>
                <w:rFonts w:ascii="Times New Roman" w:cs="Times New Roman" w:eastAsia="Times New Roman" w:hAnsi="Times New Roman"/>
                <w:sz w:val="18"/>
                <w:szCs w:val="18"/>
                <w:color w:val="auto"/>
              </w:rPr>
              <w:t xml:space="preserve"> of this prospectus supplement.</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760" w:type="dxa"/>
            <w:vAlign w:val="bottom"/>
            <w:vMerge w:val="continue"/>
          </w:tcPr>
          <w:p>
            <w:pPr>
              <w:spacing w:after="0"/>
              <w:rPr>
                <w:sz w:val="24"/>
                <w:szCs w:val="24"/>
                <w:color w:val="auto"/>
              </w:rPr>
            </w:pPr>
          </w:p>
        </w:tc>
        <w:tc>
          <w:tcPr>
            <w:tcW w:w="60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w w:val="99"/>
              </w:rPr>
              <w:t>We currently intend to use the net proceeds of this offering primarily for general</w:t>
            </w: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6060" w:type="dxa"/>
            <w:vAlign w:val="bottom"/>
            <w:gridSpan w:val="7"/>
          </w:tcPr>
          <w:p>
            <w:pPr>
              <w:ind w:left="260"/>
              <w:spacing w:after="0" w:line="181" w:lineRule="exact"/>
              <w:rPr>
                <w:sz w:val="20"/>
                <w:szCs w:val="20"/>
                <w:color w:val="auto"/>
              </w:rPr>
            </w:pPr>
            <w:r>
              <w:rPr>
                <w:rFonts w:ascii="Times New Roman" w:cs="Times New Roman" w:eastAsia="Times New Roman" w:hAnsi="Times New Roman"/>
                <w:sz w:val="18"/>
                <w:szCs w:val="18"/>
                <w:color w:val="auto"/>
              </w:rPr>
              <w:t>corporate purposes, which may include funding research, clinical and process</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6060" w:type="dxa"/>
            <w:vAlign w:val="bottom"/>
            <w:gridSpan w:val="7"/>
          </w:tcPr>
          <w:p>
            <w:pPr>
              <w:ind w:left="260"/>
              <w:spacing w:after="0" w:line="176" w:lineRule="exact"/>
              <w:rPr>
                <w:sz w:val="20"/>
                <w:szCs w:val="20"/>
                <w:color w:val="auto"/>
              </w:rPr>
            </w:pPr>
            <w:r>
              <w:rPr>
                <w:rFonts w:ascii="Times New Roman" w:cs="Times New Roman" w:eastAsia="Times New Roman" w:hAnsi="Times New Roman"/>
                <w:sz w:val="18"/>
                <w:szCs w:val="18"/>
                <w:color w:val="auto"/>
              </w:rPr>
              <w:t>development and manufacturing of our product candidates, working capital and</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6060" w:type="dxa"/>
            <w:vAlign w:val="bottom"/>
            <w:gridSpan w:val="7"/>
          </w:tcPr>
          <w:p>
            <w:pPr>
              <w:ind w:left="260"/>
              <w:spacing w:after="0" w:line="189" w:lineRule="exact"/>
              <w:rPr>
                <w:sz w:val="20"/>
                <w:szCs w:val="20"/>
                <w:color w:val="auto"/>
              </w:rPr>
            </w:pPr>
            <w:r>
              <w:rPr>
                <w:rFonts w:ascii="Times New Roman" w:cs="Times New Roman" w:eastAsia="Times New Roman" w:hAnsi="Times New Roman"/>
                <w:sz w:val="18"/>
                <w:szCs w:val="18"/>
                <w:color w:val="auto"/>
              </w:rPr>
              <w:t xml:space="preserve">capital expenditures. See “Use of Proceeds” on page </w:t>
            </w:r>
            <w:r>
              <w:rPr>
                <w:rFonts w:ascii="Times New Roman" w:cs="Times New Roman" w:eastAsia="Times New Roman" w:hAnsi="Times New Roman"/>
                <w:sz w:val="18"/>
                <w:szCs w:val="18"/>
                <w:color w:val="0000FF"/>
              </w:rPr>
              <w:t>S-10</w:t>
            </w:r>
            <w:r>
              <w:rPr>
                <w:rFonts w:ascii="Times New Roman" w:cs="Times New Roman" w:eastAsia="Times New Roman" w:hAnsi="Times New Roman"/>
                <w:sz w:val="18"/>
                <w:szCs w:val="18"/>
                <w:color w:val="auto"/>
              </w:rPr>
              <w:t xml:space="preserve"> of this prospectus</w:t>
            </w:r>
          </w:p>
        </w:tc>
        <w:tc>
          <w:tcPr>
            <w:tcW w:w="0" w:type="dxa"/>
            <w:vAlign w:val="bottom"/>
          </w:tcPr>
          <w:p>
            <w:pPr>
              <w:spacing w:after="0"/>
              <w:rPr>
                <w:sz w:val="1"/>
                <w:szCs w:val="1"/>
                <w:color w:val="auto"/>
              </w:rPr>
            </w:pPr>
          </w:p>
        </w:tc>
      </w:tr>
      <w:tr>
        <w:trPr>
          <w:trHeight w:val="214"/>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40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supplement.</w:t>
            </w:r>
          </w:p>
        </w:tc>
        <w:tc>
          <w:tcPr>
            <w:tcW w:w="340" w:type="dxa"/>
            <w:vAlign w:val="bottom"/>
            <w:tcBorders>
              <w:top w:val="single" w:sz="8" w:color="0000FF"/>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3760" w:type="dxa"/>
            <w:vAlign w:val="bottom"/>
            <w:vMerge w:val="continue"/>
          </w:tcPr>
          <w:p>
            <w:pPr>
              <w:spacing w:after="0"/>
              <w:rPr>
                <w:sz w:val="24"/>
                <w:szCs w:val="24"/>
                <w:color w:val="auto"/>
              </w:rPr>
            </w:pPr>
          </w:p>
        </w:tc>
        <w:tc>
          <w:tcPr>
            <w:tcW w:w="60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Investing in our common stock involves significant risks. See the disclosure</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6060" w:type="dxa"/>
            <w:vAlign w:val="bottom"/>
            <w:gridSpan w:val="7"/>
          </w:tcPr>
          <w:p>
            <w:pPr>
              <w:ind w:left="260"/>
              <w:spacing w:after="0" w:line="194" w:lineRule="exact"/>
              <w:rPr>
                <w:sz w:val="20"/>
                <w:szCs w:val="20"/>
                <w:color w:val="auto"/>
              </w:rPr>
            </w:pPr>
            <w:r>
              <w:rPr>
                <w:rFonts w:ascii="Times New Roman" w:cs="Times New Roman" w:eastAsia="Times New Roman" w:hAnsi="Times New Roman"/>
                <w:sz w:val="18"/>
                <w:szCs w:val="18"/>
                <w:color w:val="auto"/>
                <w:w w:val="99"/>
              </w:rPr>
              <w:t xml:space="preserve">under the heading “Risk Factors” on page </w:t>
            </w:r>
            <w:r>
              <w:rPr>
                <w:rFonts w:ascii="Times New Roman" w:cs="Times New Roman" w:eastAsia="Times New Roman" w:hAnsi="Times New Roman"/>
                <w:sz w:val="18"/>
                <w:szCs w:val="18"/>
                <w:color w:val="0000FF"/>
                <w:w w:val="99"/>
              </w:rPr>
              <w:t>S-5</w:t>
            </w:r>
            <w:r>
              <w:rPr>
                <w:rFonts w:ascii="Times New Roman" w:cs="Times New Roman" w:eastAsia="Times New Roman" w:hAnsi="Times New Roman"/>
                <w:sz w:val="18"/>
                <w:szCs w:val="18"/>
                <w:color w:val="auto"/>
                <w:w w:val="99"/>
              </w:rPr>
              <w:t xml:space="preserve"> of this prospectus supplement and</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330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6"/>
                <w:szCs w:val="16"/>
                <w:color w:val="auto"/>
              </w:rPr>
              <w:t>under similar headings in other documents</w:t>
            </w:r>
          </w:p>
        </w:tc>
        <w:tc>
          <w:tcPr>
            <w:tcW w:w="260" w:type="dxa"/>
            <w:vAlign w:val="bottom"/>
            <w:tcBorders>
              <w:top w:val="single" w:sz="8" w:color="0000FF"/>
            </w:tcBorders>
          </w:tcPr>
          <w:p>
            <w:pPr>
              <w:spacing w:after="0"/>
              <w:rPr>
                <w:sz w:val="12"/>
                <w:szCs w:val="12"/>
                <w:color w:val="auto"/>
              </w:rPr>
            </w:pPr>
          </w:p>
        </w:tc>
        <w:tc>
          <w:tcPr>
            <w:tcW w:w="2500" w:type="dxa"/>
            <w:vAlign w:val="bottom"/>
            <w:gridSpan w:val="3"/>
          </w:tcPr>
          <w:p>
            <w:pPr>
              <w:spacing w:after="0" w:line="142" w:lineRule="exact"/>
              <w:rPr>
                <w:sz w:val="20"/>
                <w:szCs w:val="20"/>
                <w:color w:val="auto"/>
              </w:rPr>
            </w:pPr>
            <w:r>
              <w:rPr>
                <w:rFonts w:ascii="Times New Roman" w:cs="Times New Roman" w:eastAsia="Times New Roman" w:hAnsi="Times New Roman"/>
                <w:sz w:val="16"/>
                <w:szCs w:val="16"/>
                <w:color w:val="auto"/>
              </w:rPr>
              <w:t>incorporated by reference into this</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60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prospectus.</w:t>
            </w:r>
          </w:p>
        </w:tc>
        <w:tc>
          <w:tcPr>
            <w:tcW w:w="0" w:type="dxa"/>
            <w:vAlign w:val="bottom"/>
          </w:tcPr>
          <w:p>
            <w:pPr>
              <w:spacing w:after="0"/>
              <w:rPr>
                <w:sz w:val="1"/>
                <w:szCs w:val="1"/>
                <w:color w:val="auto"/>
              </w:rPr>
            </w:pPr>
          </w:p>
        </w:tc>
      </w:tr>
      <w:tr>
        <w:trPr>
          <w:trHeight w:val="40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 Symbol</w:t>
            </w:r>
          </w:p>
        </w:tc>
        <w:tc>
          <w:tcPr>
            <w:tcW w:w="60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“ANAB”</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shown above to be outstanding after this offering is based on 30,428,682 shares of our common stock outstanding as of September 30, 2024, and excludes:</w:t>
      </w:r>
    </w:p>
    <w:p>
      <w:pPr>
        <w:spacing w:after="0" w:line="108" w:lineRule="exact"/>
        <w:rPr>
          <w:sz w:val="20"/>
          <w:szCs w:val="20"/>
          <w:color w:val="auto"/>
        </w:rPr>
      </w:pPr>
    </w:p>
    <w:p>
      <w:pPr>
        <w:ind w:left="640" w:right="200" w:hanging="322"/>
        <w:spacing w:after="0" w:line="282"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5,957,416 shares of common stock issuable upon exercise of outstanding options as of September 30, 2024, with a weighted-average exercise price of $25.33 per share;</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1,180,583 shares of common stock issuable upon vesting of outstanding restricted stock unit grants as of September 30, 2024;</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511,000 shares of common stock issuable upon the vesting of performance-based stock units grants as of September 30, 2024;</w:t>
      </w:r>
    </w:p>
    <w:p>
      <w:pPr>
        <w:spacing w:after="0" w:line="171" w:lineRule="exact"/>
        <w:rPr>
          <w:rFonts w:ascii="Times New Roman" w:cs="Times New Roman" w:eastAsia="Times New Roman" w:hAnsi="Times New Roman"/>
          <w:sz w:val="18"/>
          <w:szCs w:val="18"/>
          <w:color w:val="auto"/>
        </w:rPr>
      </w:pPr>
    </w:p>
    <w:p>
      <w:pPr>
        <w:ind w:left="640" w:right="480" w:hanging="322"/>
        <w:spacing w:after="0" w:line="282"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32,200 shares of common stock issuable upon the exercise of options granted after September 30, 2024, with a weighted-average exercise price of $33.27 per share;</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11,800 shares of common stock issuable upon the vesting of restricted stock units granted after September 30, 2024; and</w:t>
      </w:r>
    </w:p>
    <w:p>
      <w:pPr>
        <w:spacing w:after="0" w:line="171" w:lineRule="exact"/>
        <w:rPr>
          <w:rFonts w:ascii="Times New Roman" w:cs="Times New Roman" w:eastAsia="Times New Roman" w:hAnsi="Times New Roman"/>
          <w:sz w:val="18"/>
          <w:szCs w:val="18"/>
          <w:color w:val="auto"/>
        </w:rPr>
      </w:pPr>
    </w:p>
    <w:p>
      <w:pPr>
        <w:ind w:left="640" w:right="100" w:hanging="322"/>
        <w:spacing w:after="0" w:line="258"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5,014,297 shares of common stock reserved and available for future issuance as of September 30, 2024 under our equity incentive plans, consisting of (1) 3,067,332 shares of common stock reserved and available for issuance under our Amended and Restated 2017 Equity Incentive Plan (which number is prior to the options and restricted stock units granted after September 30, 2024 in the preceding bullets), and (2) 1,946,965 shares of common stock reserved for issuance under our 2017 Employee Stock Purchase Plan as of September 30, 2024.</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S-3</w:t>
      </w:r>
    </w:p>
    <w:p>
      <w:pPr>
        <w:sectPr>
          <w:pgSz w:w="11900" w:h="16838" w:orient="portrait"/>
          <w:cols w:equalWidth="0" w:num="1">
            <w:col w:w="9840"/>
          </w:cols>
          <w:pgMar w:left="1000" w:top="1440" w:right="105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1607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60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no exercise of the outstanding options or vesting of restricted stock units described above and does not assume or give effect to any exercise of outstanding options after September 30, 2024.</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9860"/>
          </w:cols>
          <w:pgMar w:left="1000" w:top="1440" w:right="1039" w:bottom="1440" w:gutter="0" w:footer="0" w:header="0"/>
        </w:sectPr>
      </w:pPr>
    </w:p>
    <w:bookmarkStart w:id="6" w:name="page7"/>
    <w:bookmarkEnd w:id="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this prospectus supplement and the accompanying base prospectus, together with all of the other information contained or incorporated by reference herein or therein. You should also consider the risks, uncertainties and assumptions discussed under Part II, Item 1A, “Risk Factors,” in our Quarterly Report on Form 10-Q for the quarterly period ended September 30, 2024,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71"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you purchase shares of our common stock sold in this offering, you may experience immediate and substantial dilution in the net tangible book value of your shares. In addition, we may issue additional equity or convertible debt securities in the future, which may result in additional dilution to you.</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price per share of our common stock being offered may be higher than the net tangible book value per share of our outstanding common stock prior to this offering. Assuming that an aggregate of 4,819,277 shares of our common stock are sold at a price of $20.75 per share, the last reported sale price of our common stock on The Nasdaq Global Select Market on November 13, 2024, for aggregate gross proceeds of approximately $100 million, and after deducting commissions and estimated offering expenses payable by us, new investors in this offering will incur immediate dilution of $15.59 per share. For a more detailed discussion of the foregoing, see the section entitled “Dilution” below. To the extent outstanding stock options or warrants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our investment of these proceeds may not yield a favorable return.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fund research, clinical and process development and manufacturing of our product candidates, working capital, capital expenditures and other general corporate purposes. Additionally, we may use a portion of the net proceeds from this offering to develop our commercialization infrastructure, expand our manufacturing capabilities and expand our current business by in-licensing or acquiring, as the case may be, commercial products, product candidates, technologies, compounds, other assets or complementary businesses, using cash or shares of our common stock. However, we have no current commitments or obligations to do so. The failure by our management to apply these funds effectively could harm our business. Pending their use, we plan to invest the net proceeds from this offering in short-term or long-term,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may issue under the sales agreement, at any one time or in total, is uncertain.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20"/>
          </w:cols>
          <w:pgMar w:left="320" w:top="1440" w:right="359" w:bottom="1440" w:gutter="0" w:footer="0" w:header="0"/>
        </w:sectPr>
      </w:pPr>
    </w:p>
    <w:bookmarkStart w:id="7" w:name="page8"/>
    <w:bookmarkEnd w:id="7"/>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common stock during the sales period and limits we set with TD Cowen. Because the price per share of each share sold will fluctuate based on the market price of our common stock during the sales period, it is not possible at this stage to predict the number of shares that will be ultimately issued.</w:t>
      </w:r>
    </w:p>
    <w:p>
      <w:pPr>
        <w:spacing w:after="0" w:line="10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“at-the-market” offerings, and investors who buy shares at different times will likely pay different prices.</w:t>
      </w:r>
    </w:p>
    <w:p>
      <w:pPr>
        <w:spacing w:after="0" w:line="1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market price volatility.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stock markets in general, and the markets for pharmaceutical, biopharmaceutical and biotechnology stocks in particular, have experienced extreme price and volume fluctuations that have often been unrelated or disproportionate to the operating performance of the issuer. Furthermore, the trading price of our common stock may be adversely affected by third-parties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40"/>
          </w:cols>
          <w:pgMar w:left="320" w:top="1440" w:right="339" w:bottom="1440" w:gutter="0" w:footer="0" w:header="0"/>
        </w:sectPr>
      </w:pPr>
    </w:p>
    <w:bookmarkStart w:id="8" w:name="page9"/>
    <w:bookmarkEnd w:id="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prospectus supplement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supplement or in documents incorporated by reference into this prospectus supplement. We intend that such forward-looking statements be subject to the safe harbors created thereby.</w:t>
      </w:r>
    </w:p>
    <w:p>
      <w:pPr>
        <w:spacing w:after="0" w:line="138"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the “Risk Factors” sections of this prospectus supplement, Part II, Item 1A, “Risk Factors” in our most recent Annual Report on Form 10-K and in our Quarterly Reports on Form 10-Q, which are incorporated by reference herein, as well as those discussed in this prospectus supplement, the underlying base prospectus and in the documents incorporated by reference into this prospectus supplement and the underlying base prospectus. You are cautioned not to place undue reliance on these forward-looking statements, which speak only as of the date of this prospectus supplement or, in the case of documents referred to or incorporated by reference, the date of those documents.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00"/>
          </w:cols>
          <w:pgMar w:left="320" w:top="1440" w:right="379" w:bottom="1440" w:gutter="0" w:footer="0" w:header="0"/>
        </w:sectPr>
      </w:pPr>
    </w:p>
    <w:bookmarkStart w:id="9" w:name="page10"/>
    <w:bookmarkEnd w:id="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about us is also available at our website at http://www.anaptysbio.com. However, the information on our website is not a part of this prospectus supplement and is not incorporated by reference into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20"/>
          </w:cols>
          <w:pgMar w:left="320" w:top="1440" w:right="359" w:bottom="1440" w:gutter="0" w:footer="0" w:header="0"/>
        </w:sectPr>
      </w:pPr>
    </w:p>
    <w:bookmarkStart w:id="10" w:name="page11"/>
    <w:bookmarkEnd w:id="1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supplement, and information we file later with the SEC will automatically update and supersede this information. A Current Report (or portion thereof) furnished, but not filed, on Form 8-K shall not be incorporated by reference into this prospectus supplement. You should refer to the registration statement, including the exhibits, for further information about us and the securities we may offer pursuant to this prospectus. We incorporate by reference the documents listed below and any future filings we make with the SEC under Section 13(a), 13(c), 14, or 15(d) of the Exchange Act prior to the termination of any offering of securities made by this prospectus supplement:</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14">
        <w:r>
          <w:rPr>
            <w:rFonts w:ascii="Times New Roman" w:cs="Times New Roman" w:eastAsia="Times New Roman" w:hAnsi="Times New Roman"/>
            <w:sz w:val="18"/>
            <w:szCs w:val="18"/>
            <w:u w:val="single" w:color="auto"/>
            <w:color w:val="0000FF"/>
          </w:rPr>
          <w:t>March 11,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 ended March 31, 2024 filed with the SEC on </w:t>
      </w:r>
      <w:hyperlink r:id="rId15">
        <w:r>
          <w:rPr>
            <w:rFonts w:ascii="Times New Roman" w:cs="Times New Roman" w:eastAsia="Times New Roman" w:hAnsi="Times New Roman"/>
            <w:sz w:val="18"/>
            <w:szCs w:val="18"/>
            <w:u w:val="single" w:color="auto"/>
            <w:color w:val="0000FF"/>
          </w:rPr>
          <w:t>May 9, 2024</w:t>
        </w:r>
      </w:hyperlink>
      <w:r>
        <w:rPr>
          <w:rFonts w:ascii="Times New Roman" w:cs="Times New Roman" w:eastAsia="Times New Roman" w:hAnsi="Times New Roman"/>
          <w:sz w:val="18"/>
          <w:szCs w:val="18"/>
          <w:color w:val="auto"/>
        </w:rPr>
        <w:t xml:space="preserve">, the fiscal quarter ended June 30, 2024 filed with the SEC on </w:t>
      </w:r>
      <w:hyperlink r:id="rId16">
        <w:r>
          <w:rPr>
            <w:rFonts w:ascii="Times New Roman" w:cs="Times New Roman" w:eastAsia="Times New Roman" w:hAnsi="Times New Roman"/>
            <w:sz w:val="18"/>
            <w:szCs w:val="18"/>
            <w:u w:val="single" w:color="auto"/>
            <w:color w:val="0000FF"/>
          </w:rPr>
          <w:t>August 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fiscal quarter ended September 30, 2024 filed with the SEC on </w:t>
      </w:r>
      <w:hyperlink r:id="rId17">
        <w:r>
          <w:rPr>
            <w:rFonts w:ascii="Times New Roman" w:cs="Times New Roman" w:eastAsia="Times New Roman" w:hAnsi="Times New Roman"/>
            <w:sz w:val="18"/>
            <w:szCs w:val="18"/>
            <w:u w:val="single" w:color="auto"/>
            <w:color w:val="0000FF"/>
          </w:rPr>
          <w:t>November 5, 2024</w:t>
        </w:r>
      </w:hyperlink>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filed with the SEC on </w:t>
      </w:r>
      <w:hyperlink r:id="rId18">
        <w:r>
          <w:rPr>
            <w:rFonts w:ascii="Times New Roman" w:cs="Times New Roman" w:eastAsia="Times New Roman" w:hAnsi="Times New Roman"/>
            <w:sz w:val="18"/>
            <w:szCs w:val="18"/>
            <w:u w:val="single" w:color="auto"/>
            <w:color w:val="0000FF"/>
          </w:rPr>
          <w:t>April 24,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are deemed “filed” with the SEC under the Exchange 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9">
        <w:r>
          <w:rPr>
            <w:rFonts w:ascii="Times New Roman" w:cs="Times New Roman" w:eastAsia="Times New Roman" w:hAnsi="Times New Roman"/>
            <w:sz w:val="18"/>
            <w:szCs w:val="18"/>
            <w:u w:val="single" w:color="auto"/>
            <w:color w:val="0000FF"/>
          </w:rPr>
          <w:t>June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FF"/>
          </w:rPr>
          <w:t>August 14, 2024</w:t>
        </w:r>
      </w:hyperlink>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21">
        <w:r>
          <w:rPr>
            <w:rFonts w:ascii="Times New Roman" w:cs="Times New Roman" w:eastAsia="Times New Roman" w:hAnsi="Times New Roman"/>
            <w:sz w:val="18"/>
            <w:szCs w:val="18"/>
            <w:u w:val="single" w:color="auto"/>
            <w:color w:val="0000FF"/>
          </w:rPr>
          <w:t>January 17, 2017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w:t>
      </w:r>
    </w:p>
    <w:p>
      <w:pPr>
        <w:spacing w:after="0" w:line="27" w:lineRule="exact"/>
        <w:rPr>
          <w:rFonts w:ascii="Times New Roman" w:cs="Times New Roman" w:eastAsia="Times New Roman" w:hAnsi="Times New Roman"/>
          <w:sz w:val="18"/>
          <w:szCs w:val="18"/>
          <w:color w:val="auto"/>
        </w:rPr>
      </w:pPr>
    </w:p>
    <w:p>
      <w:pPr>
        <w:ind w:left="660"/>
        <w:spacing w:after="0" w:line="255"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Section 12 of the Exchange Act, as further amended by </w:t>
      </w:r>
      <w:hyperlink r:id="rId22">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(Description of the Registrant’s Securities Registered Pursuant to Section 12 of the Securities Exchange Act of 1934) to our Annual Report on Form 10-K for the fiscal year ended December 31, 2019 and filed with the SEC on </w:t>
      </w:r>
      <w:hyperlink r:id="rId23">
        <w:r>
          <w:rPr>
            <w:rFonts w:ascii="Times New Roman" w:cs="Times New Roman" w:eastAsia="Times New Roman" w:hAnsi="Times New Roman"/>
            <w:sz w:val="18"/>
            <w:szCs w:val="18"/>
            <w:u w:val="single" w:color="auto"/>
            <w:color w:val="0000FF"/>
          </w:rPr>
          <w:t>March 2,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including any amendment or report filed for the purpose of updating such description.</w:t>
      </w:r>
    </w:p>
    <w:p>
      <w:pPr>
        <w:spacing w:after="0" w:line="132"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 this prospectus and deemed to be part of this prospectus from the date of the filing of such reports and documents.</w:t>
      </w:r>
    </w:p>
    <w:p>
      <w:pPr>
        <w:spacing w:after="0" w:line="126" w:lineRule="exact"/>
        <w:rPr>
          <w:rFonts w:ascii="Times New Roman" w:cs="Times New Roman" w:eastAsia="Times New Roman" w:hAnsi="Times New Roman"/>
          <w:sz w:val="18"/>
          <w:szCs w:val="18"/>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Upon written or oral request, we will provide without charge to each person, including any beneficial owner, to whom this prospectus supplement is delivered, a copy of any or all of such information that has been incorporated herein by reference (other than exhibits to such documents unless such exhibits are specifically incorporated by reference into the documents that this prospectus supplement incorporates). Written or oral requests for copies should be directed to AnaptysBio, Inc., Attn: Investor Relations, 10770 Wateridge Circle, Suite 210, telephone number (858) 362-6295. See the section of this prospectus entitled “Where You Can Find More Information” for information concerning how to read and obtain copies of materials that we file with the SEC.</w:t>
      </w:r>
    </w:p>
    <w:p>
      <w:pPr>
        <w:spacing w:after="0" w:line="133" w:lineRule="exact"/>
        <w:rPr>
          <w:rFonts w:ascii="Times New Roman" w:cs="Times New Roman" w:eastAsia="Times New Roman" w:hAnsi="Times New Roman"/>
          <w:sz w:val="18"/>
          <w:szCs w:val="18"/>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supplement, or in a document all or a portion of which is incorporated by reference, shall be modified or superseded for purposes of this prospectus supplement to the extent that a statement contained in this prospectus supplement, the accompanying base prospectus or any document incorporated by reference modifies or supersedes such statement. Any such statement so modified or superseded shall not, except as so modified or superseded, constitute a part of this prospectus supplement.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20"/>
          </w:cols>
          <w:pgMar w:left="320" w:top="1440" w:right="359" w:bottom="1440" w:gutter="0" w:footer="0" w:header="0"/>
        </w:sectPr>
      </w:pPr>
    </w:p>
    <w:bookmarkStart w:id="11" w:name="page12"/>
    <w:bookmarkEnd w:id="1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$100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TD Cowen as a source of financing.</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intend to use any net proceeds from the sale of securities under this prospectus supplement primarily to fund research, clinical and process development and manufacturing of our product candidates, working capital, capital expenditures and other general corporate purposes. Additionally, we may use a portion of the net proceeds from this offering to expand our current business by in-licensing or acquiring, as the case may be, commercial products, product candidates, technologies, compounds, other assets or complementary businesses, using cash or shares of our common stock. However, we have no current commitments or obligations to do so.</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short-term or long-term,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80"/>
          </w:cols>
          <w:pgMar w:left="320" w:top="1440" w:right="399" w:bottom="1440" w:gutter="0" w:footer="0" w:header="0"/>
        </w:sectPr>
      </w:pPr>
    </w:p>
    <w:bookmarkStart w:id="13" w:name="page14"/>
    <w:bookmarkEnd w:id="1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your ownership interest will be diluted to the extent of the difference between the price per share you pay in this offering and the net tangible book value per share of our common stock immediately after this offering. Our net tangible book value of our common stock as of September 30, 2024 was approximately $84.4 million, or approximately $2.77 per share of common stock based upon 30,428,682 shares of common stock outstanding. Net tangible book value per share is equal to our total tangible assets, less our total liabilities, divided by the total number of shares of common stock outstanding as of September 30, 2024.</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our common stock in the aggregate amount of $100 million at an assumed offering price of $20.75 per share, the last reported sale price of our common stock on The Nasdaq Global Select Market on November 13, 2024, and after deducting commissions and estimated offering expenses payable by us, our as adjusted net tangible book value as of September 30, 2024 would have been $182.0 million, or $5.16 per share of common stock. This represents an immediate increase in net tangible book value of $2.39 per share to our existing stockholders and an immediate dilution in net tangible book value of $15.59 per share to new investors in this offering.</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table illustrates this calculation on a per share basis. The as-adjusted information is illustrative only and will adjust based on the actual price to the public, the actual number of shares sold and other terms of the offering determined at the time shares of our common stock are sold pursuant to this prospectus supplement. The as-adjusted information assumes that all of our common stock in the aggregate amount of $100 million is sold at the assumed offering price of $20.75 per share, the last reported sale price of our common stock on The Nasdaq Global Select Market on November 13, 2024. The shares sold in this offering, if any, will be sold from time to time at various prices.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6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2024</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offering</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the offering</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new investors participating in the offering</w:t>
            </w: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shown above to be outstanding after this offering is based on 30,428,682 shares of our common stock outstanding as of September 30, 2024, and excludes:</w:t>
      </w:r>
    </w:p>
    <w:p>
      <w:pPr>
        <w:spacing w:after="0" w:line="108" w:lineRule="exact"/>
        <w:rPr>
          <w:sz w:val="20"/>
          <w:szCs w:val="20"/>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5,957,416 shares of common stock issuable upon exercise of outstanding options as of September 30, 2024, with a weighted-average exercise price of $25.33 per share;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1,180,583 shares of common stock issuable upon vesting of outstanding restricted stock unit grants as of September 30, 2024;</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511,000 shares of common stock issuable upon the vesting of performance-based stock units grants as of September 30, 2024;</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32,200 shares of common stock issuable upon the exercise of options granted after September 30, 2024, with a weighted-average exercise price of $33.27 per share;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11,800 shares of common stock issuable upon the vesting of restricted stock units granted after September 30, 2024; and</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5,014,297 shares of common stock reserved and available for future issuance as of September 30, 2024, under our equity incentive plans, consisting of (1) 3,067,332 shares of common stock reserved and available for issuance under our Amended and Restated 2017 Equity Incentive Plan (which number is prior to the options and restricted stock units granted after September 30, 2024 in the preceding bullets), and (2) 1,946,965 shares of common stock reserved for issuance under our 2017 Employee Stock Purchase Plan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table assumes no exercise of the outstanding options or vesting of restricted stock units described above and does not assume or give effect to any exercise of outstanding options after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80"/>
          </w:cols>
          <w:pgMar w:left="320" w:top="1440" w:right="499" w:bottom="1440" w:gutter="0" w:footer="0" w:header="0"/>
        </w:sectPr>
      </w:pPr>
    </w:p>
    <w:bookmarkStart w:id="15" w:name="page16"/>
    <w:bookmarkEnd w:id="15"/>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with TD Cowen under which we may issue and sell from time to time up to $100 million of our common stock through or to TD Cowen as our sales agent or principal. Sales of our common stock, if any, will be made at market prices by any method that is deemed to be an “at-the-market” offering as defined in Rule 415 under the Securities Act. Sales pursuant to the sales agreement may be made through an affiliate of TD Cowen.</w:t>
      </w:r>
    </w:p>
    <w:p>
      <w:pPr>
        <w:spacing w:after="0" w:line="1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3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equals up to 3.0% of the gross sales price of the shares sold through it pursuant to the sales agreement. We have also agreed to reimburse TD Cowen up to $75,000 of TD Cowen’s actual outside legal expenses incurred by TD Cowen in connection with this offering, and for certain other expenses. We estimate that the total expenses of the offering payable by us, excluding commissions payable to TD Cowen under the sales agreement, will be approximately $350,000.</w:t>
      </w:r>
    </w:p>
    <w:p>
      <w:pPr>
        <w:spacing w:after="0" w:line="12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TD 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TD Cowen under the sales agreement, the volume weighted average price of the common stock sold and the gross proceeds to us in connection with the sales of common stock.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and trades under the symbol “ANAB”. The transfer agent of our common stock is Equiniti Trust Company, LLC.</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00"/>
          </w:cols>
          <w:pgMar w:left="320" w:top="1440" w:right="379" w:bottom="1440" w:gutter="0" w:footer="0" w:header="0"/>
        </w:sectPr>
      </w:pPr>
    </w:p>
    <w:bookmarkStart w:id="16" w:name="page17"/>
    <w:bookmarkEnd w:id="16"/>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Fenwick &amp; West LLP, Seattle, Washington, will pass on certain legal matters relating to the issuance and sale of the securities offered hereby on behalf of AnaptysBio, Inc. TD Securities (USA) LLC is being represented in connection with this offering by Mintz, Levin, Cohn, Ferris, Glovsky and Popeo, P.C., Boston, Massachusetts.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AnaptysBio, Inc. as of December 31, 2023 and 2022, and for each of the years in the three-year period ended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1440"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$500,000,000</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Common Stock, Preferred Stock,</w:t>
      </w:r>
    </w:p>
    <w:p>
      <w:pPr>
        <w:spacing w:after="0" w:line="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Debt Securities, Warrants, 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we may offer up to $500,000,000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 The prospectus supplement and any related free writing prospectus may also add, update or change information contained in this prospectus. The total amount of these securities will have an initial aggregate offering price of up to $500,000,000.</w:t>
      </w:r>
    </w:p>
    <w:p>
      <w:pPr>
        <w:spacing w:after="0" w:line="1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information incorporated, or deemed to be incorporated, by reference in this prospectus, and any applicable prospectus supplement and related free writing prospectus carefully before you invest.</w:t>
      </w:r>
    </w:p>
    <w:p>
      <w:pPr>
        <w:spacing w:after="0" w:line="10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“ANAB.” On November 1, 2024, the last reported sales price for our common stock was $21.68 per share. None of the other securities we may offer are currently traded on any securities exchange. The applicable prospectus supplement and any related free writing prospectus will contain information, where applicable, as to any other listing on The Nasdaq Global Select Market or any securities market or exchange of the securities covered by the prospectus supplement and any related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An investment in our securities involves a high degree of risk. You should carefully consider the information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4</w:t>
      </w:r>
      <w:r>
        <w:rPr>
          <w:rFonts w:ascii="Times New Roman" w:cs="Times New Roman" w:eastAsia="Times New Roman" w:hAnsi="Times New Roman"/>
          <w:sz w:val="18"/>
          <w:szCs w:val="18"/>
          <w:b w:val="1"/>
          <w:bCs w:val="1"/>
          <w:color w:val="auto"/>
        </w:rPr>
        <w:t xml:space="preserve"> of this prospectus before investing in our securities.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“Plan of Distribution”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15, 2024</w:t>
      </w:r>
    </w:p>
    <w:p>
      <w:pPr>
        <w:sectPr>
          <w:pgSz w:w="11900" w:h="16838" w:orient="portrait"/>
          <w:cols w:equalWidth="0" w:num="1">
            <w:col w:w="11220"/>
          </w:cols>
          <w:pgMar w:left="320" w:top="927" w:right="359" w:bottom="1440" w:gutter="0" w:footer="0" w:header="0"/>
        </w:sectPr>
      </w:pPr>
    </w:p>
    <w:bookmarkStart w:id="18" w:name="page19"/>
    <w:bookmarkEnd w:id="18"/>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8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8"/>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7"/>
            <w:vMerge w:val="continue"/>
          </w:tcPr>
          <w:p>
            <w:pPr>
              <w:spacing w:after="0"/>
              <w:rPr>
                <w:sz w:val="15"/>
                <w:szCs w:val="15"/>
                <w:color w:val="auto"/>
              </w:rPr>
            </w:pPr>
          </w:p>
        </w:tc>
        <w:tc>
          <w:tcPr>
            <w:tcW w:w="8120" w:type="dxa"/>
            <w:vAlign w:val="bottom"/>
            <w:gridSpan w:val="8"/>
            <w:vMerge w:val="continue"/>
          </w:tcPr>
          <w:p>
            <w:pPr>
              <w:spacing w:after="0"/>
              <w:rPr>
                <w:sz w:val="15"/>
                <w:szCs w:val="15"/>
                <w:color w:val="auto"/>
              </w:rPr>
            </w:pPr>
          </w:p>
        </w:tc>
        <w:tc>
          <w:tcPr>
            <w:tcW w:w="86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PROSPECTUS SUMMARY</w:t>
            </w:r>
          </w:p>
        </w:tc>
        <w:tc>
          <w:tcPr>
            <w:tcW w:w="140" w:type="dxa"/>
            <w:vAlign w:val="bottom"/>
          </w:tcPr>
          <w:p>
            <w:pPr>
              <w:spacing w:after="0"/>
              <w:rPr>
                <w:sz w:val="18"/>
                <w:szCs w:val="18"/>
                <w:color w:val="auto"/>
              </w:rPr>
            </w:pPr>
          </w:p>
        </w:tc>
        <w:tc>
          <w:tcPr>
            <w:tcW w:w="8120" w:type="dxa"/>
            <w:vAlign w:val="bottom"/>
            <w:gridSpan w:val="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0" w:type="dxa"/>
            <w:vAlign w:val="bottom"/>
            <w:gridSpan w:val="4"/>
          </w:tcPr>
          <w:p>
            <w:pPr>
              <w:spacing w:after="0"/>
              <w:rPr>
                <w:sz w:val="18"/>
                <w:szCs w:val="18"/>
                <w:color w:val="auto"/>
              </w:rPr>
            </w:pPr>
          </w:p>
        </w:tc>
        <w:tc>
          <w:tcPr>
            <w:tcW w:w="8260" w:type="dxa"/>
            <w:vAlign w:val="bottom"/>
            <w:gridSpan w:val="9"/>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0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520" w:type="dxa"/>
            <w:vAlign w:val="bottom"/>
            <w:gridSpan w:val="2"/>
          </w:tcPr>
          <w:p>
            <w:pPr>
              <w:spacing w:after="0"/>
              <w:rPr>
                <w:sz w:val="18"/>
                <w:szCs w:val="18"/>
                <w:color w:val="auto"/>
              </w:rPr>
            </w:pPr>
          </w:p>
        </w:tc>
        <w:tc>
          <w:tcPr>
            <w:tcW w:w="50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INCORPORATION OF INFORMATION BY REFERENCE</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2800" w:type="dxa"/>
            <w:vAlign w:val="bottom"/>
            <w:gridSpan w:val="9"/>
          </w:tcPr>
          <w:p>
            <w:pPr>
              <w:spacing w:after="0"/>
              <w:rPr>
                <w:sz w:val="18"/>
                <w:szCs w:val="18"/>
                <w:color w:val="auto"/>
              </w:rPr>
            </w:pPr>
          </w:p>
        </w:tc>
        <w:tc>
          <w:tcPr>
            <w:tcW w:w="5980" w:type="dxa"/>
            <w:vAlign w:val="bottom"/>
            <w:gridSpan w:val="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DIVIDEND POLICY</w:t>
            </w:r>
          </w:p>
        </w:tc>
        <w:tc>
          <w:tcPr>
            <w:tcW w:w="8780" w:type="dxa"/>
            <w:vAlign w:val="bottom"/>
            <w:gridSpan w:val="11"/>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PLAN OF DISTRIBUTION</w:t>
            </w:r>
          </w:p>
        </w:tc>
        <w:tc>
          <w:tcPr>
            <w:tcW w:w="8260" w:type="dxa"/>
            <w:vAlign w:val="bottom"/>
            <w:gridSpan w:val="9"/>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80" w:type="dxa"/>
            <w:vAlign w:val="bottom"/>
            <w:gridSpan w:val="6"/>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340" w:type="dxa"/>
            <w:vAlign w:val="bottom"/>
            <w:gridSpan w:val="5"/>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DESCRIPTION OF SUBSCRIPTION RIGHTS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690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40" w:type="dxa"/>
            <w:vAlign w:val="bottom"/>
            <w:gridSpan w:val="10"/>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2"/>
          </w:tcPr>
          <w:p>
            <w:pPr>
              <w:spacing w:after="0"/>
              <w:rPr>
                <w:sz w:val="18"/>
                <w:szCs w:val="18"/>
                <w:color w:val="auto"/>
              </w:rPr>
            </w:pPr>
          </w:p>
        </w:tc>
        <w:tc>
          <w:tcPr>
            <w:tcW w:w="890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19" w:name="page20"/>
    <w:bookmarkEnd w:id="19"/>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or the SEC, using a “shelf” registration process. Under this shelf registration process, from time to time, we may sell any combination of the securities described in this prospectus in one or more offerings, up to a total dollar amount of $500,000,000.</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provided to you in this prospectus a general description of the securities we may offer. This prospectus does not contain all of the information included in the registration statement. For a more complete understanding of the offering of the securities, you should refer to the registration statement, including its exhibits. Each time we offer our securities under this prospectus, we will provide a prospectus supplement that will contain more specific information about the terms of the offering. We may also add, update or change in a prospectus supplement any of the information contained in this prospectus or in documents we have incorporated by reference into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This prospectus, together with the applicable prospectus supplements and the documents incorporated by reference into this prospectus, includes all material information relating to the offering of securities under this prospectus. You should carefully read both this prospectus and the applicable prospectus supplement, together with the additional information described under the headings “Incorporation of Information by Reference” and “Where You Can Find More Information” before buying any of our securities in this offering.</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any applicable prospectus supplement. No dealer, salesperson or any other person is authorized to give any information or to make any representation other than the information and representations contained in or incorporated by reference into this prospectus or any applicable prospectus supplement. If different information is given or different representations are made, you may not rely on that information or those representations as having been authorized by us.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13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AND SELL SECURITIES UNLESS IT IS ACCOMPANIED BY A PROSPECTUS SUPPLEMENT.</w:t>
      </w:r>
    </w:p>
    <w:p>
      <w:pPr>
        <w:spacing w:after="0" w:line="1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terms “AnaptysBio,” the “Company,” “we,” “us,” and “our” refer to AnaptysBio, Inc., a Delaware corporation. This prospectus supplement, the accompanying prospectus and the information incorporated by reference herein and therein may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80"/>
          </w:cols>
          <w:pgMar w:left="320" w:top="1440" w:right="3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or incorporated by reference in this prospectus from our Annual Report on Form 10-K for the year ended December 31, 2023, our Quarterly Report on Form 10-Q for the quarter ended September 30, 2024 and our other filings with the SEC listed below under the heading “Incorporation of Information by Reference.” 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before making an investment decision.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for autoimmune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inflammatory diseases. Our pipeline includes two programs targeting co-inhibitory receptors: rosnilimab, our PD-1 agonist in a Phase 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trial for the treatment of moderate-to-severe rheumatoid arthritis, and a Phase 2 trial for the treatment of moderate-to-severe ulcerative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colitis; and ANB032, our BTLA agonist, in a Phase 2b trial for the treatment of moderate-to-severe atopic dermatitis. We also have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antibodies in our portfolio, including ANB033, an anti-CD122 antagonist, in a Phase 1 trial and ANB101, a BDCA2 modulator, soon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 clinical development. In addition, we have developed two cytokine antagonists that are available for out-licensing: imsidolimab,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anti-IL-36R antagonist, that has completed Phase 3 trials for the treatment of generalized pustular psoriasis, and etokimab, our anti-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IL-33 antagonist that is Phase 2/3 ready. We have also discovered multiple therapeutic antibodies licensed to GlaxoSmithKline,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(“GSK”), in a financial collaboration for immuno-oncology, including an anti-PD-1 antagonist (Jemperli (dostarlimab-gxly)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and an anti-TIM-3 antagonist (cobolimab, GSK4069889). We currently recognize revenue from milestones and royalties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achieved under our immuno-oncology collaboration with GSK.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prospectus.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7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With this prospectus, we may offer common stock, preferred stock, debt securities, warrants to purchase our common stock, preferred stock or debt securities, subscription rights to purchase our common stock, preferred stock or debt securities, and/or units consisting of some or all of these securities in any combination. The aggregate offering price of securities that we offer with this prospectus will not exceed $500,000,000. Each time we offer securities with this prospectus, we will provide offerees with a prospectus supplement that will contain the specific terms of the securities being offered. The following is a summary of the securities we may offer with this prospectus.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shares of our common stock, par value $0.001 per share.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offer shares of our preferred stock, par value $0.001 per share, in one or more series. Our board of directors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common stock.</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860"/>
          </w:cols>
          <w:pgMar w:left="1000" w:top="1440" w:right="103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487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36130" cy="44875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offer general obligations, which may be secured or unsecured, senior or subordinated and convertible into shares of our common stock or preferred stock. In this prospectus, we refer to the senior debt securities and the subordinated debt securities together as the “debt securities.” Our board of directors will determine the terms of each series of debt securities being offered.</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will issue the debt securities under an indenture between us and a trustee. In this document, we have summarized general features of the debt securities from the indenture. We encourage you to read the indenture, which is an exhibit to the registration statement of which this prospectus is a part.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debt securities, shares of preferred stock or shares of common stock. We may issue warrants independently or together with other securities. Our board of directors will determine the terms of the warrants.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Rights</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may offer subscription rights for the purchase of common stock, preferred stock or debt securities. We may issue subscription rights independently or together with other securities. Our board of directors will determine the terms of the subscription rights.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offer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880"/>
          </w:cols>
          <w:pgMar w:left="1000" w:top="1440" w:right="1019" w:bottom="1440" w:gutter="0" w:footer="0" w:header="0"/>
        </w:sectPr>
      </w:pPr>
    </w:p>
    <w:bookmarkStart w:id="22" w:name="page23"/>
    <w:bookmarkEnd w:id="22"/>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in our most recent Annual Report on Form 10-K and Quarterly Reports on Form 10-Q and any other filings we make with the SEC from time to time, which are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40" w:right="379" w:bottom="1440" w:gutter="0" w:footer="0" w:header="0"/>
        </w:sectPr>
      </w:pPr>
    </w:p>
    <w:bookmarkStart w:id="23" w:name="page24"/>
    <w:bookmarkEnd w:id="2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or in documents incorporated by reference into this prospectus. We intend that such forward-looking statements be subject to the safe harbors created thereby.</w:t>
      </w:r>
    </w:p>
    <w:p>
      <w:pPr>
        <w:spacing w:after="0" w:line="14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Part II, Item 1A, “Risk Factors” in our most recent Annual Report on Form 10-K and in our Quarterly Reports on Form 10-Q, which are incorporated by reference herein, as well as those discussed in this prospectus and in the documents incorporated by reference into this prospectus. You are cautioned not to place undue reliance on these forward-looking statements, which speak only as of the date of this prospectus or, in the case of documents referred to or incorporated by reference, the date of those documents.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or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about us is also available at our website at http://www.anaptysbio.com. Upon completion of this offering, you may access these materials at our website free of charge as soon as reasonably practicable after they are electronically filed with, or furnished to, the SEC. However, the information on our website is not a part of this prospectus and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 SEC, which means that we can disclose important information to you by referring you to those publicly available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You should refer to the registration statement, including the exhibits, for further information about us and the securities we may offer pursuant to this prospectus. We incorporate by reference the documents listed below and any future filings we make with the SEC under Section 13(a), 13(c), 14, or 15(d) of the Exchange Act prior to the termination of any offering of securities made by this prospectus:</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14">
        <w:r>
          <w:rPr>
            <w:rFonts w:ascii="Times New Roman" w:cs="Times New Roman" w:eastAsia="Times New Roman" w:hAnsi="Times New Roman"/>
            <w:sz w:val="18"/>
            <w:szCs w:val="18"/>
            <w:u w:val="single" w:color="auto"/>
            <w:color w:val="0000FF"/>
          </w:rPr>
          <w:t>March 11, 2024</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 ended March 31, 2024 filed with the SEC on </w:t>
      </w:r>
      <w:hyperlink r:id="rId15">
        <w:r>
          <w:rPr>
            <w:rFonts w:ascii="Times New Roman" w:cs="Times New Roman" w:eastAsia="Times New Roman" w:hAnsi="Times New Roman"/>
            <w:sz w:val="18"/>
            <w:szCs w:val="18"/>
            <w:u w:val="single" w:color="auto"/>
            <w:color w:val="0000FF"/>
          </w:rPr>
          <w:t>May 9, 2024</w:t>
        </w:r>
      </w:hyperlink>
      <w:r>
        <w:rPr>
          <w:rFonts w:ascii="Times New Roman" w:cs="Times New Roman" w:eastAsia="Times New Roman" w:hAnsi="Times New Roman"/>
          <w:sz w:val="18"/>
          <w:szCs w:val="18"/>
          <w:color w:val="auto"/>
        </w:rPr>
        <w:t xml:space="preserve">, the fiscal quarter ended June 30, 2024 filed with the SEC on </w:t>
      </w:r>
      <w:hyperlink r:id="rId16">
        <w:r>
          <w:rPr>
            <w:rFonts w:ascii="Times New Roman" w:cs="Times New Roman" w:eastAsia="Times New Roman" w:hAnsi="Times New Roman"/>
            <w:sz w:val="18"/>
            <w:szCs w:val="18"/>
            <w:u w:val="single" w:color="auto"/>
            <w:color w:val="0000FF"/>
          </w:rPr>
          <w:t>August 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fiscal quarter ended September 30, 2024 filed with the SEC on </w:t>
      </w:r>
      <w:hyperlink r:id="rId17">
        <w:r>
          <w:rPr>
            <w:rFonts w:ascii="Times New Roman" w:cs="Times New Roman" w:eastAsia="Times New Roman" w:hAnsi="Times New Roman"/>
            <w:sz w:val="18"/>
            <w:szCs w:val="18"/>
            <w:u w:val="single" w:color="auto"/>
            <w:color w:val="0000FF"/>
          </w:rPr>
          <w:t>November 5, 2024</w:t>
        </w:r>
      </w:hyperlink>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filed with the SEC on </w:t>
      </w:r>
      <w:hyperlink r:id="rId18">
        <w:r>
          <w:rPr>
            <w:rFonts w:ascii="Times New Roman" w:cs="Times New Roman" w:eastAsia="Times New Roman" w:hAnsi="Times New Roman"/>
            <w:sz w:val="18"/>
            <w:szCs w:val="18"/>
            <w:u w:val="single" w:color="auto"/>
            <w:color w:val="0000FF"/>
          </w:rPr>
          <w:t>April 24,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are deemed “filed” with the SEC under the Exchange 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9">
        <w:r>
          <w:rPr>
            <w:rFonts w:ascii="Times New Roman" w:cs="Times New Roman" w:eastAsia="Times New Roman" w:hAnsi="Times New Roman"/>
            <w:sz w:val="18"/>
            <w:szCs w:val="18"/>
            <w:u w:val="single" w:color="auto"/>
            <w:color w:val="0000FF"/>
          </w:rPr>
          <w:t>June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FF"/>
          </w:rPr>
          <w:t>August 14, 2024</w:t>
        </w:r>
      </w:hyperlink>
      <w:r>
        <w:rPr>
          <w:rFonts w:ascii="Times New Roman" w:cs="Times New Roman" w:eastAsia="Times New Roman" w:hAnsi="Times New Roman"/>
          <w:sz w:val="18"/>
          <w:szCs w:val="18"/>
          <w:color w:val="auto"/>
        </w:rPr>
        <w:t>; and</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21">
        <w:r>
          <w:rPr>
            <w:rFonts w:ascii="Times New Roman" w:cs="Times New Roman" w:eastAsia="Times New Roman" w:hAnsi="Times New Roman"/>
            <w:sz w:val="18"/>
            <w:szCs w:val="18"/>
            <w:u w:val="single" w:color="auto"/>
            <w:color w:val="0000FF"/>
          </w:rPr>
          <w:t>January 17, 2017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Section 12(b) of the Exchange Act, including any amendment or report filed for the purpose of updating such description.</w:t>
      </w:r>
    </w:p>
    <w:p>
      <w:pPr>
        <w:spacing w:after="0" w:line="108"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 this prospectus and deemed to be part of this prospectus from the date of the filing of such reports and documents.</w:t>
      </w:r>
    </w:p>
    <w:p>
      <w:pPr>
        <w:spacing w:after="0" w:line="126"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written or oral request, we will provide without charge to each person, including any beneficial owner, to whom this prospectus is delivered, a copy of any or all of such information that has been incorporated herein by reference (other than exhibits to such documents unless such exhibits are specifically incorporated by reference into the documents that this prospectus incorporates). Written or oral requests for copies should be directed to AnaptysBio, Inc., Attn: Investor Relations, 10770 Wateridge Circle, Suite 210, telephone number (858) 362-6295. See the section of this prospectus entitled “Where You Can Find More Information” for information concerning how to read and obtain copies of materials that we file with the SEC.</w:t>
      </w:r>
    </w:p>
    <w:p>
      <w:pPr>
        <w:spacing w:after="0" w:line="129" w:lineRule="exact"/>
        <w:rPr>
          <w:rFonts w:ascii="Times New Roman" w:cs="Times New Roman" w:eastAsia="Times New Roman" w:hAnsi="Times New Roman"/>
          <w:sz w:val="18"/>
          <w:szCs w:val="18"/>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intend to use the net proceeds from the sale of securities under this prospectus for general corporate purposes, which may include funding research and development for our clinical development and ongoing preclinical, discovery and research programs, increasing our working capital, acquisitions or investments in businesses, products or technologies that are complementary to our own and capital expenditures. We will set forth in the prospectus supplement our intended use for the net proceeds received from the sale of any securities. Pending the application of the net proceeds, we intend to invest the net proceeds in short-term or long-term,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1440" w:right="419" w:bottom="1440" w:gutter="0" w:footer="0" w:header="0"/>
        </w:sectPr>
      </w:pPr>
    </w:p>
    <w:bookmarkStart w:id="27" w:name="page28"/>
    <w:bookmarkEnd w:id="27"/>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320" w:top="1440" w:right="399" w:bottom="1440" w:gutter="0" w:footer="0" w:header="0"/>
        </w:sectPr>
      </w:pPr>
    </w:p>
    <w:bookmarkStart w:id="28" w:name="page29"/>
    <w:bookmarkEnd w:id="2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may sell the securities covered by this prospectus to one or more underwriters for public offering and sale by them, and may also sell the securities to investors directly, including our affiliates, through agents or through a combination of any of these methods.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1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securities we offer under this prospectus may or may not be listed through The Nasdaq Global Select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file a prospectus supplement to describe the terms of any offering of our securities covered by this prospectus. The prospectus supplement will disclose:</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including any managing underwriters, as well as any dealers or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underwriters, if any, may purchase additional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or other items constituting underwriters’ compensation, and any commissions paid to agents;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subscription rights offering, whether we have engaged dealer-managers to facilitate the offering or subscription, including their name or names and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320" w:top="1440" w:right="699" w:bottom="1440" w:gutter="0" w:footer="0" w:header="0"/>
        </w:sectPr>
      </w:pPr>
    </w:p>
    <w:bookmarkStart w:id="30" w:name="page31"/>
    <w:bookmarkEnd w:id="3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authorized to issue 510,000,000 shares of all classes of capital stock, of which 500,000,000 shares are common stock, $0.001 par value per share, and 10,000,000 shares are preferred stock, $0.001 par value per share.</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is a summary description of the material terms of our capital stock. The description of capital stock is intended as a summary and is qualified in its entirety by reference to our amended and restated certificate of incorporation, or restated certificate of incorporation, and our second amended and restated bylaws, or restated bylaws, copies of which are filed as exhibits to our most recent Annual Report on Form 10-K and are incorporated by reference herein. We encourage you to read our restated certificate of incorporation, our restated bylaws and the applicable provisions of the Delaware General Corporation Law, or DGCL,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Preemptive or Similar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Receive Liquidation Distributions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September 30, 2024, no shares of our preferred stock were issued and outstanding and no such shares were subject to outstanding options or other rights to purchase or acquire. However, shares of preferred stock may be issued in one or more series from time to time by our board of directors, and the board of directors is expressly authorized to fix by resolution or resolutions the designations and the powers, preferences and rights, and the qualifications, limitations and restrictions thereof, of the shares of each series of preferred stock. Subject to the determination of our board of directors, any shares of our preferred stock that may be issued in the future would generally have preferences over our common stock with respect to the payment of dividends and the distribution of assets in the event of our liquidation, dissolution or winding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 of Unissued Shares of Capital Stock</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Our shares of authorized and unissued common stock are available for future issuance without additional stockholder approval.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of directors in opposing a hostile takeover bid.</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Our certificate of incorporation grants our board of directors the authority, without any further vote or action by our stockholders,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in one or more series and to fix the number of shares constituting any such series and the preferences, limitations and relative rights, including dividend rights, dividend rate, voting rights, terms of redemption, redemption price or prices, conversion rights and liquidation preferences of the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in control, may discourage bids for the common stock at a premium over the market price of the common stock, and may adversely affect the market price of, and the voting and other rights of the holders of,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Anti-Takeover Provisions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This section prevents some Delaware corporations, including us,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26" w:lineRule="exact"/>
        <w:rPr>
          <w:sz w:val="20"/>
          <w:szCs w:val="20"/>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0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that the stockholder became an interested stockholder, the business combination is approved by the board of directors and authorized at an annual or special meeting of stockholders by at least two-thirds of the outstanding voting stock not owned by the interested stockholder.</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and do not plan to “opt out” of these provisions. The statute could prohibit or delay mergers or other takeover or change in control attempts and, accordingly, may discourage attempts to acquire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Restated Certificate of Incorporation and Restated Bylaw Provisions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include a number of provisions that may have the effect of deterring hostile takeovers or delaying or preventing changes in control, including the following:</w:t>
      </w:r>
    </w:p>
    <w:p>
      <w:pPr>
        <w:spacing w:after="0" w:line="106" w:lineRule="exact"/>
        <w:rPr>
          <w:sz w:val="20"/>
          <w:szCs w:val="20"/>
          <w:color w:val="auto"/>
        </w:rPr>
      </w:pPr>
    </w:p>
    <w:p>
      <w:pPr>
        <w:ind w:left="660" w:right="2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restated certificate of incorporation and restated bylaws authorize only our board of directors to fill vacant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29" w:lineRule="exact"/>
        <w:rPr>
          <w:rFonts w:ascii="Times New Roman" w:cs="Times New Roman" w:eastAsia="Times New Roman" w:hAnsi="Times New Roman"/>
          <w:sz w:val="18"/>
          <w:szCs w:val="18"/>
          <w:color w:val="auto"/>
        </w:rPr>
      </w:pPr>
    </w:p>
    <w:p>
      <w:pPr>
        <w:ind w:left="660" w:right="4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restated certificate of incorporation and restated bylaws provide that our board is classified into three classes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19"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Special Meetings of Stockholders. </w:t>
      </w:r>
      <w:r>
        <w:rPr>
          <w:rFonts w:ascii="Times New Roman" w:cs="Times New Roman" w:eastAsia="Times New Roman" w:hAnsi="Times New Roman"/>
          <w:sz w:val="18"/>
          <w:szCs w:val="18"/>
          <w:color w:val="auto"/>
        </w:rPr>
        <w:t>Our restated certificate of incorporation provides that our stockholders may not take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28"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restated bylaws provide advance notice procedures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28" w:lineRule="exact"/>
        <w:rPr>
          <w:rFonts w:ascii="Times New Roman" w:cs="Times New Roman" w:eastAsia="Times New Roman" w:hAnsi="Times New Roman"/>
          <w:sz w:val="18"/>
          <w:szCs w:val="18"/>
          <w:color w:val="auto"/>
        </w:rPr>
      </w:pPr>
    </w:p>
    <w:p>
      <w:pPr>
        <w:ind w:left="660" w:right="32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DGCL provides that stockholders are not entitled to the right to cumulate votes in the election of directors unless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certificate of incorporation provides otherwise. Our restated certificate of incorporation and restated bylaws do not provide for cumulative voting.</w:t>
      </w:r>
    </w:p>
    <w:p>
      <w:pPr>
        <w:spacing w:after="0" w:line="119" w:lineRule="exact"/>
        <w:rPr>
          <w:rFonts w:ascii="Times New Roman" w:cs="Times New Roman" w:eastAsia="Times New Roman" w:hAnsi="Times New Roman"/>
          <w:sz w:val="18"/>
          <w:szCs w:val="18"/>
          <w:color w:val="auto"/>
        </w:rPr>
      </w:pPr>
    </w:p>
    <w:p>
      <w:pPr>
        <w:ind w:left="660" w:right="180" w:hanging="328"/>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Our restated certificate of incorporation provides that stockholders may remove directors only for cause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by the affirmative vote of the holders of at least two-thirds of our outstanding common stock.</w:t>
      </w:r>
    </w:p>
    <w:p>
      <w:pPr>
        <w:spacing w:after="0" w:line="104" w:lineRule="exact"/>
        <w:rPr>
          <w:rFonts w:ascii="Times New Roman" w:cs="Times New Roman" w:eastAsia="Times New Roman" w:hAnsi="Times New Roman"/>
          <w:sz w:val="18"/>
          <w:szCs w:val="18"/>
          <w:color w:val="auto"/>
        </w:rPr>
      </w:pPr>
    </w:p>
    <w:p>
      <w:pPr>
        <w:ind w:left="660" w:right="40" w:hanging="328"/>
        <w:spacing w:after="0" w:line="315"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 to Certificate of Incorporation and Bylaws. </w:t>
      </w:r>
      <w:r>
        <w:rPr>
          <w:rFonts w:ascii="Times New Roman" w:cs="Times New Roman" w:eastAsia="Times New Roman" w:hAnsi="Times New Roman"/>
          <w:sz w:val="17"/>
          <w:szCs w:val="17"/>
          <w:color w:val="auto"/>
        </w:rPr>
        <w:t>Any amendment of the above provisions in our restated certificate of incorporation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restated bylaws requires approval by holders of at least two-thirds of our then-outstanding capital stock entitled to vote in the election of directors.</w:t>
      </w:r>
    </w:p>
    <w:p>
      <w:pPr>
        <w:spacing w:after="0" w:line="80" w:lineRule="exact"/>
        <w:rPr>
          <w:rFonts w:ascii="Times New Roman" w:cs="Times New Roman" w:eastAsia="Times New Roman" w:hAnsi="Times New Roman"/>
          <w:sz w:val="17"/>
          <w:szCs w:val="17"/>
          <w:color w:val="auto"/>
        </w:rPr>
      </w:pPr>
    </w:p>
    <w:p>
      <w:pPr>
        <w:ind w:left="660" w:right="8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has the authority, without further action by the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difficult or to discourage an attempt to obtain control of us by merger, tender offer, proxy contest or other means.</w:t>
      </w:r>
    </w:p>
    <w:p>
      <w:pPr>
        <w:spacing w:after="0" w:line="169" w:lineRule="exact"/>
        <w:rPr>
          <w:sz w:val="20"/>
          <w:szCs w:val="20"/>
          <w:color w:val="auto"/>
        </w:rPr>
      </w:pPr>
    </w:p>
    <w:p>
      <w:pPr>
        <w:ind w:left="660" w:hanging="328"/>
        <w:spacing w:after="0" w:line="25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Our restated certificate of incorporation provides that, to the fullest extent permitted by law, the Court of Chancery of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Our restated bylaws provide that the federal district courts of the United States of America will, to the fullest extent permitted by law, be the exclusive forum for resolving any complaint asserting a cause of action arising under the Securities Act, which we refer to as a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executive officers or other employees, which may discourage lawsuits against us and our directors, executive officers, and other employees.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trading symbol “ANAB.”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Unless otherwise specified in the applicable prospectus supplement, the debt securities will represent our direct, unsecured obligations and will rank equally with all of our other unsecured indebtedness.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under this prospectus up to an aggregate principal amount of $500,000,000 in debt securities, or if debt securities are issued at a discount,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foreign currency, foreign currency units or composite currency, the principal amount as may be sold for an aggregate public offering price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 Unless otherwise specified in the applicable prospectus supplement, the debt securities will represent our direct, unsecured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rank equally with all of our other unsecured indebtedness.</w:t>
      </w:r>
    </w:p>
    <w:p>
      <w:pPr>
        <w:spacing w:after="0" w:line="15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12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if any, will be payable and any regular record date for the interest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denominations of $1,000 or any integral multiple of that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securities (as described below) or global securities (as described below);</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4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if not otherwise described below under “Events of Default”;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shares of our common stock or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our other indebtedness.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Debt securities offered under this prospectus and any prospectus supplement will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 and Paying Agent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common stock. The terms and conditions of conversion or exchange will be stated in the applicable prospectus supplement. The terms will include, among others, the following:</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1440" w:right="379" w:bottom="1440" w:gutter="0" w:footer="0" w:header="0"/>
        </w:sectPr>
      </w:pPr>
    </w:p>
    <w:bookmarkStart w:id="36" w:name="page37"/>
    <w:bookmarkEnd w:id="36"/>
    <w:p>
      <w:pPr>
        <w:spacing w:after="0" w:line="14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the convertibility or exchangeability of the debt securities, including who may convert or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17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form of indenture provides that we will not consolidate with or merge into any other person or convey, transfer, sell or lease our properties and assets substantially as an entirety to any person, unless:</w:t>
      </w:r>
    </w:p>
    <w:p>
      <w:pPr>
        <w:spacing w:after="0" w:line="108" w:lineRule="exact"/>
        <w:rPr>
          <w:sz w:val="20"/>
          <w:szCs w:val="20"/>
          <w:color w:val="auto"/>
        </w:rPr>
      </w:pPr>
    </w:p>
    <w:p>
      <w:pPr>
        <w:ind w:left="660" w:right="8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w:t>
      </w:r>
    </w:p>
    <w:p>
      <w:pPr>
        <w:spacing w:after="0" w:line="129"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events will be events of default under the indenture with respect to debt securities of any series:</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premium, if any, when it becomes due;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within 30 days after it becomes due;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us or any of our significant subsidiaries.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13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accelerated principal, premium or interest) have been cured or waived;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interest on overdue interest and overdue principal has been paid;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rescission would not conflict with any judgment or decree.</w:t>
      </w:r>
    </w:p>
    <w:p>
      <w:pPr>
        <w:spacing w:after="0" w:line="17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12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 series will have any right to institute any proceeding with respect to the indenture or for any remedy under the indenture, unless:</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1440" w:right="459" w:bottom="1440" w:gutter="0" w:footer="0" w:header="0"/>
        </w:sectPr>
      </w:pPr>
    </w:p>
    <w:bookmarkStart w:id="38" w:name="page39"/>
    <w:bookmarkEnd w:id="38"/>
    <w:p>
      <w:pPr>
        <w:spacing w:after="0" w:line="140" w:lineRule="exact"/>
        <w:rPr>
          <w:sz w:val="20"/>
          <w:szCs w:val="20"/>
          <w:color w:val="auto"/>
        </w:rPr>
      </w:pPr>
    </w:p>
    <w:p>
      <w:pPr>
        <w:ind w:left="660" w:right="1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institute a proceeding within 60 days after such request; and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These limitations do not, however, apply to a suit instituted for payment on debt securities of any series on or after the due dates expressed in the debt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deliver certificates to the trustee regarding our compliance with our obligations under the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108" w:lineRule="exact"/>
        <w:rPr>
          <w:sz w:val="20"/>
          <w:szCs w:val="20"/>
          <w:color w:val="auto"/>
        </w:rPr>
      </w:pPr>
    </w:p>
    <w:p>
      <w:pPr>
        <w:ind w:left="660" w:right="5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surviving entity following a change of control permitted under the indenture will assume all of our obligations under the indenture and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certificated debt securities in addition to uncertificated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under the Trust Indenture Act of 1939;</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or make any other change that does not materially and adversely affect the rights of any holder; and</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under the indenture with respect to one or more series.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12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 to the indenture or such debt security;</w:t>
      </w:r>
    </w:p>
    <w:p>
      <w:pPr>
        <w:spacing w:after="0" w:line="17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or reduce the amount of or postpone the date for payment of sinking fund or analogous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stated maturity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that stated in the debt security;</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or time of any payment required or reduce the premium payable upon any redemption, or change the time before which no such redemption may be made;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if any, or interest on the debt securities or a redemption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39" w:name="page40"/>
    <w:bookmarkEnd w:id="39"/>
    <w:p>
      <w:pPr>
        <w:spacing w:after="0" w:line="14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securities or change any provision with respect to redemption of debt securities;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otherwise prohibited by the indenture to be taken without the consent of each holder affected by the action.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108" w:lineRule="exact"/>
        <w:rPr>
          <w:sz w:val="20"/>
          <w:szCs w:val="20"/>
          <w:color w:val="auto"/>
        </w:rPr>
      </w:pPr>
    </w:p>
    <w:p>
      <w:pPr>
        <w:ind w:left="660" w:right="2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of our obligations with respect to any debt securities except for the following obligations (which discharge is referred to as “legal defeasance”):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or exchange of such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temporary or mutilated, destroyed, lost or stolen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compensate and indemnify the trustee;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 office or agency in respect of the debt securities and to hold monies for payment in trust; or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exercise either defeasance option, we must irrevocably deposit with the trustee or other qualifying trustee, in trust for that purpose:</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(as described below) or Foreign Government Obligations (as described below) that through the scheduled payment of principal and interest in accordance with their terms will provide money; or a combination of money and/or U.S. Government Obligations and/or Foreign Government Obligations sufficient in the written opinion of a nationally-recognized firm of independent accountants to provide money;</w:t>
      </w:r>
    </w:p>
    <w:p>
      <w:pPr>
        <w:spacing w:after="0" w:line="1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defeasance may be effected only if, among other things:</w:t>
      </w:r>
    </w:p>
    <w:p>
      <w:pPr>
        <w:spacing w:after="0" w:line="171" w:lineRule="exact"/>
        <w:rPr>
          <w:sz w:val="20"/>
          <w:szCs w:val="20"/>
          <w:color w:val="auto"/>
        </w:rPr>
      </w:pPr>
    </w:p>
    <w:p>
      <w:pPr>
        <w:ind w:left="660" w:right="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121"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12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1440" w:right="439" w:bottom="1440" w:gutter="0" w:footer="0" w:header="0"/>
        </w:sectPr>
      </w:pPr>
    </w:p>
    <w:bookmarkStart w:id="40" w:name="page41"/>
    <w:bookmarkEnd w:id="40"/>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in the same manner and at the same times as would have been the case if covenant defeasance had not occurred; and</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described in the indenture are satisfied.</w:t>
      </w:r>
    </w:p>
    <w:p>
      <w:pPr>
        <w:spacing w:after="0" w:line="17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Each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such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00"/>
          </w:cols>
          <w:pgMar w:left="320" w:top="1440" w:right="379" w:bottom="1440" w:gutter="0" w:footer="0" w:header="0"/>
        </w:sectPr>
      </w:pPr>
    </w:p>
    <w:bookmarkStart w:id="41" w:name="page42"/>
    <w:bookmarkEnd w:id="41"/>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purchase debt securities will describe the terms of the debt warrants, including the following:</w:t>
      </w:r>
    </w:p>
    <w:p>
      <w:pPr>
        <w:spacing w:after="0" w:line="10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debt warrants upon a change in control or similar event; and</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320" w:top="1440" w:right="419" w:bottom="1440" w:gutter="0" w:footer="0" w:header="0"/>
        </w:sectPr>
      </w:pPr>
    </w:p>
    <w:bookmarkStart w:id="42" w:name="page43"/>
    <w:bookmarkEnd w:id="42"/>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common stock or preferred stock will describe the terms of the warrants, including the following:</w:t>
      </w:r>
    </w:p>
    <w:p>
      <w:pPr>
        <w:spacing w:after="0" w:line="10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or preferred stock that may be purchased upon exercise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or preferred stock that may be purchased upon exercise of a warrant and the exercise price for the warrants;</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a holder’s right to require us to repurchase the warrants upon a change in control or similar event; and</w:t>
      </w:r>
    </w:p>
    <w:p>
      <w:pPr>
        <w:spacing w:after="0" w:line="171" w:lineRule="exact"/>
        <w:rPr>
          <w:rFonts w:ascii="Times New Roman" w:cs="Times New Roman" w:eastAsia="Times New Roman" w:hAnsi="Times New Roman"/>
          <w:sz w:val="18"/>
          <w:szCs w:val="18"/>
          <w:color w:val="auto"/>
        </w:rPr>
      </w:pPr>
    </w:p>
    <w:p>
      <w:pPr>
        <w:ind w:right="540" w:firstLine="332"/>
        <w:spacing w:after="0" w:line="438"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 Holders of equity warrants will not be entitled:</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0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or debt securities upon the exercise of the subscription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or debt securities which may be purchased per each subscription right;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320" w:top="1440" w:right="579" w:bottom="1440" w:gutter="0" w:footer="0" w:header="0"/>
        </w:sectPr>
      </w:pPr>
    </w:p>
    <w:bookmarkStart w:id="45" w:name="page46"/>
    <w:bookmarkEnd w:id="45"/>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Fenwick &amp; West LLP, Seattle, Washington, will issue an opinion about certain legal matters with respect to the securities. Any underwriters or agents will be advised about legal matters relating to any offering by their own counsel.</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AnaptysBio, Inc. as of December 31, 2023 and 2022, and for each of the years in the three-year period ended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1440" w:right="49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AnaptysBio, Inc.</w:t>
      </w:r>
    </w:p>
    <w:p>
      <w:pPr>
        <w:sectPr>
          <w:pgSz w:w="11900" w:h="16838" w:orient="portrait"/>
          <w:cols w:equalWidth="0" w:num="1">
            <w:col w:w="9019"/>
          </w:cols>
          <w:pgMar w:left="1440" w:top="1440" w:right="1440"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$100,000,000</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TD Cowen</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14" Type="http://schemas.openxmlformats.org/officeDocument/2006/relationships/hyperlink" Target="https://www.sec.gov/ix?doc=/Archives/edgar/data/0001370053/000137005324000011/anab-20231231.htm" TargetMode="External"/><Relationship Id="rId15" Type="http://schemas.openxmlformats.org/officeDocument/2006/relationships/hyperlink" Target="https://www.sec.gov/ix?doc=/Archives/edgar/data/0001370053/000137005324000027/anab-20240331.htm" TargetMode="External"/><Relationship Id="rId16" Type="http://schemas.openxmlformats.org/officeDocument/2006/relationships/hyperlink" Target="https://www.sec.gov/ix?doc=/Archives/edgar/data/0001370053/000137005324000041/anab-20240630.htm" TargetMode="External"/><Relationship Id="rId17" Type="http://schemas.openxmlformats.org/officeDocument/2006/relationships/hyperlink" Target="https://www.sec.gov/ix?doc=/Archives/edgar/data/1370053/000137005324000054/anab-20240930.htm" TargetMode="External"/><Relationship Id="rId18" Type="http://schemas.openxmlformats.org/officeDocument/2006/relationships/hyperlink" Target="https://www.sec.gov/Archives/edgar/data/1370053/000137005324000019/proxystatementfy2023_def14a.htm" TargetMode="External"/><Relationship Id="rId19" Type="http://schemas.openxmlformats.org/officeDocument/2006/relationships/hyperlink" Target="https://www.sec.gov/ix?doc=/Archives/edgar/data/0001370053/000137005324000029/anab-20240612.htm" TargetMode="External"/><Relationship Id="rId20" Type="http://schemas.openxmlformats.org/officeDocument/2006/relationships/hyperlink" Target="https://www.sec.gov/ix?doc=/Archives/edgar/data/0001370053/000119312524200684/d874118d8k.htm" TargetMode="External"/><Relationship Id="rId21" Type="http://schemas.openxmlformats.org/officeDocument/2006/relationships/hyperlink" Target="https://www.sec.gov/Archives/edgar/data/1370053/000119312517010791/d284961d8a12b.htm" TargetMode="External"/><Relationship Id="rId22" Type="http://schemas.openxmlformats.org/officeDocument/2006/relationships/hyperlink" Target="https://www.sec.gov/Archives/edgar/data/1370053/000137005320000009/anaptys-10xkfy2019xexh.htm" TargetMode="External"/><Relationship Id="rId23" Type="http://schemas.openxmlformats.org/officeDocument/2006/relationships/hyperlink" Target="https://www.sec.gov/ix?doc=/Archives/edgar/data/0001370053/000137005320000009/anab-123119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2024-11-15T15:15:44Z</dcterms:created>
  <dcterms:modified xsi:type="dcterms:W3CDTF">2024-11-15T15:15:44Z</dcterms:modified>
</cp:coreProperties>
</file>