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December 23, 2015.</w:t>
      </w:r>
    </w:p>
    <w:p>
      <w:pPr>
        <w:jc w:val="right"/>
        <w:spacing w:after="0"/>
        <w:rPr>
          <w:sz w:val="20"/>
          <w:szCs w:val="20"/>
          <w:color w:val="auto"/>
        </w:rPr>
      </w:pPr>
      <w:r>
        <w:rPr>
          <w:rFonts w:ascii="Arial" w:cs="Arial" w:eastAsia="Arial" w:hAnsi="Arial"/>
          <w:sz w:val="14"/>
          <w:szCs w:val="14"/>
          <w:b w:val="1"/>
          <w:bCs w:val="1"/>
          <w:color w:val="auto"/>
        </w:rPr>
        <w:t>Registration No. 333-206849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149225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AMENDMENT NO. 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TO</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S-1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UNDER</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150495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A</w:t>
      </w:r>
      <w:r>
        <w:rPr>
          <w:rFonts w:ascii="Arial" w:cs="Arial" w:eastAsia="Arial" w:hAnsi="Arial"/>
          <w:sz w:val="32"/>
          <w:szCs w:val="32"/>
          <w:b w:val="1"/>
          <w:bCs w:val="1"/>
          <w:color w:val="auto"/>
        </w:rPr>
        <w:t>NAPTYS</w:t>
      </w:r>
      <w:r>
        <w:rPr>
          <w:rFonts w:ascii="Arial" w:cs="Arial" w:eastAsia="Arial" w:hAnsi="Arial"/>
          <w:sz w:val="38"/>
          <w:szCs w:val="38"/>
          <w:b w:val="1"/>
          <w:bCs w:val="1"/>
          <w:color w:val="auto"/>
        </w:rPr>
        <w:t>B</w:t>
      </w:r>
      <w:r>
        <w:rPr>
          <w:rFonts w:ascii="Arial" w:cs="Arial" w:eastAsia="Arial" w:hAnsi="Arial"/>
          <w:sz w:val="32"/>
          <w:szCs w:val="32"/>
          <w:b w:val="1"/>
          <w:bCs w:val="1"/>
          <w:color w:val="auto"/>
        </w:rPr>
        <w:t>IO</w:t>
      </w:r>
      <w:r>
        <w:rPr>
          <w:rFonts w:ascii="Arial" w:cs="Arial" w:eastAsia="Arial" w:hAnsi="Arial"/>
          <w:sz w:val="38"/>
          <w:szCs w:val="38"/>
          <w:b w:val="1"/>
          <w:bCs w:val="1"/>
          <w:color w:val="auto"/>
        </w:rPr>
        <w:t>, I</w:t>
      </w:r>
      <w:r>
        <w:rPr>
          <w:rFonts w:ascii="Arial" w:cs="Arial" w:eastAsia="Arial" w:hAnsi="Arial"/>
          <w:sz w:val="32"/>
          <w:szCs w:val="32"/>
          <w:b w:val="1"/>
          <w:bCs w:val="1"/>
          <w:color w:val="auto"/>
        </w:rPr>
        <w:t>NC</w:t>
      </w:r>
      <w:r>
        <w:rPr>
          <w:rFonts w:ascii="Arial" w:cs="Arial" w:eastAsia="Arial" w:hAnsi="Arial"/>
          <w:sz w:val="38"/>
          <w:szCs w:val="38"/>
          <w:b w:val="1"/>
          <w:bCs w:val="1"/>
          <w:color w:val="auto"/>
        </w:rPr>
        <w: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141605</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43"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tcPr>
          <w:p>
            <w:pPr>
              <w:jc w:val="center"/>
              <w:ind w:right="1033"/>
              <w:spacing w:after="0"/>
              <w:rPr>
                <w:sz w:val="20"/>
                <w:szCs w:val="20"/>
                <w:color w:val="auto"/>
              </w:rPr>
            </w:pPr>
            <w:r>
              <w:rPr>
                <w:rFonts w:ascii="Arial" w:cs="Arial" w:eastAsia="Arial" w:hAnsi="Arial"/>
                <w:sz w:val="14"/>
                <w:szCs w:val="14"/>
                <w:b w:val="1"/>
                <w:bCs w:val="1"/>
                <w:color w:val="auto"/>
                <w:w w:val="91"/>
              </w:rPr>
              <w:t>Delaware</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40" w:type="dxa"/>
            <w:vAlign w:val="bottom"/>
          </w:tcPr>
          <w:p>
            <w:pPr>
              <w:jc w:val="center"/>
              <w:ind w:left="1093"/>
              <w:spacing w:after="0"/>
              <w:rPr>
                <w:sz w:val="20"/>
                <w:szCs w:val="20"/>
                <w:color w:val="auto"/>
              </w:rPr>
            </w:pPr>
            <w:r>
              <w:rPr>
                <w:rFonts w:ascii="Arial" w:cs="Arial" w:eastAsia="Arial" w:hAnsi="Arial"/>
                <w:sz w:val="14"/>
                <w:szCs w:val="14"/>
                <w:b w:val="1"/>
                <w:bCs w:val="1"/>
                <w:color w:val="auto"/>
                <w:w w:val="90"/>
              </w:rPr>
              <w:t>20-3828755</w:t>
            </w:r>
          </w:p>
        </w:tc>
      </w:tr>
      <w:tr>
        <w:trPr>
          <w:trHeight w:val="144"/>
        </w:trPr>
        <w:tc>
          <w:tcPr>
            <w:tcW w:w="2820" w:type="dxa"/>
            <w:vAlign w:val="bottom"/>
          </w:tcPr>
          <w:p>
            <w:pPr>
              <w:jc w:val="center"/>
              <w:ind w:right="1033"/>
              <w:spacing w:after="0" w:line="144" w:lineRule="exact"/>
              <w:rPr>
                <w:sz w:val="20"/>
                <w:szCs w:val="20"/>
                <w:color w:val="auto"/>
              </w:rPr>
            </w:pPr>
            <w:r>
              <w:rPr>
                <w:rFonts w:ascii="Arial" w:cs="Arial" w:eastAsia="Arial" w:hAnsi="Arial"/>
                <w:sz w:val="13"/>
                <w:szCs w:val="13"/>
                <w:b w:val="1"/>
                <w:bCs w:val="1"/>
                <w:color w:val="auto"/>
                <w:w w:val="91"/>
              </w:rPr>
              <w:t>(State or other jurisdiction of</w:t>
            </w:r>
          </w:p>
        </w:tc>
        <w:tc>
          <w:tcPr>
            <w:tcW w:w="39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(Primary Standard Industrial</w:t>
            </w:r>
          </w:p>
        </w:tc>
        <w:tc>
          <w:tcPr>
            <w:tcW w:w="2440" w:type="dxa"/>
            <w:vAlign w:val="bottom"/>
          </w:tcPr>
          <w:p>
            <w:pPr>
              <w:jc w:val="center"/>
              <w:ind w:left="1073"/>
              <w:spacing w:after="0" w:line="144" w:lineRule="exact"/>
              <w:rPr>
                <w:sz w:val="20"/>
                <w:szCs w:val="20"/>
                <w:color w:val="auto"/>
              </w:rPr>
            </w:pPr>
            <w:r>
              <w:rPr>
                <w:rFonts w:ascii="Arial" w:cs="Arial" w:eastAsia="Arial" w:hAnsi="Arial"/>
                <w:sz w:val="13"/>
                <w:szCs w:val="13"/>
                <w:b w:val="1"/>
                <w:bCs w:val="1"/>
                <w:color w:val="auto"/>
                <w:w w:val="94"/>
              </w:rPr>
              <w:t>(I.R.S. Employer</w:t>
            </w:r>
          </w:p>
        </w:tc>
      </w:tr>
      <w:tr>
        <w:trPr>
          <w:trHeight w:val="169"/>
        </w:trPr>
        <w:tc>
          <w:tcPr>
            <w:tcW w:w="2820" w:type="dxa"/>
            <w:vAlign w:val="bottom"/>
          </w:tcPr>
          <w:p>
            <w:pPr>
              <w:jc w:val="center"/>
              <w:ind w:right="1033"/>
              <w:spacing w:after="0"/>
              <w:rPr>
                <w:sz w:val="20"/>
                <w:szCs w:val="20"/>
                <w:color w:val="auto"/>
              </w:rPr>
            </w:pPr>
            <w:r>
              <w:rPr>
                <w:rFonts w:ascii="Arial" w:cs="Arial" w:eastAsia="Arial" w:hAnsi="Arial"/>
                <w:sz w:val="13"/>
                <w:szCs w:val="13"/>
                <w:b w:val="1"/>
                <w:bCs w:val="1"/>
                <w:color w:val="auto"/>
                <w:w w:val="92"/>
              </w:rPr>
              <w:t>incorporation or organization)</w:t>
            </w:r>
          </w:p>
        </w:tc>
        <w:tc>
          <w:tcPr>
            <w:tcW w:w="3900" w:type="dxa"/>
            <w:vAlign w:val="bottom"/>
          </w:tcPr>
          <w:p>
            <w:pPr>
              <w:jc w:val="center"/>
              <w:spacing w:after="0"/>
              <w:rPr>
                <w:sz w:val="20"/>
                <w:szCs w:val="20"/>
                <w:color w:val="auto"/>
              </w:rPr>
            </w:pPr>
            <w:r>
              <w:rPr>
                <w:rFonts w:ascii="Arial" w:cs="Arial" w:eastAsia="Arial" w:hAnsi="Arial"/>
                <w:sz w:val="13"/>
                <w:szCs w:val="13"/>
                <w:b w:val="1"/>
                <w:bCs w:val="1"/>
                <w:color w:val="auto"/>
                <w:w w:val="91"/>
              </w:rPr>
              <w:t>Classification Code Number)</w:t>
            </w:r>
          </w:p>
        </w:tc>
        <w:tc>
          <w:tcPr>
            <w:tcW w:w="2440" w:type="dxa"/>
            <w:vAlign w:val="bottom"/>
          </w:tcPr>
          <w:p>
            <w:pPr>
              <w:jc w:val="center"/>
              <w:ind w:left="1073"/>
              <w:spacing w:after="0"/>
              <w:rPr>
                <w:sz w:val="20"/>
                <w:szCs w:val="20"/>
                <w:color w:val="auto"/>
              </w:rPr>
            </w:pPr>
            <w:r>
              <w:rPr>
                <w:rFonts w:ascii="Arial" w:cs="Arial" w:eastAsia="Arial" w:hAnsi="Arial"/>
                <w:sz w:val="13"/>
                <w:szCs w:val="13"/>
                <w:b w:val="1"/>
                <w:bCs w:val="1"/>
                <w:color w:val="auto"/>
                <w:w w:val="94"/>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142240</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10421 Pacific Center Court, Suite 200</w:t>
      </w:r>
    </w:p>
    <w:p>
      <w:pPr>
        <w:jc w:val="center"/>
        <w:spacing w:after="0" w:line="214" w:lineRule="auto"/>
        <w:rPr>
          <w:sz w:val="20"/>
          <w:szCs w:val="20"/>
          <w:color w:val="auto"/>
        </w:rPr>
      </w:pPr>
      <w:r>
        <w:rPr>
          <w:rFonts w:ascii="Arial" w:cs="Arial" w:eastAsia="Arial" w:hAnsi="Arial"/>
          <w:sz w:val="14"/>
          <w:szCs w:val="14"/>
          <w:b w:val="1"/>
          <w:bCs w:val="1"/>
          <w:color w:val="auto"/>
        </w:rPr>
        <w:t>San Diego, CA 92121</w:t>
      </w:r>
    </w:p>
    <w:p>
      <w:pPr>
        <w:jc w:val="center"/>
        <w:spacing w:after="0" w:line="226" w:lineRule="auto"/>
        <w:rPr>
          <w:sz w:val="20"/>
          <w:szCs w:val="20"/>
          <w:color w:val="auto"/>
        </w:rPr>
      </w:pPr>
      <w:r>
        <w:rPr>
          <w:rFonts w:ascii="Arial" w:cs="Arial" w:eastAsia="Arial" w:hAnsi="Arial"/>
          <w:sz w:val="14"/>
          <w:szCs w:val="14"/>
          <w:b w:val="1"/>
          <w:bCs w:val="1"/>
          <w:color w:val="auto"/>
        </w:rPr>
        <w:t>(858) 362-6295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95885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Hamza Suria</w:t>
      </w:r>
    </w:p>
    <w:p>
      <w:pPr>
        <w:jc w:val="center"/>
        <w:spacing w:after="0" w:line="214" w:lineRule="auto"/>
        <w:rPr>
          <w:sz w:val="20"/>
          <w:szCs w:val="20"/>
          <w:color w:val="auto"/>
        </w:rPr>
      </w:pPr>
      <w:r>
        <w:rPr>
          <w:rFonts w:ascii="Arial" w:cs="Arial" w:eastAsia="Arial" w:hAnsi="Arial"/>
          <w:sz w:val="14"/>
          <w:szCs w:val="14"/>
          <w:b w:val="1"/>
          <w:bCs w:val="1"/>
          <w:color w:val="auto"/>
        </w:rPr>
        <w:t>Chief Executive Officer</w:t>
      </w:r>
    </w:p>
    <w:p>
      <w:pPr>
        <w:jc w:val="center"/>
        <w:spacing w:after="0" w:line="215" w:lineRule="auto"/>
        <w:rPr>
          <w:sz w:val="20"/>
          <w:szCs w:val="20"/>
          <w:color w:val="auto"/>
        </w:rPr>
      </w:pPr>
      <w:r>
        <w:rPr>
          <w:rFonts w:ascii="Arial" w:cs="Arial" w:eastAsia="Arial" w:hAnsi="Arial"/>
          <w:sz w:val="14"/>
          <w:szCs w:val="14"/>
          <w:b w:val="1"/>
          <w:bCs w:val="1"/>
          <w:color w:val="auto"/>
        </w:rPr>
        <w:t>AnaptysBio, Inc.</w:t>
      </w:r>
    </w:p>
    <w:p>
      <w:pPr>
        <w:jc w:val="center"/>
        <w:spacing w:after="0" w:line="215" w:lineRule="auto"/>
        <w:rPr>
          <w:sz w:val="20"/>
          <w:szCs w:val="20"/>
          <w:color w:val="auto"/>
        </w:rPr>
      </w:pPr>
      <w:r>
        <w:rPr>
          <w:rFonts w:ascii="Arial" w:cs="Arial" w:eastAsia="Arial" w:hAnsi="Arial"/>
          <w:sz w:val="14"/>
          <w:szCs w:val="14"/>
          <w:b w:val="1"/>
          <w:bCs w:val="1"/>
          <w:color w:val="auto"/>
        </w:rPr>
        <w:t>10421 Pacific Center Court, Suite 200</w:t>
      </w:r>
    </w:p>
    <w:p>
      <w:pPr>
        <w:jc w:val="center"/>
        <w:spacing w:after="0" w:line="214" w:lineRule="auto"/>
        <w:rPr>
          <w:sz w:val="20"/>
          <w:szCs w:val="20"/>
          <w:color w:val="auto"/>
        </w:rPr>
      </w:pPr>
      <w:r>
        <w:rPr>
          <w:rFonts w:ascii="Arial" w:cs="Arial" w:eastAsia="Arial" w:hAnsi="Arial"/>
          <w:sz w:val="14"/>
          <w:szCs w:val="14"/>
          <w:b w:val="1"/>
          <w:bCs w:val="1"/>
          <w:color w:val="auto"/>
        </w:rPr>
        <w:t>San Diego, CA 92121</w:t>
      </w:r>
    </w:p>
    <w:p>
      <w:pPr>
        <w:jc w:val="center"/>
        <w:spacing w:after="0" w:line="227" w:lineRule="auto"/>
        <w:rPr>
          <w:sz w:val="20"/>
          <w:szCs w:val="20"/>
          <w:color w:val="auto"/>
        </w:rPr>
      </w:pPr>
      <w:r>
        <w:rPr>
          <w:rFonts w:ascii="Arial" w:cs="Arial" w:eastAsia="Arial" w:hAnsi="Arial"/>
          <w:sz w:val="14"/>
          <w:szCs w:val="14"/>
          <w:b w:val="1"/>
          <w:bCs w:val="1"/>
          <w:color w:val="auto"/>
        </w:rPr>
        <w:t>(858) 362-6295</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145415</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08" w:lineRule="exact"/>
        <w:rPr>
          <w:sz w:val="24"/>
          <w:szCs w:val="24"/>
          <w:color w:val="auto"/>
        </w:rPr>
      </w:pPr>
    </w:p>
    <w:tbl>
      <w:tblPr>
        <w:tblLayout w:type="fixed"/>
        <w:tblInd w:w="2120" w:type="dxa"/>
        <w:tblCellMar>
          <w:top w:w="0" w:type="dxa"/>
          <w:left w:w="0" w:type="dxa"/>
          <w:bottom w:w="0" w:type="dxa"/>
          <w:right w:w="0" w:type="dxa"/>
        </w:tblCellMar>
      </w:tblPr>
      <w:tr>
        <w:trPr>
          <w:trHeight w:val="178"/>
        </w:trPr>
        <w:tc>
          <w:tcPr>
            <w:tcW w:w="2420" w:type="dxa"/>
            <w:vAlign w:val="bottom"/>
          </w:tcPr>
          <w:p>
            <w:pPr>
              <w:spacing w:after="0"/>
              <w:rPr>
                <w:sz w:val="15"/>
                <w:szCs w:val="15"/>
                <w:color w:val="auto"/>
              </w:rPr>
            </w:pPr>
          </w:p>
        </w:tc>
        <w:tc>
          <w:tcPr>
            <w:tcW w:w="4820" w:type="dxa"/>
            <w:vAlign w:val="bottom"/>
          </w:tcPr>
          <w:p>
            <w:pPr>
              <w:ind w:left="880"/>
              <w:spacing w:after="0"/>
              <w:rPr>
                <w:sz w:val="20"/>
                <w:szCs w:val="20"/>
                <w:color w:val="auto"/>
              </w:rPr>
            </w:pPr>
            <w:r>
              <w:rPr>
                <w:rFonts w:ascii="Arial" w:cs="Arial" w:eastAsia="Arial" w:hAnsi="Arial"/>
                <w:sz w:val="14"/>
                <w:szCs w:val="14"/>
                <w:b w:val="1"/>
                <w:bCs w:val="1"/>
                <w:i w:val="1"/>
                <w:iCs w:val="1"/>
                <w:color w:val="auto"/>
              </w:rPr>
              <w:t>Copies to:</w:t>
            </w:r>
          </w:p>
        </w:tc>
      </w:tr>
      <w:tr>
        <w:trPr>
          <w:trHeight w:val="145"/>
        </w:trPr>
        <w:tc>
          <w:tcPr>
            <w:tcW w:w="2420" w:type="dxa"/>
            <w:vAlign w:val="bottom"/>
          </w:tcPr>
          <w:p>
            <w:pPr>
              <w:jc w:val="center"/>
              <w:ind w:right="810"/>
              <w:spacing w:after="0" w:line="145" w:lineRule="exact"/>
              <w:rPr>
                <w:sz w:val="20"/>
                <w:szCs w:val="20"/>
                <w:color w:val="auto"/>
              </w:rPr>
            </w:pPr>
            <w:r>
              <w:rPr>
                <w:rFonts w:ascii="Arial" w:cs="Arial" w:eastAsia="Arial" w:hAnsi="Arial"/>
                <w:sz w:val="14"/>
                <w:szCs w:val="14"/>
                <w:b w:val="1"/>
                <w:bCs w:val="1"/>
                <w:color w:val="auto"/>
                <w:w w:val="87"/>
              </w:rPr>
              <w:t>Effie Toshav, Esq.</w:t>
            </w:r>
          </w:p>
        </w:tc>
        <w:tc>
          <w:tcPr>
            <w:tcW w:w="4820" w:type="dxa"/>
            <w:vAlign w:val="bottom"/>
          </w:tcPr>
          <w:p>
            <w:pPr>
              <w:jc w:val="center"/>
              <w:ind w:left="3350"/>
              <w:spacing w:after="0" w:line="145" w:lineRule="exact"/>
              <w:rPr>
                <w:sz w:val="20"/>
                <w:szCs w:val="20"/>
                <w:color w:val="auto"/>
              </w:rPr>
            </w:pPr>
            <w:r>
              <w:rPr>
                <w:rFonts w:ascii="Arial" w:cs="Arial" w:eastAsia="Arial" w:hAnsi="Arial"/>
                <w:sz w:val="14"/>
                <w:szCs w:val="14"/>
                <w:b w:val="1"/>
                <w:bCs w:val="1"/>
                <w:color w:val="auto"/>
                <w:w w:val="91"/>
              </w:rPr>
              <w:t>Charles S. Kim, Esq.</w:t>
            </w:r>
          </w:p>
        </w:tc>
      </w:tr>
      <w:tr>
        <w:trPr>
          <w:trHeight w:val="144"/>
        </w:trPr>
        <w:tc>
          <w:tcPr>
            <w:tcW w:w="2420" w:type="dxa"/>
            <w:vAlign w:val="bottom"/>
          </w:tcPr>
          <w:p>
            <w:pPr>
              <w:jc w:val="center"/>
              <w:ind w:right="790"/>
              <w:spacing w:after="0" w:line="144" w:lineRule="exact"/>
              <w:rPr>
                <w:sz w:val="20"/>
                <w:szCs w:val="20"/>
                <w:color w:val="auto"/>
              </w:rPr>
            </w:pPr>
            <w:r>
              <w:rPr>
                <w:rFonts w:ascii="Arial" w:cs="Arial" w:eastAsia="Arial" w:hAnsi="Arial"/>
                <w:sz w:val="14"/>
                <w:szCs w:val="14"/>
                <w:b w:val="1"/>
                <w:bCs w:val="1"/>
                <w:color w:val="auto"/>
                <w:w w:val="89"/>
              </w:rPr>
              <w:t>Matthew S. Rossiter, Esq.</w:t>
            </w:r>
          </w:p>
        </w:tc>
        <w:tc>
          <w:tcPr>
            <w:tcW w:w="4820" w:type="dxa"/>
            <w:vAlign w:val="bottom"/>
          </w:tcPr>
          <w:p>
            <w:pPr>
              <w:jc w:val="center"/>
              <w:ind w:left="3330"/>
              <w:spacing w:after="0" w:line="144" w:lineRule="exact"/>
              <w:rPr>
                <w:sz w:val="20"/>
                <w:szCs w:val="20"/>
                <w:color w:val="auto"/>
              </w:rPr>
            </w:pPr>
            <w:r>
              <w:rPr>
                <w:rFonts w:ascii="Arial" w:cs="Arial" w:eastAsia="Arial" w:hAnsi="Arial"/>
                <w:sz w:val="14"/>
                <w:szCs w:val="14"/>
                <w:b w:val="1"/>
                <w:bCs w:val="1"/>
                <w:color w:val="auto"/>
                <w:w w:val="90"/>
              </w:rPr>
              <w:t>Robert W. Phillips, Esq.</w:t>
            </w:r>
          </w:p>
        </w:tc>
      </w:tr>
      <w:tr>
        <w:trPr>
          <w:trHeight w:val="144"/>
        </w:trPr>
        <w:tc>
          <w:tcPr>
            <w:tcW w:w="2420" w:type="dxa"/>
            <w:vAlign w:val="bottom"/>
          </w:tcPr>
          <w:p>
            <w:pPr>
              <w:jc w:val="center"/>
              <w:ind w:right="790"/>
              <w:spacing w:after="0" w:line="144" w:lineRule="exact"/>
              <w:rPr>
                <w:sz w:val="20"/>
                <w:szCs w:val="20"/>
                <w:color w:val="auto"/>
              </w:rPr>
            </w:pPr>
            <w:r>
              <w:rPr>
                <w:rFonts w:ascii="Arial" w:cs="Arial" w:eastAsia="Arial" w:hAnsi="Arial"/>
                <w:sz w:val="14"/>
                <w:szCs w:val="14"/>
                <w:b w:val="1"/>
                <w:bCs w:val="1"/>
                <w:color w:val="auto"/>
                <w:w w:val="91"/>
              </w:rPr>
              <w:t>Robert A. Freedman, Esq.</w:t>
            </w:r>
          </w:p>
        </w:tc>
        <w:tc>
          <w:tcPr>
            <w:tcW w:w="4820" w:type="dxa"/>
            <w:vAlign w:val="bottom"/>
          </w:tcPr>
          <w:p>
            <w:pPr>
              <w:jc w:val="center"/>
              <w:ind w:left="3350"/>
              <w:spacing w:after="0" w:line="144" w:lineRule="exact"/>
              <w:rPr>
                <w:sz w:val="20"/>
                <w:szCs w:val="20"/>
                <w:color w:val="auto"/>
              </w:rPr>
            </w:pPr>
            <w:r>
              <w:rPr>
                <w:rFonts w:ascii="Arial" w:cs="Arial" w:eastAsia="Arial" w:hAnsi="Arial"/>
                <w:sz w:val="14"/>
                <w:szCs w:val="14"/>
                <w:b w:val="1"/>
                <w:bCs w:val="1"/>
                <w:color w:val="auto"/>
                <w:w w:val="90"/>
              </w:rPr>
              <w:t>Sean M. Clayton, Esq.</w:t>
            </w:r>
          </w:p>
        </w:tc>
      </w:tr>
      <w:tr>
        <w:trPr>
          <w:trHeight w:val="144"/>
        </w:trPr>
        <w:tc>
          <w:tcPr>
            <w:tcW w:w="2420" w:type="dxa"/>
            <w:vAlign w:val="bottom"/>
          </w:tcPr>
          <w:p>
            <w:pPr>
              <w:jc w:val="center"/>
              <w:ind w:right="810"/>
              <w:spacing w:after="0" w:line="144" w:lineRule="exact"/>
              <w:rPr>
                <w:sz w:val="20"/>
                <w:szCs w:val="20"/>
                <w:color w:val="auto"/>
              </w:rPr>
            </w:pPr>
            <w:r>
              <w:rPr>
                <w:rFonts w:ascii="Arial" w:cs="Arial" w:eastAsia="Arial" w:hAnsi="Arial"/>
                <w:sz w:val="14"/>
                <w:szCs w:val="14"/>
                <w:b w:val="1"/>
                <w:bCs w:val="1"/>
                <w:color w:val="auto"/>
                <w:w w:val="94"/>
              </w:rPr>
              <w:t>Fenwick &amp; West LLP</w:t>
            </w:r>
          </w:p>
        </w:tc>
        <w:tc>
          <w:tcPr>
            <w:tcW w:w="4820" w:type="dxa"/>
            <w:vAlign w:val="bottom"/>
          </w:tcPr>
          <w:p>
            <w:pPr>
              <w:jc w:val="center"/>
              <w:ind w:left="3350"/>
              <w:spacing w:after="0" w:line="144" w:lineRule="exact"/>
              <w:rPr>
                <w:sz w:val="20"/>
                <w:szCs w:val="20"/>
                <w:color w:val="auto"/>
              </w:rPr>
            </w:pPr>
            <w:r>
              <w:rPr>
                <w:rFonts w:ascii="Arial" w:cs="Arial" w:eastAsia="Arial" w:hAnsi="Arial"/>
                <w:sz w:val="14"/>
                <w:szCs w:val="14"/>
                <w:b w:val="1"/>
                <w:bCs w:val="1"/>
                <w:color w:val="auto"/>
                <w:w w:val="93"/>
              </w:rPr>
              <w:t>Cooley LLP</w:t>
            </w:r>
          </w:p>
        </w:tc>
      </w:tr>
      <w:tr>
        <w:trPr>
          <w:trHeight w:val="144"/>
        </w:trPr>
        <w:tc>
          <w:tcPr>
            <w:tcW w:w="2420" w:type="dxa"/>
            <w:vAlign w:val="bottom"/>
          </w:tcPr>
          <w:p>
            <w:pPr>
              <w:jc w:val="center"/>
              <w:ind w:right="810"/>
              <w:spacing w:after="0" w:line="144" w:lineRule="exact"/>
              <w:rPr>
                <w:sz w:val="20"/>
                <w:szCs w:val="20"/>
                <w:color w:val="auto"/>
              </w:rPr>
            </w:pPr>
            <w:r>
              <w:rPr>
                <w:rFonts w:ascii="Arial" w:cs="Arial" w:eastAsia="Arial" w:hAnsi="Arial"/>
                <w:sz w:val="14"/>
                <w:szCs w:val="14"/>
                <w:b w:val="1"/>
                <w:bCs w:val="1"/>
                <w:color w:val="auto"/>
                <w:w w:val="93"/>
              </w:rPr>
              <w:t>555 California Street</w:t>
            </w:r>
          </w:p>
        </w:tc>
        <w:tc>
          <w:tcPr>
            <w:tcW w:w="4820" w:type="dxa"/>
            <w:vAlign w:val="bottom"/>
          </w:tcPr>
          <w:p>
            <w:pPr>
              <w:jc w:val="center"/>
              <w:ind w:left="3330"/>
              <w:spacing w:after="0" w:line="144" w:lineRule="exact"/>
              <w:rPr>
                <w:sz w:val="20"/>
                <w:szCs w:val="20"/>
                <w:color w:val="auto"/>
              </w:rPr>
            </w:pPr>
            <w:r>
              <w:rPr>
                <w:rFonts w:ascii="Arial" w:cs="Arial" w:eastAsia="Arial" w:hAnsi="Arial"/>
                <w:sz w:val="14"/>
                <w:szCs w:val="14"/>
                <w:b w:val="1"/>
                <w:bCs w:val="1"/>
                <w:color w:val="auto"/>
                <w:w w:val="91"/>
              </w:rPr>
              <w:t>4401 Eastgate Mall</w:t>
            </w:r>
          </w:p>
        </w:tc>
      </w:tr>
      <w:tr>
        <w:trPr>
          <w:trHeight w:val="144"/>
        </w:trPr>
        <w:tc>
          <w:tcPr>
            <w:tcW w:w="2420" w:type="dxa"/>
            <w:vAlign w:val="bottom"/>
          </w:tcPr>
          <w:p>
            <w:pPr>
              <w:jc w:val="center"/>
              <w:ind w:right="810"/>
              <w:spacing w:after="0" w:line="144" w:lineRule="exact"/>
              <w:rPr>
                <w:sz w:val="20"/>
                <w:szCs w:val="20"/>
                <w:color w:val="auto"/>
              </w:rPr>
            </w:pPr>
            <w:r>
              <w:rPr>
                <w:rFonts w:ascii="Arial" w:cs="Arial" w:eastAsia="Arial" w:hAnsi="Arial"/>
                <w:sz w:val="14"/>
                <w:szCs w:val="14"/>
                <w:b w:val="1"/>
                <w:bCs w:val="1"/>
                <w:color w:val="auto"/>
                <w:w w:val="90"/>
              </w:rPr>
              <w:t>San Francisco, CA 94104</w:t>
            </w:r>
          </w:p>
        </w:tc>
        <w:tc>
          <w:tcPr>
            <w:tcW w:w="4820" w:type="dxa"/>
            <w:vAlign w:val="bottom"/>
          </w:tcPr>
          <w:p>
            <w:pPr>
              <w:jc w:val="center"/>
              <w:ind w:left="3330"/>
              <w:spacing w:after="0" w:line="144" w:lineRule="exact"/>
              <w:rPr>
                <w:sz w:val="20"/>
                <w:szCs w:val="20"/>
                <w:color w:val="auto"/>
              </w:rPr>
            </w:pPr>
            <w:r>
              <w:rPr>
                <w:rFonts w:ascii="Arial" w:cs="Arial" w:eastAsia="Arial" w:hAnsi="Arial"/>
                <w:sz w:val="14"/>
                <w:szCs w:val="14"/>
                <w:b w:val="1"/>
                <w:bCs w:val="1"/>
                <w:color w:val="auto"/>
                <w:w w:val="90"/>
              </w:rPr>
              <w:t>San Diego, CA 92121</w:t>
            </w:r>
          </w:p>
        </w:tc>
      </w:tr>
      <w:tr>
        <w:trPr>
          <w:trHeight w:val="182"/>
        </w:trPr>
        <w:tc>
          <w:tcPr>
            <w:tcW w:w="2420" w:type="dxa"/>
            <w:vAlign w:val="bottom"/>
          </w:tcPr>
          <w:p>
            <w:pPr>
              <w:jc w:val="center"/>
              <w:ind w:right="810"/>
              <w:spacing w:after="0"/>
              <w:rPr>
                <w:sz w:val="20"/>
                <w:szCs w:val="20"/>
                <w:color w:val="auto"/>
              </w:rPr>
            </w:pPr>
            <w:r>
              <w:rPr>
                <w:rFonts w:ascii="Arial" w:cs="Arial" w:eastAsia="Arial" w:hAnsi="Arial"/>
                <w:sz w:val="14"/>
                <w:szCs w:val="14"/>
                <w:b w:val="1"/>
                <w:bCs w:val="1"/>
                <w:color w:val="auto"/>
                <w:w w:val="89"/>
              </w:rPr>
              <w:t>(415) 875-2300</w:t>
            </w:r>
          </w:p>
        </w:tc>
        <w:tc>
          <w:tcPr>
            <w:tcW w:w="4820" w:type="dxa"/>
            <w:vAlign w:val="bottom"/>
          </w:tcPr>
          <w:p>
            <w:pPr>
              <w:jc w:val="center"/>
              <w:ind w:left="3330"/>
              <w:spacing w:after="0"/>
              <w:rPr>
                <w:sz w:val="20"/>
                <w:szCs w:val="20"/>
                <w:color w:val="auto"/>
              </w:rPr>
            </w:pPr>
            <w:r>
              <w:rPr>
                <w:rFonts w:ascii="Arial" w:cs="Arial" w:eastAsia="Arial" w:hAnsi="Arial"/>
                <w:sz w:val="14"/>
                <w:szCs w:val="14"/>
                <w:b w:val="1"/>
                <w:bCs w:val="1"/>
                <w:color w:val="auto"/>
                <w:w w:val="89"/>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139700</wp:posOffset>
            </wp:positionV>
            <wp:extent cx="1529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95"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1"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1" w:lineRule="exact"/>
        <w:rPr>
          <w:sz w:val="24"/>
          <w:szCs w:val="24"/>
          <w:color w:val="auto"/>
        </w:rPr>
      </w:pPr>
    </w:p>
    <w:p>
      <w:pPr>
        <w:ind w:right="80" w:firstLine="342"/>
        <w:spacing w:after="0" w:line="17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360" w:firstLine="342"/>
        <w:spacing w:after="0" w:line="17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400" w:firstLine="342"/>
        <w:spacing w:after="0" w:line="17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2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1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3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42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8"/>
        </w:trPr>
        <w:tc>
          <w:tcPr>
            <w:tcW w:w="1440" w:type="dxa"/>
            <w:vAlign w:val="bottom"/>
          </w:tcPr>
          <w:p>
            <w:pPr>
              <w:spacing w:after="0"/>
              <w:rPr>
                <w:sz w:val="20"/>
                <w:szCs w:val="20"/>
                <w:color w:val="auto"/>
              </w:rPr>
            </w:pPr>
            <w:r>
              <w:rPr>
                <w:rFonts w:ascii="Arial" w:cs="Arial" w:eastAsia="Arial" w:hAnsi="Arial"/>
                <w:sz w:val="14"/>
                <w:szCs w:val="14"/>
                <w:color w:val="auto"/>
              </w:rPr>
              <w:t>Non-accelerated filer</w:t>
            </w:r>
          </w:p>
        </w:tc>
        <w:tc>
          <w:tcPr>
            <w:tcW w:w="5380" w:type="dxa"/>
            <w:vAlign w:val="bottom"/>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220" w:type="dxa"/>
            <w:vAlign w:val="bottom"/>
          </w:tcPr>
          <w:p>
            <w:pPr>
              <w:ind w:left="242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136525</wp:posOffset>
            </wp:positionV>
            <wp:extent cx="15297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90" w:lineRule="exact"/>
        <w:rPr>
          <w:sz w:val="24"/>
          <w:szCs w:val="24"/>
          <w:color w:val="auto"/>
        </w:rPr>
      </w:pPr>
    </w:p>
    <w:p>
      <w:pPr>
        <w:ind w:right="120" w:firstLine="342"/>
        <w:spacing w:after="0" w:line="25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7250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74930</wp:posOffset>
            </wp:positionV>
            <wp:extent cx="7250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100" w:firstLine="342"/>
        <w:spacing w:after="0" w:line="241" w:lineRule="auto"/>
        <w:rPr>
          <w:sz w:val="20"/>
          <w:szCs w:val="20"/>
          <w:color w:val="auto"/>
        </w:rPr>
      </w:pPr>
      <w:r>
        <w:rPr>
          <w:rFonts w:ascii="Arial" w:cs="Arial" w:eastAsia="Arial" w:hAnsi="Arial"/>
          <w:sz w:val="16"/>
          <w:szCs w:val="16"/>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DE1A1E"/>
        </w:rPr>
        <w:t>SUBJECT TO COMPLETION, DATED DECEMBER 23, 2015</w:t>
      </w:r>
    </w:p>
    <w:p>
      <w:pPr>
        <w:spacing w:after="0" w:line="386" w:lineRule="exact"/>
        <w:rPr>
          <w:sz w:val="20"/>
          <w:szCs w:val="20"/>
          <w:color w:val="auto"/>
        </w:rPr>
      </w:pPr>
    </w:p>
    <w:p>
      <w:pPr>
        <w:ind w:left="5780"/>
        <w:spacing w:after="0"/>
        <w:rPr>
          <w:sz w:val="20"/>
          <w:szCs w:val="20"/>
          <w:color w:val="auto"/>
        </w:rPr>
      </w:pPr>
      <w:r>
        <w:rPr>
          <w:rFonts w:ascii="Arial" w:cs="Arial" w:eastAsia="Arial" w:hAnsi="Arial"/>
          <w:sz w:val="28"/>
          <w:szCs w:val="2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155575</wp:posOffset>
            </wp:positionV>
            <wp:extent cx="2053590"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35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231140</wp:posOffset>
            </wp:positionV>
            <wp:extent cx="15297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60"/>
        <w:spacing w:after="0"/>
        <w:tabs>
          <w:tab w:leader="none" w:pos="8220" w:val="left"/>
        </w:tabs>
        <w:rPr>
          <w:sz w:val="20"/>
          <w:szCs w:val="20"/>
          <w:color w:val="auto"/>
        </w:rPr>
      </w:pPr>
      <w:r>
        <w:rPr>
          <w:rFonts w:ascii="Arial" w:cs="Arial" w:eastAsia="Arial" w:hAnsi="Arial"/>
          <w:sz w:val="17"/>
          <w:szCs w:val="17"/>
          <w:color w:val="auto"/>
        </w:rPr>
        <w:t>This is the initial public offering of shares of AnaptysBio, Inc. common stock. We are offering</w:t>
      </w:r>
      <w:r>
        <w:rPr>
          <w:sz w:val="20"/>
          <w:szCs w:val="20"/>
          <w:color w:val="auto"/>
        </w:rPr>
        <w:tab/>
      </w:r>
      <w:r>
        <w:rPr>
          <w:rFonts w:ascii="Arial" w:cs="Arial" w:eastAsia="Arial" w:hAnsi="Arial"/>
          <w:sz w:val="17"/>
          <w:szCs w:val="17"/>
          <w:color w:val="auto"/>
        </w:rPr>
        <w:t>shares of our common stock. We</w:t>
      </w:r>
    </w:p>
    <w:p>
      <w:pPr>
        <w:spacing w:after="0" w:line="1" w:lineRule="exact"/>
        <w:rPr>
          <w:sz w:val="20"/>
          <w:szCs w:val="20"/>
          <w:color w:val="auto"/>
        </w:rPr>
      </w:pPr>
    </w:p>
    <w:p>
      <w:pPr>
        <w:spacing w:after="0"/>
        <w:tabs>
          <w:tab w:leader="none" w:pos="6860" w:val="left"/>
          <w:tab w:leader="none" w:pos="7740" w:val="left"/>
        </w:tabs>
        <w:rPr>
          <w:sz w:val="20"/>
          <w:szCs w:val="20"/>
          <w:color w:val="auto"/>
        </w:rPr>
      </w:pPr>
      <w:r>
        <w:rPr>
          <w:rFonts w:ascii="Arial" w:cs="Arial" w:eastAsia="Arial" w:hAnsi="Arial"/>
          <w:sz w:val="17"/>
          <w:szCs w:val="17"/>
          <w:color w:val="auto"/>
        </w:rPr>
        <w:t>anticipate that the initial public offering price of our common stock will be between $</w:t>
      </w:r>
      <w:r>
        <w:rPr>
          <w:sz w:val="20"/>
          <w:szCs w:val="20"/>
          <w:color w:val="auto"/>
        </w:rPr>
        <w:tab/>
      </w:r>
      <w:r>
        <w:rPr>
          <w:rFonts w:ascii="Arial" w:cs="Arial" w:eastAsia="Arial" w:hAnsi="Arial"/>
          <w:sz w:val="17"/>
          <w:szCs w:val="17"/>
          <w:color w:val="auto"/>
        </w:rPr>
        <w:t>and $</w:t>
      </w:r>
      <w:r>
        <w:rPr>
          <w:sz w:val="20"/>
          <w:szCs w:val="20"/>
          <w:color w:val="auto"/>
        </w:rPr>
        <w:tab/>
      </w:r>
      <w:r>
        <w:rPr>
          <w:rFonts w:ascii="Arial" w:cs="Arial" w:eastAsia="Arial" w:hAnsi="Arial"/>
          <w:sz w:val="17"/>
          <w:szCs w:val="17"/>
          <w:color w:val="auto"/>
        </w:rPr>
        <w:t>per share.</w:t>
      </w:r>
    </w:p>
    <w:p>
      <w:pPr>
        <w:spacing w:after="0" w:line="210" w:lineRule="exact"/>
        <w:rPr>
          <w:sz w:val="20"/>
          <w:szCs w:val="20"/>
          <w:color w:val="auto"/>
        </w:rPr>
      </w:pPr>
    </w:p>
    <w:p>
      <w:pPr>
        <w:ind w:right="740" w:firstLine="457"/>
        <w:spacing w:after="0" w:line="258" w:lineRule="auto"/>
        <w:rPr>
          <w:sz w:val="20"/>
          <w:szCs w:val="20"/>
          <w:color w:val="auto"/>
        </w:rPr>
      </w:pPr>
      <w:r>
        <w:rPr>
          <w:rFonts w:ascii="Arial" w:cs="Arial" w:eastAsia="Arial" w:hAnsi="Arial"/>
          <w:sz w:val="17"/>
          <w:szCs w:val="17"/>
          <w:color w:val="auto"/>
        </w:rPr>
        <w:t>Prior to this offering, there has been no public market for our common stock. Our common stock has been approved for listing on the NASDAQ Global Select Market under the symbol “ANAB.”</w:t>
      </w:r>
    </w:p>
    <w:p>
      <w:pPr>
        <w:spacing w:after="0" w:line="182" w:lineRule="exact"/>
        <w:rPr>
          <w:sz w:val="20"/>
          <w:szCs w:val="20"/>
          <w:color w:val="auto"/>
        </w:rPr>
      </w:pPr>
    </w:p>
    <w:p>
      <w:pPr>
        <w:ind w:left="460"/>
        <w:spacing w:after="0"/>
        <w:tabs>
          <w:tab w:leader="none" w:pos="7620" w:val="left"/>
        </w:tabs>
        <w:rPr>
          <w:sz w:val="20"/>
          <w:szCs w:val="20"/>
          <w:color w:val="auto"/>
        </w:rPr>
      </w:pPr>
      <w:r>
        <w:rPr>
          <w:rFonts w:ascii="Arial" w:cs="Arial" w:eastAsia="Arial" w:hAnsi="Arial"/>
          <w:sz w:val="17"/>
          <w:szCs w:val="17"/>
          <w:color w:val="auto"/>
        </w:rPr>
        <w:t>The underwriters have the option for a 30-day period to purchase up to an additional</w:t>
      </w:r>
      <w:r>
        <w:rPr>
          <w:sz w:val="20"/>
          <w:szCs w:val="20"/>
          <w:color w:val="auto"/>
        </w:rPr>
        <w:tab/>
      </w:r>
      <w:r>
        <w:rPr>
          <w:rFonts w:ascii="Arial" w:cs="Arial" w:eastAsia="Arial" w:hAnsi="Arial"/>
          <w:sz w:val="17"/>
          <w:szCs w:val="17"/>
          <w:color w:val="auto"/>
        </w:rPr>
        <w:t>shares from us to cover over-allotments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210" w:lineRule="exact"/>
        <w:rPr>
          <w:sz w:val="20"/>
          <w:szCs w:val="20"/>
          <w:color w:val="auto"/>
        </w:rPr>
      </w:pPr>
    </w:p>
    <w:p>
      <w:pPr>
        <w:ind w:right="560" w:firstLine="457"/>
        <w:spacing w:after="0" w:line="258" w:lineRule="auto"/>
        <w:rPr>
          <w:sz w:val="20"/>
          <w:szCs w:val="20"/>
          <w:color w:val="auto"/>
        </w:rPr>
      </w:pPr>
      <w:r>
        <w:rPr>
          <w:rFonts w:ascii="Arial" w:cs="Arial" w:eastAsia="Arial" w:hAnsi="Arial"/>
          <w:sz w:val="17"/>
          <w:szCs w:val="17"/>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160" w:lineRule="exact"/>
        <w:rPr>
          <w:sz w:val="20"/>
          <w:szCs w:val="20"/>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See “</w:t>
      </w:r>
      <w:hyperlink w:anchor="page15">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12 of this prospectus.</w:t>
      </w:r>
    </w:p>
    <w:p>
      <w:pPr>
        <w:spacing w:after="0" w:line="261" w:lineRule="exact"/>
        <w:rPr>
          <w:sz w:val="20"/>
          <w:szCs w:val="20"/>
          <w:color w:val="auto"/>
        </w:rPr>
      </w:pPr>
    </w:p>
    <w:tbl>
      <w:tblPr>
        <w:tblLayout w:type="fixed"/>
        <w:tblInd w:w="560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Underwriting</w:t>
            </w:r>
          </w:p>
        </w:tc>
        <w:tc>
          <w:tcPr>
            <w:tcW w:w="1940" w:type="dxa"/>
            <w:vAlign w:val="bottom"/>
          </w:tcPr>
          <w:p>
            <w:pPr>
              <w:jc w:val="center"/>
              <w:spacing w:after="0"/>
              <w:rPr>
                <w:sz w:val="20"/>
                <w:szCs w:val="20"/>
                <w:color w:val="auto"/>
              </w:rPr>
            </w:pPr>
            <w:r>
              <w:rPr>
                <w:rFonts w:ascii="Arial" w:cs="Arial" w:eastAsia="Arial" w:hAnsi="Arial"/>
                <w:sz w:val="16"/>
                <w:szCs w:val="16"/>
                <w:color w:val="auto"/>
                <w:w w:val="98"/>
              </w:rPr>
              <w:t>Proceeds to</w:t>
            </w:r>
          </w:p>
        </w:tc>
      </w:tr>
      <w:tr>
        <w:trPr>
          <w:trHeight w:val="178"/>
        </w:trPr>
        <w:tc>
          <w:tcPr>
            <w:tcW w:w="1960" w:type="dxa"/>
            <w:vAlign w:val="bottom"/>
            <w:gridSpan w:val="2"/>
          </w:tcPr>
          <w:p>
            <w:pPr>
              <w:jc w:val="center"/>
              <w:ind w:right="120"/>
              <w:spacing w:after="0" w:line="178" w:lineRule="exact"/>
              <w:rPr>
                <w:sz w:val="20"/>
                <w:szCs w:val="20"/>
                <w:color w:val="auto"/>
              </w:rPr>
            </w:pPr>
            <w:r>
              <w:rPr>
                <w:rFonts w:ascii="Arial" w:cs="Arial" w:eastAsia="Arial" w:hAnsi="Arial"/>
                <w:sz w:val="16"/>
                <w:szCs w:val="16"/>
                <w:color w:val="auto"/>
                <w:w w:val="95"/>
              </w:rPr>
              <w:t>Price to</w:t>
            </w:r>
          </w:p>
        </w:tc>
        <w:tc>
          <w:tcPr>
            <w:tcW w:w="1920" w:type="dxa"/>
            <w:vAlign w:val="bottom"/>
            <w:gridSpan w:val="2"/>
          </w:tcPr>
          <w:p>
            <w:pPr>
              <w:jc w:val="center"/>
              <w:ind w:right="100"/>
              <w:spacing w:after="0" w:line="178" w:lineRule="exact"/>
              <w:rPr>
                <w:sz w:val="20"/>
                <w:szCs w:val="20"/>
                <w:color w:val="auto"/>
              </w:rPr>
            </w:pPr>
            <w:r>
              <w:rPr>
                <w:rFonts w:ascii="Arial" w:cs="Arial" w:eastAsia="Arial" w:hAnsi="Arial"/>
                <w:sz w:val="16"/>
                <w:szCs w:val="16"/>
                <w:color w:val="auto"/>
                <w:w w:val="96"/>
              </w:rPr>
              <w:t>Discounts and</w:t>
            </w:r>
          </w:p>
        </w:tc>
        <w:tc>
          <w:tcPr>
            <w:tcW w:w="1940" w:type="dxa"/>
            <w:vAlign w:val="bottom"/>
          </w:tcPr>
          <w:p>
            <w:pPr>
              <w:jc w:val="center"/>
              <w:spacing w:after="0" w:line="178" w:lineRule="exact"/>
              <w:rPr>
                <w:sz w:val="20"/>
                <w:szCs w:val="20"/>
                <w:color w:val="auto"/>
              </w:rPr>
            </w:pPr>
            <w:r>
              <w:rPr>
                <w:rFonts w:ascii="Arial" w:cs="Arial" w:eastAsia="Arial" w:hAnsi="Arial"/>
                <w:sz w:val="16"/>
                <w:szCs w:val="16"/>
                <w:color w:val="auto"/>
                <w:w w:val="98"/>
              </w:rPr>
              <w:t>AnaptysBio,</w:t>
            </w:r>
          </w:p>
        </w:tc>
      </w:tr>
      <w:tr>
        <w:trPr>
          <w:trHeight w:val="199"/>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Public</w:t>
            </w:r>
          </w:p>
        </w:tc>
        <w:tc>
          <w:tcPr>
            <w:tcW w:w="140" w:type="dxa"/>
            <w:vAlign w:val="bottom"/>
          </w:tcPr>
          <w:p>
            <w:pPr>
              <w:spacing w:after="0"/>
              <w:rPr>
                <w:sz w:val="17"/>
                <w:szCs w:val="17"/>
                <w:color w:val="auto"/>
              </w:rPr>
            </w:pPr>
          </w:p>
        </w:tc>
        <w:tc>
          <w:tcPr>
            <w:tcW w:w="182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4"/>
                <w:szCs w:val="14"/>
                <w:color w:val="auto"/>
              </w:rPr>
              <w:t>Commissions</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Inc.</w:t>
            </w:r>
          </w:p>
        </w:tc>
      </w:tr>
    </w:tbl>
    <w:p>
      <w:pPr>
        <w:spacing w:after="0" w:line="91" w:lineRule="exact"/>
        <w:rPr>
          <w:sz w:val="20"/>
          <w:szCs w:val="20"/>
          <w:color w:val="auto"/>
        </w:rPr>
      </w:pPr>
    </w:p>
    <w:p>
      <w:pPr>
        <w:sectPr>
          <w:pgSz w:w="11900" w:h="16838" w:orient="portrait"/>
          <w:cols w:equalWidth="0" w:num="1">
            <w:col w:w="11420"/>
          </w:cols>
          <w:pgMar w:left="240" w:top="449" w:right="239" w:bottom="1440" w:gutter="0" w:footer="0" w:header="0"/>
        </w:sectPr>
      </w:pPr>
    </w:p>
    <w:p>
      <w:pPr>
        <w:spacing w:after="0"/>
        <w:tabs>
          <w:tab w:leader="none" w:pos="5860" w:val="left"/>
        </w:tabs>
        <w:rPr>
          <w:sz w:val="20"/>
          <w:szCs w:val="20"/>
          <w:color w:val="auto"/>
        </w:rPr>
      </w:pPr>
      <w:r>
        <w:rPr>
          <w:rFonts w:ascii="Arial" w:cs="Arial" w:eastAsia="Arial" w:hAnsi="Arial"/>
          <w:sz w:val="17"/>
          <w:szCs w:val="17"/>
          <w:color w:val="auto"/>
        </w:rPr>
        <w:t>Per Share</w:t>
      </w:r>
      <w:r>
        <w:rPr>
          <w:sz w:val="20"/>
          <w:szCs w:val="20"/>
          <w:color w:val="auto"/>
        </w:rPr>
        <w:tab/>
      </w:r>
      <w:r>
        <w:rPr>
          <w:rFonts w:ascii="Arial" w:cs="Arial" w:eastAsia="Arial" w:hAnsi="Arial"/>
          <w:sz w:val="17"/>
          <w:szCs w:val="17"/>
          <w:color w:val="auto"/>
        </w:rPr>
        <w:t>$</w:t>
      </w:r>
    </w:p>
    <w:p>
      <w:pPr>
        <w:spacing w:after="0" w:line="106" w:lineRule="exact"/>
        <w:rPr>
          <w:sz w:val="20"/>
          <w:szCs w:val="20"/>
          <w:color w:val="auto"/>
        </w:rPr>
      </w:pPr>
    </w:p>
    <w:p>
      <w:pPr>
        <w:spacing w:after="0"/>
        <w:tabs>
          <w:tab w:leader="none" w:pos="5860" w:val="left"/>
        </w:tabs>
        <w:rPr>
          <w:sz w:val="20"/>
          <w:szCs w:val="20"/>
          <w:color w:val="auto"/>
        </w:rPr>
      </w:pPr>
      <w:r>
        <w:rPr>
          <w:rFonts w:ascii="Arial" w:cs="Arial" w:eastAsia="Arial" w:hAnsi="Arial"/>
          <w:sz w:val="17"/>
          <w:szCs w:val="17"/>
          <w:color w:val="auto"/>
        </w:rPr>
        <w:t>Total</w:t>
      </w:r>
      <w:r>
        <w:rPr>
          <w:sz w:val="20"/>
          <w:szCs w:val="20"/>
          <w:color w:val="auto"/>
        </w:rPr>
        <w:tab/>
      </w:r>
      <w:r>
        <w:rPr>
          <w:rFonts w:ascii="Arial" w:cs="Arial" w:eastAsia="Arial" w:hAnsi="Arial"/>
          <w:sz w:val="17"/>
          <w:szCs w:val="17"/>
          <w:color w:val="auto"/>
        </w:rPr>
        <w:t>$</w:t>
      </w:r>
    </w:p>
    <w:p>
      <w:pPr>
        <w:spacing w:after="0" w:line="119" w:lineRule="exact"/>
        <w:rPr>
          <w:sz w:val="20"/>
          <w:szCs w:val="20"/>
          <w:color w:val="auto"/>
        </w:rPr>
      </w:pPr>
    </w:p>
    <w:p>
      <w:pPr>
        <w:ind w:left="460" w:hanging="455"/>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“Underwriting” for a description of the compensation payable to the underwriters.</w:t>
      </w:r>
    </w:p>
    <w:p>
      <w:pPr>
        <w:spacing w:after="0" w:line="20" w:lineRule="exact"/>
        <w:rPr>
          <w:sz w:val="20"/>
          <w:szCs w:val="20"/>
          <w:color w:val="auto"/>
        </w:rPr>
      </w:pPr>
      <w:r>
        <w:rPr>
          <w:sz w:val="20"/>
          <w:szCs w:val="20"/>
          <w:color w:val="auto"/>
        </w:rPr>
        <w:br w:type="column"/>
      </w:r>
    </w:p>
    <w:p>
      <w:pPr>
        <w:spacing w:after="0"/>
        <w:tabs>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106"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514" w:lineRule="exact"/>
        <w:rPr>
          <w:sz w:val="20"/>
          <w:szCs w:val="20"/>
          <w:color w:val="auto"/>
        </w:rPr>
      </w:pPr>
    </w:p>
    <w:p>
      <w:pPr>
        <w:sectPr>
          <w:pgSz w:w="11900" w:h="16838" w:orient="portrait"/>
          <w:cols w:equalWidth="0" w:num="2">
            <w:col w:w="7120" w:space="720"/>
            <w:col w:w="3580"/>
          </w:cols>
          <w:pgMar w:left="240" w:top="449" w:right="239" w:bottom="1440" w:gutter="0" w:footer="0" w:header="0"/>
          <w:type w:val="continuous"/>
        </w:sectPr>
      </w:pPr>
    </w:p>
    <w:p>
      <w:pPr>
        <w:spacing w:after="0" w:line="10" w:lineRule="exact"/>
        <w:rPr>
          <w:sz w:val="20"/>
          <w:szCs w:val="20"/>
          <w:color w:val="auto"/>
        </w:rPr>
      </w:pPr>
    </w:p>
    <w:p>
      <w:pPr>
        <w:ind w:right="340" w:firstLine="457"/>
        <w:spacing w:after="0" w:line="258"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The underwriters expect to deliver the shares of common stock to the purchasers on or about</w:t>
            </w:r>
          </w:p>
        </w:tc>
        <w:tc>
          <w:tcPr>
            <w:tcW w:w="1040" w:type="dxa"/>
            <w:vAlign w:val="bottom"/>
          </w:tcPr>
          <w:p>
            <w:pPr>
              <w:jc w:val="right"/>
              <w:spacing w:after="0"/>
              <w:rPr>
                <w:sz w:val="20"/>
                <w:szCs w:val="20"/>
                <w:color w:val="auto"/>
              </w:rPr>
            </w:pPr>
            <w:r>
              <w:rPr>
                <w:rFonts w:ascii="Arial" w:cs="Arial" w:eastAsia="Arial" w:hAnsi="Arial"/>
                <w:sz w:val="17"/>
                <w:szCs w:val="17"/>
                <w:color w:val="auto"/>
              </w:rPr>
              <w:t>, 2016.</w:t>
            </w:r>
          </w:p>
        </w:tc>
      </w:tr>
    </w:tbl>
    <w:p>
      <w:pPr>
        <w:spacing w:after="0" w:line="383" w:lineRule="exact"/>
        <w:rPr>
          <w:sz w:val="20"/>
          <w:szCs w:val="20"/>
          <w:color w:val="auto"/>
        </w:rPr>
      </w:pPr>
    </w:p>
    <w:p>
      <w:pPr>
        <w:spacing w:after="0"/>
        <w:tabs>
          <w:tab w:leader="none" w:pos="10640" w:val="left"/>
        </w:tabs>
        <w:rPr>
          <w:sz w:val="20"/>
          <w:szCs w:val="20"/>
          <w:color w:val="auto"/>
        </w:rPr>
      </w:pPr>
      <w:r>
        <w:rPr>
          <w:rFonts w:ascii="Arial" w:cs="Arial" w:eastAsia="Arial" w:hAnsi="Arial"/>
          <w:sz w:val="31"/>
          <w:szCs w:val="31"/>
          <w:b w:val="1"/>
          <w:bCs w:val="1"/>
          <w:color w:val="auto"/>
        </w:rPr>
        <w:t>Credit Suisse</w:t>
      </w:r>
      <w:r>
        <w:rPr>
          <w:sz w:val="20"/>
          <w:szCs w:val="20"/>
          <w:color w:val="auto"/>
        </w:rPr>
        <w:tab/>
      </w:r>
      <w:r>
        <w:rPr>
          <w:rFonts w:ascii="Arial" w:cs="Arial" w:eastAsia="Arial" w:hAnsi="Arial"/>
          <w:sz w:val="31"/>
          <w:szCs w:val="31"/>
          <w:b w:val="1"/>
          <w:bCs w:val="1"/>
          <w:color w:val="auto"/>
        </w:rPr>
        <w:t>Stifel</w:t>
      </w:r>
    </w:p>
    <w:p>
      <w:pPr>
        <w:spacing w:after="0" w:line="328" w:lineRule="exact"/>
        <w:rPr>
          <w:sz w:val="20"/>
          <w:szCs w:val="20"/>
          <w:color w:val="auto"/>
        </w:rPr>
      </w:pPr>
    </w:p>
    <w:p>
      <w:pPr>
        <w:spacing w:after="0"/>
        <w:tabs>
          <w:tab w:leader="none" w:pos="9500" w:val="left"/>
        </w:tabs>
        <w:rPr>
          <w:sz w:val="20"/>
          <w:szCs w:val="20"/>
          <w:color w:val="auto"/>
        </w:rPr>
      </w:pPr>
      <w:r>
        <w:rPr>
          <w:rFonts w:ascii="Arial" w:cs="Arial" w:eastAsia="Arial" w:hAnsi="Arial"/>
          <w:sz w:val="21"/>
          <w:szCs w:val="21"/>
          <w:b w:val="1"/>
          <w:bCs w:val="1"/>
          <w:color w:val="auto"/>
        </w:rPr>
        <w:t>JMP Securities</w:t>
      </w:r>
      <w:r>
        <w:rPr>
          <w:sz w:val="20"/>
          <w:szCs w:val="20"/>
          <w:color w:val="auto"/>
        </w:rPr>
        <w:tab/>
      </w:r>
      <w:r>
        <w:rPr>
          <w:rFonts w:ascii="Arial" w:cs="Arial" w:eastAsia="Arial" w:hAnsi="Arial"/>
          <w:sz w:val="20"/>
          <w:szCs w:val="20"/>
          <w:b w:val="1"/>
          <w:bCs w:val="1"/>
          <w:color w:val="auto"/>
        </w:rPr>
        <w:t>Wedbush PacGrow</w:t>
      </w:r>
    </w:p>
    <w:p>
      <w:pPr>
        <w:spacing w:after="0" w:line="327" w:lineRule="exact"/>
        <w:rPr>
          <w:sz w:val="20"/>
          <w:szCs w:val="20"/>
          <w:color w:val="auto"/>
        </w:rPr>
      </w:pPr>
    </w:p>
    <w:p>
      <w:pPr>
        <w:ind w:left="3800"/>
        <w:spacing w:after="0"/>
        <w:tabs>
          <w:tab w:leader="none" w:pos="7080" w:val="left"/>
        </w:tabs>
        <w:rPr>
          <w:sz w:val="20"/>
          <w:szCs w:val="20"/>
          <w:color w:val="auto"/>
        </w:rPr>
      </w:pPr>
      <w:r>
        <w:rPr>
          <w:rFonts w:ascii="Arial" w:cs="Arial" w:eastAsia="Arial" w:hAnsi="Arial"/>
          <w:sz w:val="17"/>
          <w:szCs w:val="17"/>
          <w:color w:val="auto"/>
        </w:rPr>
        <w:t>The date of this prospectus is</w:t>
      </w:r>
      <w:r>
        <w:rPr>
          <w:sz w:val="20"/>
          <w:szCs w:val="20"/>
          <w:color w:val="auto"/>
        </w:rPr>
        <w:tab/>
      </w:r>
      <w:r>
        <w:rPr>
          <w:rFonts w:ascii="Arial" w:cs="Arial" w:eastAsia="Arial" w:hAnsi="Arial"/>
          <w:sz w:val="16"/>
          <w:szCs w:val="16"/>
          <w:color w:val="auto"/>
        </w:rPr>
        <w:t>, 2016.</w:t>
      </w:r>
    </w:p>
    <w:p>
      <w:pPr>
        <w:sectPr>
          <w:pgSz w:w="11900" w:h="16838" w:orient="portrait"/>
          <w:cols w:equalWidth="0" w:num="1">
            <w:col w:w="11420"/>
          </w:cols>
          <w:pgMar w:left="240" w:top="449" w:right="23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40" w:type="dxa"/>
            <w:vAlign w:val="bottom"/>
            <w:gridSpan w:val="6"/>
            <w:vMerge w:val="restart"/>
          </w:tcPr>
          <w:p>
            <w:pPr>
              <w:spacing w:after="0"/>
              <w:rPr>
                <w:rFonts w:ascii="Arial" w:cs="Arial" w:eastAsia="Arial" w:hAnsi="Arial"/>
                <w:sz w:val="17"/>
                <w:szCs w:val="17"/>
                <w:color w:val="0000EE"/>
                <w:w w:val="97"/>
              </w:rPr>
            </w:pPr>
            <w:hyperlink w:anchor="page4">
              <w:r>
                <w:rPr>
                  <w:rFonts w:ascii="Arial" w:cs="Arial" w:eastAsia="Arial" w:hAnsi="Arial"/>
                  <w:sz w:val="17"/>
                  <w:szCs w:val="17"/>
                  <w:color w:val="0000EE"/>
                  <w:w w:val="97"/>
                </w:rPr>
                <w:t>P</w:t>
              </w:r>
              <w:r>
                <w:rPr>
                  <w:rFonts w:ascii="Arial" w:cs="Arial" w:eastAsia="Arial" w:hAnsi="Arial"/>
                  <w:sz w:val="14"/>
                  <w:szCs w:val="14"/>
                  <w:color w:val="0000EE"/>
                  <w:w w:val="97"/>
                </w:rPr>
                <w:t>ROSPECTUS</w:t>
              </w:r>
              <w:r>
                <w:rPr>
                  <w:rFonts w:ascii="Arial" w:cs="Arial" w:eastAsia="Arial" w:hAnsi="Arial"/>
                  <w:sz w:val="17"/>
                  <w:szCs w:val="17"/>
                  <w:color w:val="0000EE"/>
                  <w:w w:val="97"/>
                </w:rPr>
                <w:t xml:space="preserve"> S</w:t>
              </w:r>
              <w:r>
                <w:rPr>
                  <w:rFonts w:ascii="Arial" w:cs="Arial" w:eastAsia="Arial" w:hAnsi="Arial"/>
                  <w:sz w:val="14"/>
                  <w:szCs w:val="14"/>
                  <w:color w:val="0000EE"/>
                  <w:w w:val="97"/>
                </w:rPr>
                <w:t>UMMARY</w:t>
              </w:r>
            </w:hyperlink>
          </w:p>
        </w:tc>
        <w:tc>
          <w:tcPr>
            <w:tcW w:w="3360" w:type="dxa"/>
            <w:vAlign w:val="bottom"/>
            <w:gridSpan w:val="5"/>
            <w:vMerge w:val="restart"/>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7"/>
              </w:rPr>
              <w:t>Page</w:t>
            </w:r>
          </w:p>
        </w:tc>
        <w:tc>
          <w:tcPr>
            <w:tcW w:w="5280" w:type="dxa"/>
            <w:vAlign w:val="bottom"/>
            <w:gridSpan w:val="14"/>
            <w:vMerge w:val="restart"/>
          </w:tcPr>
          <w:p>
            <w:pPr>
              <w:ind w:left="220"/>
              <w:spacing w:after="0"/>
              <w:rPr>
                <w:rFonts w:ascii="Arial" w:cs="Arial" w:eastAsia="Arial" w:hAnsi="Arial"/>
                <w:sz w:val="17"/>
                <w:szCs w:val="17"/>
                <w:color w:val="0000EE"/>
              </w:rPr>
            </w:pPr>
            <w:hyperlink w:anchor="page116">
              <w:r>
                <w:rPr>
                  <w:rFonts w:ascii="Arial" w:cs="Arial" w:eastAsia="Arial" w:hAnsi="Arial"/>
                  <w:sz w:val="17"/>
                  <w:szCs w:val="17"/>
                  <w:color w:val="0000EE"/>
                </w:rPr>
                <w:t>M</w:t>
              </w:r>
              <w:r>
                <w:rPr>
                  <w:rFonts w:ascii="Arial" w:cs="Arial" w:eastAsia="Arial" w:hAnsi="Arial"/>
                  <w:sz w:val="14"/>
                  <w:szCs w:val="14"/>
                  <w:color w:val="0000EE"/>
                </w:rPr>
                <w:t>ANAGEMENT</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0"/>
        </w:trPr>
        <w:tc>
          <w:tcPr>
            <w:tcW w:w="1740" w:type="dxa"/>
            <w:vAlign w:val="bottom"/>
            <w:gridSpan w:val="6"/>
            <w:vMerge w:val="continue"/>
          </w:tcPr>
          <w:p>
            <w:pPr>
              <w:spacing w:after="0"/>
              <w:rPr>
                <w:sz w:val="13"/>
                <w:szCs w:val="13"/>
                <w:color w:val="auto"/>
              </w:rPr>
            </w:pPr>
          </w:p>
        </w:tc>
        <w:tc>
          <w:tcPr>
            <w:tcW w:w="3360" w:type="dxa"/>
            <w:vAlign w:val="bottom"/>
            <w:gridSpan w:val="5"/>
            <w:vMerge w:val="continue"/>
          </w:tcPr>
          <w:p>
            <w:pPr>
              <w:spacing w:after="0"/>
              <w:rPr>
                <w:sz w:val="13"/>
                <w:szCs w:val="13"/>
                <w:color w:val="auto"/>
              </w:rPr>
            </w:pPr>
          </w:p>
        </w:tc>
        <w:tc>
          <w:tcPr>
            <w:tcW w:w="2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5"/>
                <w:szCs w:val="15"/>
                <w:color w:val="auto"/>
              </w:rPr>
              <w:t>1</w:t>
            </w:r>
          </w:p>
        </w:tc>
        <w:tc>
          <w:tcPr>
            <w:tcW w:w="240" w:type="dxa"/>
            <w:vAlign w:val="bottom"/>
          </w:tcPr>
          <w:p>
            <w:pPr>
              <w:spacing w:after="0"/>
              <w:rPr>
                <w:sz w:val="13"/>
                <w:szCs w:val="13"/>
                <w:color w:val="auto"/>
              </w:rPr>
            </w:pPr>
          </w:p>
        </w:tc>
        <w:tc>
          <w:tcPr>
            <w:tcW w:w="5280" w:type="dxa"/>
            <w:vAlign w:val="bottom"/>
            <w:gridSpan w:val="14"/>
            <w:vMerge w:val="continue"/>
          </w:tcPr>
          <w:p>
            <w:pPr>
              <w:spacing w:after="0"/>
              <w:rPr>
                <w:sz w:val="13"/>
                <w:szCs w:val="13"/>
                <w:color w:val="auto"/>
              </w:rPr>
            </w:pPr>
          </w:p>
        </w:tc>
        <w:tc>
          <w:tcPr>
            <w:tcW w:w="3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80" w:type="dxa"/>
            <w:vAlign w:val="bottom"/>
            <w:gridSpan w:val="3"/>
          </w:tcPr>
          <w:p>
            <w:pPr>
              <w:spacing w:after="0"/>
              <w:rPr>
                <w:rFonts w:ascii="Arial" w:cs="Arial" w:eastAsia="Arial" w:hAnsi="Arial"/>
                <w:sz w:val="17"/>
                <w:szCs w:val="17"/>
                <w:color w:val="0000EE"/>
                <w:w w:val="95"/>
              </w:rPr>
            </w:pPr>
            <w:hyperlink w:anchor="page11">
              <w:r>
                <w:rPr>
                  <w:rFonts w:ascii="Arial" w:cs="Arial" w:eastAsia="Arial" w:hAnsi="Arial"/>
                  <w:sz w:val="17"/>
                  <w:szCs w:val="17"/>
                  <w:color w:val="0000EE"/>
                  <w:w w:val="95"/>
                </w:rPr>
                <w:t>T</w:t>
              </w:r>
              <w:r>
                <w:rPr>
                  <w:rFonts w:ascii="Arial" w:cs="Arial" w:eastAsia="Arial" w:hAnsi="Arial"/>
                  <w:sz w:val="14"/>
                  <w:szCs w:val="14"/>
                  <w:color w:val="0000EE"/>
                  <w:w w:val="95"/>
                </w:rPr>
                <w:t>HE</w:t>
              </w:r>
              <w:r>
                <w:rPr>
                  <w:rFonts w:ascii="Arial" w:cs="Arial" w:eastAsia="Arial" w:hAnsi="Arial"/>
                  <w:sz w:val="17"/>
                  <w:szCs w:val="17"/>
                  <w:color w:val="0000EE"/>
                  <w:w w:val="95"/>
                </w:rPr>
                <w:t xml:space="preserve"> O</w:t>
              </w:r>
              <w:r>
                <w:rPr>
                  <w:rFonts w:ascii="Arial" w:cs="Arial" w:eastAsia="Arial" w:hAnsi="Arial"/>
                  <w:sz w:val="14"/>
                  <w:szCs w:val="14"/>
                  <w:color w:val="0000EE"/>
                  <w:w w:val="95"/>
                </w:rPr>
                <w:t>FFERING</w:t>
              </w:r>
            </w:hyperlink>
          </w:p>
        </w:tc>
        <w:tc>
          <w:tcPr>
            <w:tcW w:w="660" w:type="dxa"/>
            <w:vAlign w:val="bottom"/>
            <w:gridSpan w:val="3"/>
          </w:tcPr>
          <w:p>
            <w:pPr>
              <w:spacing w:after="0"/>
              <w:rPr>
                <w:sz w:val="17"/>
                <w:szCs w:val="17"/>
                <w:color w:val="auto"/>
              </w:rPr>
            </w:pPr>
          </w:p>
        </w:tc>
        <w:tc>
          <w:tcPr>
            <w:tcW w:w="3360" w:type="dxa"/>
            <w:vAlign w:val="bottom"/>
            <w:gridSpan w:val="5"/>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5280" w:type="dxa"/>
            <w:vAlign w:val="bottom"/>
            <w:gridSpan w:val="14"/>
          </w:tcPr>
          <w:p>
            <w:pPr>
              <w:ind w:left="220"/>
              <w:spacing w:after="0"/>
              <w:rPr>
                <w:rFonts w:ascii="Arial" w:cs="Arial" w:eastAsia="Arial" w:hAnsi="Arial"/>
                <w:sz w:val="17"/>
                <w:szCs w:val="17"/>
                <w:color w:val="0000EE"/>
              </w:rPr>
            </w:pPr>
            <w:hyperlink w:anchor="page124">
              <w:r>
                <w:rPr>
                  <w:rFonts w:ascii="Arial" w:cs="Arial" w:eastAsia="Arial" w:hAnsi="Arial"/>
                  <w:sz w:val="17"/>
                  <w:szCs w:val="17"/>
                  <w:color w:val="0000EE"/>
                </w:rPr>
                <w:t>E</w:t>
              </w:r>
              <w:r>
                <w:rPr>
                  <w:rFonts w:ascii="Arial" w:cs="Arial" w:eastAsia="Arial" w:hAnsi="Arial"/>
                  <w:sz w:val="14"/>
                  <w:szCs w:val="14"/>
                  <w:color w:val="0000EE"/>
                </w:rPr>
                <w:t>XECUTIVE</w:t>
              </w:r>
              <w:r>
                <w:rPr>
                  <w:rFonts w:ascii="Arial" w:cs="Arial" w:eastAsia="Arial" w:hAnsi="Arial"/>
                  <w:sz w:val="17"/>
                  <w:szCs w:val="17"/>
                  <w:color w:val="0000EE"/>
                </w:rPr>
                <w:t xml:space="preserve"> C</w:t>
              </w:r>
              <w:r>
                <w:rPr>
                  <w:rFonts w:ascii="Arial" w:cs="Arial" w:eastAsia="Arial" w:hAnsi="Arial"/>
                  <w:sz w:val="14"/>
                  <w:szCs w:val="14"/>
                  <w:color w:val="0000EE"/>
                </w:rPr>
                <w:t>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80" w:type="dxa"/>
            <w:vAlign w:val="bottom"/>
            <w:gridSpan w:val="3"/>
          </w:tcPr>
          <w:p>
            <w:pPr>
              <w:spacing w:after="0" w:line="189" w:lineRule="exact"/>
              <w:rPr>
                <w:rFonts w:ascii="Arial" w:cs="Arial" w:eastAsia="Arial" w:hAnsi="Arial"/>
                <w:sz w:val="17"/>
                <w:szCs w:val="17"/>
                <w:color w:val="0000EE"/>
                <w:w w:val="95"/>
              </w:rPr>
            </w:pPr>
            <w:hyperlink w:anchor="page15">
              <w:r>
                <w:rPr>
                  <w:rFonts w:ascii="Arial" w:cs="Arial" w:eastAsia="Arial" w:hAnsi="Arial"/>
                  <w:sz w:val="17"/>
                  <w:szCs w:val="17"/>
                  <w:color w:val="0000EE"/>
                  <w:w w:val="95"/>
                </w:rPr>
                <w:t>R</w:t>
              </w:r>
              <w:r>
                <w:rPr>
                  <w:rFonts w:ascii="Arial" w:cs="Arial" w:eastAsia="Arial" w:hAnsi="Arial"/>
                  <w:sz w:val="14"/>
                  <w:szCs w:val="14"/>
                  <w:color w:val="0000EE"/>
                  <w:w w:val="95"/>
                </w:rPr>
                <w:t>ISK</w:t>
              </w:r>
              <w:r>
                <w:rPr>
                  <w:rFonts w:ascii="Arial" w:cs="Arial" w:eastAsia="Arial" w:hAnsi="Arial"/>
                  <w:sz w:val="17"/>
                  <w:szCs w:val="17"/>
                  <w:color w:val="0000EE"/>
                  <w:w w:val="95"/>
                </w:rPr>
                <w:t xml:space="preserve"> F</w:t>
              </w:r>
              <w:r>
                <w:rPr>
                  <w:rFonts w:ascii="Arial" w:cs="Arial" w:eastAsia="Arial" w:hAnsi="Arial"/>
                  <w:sz w:val="14"/>
                  <w:szCs w:val="14"/>
                  <w:color w:val="0000EE"/>
                  <w:w w:val="95"/>
                </w:rPr>
                <w:t>ACTORS</w:t>
              </w:r>
            </w:hyperlink>
          </w:p>
        </w:tc>
        <w:tc>
          <w:tcPr>
            <w:tcW w:w="4020" w:type="dxa"/>
            <w:vAlign w:val="bottom"/>
            <w:gridSpan w:val="8"/>
          </w:tcPr>
          <w:p>
            <w:pPr>
              <w:spacing w:after="0"/>
              <w:rPr>
                <w:sz w:val="16"/>
                <w:szCs w:val="16"/>
                <w:color w:val="auto"/>
              </w:rPr>
            </w:pPr>
          </w:p>
        </w:tc>
        <w:tc>
          <w:tcPr>
            <w:tcW w:w="5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12</w:t>
            </w:r>
          </w:p>
        </w:tc>
        <w:tc>
          <w:tcPr>
            <w:tcW w:w="5280" w:type="dxa"/>
            <w:vAlign w:val="bottom"/>
            <w:gridSpan w:val="14"/>
          </w:tcPr>
          <w:p>
            <w:pPr>
              <w:ind w:left="220"/>
              <w:spacing w:after="0" w:line="189" w:lineRule="exact"/>
              <w:rPr>
                <w:rFonts w:ascii="Arial" w:cs="Arial" w:eastAsia="Arial" w:hAnsi="Arial"/>
                <w:sz w:val="17"/>
                <w:szCs w:val="17"/>
                <w:color w:val="0000EE"/>
              </w:rPr>
            </w:pPr>
            <w:hyperlink w:anchor="page135">
              <w:r>
                <w:rPr>
                  <w:rFonts w:ascii="Arial" w:cs="Arial" w:eastAsia="Arial" w:hAnsi="Arial"/>
                  <w:sz w:val="17"/>
                  <w:szCs w:val="17"/>
                  <w:color w:val="0000EE"/>
                </w:rPr>
                <w:t>C</w:t>
              </w:r>
              <w:r>
                <w:rPr>
                  <w:rFonts w:ascii="Arial" w:cs="Arial" w:eastAsia="Arial" w:hAnsi="Arial"/>
                  <w:sz w:val="14"/>
                  <w:szCs w:val="14"/>
                  <w:color w:val="0000EE"/>
                </w:rPr>
                <w:t>ERTAIN</w:t>
              </w:r>
              <w:r>
                <w:rPr>
                  <w:rFonts w:ascii="Arial" w:cs="Arial" w:eastAsia="Arial" w:hAnsi="Arial"/>
                  <w:sz w:val="17"/>
                  <w:szCs w:val="17"/>
                  <w:color w:val="0000EE"/>
                </w:rPr>
                <w:t xml:space="preserve"> R</w:t>
              </w:r>
              <w:r>
                <w:rPr>
                  <w:rFonts w:ascii="Arial" w:cs="Arial" w:eastAsia="Arial" w:hAnsi="Arial"/>
                  <w:sz w:val="14"/>
                  <w:szCs w:val="14"/>
                  <w:color w:val="0000EE"/>
                </w:rPr>
                <w:t>ELATIONSHIPS AND</w:t>
              </w:r>
              <w:r>
                <w:rPr>
                  <w:rFonts w:ascii="Arial" w:cs="Arial" w:eastAsia="Arial" w:hAnsi="Arial"/>
                  <w:sz w:val="17"/>
                  <w:szCs w:val="17"/>
                  <w:color w:val="0000EE"/>
                </w:rPr>
                <w:t xml:space="preserve"> R</w:t>
              </w:r>
              <w:r>
                <w:rPr>
                  <w:rFonts w:ascii="Arial" w:cs="Arial" w:eastAsia="Arial" w:hAnsi="Arial"/>
                  <w:sz w:val="14"/>
                  <w:szCs w:val="14"/>
                  <w:color w:val="0000EE"/>
                </w:rPr>
                <w:t>ELATED</w:t>
              </w:r>
              <w:r>
                <w:rPr>
                  <w:rFonts w:ascii="Arial" w:cs="Arial" w:eastAsia="Arial" w:hAnsi="Arial"/>
                  <w:sz w:val="17"/>
                  <w:szCs w:val="17"/>
                  <w:color w:val="0000EE"/>
                </w:rPr>
                <w:t xml:space="preserve"> P</w:t>
              </w:r>
              <w:r>
                <w:rPr>
                  <w:rFonts w:ascii="Arial" w:cs="Arial" w:eastAsia="Arial" w:hAnsi="Arial"/>
                  <w:sz w:val="14"/>
                  <w:szCs w:val="14"/>
                  <w:color w:val="0000EE"/>
                </w:rPr>
                <w:t>ARTY</w:t>
              </w:r>
              <w:r>
                <w:rPr>
                  <w:rFonts w:ascii="Arial" w:cs="Arial" w:eastAsia="Arial" w:hAnsi="Arial"/>
                  <w:sz w:val="17"/>
                  <w:szCs w:val="17"/>
                  <w:color w:val="0000EE"/>
                </w:rPr>
                <w:t xml:space="preserve"> T</w:t>
              </w:r>
              <w:r>
                <w:rPr>
                  <w:rFonts w:ascii="Arial" w:cs="Arial" w:eastAsia="Arial" w:hAnsi="Arial"/>
                  <w:sz w:val="14"/>
                  <w:szCs w:val="14"/>
                  <w:color w:val="0000EE"/>
                </w:rPr>
                <w:t>RANSACTIONS</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00" w:type="dxa"/>
            <w:vAlign w:val="bottom"/>
            <w:gridSpan w:val="11"/>
          </w:tcPr>
          <w:p>
            <w:pPr>
              <w:spacing w:after="0" w:line="189" w:lineRule="exact"/>
              <w:rPr>
                <w:rFonts w:ascii="Arial" w:cs="Arial" w:eastAsia="Arial" w:hAnsi="Arial"/>
                <w:sz w:val="17"/>
                <w:szCs w:val="17"/>
                <w:color w:val="0000EE"/>
              </w:rPr>
            </w:pPr>
            <w:hyperlink w:anchor="page53">
              <w:r>
                <w:rPr>
                  <w:rFonts w:ascii="Arial" w:cs="Arial" w:eastAsia="Arial" w:hAnsi="Arial"/>
                  <w:sz w:val="17"/>
                  <w:szCs w:val="17"/>
                  <w:color w:val="0000EE"/>
                </w:rPr>
                <w:t>S</w:t>
              </w:r>
              <w:r>
                <w:rPr>
                  <w:rFonts w:ascii="Arial" w:cs="Arial" w:eastAsia="Arial" w:hAnsi="Arial"/>
                  <w:sz w:val="14"/>
                  <w:szCs w:val="14"/>
                  <w:color w:val="0000EE"/>
                </w:rPr>
                <w:t>PECIAL</w:t>
              </w:r>
              <w:r>
                <w:rPr>
                  <w:rFonts w:ascii="Arial" w:cs="Arial" w:eastAsia="Arial" w:hAnsi="Arial"/>
                  <w:sz w:val="17"/>
                  <w:szCs w:val="17"/>
                  <w:color w:val="0000EE"/>
                </w:rPr>
                <w:t xml:space="preserve"> N</w:t>
              </w:r>
              <w:r>
                <w:rPr>
                  <w:rFonts w:ascii="Arial" w:cs="Arial" w:eastAsia="Arial" w:hAnsi="Arial"/>
                  <w:sz w:val="14"/>
                  <w:szCs w:val="14"/>
                  <w:color w:val="0000EE"/>
                </w:rPr>
                <w:t>OTE</w:t>
              </w:r>
              <w:r>
                <w:rPr>
                  <w:rFonts w:ascii="Arial" w:cs="Arial" w:eastAsia="Arial" w:hAnsi="Arial"/>
                  <w:sz w:val="17"/>
                  <w:szCs w:val="17"/>
                  <w:color w:val="0000EE"/>
                </w:rPr>
                <w:t xml:space="preserve"> R</w:t>
              </w:r>
              <w:r>
                <w:rPr>
                  <w:rFonts w:ascii="Arial" w:cs="Arial" w:eastAsia="Arial" w:hAnsi="Arial"/>
                  <w:sz w:val="14"/>
                  <w:szCs w:val="14"/>
                  <w:color w:val="0000EE"/>
                </w:rPr>
                <w:t>EGARDING</w:t>
              </w:r>
              <w:r>
                <w:rPr>
                  <w:rFonts w:ascii="Arial" w:cs="Arial" w:eastAsia="Arial" w:hAnsi="Arial"/>
                  <w:sz w:val="17"/>
                  <w:szCs w:val="17"/>
                  <w:color w:val="0000EE"/>
                </w:rPr>
                <w:t xml:space="preserve"> F</w:t>
              </w:r>
              <w:r>
                <w:rPr>
                  <w:rFonts w:ascii="Arial" w:cs="Arial" w:eastAsia="Arial" w:hAnsi="Arial"/>
                  <w:sz w:val="14"/>
                  <w:szCs w:val="14"/>
                  <w:color w:val="0000EE"/>
                </w:rPr>
                <w:t>ORWARD</w:t>
              </w:r>
              <w:r>
                <w:rPr>
                  <w:rFonts w:ascii="Arial" w:cs="Arial" w:eastAsia="Arial" w:hAnsi="Arial"/>
                  <w:sz w:val="17"/>
                  <w:szCs w:val="17"/>
                  <w:color w:val="0000EE"/>
                </w:rPr>
                <w:t>-L</w:t>
              </w:r>
              <w:r>
                <w:rPr>
                  <w:rFonts w:ascii="Arial" w:cs="Arial" w:eastAsia="Arial" w:hAnsi="Arial"/>
                  <w:sz w:val="14"/>
                  <w:szCs w:val="14"/>
                  <w:color w:val="0000EE"/>
                </w:rPr>
                <w:t>OOKING</w:t>
              </w:r>
              <w:r>
                <w:rPr>
                  <w:rFonts w:ascii="Arial" w:cs="Arial" w:eastAsia="Arial" w:hAnsi="Arial"/>
                  <w:sz w:val="17"/>
                  <w:szCs w:val="17"/>
                  <w:color w:val="0000EE"/>
                </w:rPr>
                <w:t xml:space="preserve"> S</w:t>
              </w:r>
              <w:r>
                <w:rPr>
                  <w:rFonts w:ascii="Arial" w:cs="Arial" w:eastAsia="Arial" w:hAnsi="Arial"/>
                  <w:sz w:val="14"/>
                  <w:szCs w:val="14"/>
                  <w:color w:val="0000EE"/>
                </w:rPr>
                <w:t>TATEMENTS</w:t>
              </w:r>
            </w:hyperlink>
          </w:p>
        </w:tc>
        <w:tc>
          <w:tcPr>
            <w:tcW w:w="5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50</w:t>
            </w:r>
          </w:p>
        </w:tc>
        <w:tc>
          <w:tcPr>
            <w:tcW w:w="5280" w:type="dxa"/>
            <w:vAlign w:val="bottom"/>
            <w:gridSpan w:val="14"/>
          </w:tcPr>
          <w:p>
            <w:pPr>
              <w:ind w:left="220"/>
              <w:spacing w:after="0" w:line="189" w:lineRule="exact"/>
              <w:rPr>
                <w:rFonts w:ascii="Arial" w:cs="Arial" w:eastAsia="Arial" w:hAnsi="Arial"/>
                <w:sz w:val="17"/>
                <w:szCs w:val="17"/>
                <w:color w:val="0000EE"/>
              </w:rPr>
            </w:pPr>
            <w:hyperlink w:anchor="page138">
              <w:r>
                <w:rPr>
                  <w:rFonts w:ascii="Arial" w:cs="Arial" w:eastAsia="Arial" w:hAnsi="Arial"/>
                  <w:sz w:val="17"/>
                  <w:szCs w:val="17"/>
                  <w:color w:val="0000EE"/>
                </w:rPr>
                <w:t>P</w:t>
              </w:r>
              <w:r>
                <w:rPr>
                  <w:rFonts w:ascii="Arial" w:cs="Arial" w:eastAsia="Arial" w:hAnsi="Arial"/>
                  <w:sz w:val="14"/>
                  <w:szCs w:val="14"/>
                  <w:color w:val="0000EE"/>
                </w:rPr>
                <w:t>RINCIPAL</w:t>
              </w:r>
              <w:r>
                <w:rPr>
                  <w:rFonts w:ascii="Arial" w:cs="Arial" w:eastAsia="Arial" w:hAnsi="Arial"/>
                  <w:sz w:val="17"/>
                  <w:szCs w:val="17"/>
                  <w:color w:val="0000EE"/>
                </w:rPr>
                <w:t xml:space="preserve"> S</w:t>
              </w:r>
              <w:r>
                <w:rPr>
                  <w:rFonts w:ascii="Arial" w:cs="Arial" w:eastAsia="Arial" w:hAnsi="Arial"/>
                  <w:sz w:val="14"/>
                  <w:szCs w:val="14"/>
                  <w:color w:val="0000EE"/>
                </w:rPr>
                <w:t>TOCKHOLDERS</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60" w:type="dxa"/>
            <w:vAlign w:val="bottom"/>
            <w:gridSpan w:val="10"/>
          </w:tcPr>
          <w:p>
            <w:pPr>
              <w:spacing w:after="0" w:line="189" w:lineRule="exact"/>
              <w:rPr>
                <w:rFonts w:ascii="Arial" w:cs="Arial" w:eastAsia="Arial" w:hAnsi="Arial"/>
                <w:sz w:val="17"/>
                <w:szCs w:val="17"/>
                <w:color w:val="0000EE"/>
              </w:rPr>
            </w:pPr>
            <w:hyperlink w:anchor="page54">
              <w:r>
                <w:rPr>
                  <w:rFonts w:ascii="Arial" w:cs="Arial" w:eastAsia="Arial" w:hAnsi="Arial"/>
                  <w:sz w:val="17"/>
                  <w:szCs w:val="17"/>
                  <w:color w:val="0000EE"/>
                </w:rPr>
                <w:t>M</w:t>
              </w:r>
              <w:r>
                <w:rPr>
                  <w:rFonts w:ascii="Arial" w:cs="Arial" w:eastAsia="Arial" w:hAnsi="Arial"/>
                  <w:sz w:val="14"/>
                  <w:szCs w:val="14"/>
                  <w:color w:val="0000EE"/>
                </w:rPr>
                <w:t>ARKET AND</w:t>
              </w:r>
              <w:r>
                <w:rPr>
                  <w:rFonts w:ascii="Arial" w:cs="Arial" w:eastAsia="Arial" w:hAnsi="Arial"/>
                  <w:sz w:val="17"/>
                  <w:szCs w:val="17"/>
                  <w:color w:val="0000EE"/>
                </w:rPr>
                <w:t xml:space="preserve"> I</w:t>
              </w:r>
              <w:r>
                <w:rPr>
                  <w:rFonts w:ascii="Arial" w:cs="Arial" w:eastAsia="Arial" w:hAnsi="Arial"/>
                  <w:sz w:val="14"/>
                  <w:szCs w:val="14"/>
                  <w:color w:val="0000EE"/>
                </w:rPr>
                <w:t>NDUSTRY</w:t>
              </w:r>
              <w:r>
                <w:rPr>
                  <w:rFonts w:ascii="Arial" w:cs="Arial" w:eastAsia="Arial" w:hAnsi="Arial"/>
                  <w:sz w:val="17"/>
                  <w:szCs w:val="17"/>
                  <w:color w:val="0000EE"/>
                </w:rPr>
                <w:t xml:space="preserve"> D</w:t>
              </w:r>
              <w:r>
                <w:rPr>
                  <w:rFonts w:ascii="Arial" w:cs="Arial" w:eastAsia="Arial" w:hAnsi="Arial"/>
                  <w:sz w:val="14"/>
                  <w:szCs w:val="14"/>
                  <w:color w:val="0000EE"/>
                </w:rPr>
                <w:t>ATA</w:t>
              </w:r>
            </w:hyperlink>
          </w:p>
        </w:tc>
        <w:tc>
          <w:tcPr>
            <w:tcW w:w="640" w:type="dxa"/>
            <w:vAlign w:val="bottom"/>
          </w:tcPr>
          <w:p>
            <w:pPr>
              <w:spacing w:after="0"/>
              <w:rPr>
                <w:sz w:val="16"/>
                <w:szCs w:val="16"/>
                <w:color w:val="auto"/>
              </w:rPr>
            </w:pPr>
          </w:p>
        </w:tc>
        <w:tc>
          <w:tcPr>
            <w:tcW w:w="5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51</w:t>
            </w:r>
          </w:p>
        </w:tc>
        <w:tc>
          <w:tcPr>
            <w:tcW w:w="5280" w:type="dxa"/>
            <w:vAlign w:val="bottom"/>
            <w:gridSpan w:val="14"/>
          </w:tcPr>
          <w:p>
            <w:pPr>
              <w:ind w:left="220"/>
              <w:spacing w:after="0" w:line="189" w:lineRule="exact"/>
              <w:rPr>
                <w:rFonts w:ascii="Arial" w:cs="Arial" w:eastAsia="Arial" w:hAnsi="Arial"/>
                <w:sz w:val="17"/>
                <w:szCs w:val="17"/>
                <w:color w:val="0000EE"/>
              </w:rPr>
            </w:pPr>
            <w:hyperlink w:anchor="page141">
              <w:r>
                <w:rPr>
                  <w:rFonts w:ascii="Arial" w:cs="Arial" w:eastAsia="Arial" w:hAnsi="Arial"/>
                  <w:sz w:val="17"/>
                  <w:szCs w:val="17"/>
                  <w:color w:val="0000EE"/>
                </w:rPr>
                <w:t>D</w:t>
              </w:r>
              <w:r>
                <w:rPr>
                  <w:rFonts w:ascii="Arial" w:cs="Arial" w:eastAsia="Arial" w:hAnsi="Arial"/>
                  <w:sz w:val="14"/>
                  <w:szCs w:val="14"/>
                  <w:color w:val="0000EE"/>
                </w:rPr>
                <w:t>ESCRIPTION OF</w:t>
              </w:r>
              <w:r>
                <w:rPr>
                  <w:rFonts w:ascii="Arial" w:cs="Arial" w:eastAsia="Arial" w:hAnsi="Arial"/>
                  <w:sz w:val="17"/>
                  <w:szCs w:val="17"/>
                  <w:color w:val="0000EE"/>
                </w:rPr>
                <w:t xml:space="preserve"> C</w:t>
              </w:r>
              <w:r>
                <w:rPr>
                  <w:rFonts w:ascii="Arial" w:cs="Arial" w:eastAsia="Arial" w:hAnsi="Arial"/>
                  <w:sz w:val="14"/>
                  <w:szCs w:val="14"/>
                  <w:color w:val="0000EE"/>
                </w:rPr>
                <w:t>APITAL</w:t>
              </w:r>
              <w:r>
                <w:rPr>
                  <w:rFonts w:ascii="Arial" w:cs="Arial" w:eastAsia="Arial" w:hAnsi="Arial"/>
                  <w:sz w:val="17"/>
                  <w:szCs w:val="17"/>
                  <w:color w:val="0000EE"/>
                </w:rPr>
                <w:t xml:space="preserve"> S</w:t>
              </w:r>
              <w:r>
                <w:rPr>
                  <w:rFonts w:ascii="Arial" w:cs="Arial" w:eastAsia="Arial" w:hAnsi="Arial"/>
                  <w:sz w:val="14"/>
                  <w:szCs w:val="14"/>
                  <w:color w:val="0000EE"/>
                </w:rPr>
                <w:t>TOCK</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40" w:type="dxa"/>
            <w:vAlign w:val="bottom"/>
            <w:gridSpan w:val="5"/>
          </w:tcPr>
          <w:p>
            <w:pPr>
              <w:spacing w:after="0" w:line="189" w:lineRule="exact"/>
              <w:rPr>
                <w:rFonts w:ascii="Arial" w:cs="Arial" w:eastAsia="Arial" w:hAnsi="Arial"/>
                <w:sz w:val="17"/>
                <w:szCs w:val="17"/>
                <w:color w:val="0000EE"/>
                <w:w w:val="93"/>
              </w:rPr>
            </w:pPr>
            <w:hyperlink w:anchor="page55">
              <w:r>
                <w:rPr>
                  <w:rFonts w:ascii="Arial" w:cs="Arial" w:eastAsia="Arial" w:hAnsi="Arial"/>
                  <w:sz w:val="17"/>
                  <w:szCs w:val="17"/>
                  <w:color w:val="0000EE"/>
                  <w:w w:val="93"/>
                </w:rPr>
                <w:t>U</w:t>
              </w:r>
              <w:r>
                <w:rPr>
                  <w:rFonts w:ascii="Arial" w:cs="Arial" w:eastAsia="Arial" w:hAnsi="Arial"/>
                  <w:sz w:val="14"/>
                  <w:szCs w:val="14"/>
                  <w:color w:val="0000EE"/>
                  <w:w w:val="93"/>
                </w:rPr>
                <w:t>SE OF</w:t>
              </w:r>
              <w:r>
                <w:rPr>
                  <w:rFonts w:ascii="Arial" w:cs="Arial" w:eastAsia="Arial" w:hAnsi="Arial"/>
                  <w:sz w:val="17"/>
                  <w:szCs w:val="17"/>
                  <w:color w:val="0000EE"/>
                  <w:w w:val="93"/>
                </w:rPr>
                <w:t xml:space="preserve"> P</w:t>
              </w:r>
              <w:r>
                <w:rPr>
                  <w:rFonts w:ascii="Arial" w:cs="Arial" w:eastAsia="Arial" w:hAnsi="Arial"/>
                  <w:sz w:val="14"/>
                  <w:szCs w:val="14"/>
                  <w:color w:val="0000EE"/>
                  <w:w w:val="93"/>
                </w:rPr>
                <w:t>ROCEEDS</w:t>
              </w:r>
            </w:hyperlink>
          </w:p>
        </w:tc>
        <w:tc>
          <w:tcPr>
            <w:tcW w:w="880" w:type="dxa"/>
            <w:vAlign w:val="bottom"/>
            <w:gridSpan w:val="2"/>
          </w:tcPr>
          <w:p>
            <w:pPr>
              <w:spacing w:after="0"/>
              <w:rPr>
                <w:sz w:val="16"/>
                <w:szCs w:val="16"/>
                <w:color w:val="auto"/>
              </w:rPr>
            </w:pPr>
          </w:p>
        </w:tc>
        <w:tc>
          <w:tcPr>
            <w:tcW w:w="2880" w:type="dxa"/>
            <w:vAlign w:val="bottom"/>
            <w:gridSpan w:val="4"/>
          </w:tcPr>
          <w:p>
            <w:pPr>
              <w:spacing w:after="0"/>
              <w:rPr>
                <w:sz w:val="16"/>
                <w:szCs w:val="16"/>
                <w:color w:val="auto"/>
              </w:rPr>
            </w:pPr>
          </w:p>
        </w:tc>
        <w:tc>
          <w:tcPr>
            <w:tcW w:w="5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52</w:t>
            </w:r>
          </w:p>
        </w:tc>
        <w:tc>
          <w:tcPr>
            <w:tcW w:w="5280" w:type="dxa"/>
            <w:vAlign w:val="bottom"/>
            <w:gridSpan w:val="14"/>
          </w:tcPr>
          <w:p>
            <w:pPr>
              <w:ind w:left="220"/>
              <w:spacing w:after="0" w:line="189" w:lineRule="exact"/>
              <w:rPr>
                <w:rFonts w:ascii="Arial" w:cs="Arial" w:eastAsia="Arial" w:hAnsi="Arial"/>
                <w:sz w:val="17"/>
                <w:szCs w:val="17"/>
                <w:color w:val="0000EE"/>
              </w:rPr>
            </w:pPr>
            <w:hyperlink w:anchor="page146">
              <w:r>
                <w:rPr>
                  <w:rFonts w:ascii="Arial" w:cs="Arial" w:eastAsia="Arial" w:hAnsi="Arial"/>
                  <w:sz w:val="17"/>
                  <w:szCs w:val="17"/>
                  <w:color w:val="0000EE"/>
                </w:rPr>
                <w:t>S</w:t>
              </w:r>
              <w:r>
                <w:rPr>
                  <w:rFonts w:ascii="Arial" w:cs="Arial" w:eastAsia="Arial" w:hAnsi="Arial"/>
                  <w:sz w:val="14"/>
                  <w:szCs w:val="14"/>
                  <w:color w:val="0000EE"/>
                </w:rPr>
                <w:t>HARES</w:t>
              </w:r>
              <w:r>
                <w:rPr>
                  <w:rFonts w:ascii="Arial" w:cs="Arial" w:eastAsia="Arial" w:hAnsi="Arial"/>
                  <w:sz w:val="17"/>
                  <w:szCs w:val="17"/>
                  <w:color w:val="0000EE"/>
                </w:rPr>
                <w:t xml:space="preserve"> E</w:t>
              </w:r>
              <w:r>
                <w:rPr>
                  <w:rFonts w:ascii="Arial" w:cs="Arial" w:eastAsia="Arial" w:hAnsi="Arial"/>
                  <w:sz w:val="14"/>
                  <w:szCs w:val="14"/>
                  <w:color w:val="0000EE"/>
                </w:rPr>
                <w:t>LIGIBLE FOR</w:t>
              </w:r>
              <w:r>
                <w:rPr>
                  <w:rFonts w:ascii="Arial" w:cs="Arial" w:eastAsia="Arial" w:hAnsi="Arial"/>
                  <w:sz w:val="17"/>
                  <w:szCs w:val="17"/>
                  <w:color w:val="0000EE"/>
                </w:rPr>
                <w:t xml:space="preserve"> F</w:t>
              </w:r>
              <w:r>
                <w:rPr>
                  <w:rFonts w:ascii="Arial" w:cs="Arial" w:eastAsia="Arial" w:hAnsi="Arial"/>
                  <w:sz w:val="14"/>
                  <w:szCs w:val="14"/>
                  <w:color w:val="0000EE"/>
                </w:rPr>
                <w:t>UTURE</w:t>
              </w:r>
              <w:r>
                <w:rPr>
                  <w:rFonts w:ascii="Arial" w:cs="Arial" w:eastAsia="Arial" w:hAnsi="Arial"/>
                  <w:sz w:val="17"/>
                  <w:szCs w:val="17"/>
                  <w:color w:val="0000EE"/>
                </w:rPr>
                <w:t xml:space="preserve"> S</w:t>
              </w:r>
              <w:r>
                <w:rPr>
                  <w:rFonts w:ascii="Arial" w:cs="Arial" w:eastAsia="Arial" w:hAnsi="Arial"/>
                  <w:sz w:val="14"/>
                  <w:szCs w:val="14"/>
                  <w:color w:val="0000EE"/>
                </w:rPr>
                <w:t>ALE</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40" w:type="dxa"/>
            <w:vAlign w:val="bottom"/>
            <w:gridSpan w:val="5"/>
          </w:tcPr>
          <w:p>
            <w:pPr>
              <w:spacing w:after="0" w:line="189" w:lineRule="exact"/>
              <w:rPr>
                <w:rFonts w:ascii="Arial" w:cs="Arial" w:eastAsia="Arial" w:hAnsi="Arial"/>
                <w:sz w:val="17"/>
                <w:szCs w:val="17"/>
                <w:color w:val="0000EE"/>
              </w:rPr>
            </w:pPr>
            <w:hyperlink w:anchor="page56">
              <w:r>
                <w:rPr>
                  <w:rFonts w:ascii="Arial" w:cs="Arial" w:eastAsia="Arial" w:hAnsi="Arial"/>
                  <w:sz w:val="17"/>
                  <w:szCs w:val="17"/>
                  <w:color w:val="0000EE"/>
                </w:rPr>
                <w:t>D</w:t>
              </w:r>
              <w:r>
                <w:rPr>
                  <w:rFonts w:ascii="Arial" w:cs="Arial" w:eastAsia="Arial" w:hAnsi="Arial"/>
                  <w:sz w:val="14"/>
                  <w:szCs w:val="14"/>
                  <w:color w:val="0000EE"/>
                </w:rPr>
                <w:t>IVIDEND</w:t>
              </w:r>
              <w:r>
                <w:rPr>
                  <w:rFonts w:ascii="Arial" w:cs="Arial" w:eastAsia="Arial" w:hAnsi="Arial"/>
                  <w:sz w:val="17"/>
                  <w:szCs w:val="17"/>
                  <w:color w:val="0000EE"/>
                </w:rPr>
                <w:t xml:space="preserve"> P</w:t>
              </w:r>
              <w:r>
                <w:rPr>
                  <w:rFonts w:ascii="Arial" w:cs="Arial" w:eastAsia="Arial" w:hAnsi="Arial"/>
                  <w:sz w:val="14"/>
                  <w:szCs w:val="14"/>
                  <w:color w:val="0000EE"/>
                </w:rPr>
                <w:t>OLICY</w:t>
              </w:r>
            </w:hyperlink>
          </w:p>
        </w:tc>
        <w:tc>
          <w:tcPr>
            <w:tcW w:w="3760" w:type="dxa"/>
            <w:vAlign w:val="bottom"/>
            <w:gridSpan w:val="6"/>
          </w:tcPr>
          <w:p>
            <w:pPr>
              <w:spacing w:after="0"/>
              <w:rPr>
                <w:sz w:val="16"/>
                <w:szCs w:val="16"/>
                <w:color w:val="auto"/>
              </w:rPr>
            </w:pPr>
          </w:p>
        </w:tc>
        <w:tc>
          <w:tcPr>
            <w:tcW w:w="5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53</w:t>
            </w:r>
          </w:p>
        </w:tc>
        <w:tc>
          <w:tcPr>
            <w:tcW w:w="5280" w:type="dxa"/>
            <w:vAlign w:val="bottom"/>
            <w:gridSpan w:val="14"/>
          </w:tcPr>
          <w:p>
            <w:pPr>
              <w:ind w:left="220"/>
              <w:spacing w:after="0" w:line="189" w:lineRule="exact"/>
              <w:rPr>
                <w:rFonts w:ascii="Arial" w:cs="Arial" w:eastAsia="Arial" w:hAnsi="Arial"/>
                <w:sz w:val="17"/>
                <w:szCs w:val="17"/>
                <w:color w:val="0000EE"/>
              </w:rPr>
            </w:pPr>
            <w:hyperlink w:anchor="page148">
              <w:r>
                <w:rPr>
                  <w:rFonts w:ascii="Arial" w:cs="Arial" w:eastAsia="Arial" w:hAnsi="Arial"/>
                  <w:sz w:val="17"/>
                  <w:szCs w:val="17"/>
                  <w:color w:val="0000EE"/>
                </w:rPr>
                <w:t>M</w:t>
              </w:r>
              <w:r>
                <w:rPr>
                  <w:rFonts w:ascii="Arial" w:cs="Arial" w:eastAsia="Arial" w:hAnsi="Arial"/>
                  <w:sz w:val="14"/>
                  <w:szCs w:val="14"/>
                  <w:color w:val="0000EE"/>
                </w:rPr>
                <w:t>ATERIAL</w:t>
              </w:r>
              <w:r>
                <w:rPr>
                  <w:rFonts w:ascii="Arial" w:cs="Arial" w:eastAsia="Arial" w:hAnsi="Arial"/>
                  <w:sz w:val="17"/>
                  <w:szCs w:val="17"/>
                  <w:color w:val="0000EE"/>
                </w:rPr>
                <w:t xml:space="preserve"> U.S. F</w:t>
              </w:r>
              <w:r>
                <w:rPr>
                  <w:rFonts w:ascii="Arial" w:cs="Arial" w:eastAsia="Arial" w:hAnsi="Arial"/>
                  <w:sz w:val="14"/>
                  <w:szCs w:val="14"/>
                  <w:color w:val="0000EE"/>
                </w:rPr>
                <w:t>EDERAL</w:t>
              </w:r>
              <w:r>
                <w:rPr>
                  <w:rFonts w:ascii="Arial" w:cs="Arial" w:eastAsia="Arial" w:hAnsi="Arial"/>
                  <w:sz w:val="17"/>
                  <w:szCs w:val="17"/>
                  <w:color w:val="0000EE"/>
                </w:rPr>
                <w:t xml:space="preserve"> I</w:t>
              </w:r>
              <w:r>
                <w:rPr>
                  <w:rFonts w:ascii="Arial" w:cs="Arial" w:eastAsia="Arial" w:hAnsi="Arial"/>
                  <w:sz w:val="14"/>
                  <w:szCs w:val="14"/>
                  <w:color w:val="0000EE"/>
                </w:rPr>
                <w:t>NCOME</w:t>
              </w:r>
              <w:r>
                <w:rPr>
                  <w:rFonts w:ascii="Arial" w:cs="Arial" w:eastAsia="Arial" w:hAnsi="Arial"/>
                  <w:sz w:val="17"/>
                  <w:szCs w:val="17"/>
                  <w:color w:val="0000EE"/>
                </w:rPr>
                <w:t xml:space="preserve"> T</w:t>
              </w:r>
              <w:r>
                <w:rPr>
                  <w:rFonts w:ascii="Arial" w:cs="Arial" w:eastAsia="Arial" w:hAnsi="Arial"/>
                  <w:sz w:val="14"/>
                  <w:szCs w:val="14"/>
                  <w:color w:val="0000EE"/>
                </w:rPr>
                <w:t>AX</w:t>
              </w:r>
              <w:r>
                <w:rPr>
                  <w:rFonts w:ascii="Arial" w:cs="Arial" w:eastAsia="Arial" w:hAnsi="Arial"/>
                  <w:sz w:val="17"/>
                  <w:szCs w:val="17"/>
                  <w:color w:val="0000EE"/>
                </w:rPr>
                <w:t xml:space="preserve"> C</w:t>
              </w:r>
              <w:r>
                <w:rPr>
                  <w:rFonts w:ascii="Arial" w:cs="Arial" w:eastAsia="Arial" w:hAnsi="Arial"/>
                  <w:sz w:val="14"/>
                  <w:szCs w:val="14"/>
                  <w:color w:val="0000EE"/>
                </w:rPr>
                <w:t>ONSIDERATIONS FOR</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4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57">
              <w:r>
                <w:rPr>
                  <w:rFonts w:ascii="Arial" w:cs="Arial" w:eastAsia="Arial" w:hAnsi="Arial"/>
                  <w:sz w:val="17"/>
                  <w:szCs w:val="17"/>
                  <w:color w:val="0000EE"/>
                </w:rPr>
                <w:t>C</w:t>
              </w:r>
              <w:r>
                <w:rPr>
                  <w:rFonts w:ascii="Arial" w:cs="Arial" w:eastAsia="Arial" w:hAnsi="Arial"/>
                  <w:sz w:val="14"/>
                  <w:szCs w:val="14"/>
                  <w:color w:val="0000EE"/>
                </w:rPr>
                <w:t>APITALIZATION</w:t>
              </w:r>
            </w:hyperlink>
          </w:p>
        </w:tc>
        <w:tc>
          <w:tcPr>
            <w:tcW w:w="3760" w:type="dxa"/>
            <w:vAlign w:val="bottom"/>
            <w:gridSpan w:val="6"/>
          </w:tcPr>
          <w:p>
            <w:pPr>
              <w:spacing w:after="0"/>
              <w:rPr>
                <w:sz w:val="16"/>
                <w:szCs w:val="16"/>
                <w:color w:val="auto"/>
              </w:rPr>
            </w:pPr>
          </w:p>
        </w:tc>
        <w:tc>
          <w:tcPr>
            <w:tcW w:w="5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54</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280" w:type="dxa"/>
            <w:vAlign w:val="bottom"/>
            <w:tcBorders>
              <w:top w:val="single" w:sz="8" w:color="0000EE"/>
            </w:tcBorders>
            <w:gridSpan w:val="10"/>
          </w:tcPr>
          <w:p>
            <w:pPr>
              <w:spacing w:after="0" w:line="189" w:lineRule="exact"/>
              <w:rPr>
                <w:rFonts w:ascii="Arial" w:cs="Arial" w:eastAsia="Arial" w:hAnsi="Arial"/>
                <w:sz w:val="17"/>
                <w:szCs w:val="17"/>
                <w:color w:val="0000EE"/>
              </w:rPr>
            </w:pPr>
            <w:hyperlink w:anchor="page148">
              <w:r>
                <w:rPr>
                  <w:rFonts w:ascii="Arial" w:cs="Arial" w:eastAsia="Arial" w:hAnsi="Arial"/>
                  <w:sz w:val="17"/>
                  <w:szCs w:val="17"/>
                  <w:color w:val="0000EE"/>
                </w:rPr>
                <w:t>N</w:t>
              </w:r>
              <w:r>
                <w:rPr>
                  <w:rFonts w:ascii="Arial" w:cs="Arial" w:eastAsia="Arial" w:hAnsi="Arial"/>
                  <w:sz w:val="14"/>
                  <w:szCs w:val="14"/>
                  <w:color w:val="0000EE"/>
                </w:rPr>
                <w:t>ON</w:t>
              </w:r>
              <w:r>
                <w:rPr>
                  <w:rFonts w:ascii="Arial" w:cs="Arial" w:eastAsia="Arial" w:hAnsi="Arial"/>
                  <w:sz w:val="17"/>
                  <w:szCs w:val="17"/>
                  <w:color w:val="0000EE"/>
                </w:rPr>
                <w:t>-U.S. H</w:t>
              </w:r>
              <w:r>
                <w:rPr>
                  <w:rFonts w:ascii="Arial" w:cs="Arial" w:eastAsia="Arial" w:hAnsi="Arial"/>
                  <w:sz w:val="14"/>
                  <w:szCs w:val="14"/>
                  <w:color w:val="0000EE"/>
                </w:rPr>
                <w:t>OLDERS</w:t>
              </w:r>
            </w:hyperlink>
          </w:p>
        </w:tc>
        <w:tc>
          <w:tcPr>
            <w:tcW w:w="620" w:type="dxa"/>
            <w:vAlign w:val="bottom"/>
            <w:gridSpan w:val="2"/>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00" w:type="dxa"/>
            <w:vAlign w:val="bottom"/>
            <w:gridSpan w:val="4"/>
          </w:tcPr>
          <w:p>
            <w:pPr>
              <w:spacing w:after="0" w:line="189" w:lineRule="exact"/>
              <w:rPr>
                <w:rFonts w:ascii="Arial" w:cs="Arial" w:eastAsia="Arial" w:hAnsi="Arial"/>
                <w:sz w:val="17"/>
                <w:szCs w:val="17"/>
                <w:color w:val="0000EE"/>
              </w:rPr>
            </w:pPr>
            <w:hyperlink w:anchor="page59">
              <w:r>
                <w:rPr>
                  <w:rFonts w:ascii="Arial" w:cs="Arial" w:eastAsia="Arial" w:hAnsi="Arial"/>
                  <w:sz w:val="17"/>
                  <w:szCs w:val="17"/>
                  <w:color w:val="0000EE"/>
                </w:rPr>
                <w:t>D</w:t>
              </w:r>
              <w:r>
                <w:rPr>
                  <w:rFonts w:ascii="Arial" w:cs="Arial" w:eastAsia="Arial" w:hAnsi="Arial"/>
                  <w:sz w:val="14"/>
                  <w:szCs w:val="14"/>
                  <w:color w:val="0000EE"/>
                </w:rPr>
                <w:t>ILUTION</w:t>
              </w:r>
            </w:hyperlink>
          </w:p>
        </w:tc>
        <w:tc>
          <w:tcPr>
            <w:tcW w:w="3900" w:type="dxa"/>
            <w:vAlign w:val="bottom"/>
            <w:gridSpan w:val="7"/>
          </w:tcPr>
          <w:p>
            <w:pPr>
              <w:spacing w:after="0"/>
              <w:rPr>
                <w:sz w:val="16"/>
                <w:szCs w:val="16"/>
                <w:color w:val="auto"/>
              </w:rPr>
            </w:pPr>
          </w:p>
        </w:tc>
        <w:tc>
          <w:tcPr>
            <w:tcW w:w="5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56</w:t>
            </w:r>
          </w:p>
        </w:tc>
        <w:tc>
          <w:tcPr>
            <w:tcW w:w="5280" w:type="dxa"/>
            <w:vAlign w:val="bottom"/>
            <w:gridSpan w:val="14"/>
          </w:tcPr>
          <w:p>
            <w:pPr>
              <w:ind w:left="220"/>
              <w:spacing w:after="0" w:line="189" w:lineRule="exact"/>
              <w:rPr>
                <w:rFonts w:ascii="Arial" w:cs="Arial" w:eastAsia="Arial" w:hAnsi="Arial"/>
                <w:sz w:val="17"/>
                <w:szCs w:val="17"/>
                <w:color w:val="0000EE"/>
              </w:rPr>
            </w:pPr>
            <w:hyperlink w:anchor="page153">
              <w:r>
                <w:rPr>
                  <w:rFonts w:ascii="Arial" w:cs="Arial" w:eastAsia="Arial" w:hAnsi="Arial"/>
                  <w:sz w:val="17"/>
                  <w:szCs w:val="17"/>
                  <w:color w:val="0000EE"/>
                </w:rPr>
                <w:t>U</w:t>
              </w:r>
              <w:r>
                <w:rPr>
                  <w:rFonts w:ascii="Arial" w:cs="Arial" w:eastAsia="Arial" w:hAnsi="Arial"/>
                  <w:sz w:val="14"/>
                  <w:szCs w:val="14"/>
                  <w:color w:val="0000EE"/>
                </w:rPr>
                <w:t>NDERWRITING</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00" w:type="dxa"/>
            <w:vAlign w:val="bottom"/>
            <w:gridSpan w:val="11"/>
          </w:tcPr>
          <w:p>
            <w:pPr>
              <w:spacing w:after="0" w:line="189" w:lineRule="exact"/>
              <w:rPr>
                <w:rFonts w:ascii="Arial" w:cs="Arial" w:eastAsia="Arial" w:hAnsi="Arial"/>
                <w:sz w:val="17"/>
                <w:szCs w:val="17"/>
                <w:color w:val="0000EE"/>
              </w:rPr>
            </w:pPr>
            <w:hyperlink w:anchor="page61">
              <w:r>
                <w:rPr>
                  <w:rFonts w:ascii="Arial" w:cs="Arial" w:eastAsia="Arial" w:hAnsi="Arial"/>
                  <w:sz w:val="17"/>
                  <w:szCs w:val="17"/>
                  <w:color w:val="0000EE"/>
                </w:rPr>
                <w:t>S</w:t>
              </w:r>
              <w:r>
                <w:rPr>
                  <w:rFonts w:ascii="Arial" w:cs="Arial" w:eastAsia="Arial" w:hAnsi="Arial"/>
                  <w:sz w:val="14"/>
                  <w:szCs w:val="14"/>
                  <w:color w:val="0000EE"/>
                </w:rPr>
                <w:t>ELECTED</w:t>
              </w:r>
              <w:r>
                <w:rPr>
                  <w:rFonts w:ascii="Arial" w:cs="Arial" w:eastAsia="Arial" w:hAnsi="Arial"/>
                  <w:sz w:val="17"/>
                  <w:szCs w:val="17"/>
                  <w:color w:val="0000EE"/>
                </w:rPr>
                <w:t xml:space="preserve"> C</w:t>
              </w:r>
              <w:r>
                <w:rPr>
                  <w:rFonts w:ascii="Arial" w:cs="Arial" w:eastAsia="Arial" w:hAnsi="Arial"/>
                  <w:sz w:val="14"/>
                  <w:szCs w:val="14"/>
                  <w:color w:val="0000EE"/>
                </w:rPr>
                <w:t>ONSOLIDATED</w:t>
              </w:r>
              <w:r>
                <w:rPr>
                  <w:rFonts w:ascii="Arial" w:cs="Arial" w:eastAsia="Arial" w:hAnsi="Arial"/>
                  <w:sz w:val="17"/>
                  <w:szCs w:val="17"/>
                  <w:color w:val="0000EE"/>
                </w:rPr>
                <w:t xml:space="preserve"> F</w:t>
              </w:r>
              <w:r>
                <w:rPr>
                  <w:rFonts w:ascii="Arial" w:cs="Arial" w:eastAsia="Arial" w:hAnsi="Arial"/>
                  <w:sz w:val="14"/>
                  <w:szCs w:val="14"/>
                  <w:color w:val="0000EE"/>
                </w:rPr>
                <w:t>INANCIAL</w:t>
              </w:r>
              <w:r>
                <w:rPr>
                  <w:rFonts w:ascii="Arial" w:cs="Arial" w:eastAsia="Arial" w:hAnsi="Arial"/>
                  <w:sz w:val="17"/>
                  <w:szCs w:val="17"/>
                  <w:color w:val="0000EE"/>
                </w:rPr>
                <w:t xml:space="preserve"> D</w:t>
              </w:r>
              <w:r>
                <w:rPr>
                  <w:rFonts w:ascii="Arial" w:cs="Arial" w:eastAsia="Arial" w:hAnsi="Arial"/>
                  <w:sz w:val="14"/>
                  <w:szCs w:val="14"/>
                  <w:color w:val="0000EE"/>
                </w:rPr>
                <w:t>ATA</w:t>
              </w:r>
            </w:hyperlink>
          </w:p>
        </w:tc>
        <w:tc>
          <w:tcPr>
            <w:tcW w:w="5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58</w:t>
            </w:r>
          </w:p>
        </w:tc>
        <w:tc>
          <w:tcPr>
            <w:tcW w:w="5280" w:type="dxa"/>
            <w:vAlign w:val="bottom"/>
            <w:gridSpan w:val="14"/>
          </w:tcPr>
          <w:p>
            <w:pPr>
              <w:ind w:left="220"/>
              <w:spacing w:after="0" w:line="189" w:lineRule="exact"/>
              <w:rPr>
                <w:rFonts w:ascii="Arial" w:cs="Arial" w:eastAsia="Arial" w:hAnsi="Arial"/>
                <w:sz w:val="17"/>
                <w:szCs w:val="17"/>
                <w:color w:val="0000EE"/>
              </w:rPr>
            </w:pPr>
            <w:hyperlink w:anchor="page164">
              <w:r>
                <w:rPr>
                  <w:rFonts w:ascii="Arial" w:cs="Arial" w:eastAsia="Arial" w:hAnsi="Arial"/>
                  <w:sz w:val="17"/>
                  <w:szCs w:val="17"/>
                  <w:color w:val="0000EE"/>
                </w:rPr>
                <w:t>L</w:t>
              </w:r>
              <w:r>
                <w:rPr>
                  <w:rFonts w:ascii="Arial" w:cs="Arial" w:eastAsia="Arial" w:hAnsi="Arial"/>
                  <w:sz w:val="14"/>
                  <w:szCs w:val="14"/>
                  <w:color w:val="0000EE"/>
                </w:rPr>
                <w:t>EGAL</w:t>
              </w:r>
              <w:r>
                <w:rPr>
                  <w:rFonts w:ascii="Arial" w:cs="Arial" w:eastAsia="Arial" w:hAnsi="Arial"/>
                  <w:sz w:val="17"/>
                  <w:szCs w:val="17"/>
                  <w:color w:val="0000EE"/>
                </w:rPr>
                <w:t xml:space="preserve"> M</w:t>
              </w:r>
              <w:r>
                <w:rPr>
                  <w:rFonts w:ascii="Arial" w:cs="Arial" w:eastAsia="Arial" w:hAnsi="Arial"/>
                  <w:sz w:val="14"/>
                  <w:szCs w:val="14"/>
                  <w:color w:val="0000EE"/>
                </w:rPr>
                <w:t>ATTERS</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gridSpan w:val="9"/>
          </w:tcPr>
          <w:p>
            <w:pPr>
              <w:spacing w:after="0" w:line="189" w:lineRule="exact"/>
              <w:rPr>
                <w:rFonts w:ascii="Arial" w:cs="Arial" w:eastAsia="Arial" w:hAnsi="Arial"/>
                <w:sz w:val="17"/>
                <w:szCs w:val="17"/>
                <w:color w:val="0000EE"/>
              </w:rPr>
            </w:pPr>
            <w:hyperlink w:anchor="page63">
              <w:r>
                <w:rPr>
                  <w:rFonts w:ascii="Arial" w:cs="Arial" w:eastAsia="Arial" w:hAnsi="Arial"/>
                  <w:sz w:val="17"/>
                  <w:szCs w:val="17"/>
                  <w:color w:val="0000EE"/>
                </w:rPr>
                <w:t>M</w:t>
              </w:r>
              <w:r>
                <w:rPr>
                  <w:rFonts w:ascii="Arial" w:cs="Arial" w:eastAsia="Arial" w:hAnsi="Arial"/>
                  <w:sz w:val="14"/>
                  <w:szCs w:val="14"/>
                  <w:color w:val="0000EE"/>
                </w:rPr>
                <w:t>ANAGEMENT</w:t>
              </w:r>
              <w:r>
                <w:rPr>
                  <w:rFonts w:ascii="Arial" w:cs="Arial" w:eastAsia="Arial" w:hAnsi="Arial"/>
                  <w:sz w:val="17"/>
                  <w:szCs w:val="17"/>
                  <w:color w:val="0000EE"/>
                </w:rPr>
                <w:t>’</w:t>
              </w:r>
              <w:r>
                <w:rPr>
                  <w:rFonts w:ascii="Arial" w:cs="Arial" w:eastAsia="Arial" w:hAnsi="Arial"/>
                  <w:sz w:val="14"/>
                  <w:szCs w:val="14"/>
                  <w:color w:val="0000EE"/>
                </w:rPr>
                <w:t>S</w:t>
              </w:r>
              <w:r>
                <w:rPr>
                  <w:rFonts w:ascii="Arial" w:cs="Arial" w:eastAsia="Arial" w:hAnsi="Arial"/>
                  <w:sz w:val="17"/>
                  <w:szCs w:val="17"/>
                  <w:color w:val="0000EE"/>
                </w:rPr>
                <w:t xml:space="preserve"> D</w:t>
              </w:r>
              <w:r>
                <w:rPr>
                  <w:rFonts w:ascii="Arial" w:cs="Arial" w:eastAsia="Arial" w:hAnsi="Arial"/>
                  <w:sz w:val="14"/>
                  <w:szCs w:val="14"/>
                  <w:color w:val="0000EE"/>
                </w:rPr>
                <w:t>ISCUSSION AND</w:t>
              </w:r>
              <w:r>
                <w:rPr>
                  <w:rFonts w:ascii="Arial" w:cs="Arial" w:eastAsia="Arial" w:hAnsi="Arial"/>
                  <w:sz w:val="17"/>
                  <w:szCs w:val="17"/>
                  <w:color w:val="0000EE"/>
                </w:rPr>
                <w:t xml:space="preserve"> A</w:t>
              </w:r>
              <w:r>
                <w:rPr>
                  <w:rFonts w:ascii="Arial" w:cs="Arial" w:eastAsia="Arial" w:hAnsi="Arial"/>
                  <w:sz w:val="14"/>
                  <w:szCs w:val="14"/>
                  <w:color w:val="0000EE"/>
                </w:rPr>
                <w:t>NALYSIS OF</w:t>
              </w:r>
              <w:r>
                <w:rPr>
                  <w:rFonts w:ascii="Arial" w:cs="Arial" w:eastAsia="Arial" w:hAnsi="Arial"/>
                  <w:sz w:val="17"/>
                  <w:szCs w:val="17"/>
                  <w:color w:val="0000EE"/>
                </w:rPr>
                <w:t xml:space="preserve"> F</w:t>
              </w:r>
              <w:r>
                <w:rPr>
                  <w:rFonts w:ascii="Arial" w:cs="Arial" w:eastAsia="Arial" w:hAnsi="Arial"/>
                  <w:sz w:val="14"/>
                  <w:szCs w:val="14"/>
                  <w:color w:val="0000EE"/>
                </w:rPr>
                <w:t>INANCIAL</w:t>
              </w:r>
            </w:hyperlink>
          </w:p>
        </w:tc>
        <w:tc>
          <w:tcPr>
            <w:tcW w:w="7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80" w:type="dxa"/>
            <w:vAlign w:val="bottom"/>
            <w:gridSpan w:val="14"/>
          </w:tcPr>
          <w:p>
            <w:pPr>
              <w:ind w:left="220"/>
              <w:spacing w:after="0" w:line="189" w:lineRule="exact"/>
              <w:rPr>
                <w:rFonts w:ascii="Arial" w:cs="Arial" w:eastAsia="Arial" w:hAnsi="Arial"/>
                <w:sz w:val="17"/>
                <w:szCs w:val="17"/>
                <w:color w:val="0000EE"/>
              </w:rPr>
            </w:pPr>
            <w:hyperlink w:anchor="page164">
              <w:r>
                <w:rPr>
                  <w:rFonts w:ascii="Arial" w:cs="Arial" w:eastAsia="Arial" w:hAnsi="Arial"/>
                  <w:sz w:val="17"/>
                  <w:szCs w:val="17"/>
                  <w:color w:val="0000EE"/>
                </w:rPr>
                <w:t>E</w:t>
              </w:r>
              <w:r>
                <w:rPr>
                  <w:rFonts w:ascii="Arial" w:cs="Arial" w:eastAsia="Arial" w:hAnsi="Arial"/>
                  <w:sz w:val="14"/>
                  <w:szCs w:val="14"/>
                  <w:color w:val="0000EE"/>
                </w:rPr>
                <w:t>XPERTS</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114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3020" w:type="dxa"/>
            <w:vAlign w:val="bottom"/>
            <w:gridSpan w:val="7"/>
          </w:tcPr>
          <w:p>
            <w:pPr>
              <w:spacing w:after="0" w:line="189" w:lineRule="exact"/>
              <w:rPr>
                <w:rFonts w:ascii="Arial" w:cs="Arial" w:eastAsia="Arial" w:hAnsi="Arial"/>
                <w:sz w:val="17"/>
                <w:szCs w:val="17"/>
                <w:color w:val="0000EE"/>
                <w:w w:val="96"/>
              </w:rPr>
            </w:pPr>
            <w:hyperlink w:anchor="page63">
              <w:r>
                <w:rPr>
                  <w:rFonts w:ascii="Arial" w:cs="Arial" w:eastAsia="Arial" w:hAnsi="Arial"/>
                  <w:sz w:val="17"/>
                  <w:szCs w:val="17"/>
                  <w:color w:val="0000EE"/>
                  <w:w w:val="96"/>
                </w:rPr>
                <w:t>C</w:t>
              </w:r>
              <w:r>
                <w:rPr>
                  <w:rFonts w:ascii="Arial" w:cs="Arial" w:eastAsia="Arial" w:hAnsi="Arial"/>
                  <w:sz w:val="14"/>
                  <w:szCs w:val="14"/>
                  <w:color w:val="0000EE"/>
                  <w:w w:val="96"/>
                </w:rPr>
                <w:t>ONDITION AND</w:t>
              </w:r>
              <w:r>
                <w:rPr>
                  <w:rFonts w:ascii="Arial" w:cs="Arial" w:eastAsia="Arial" w:hAnsi="Arial"/>
                  <w:sz w:val="17"/>
                  <w:szCs w:val="17"/>
                  <w:color w:val="0000EE"/>
                  <w:w w:val="96"/>
                </w:rPr>
                <w:t xml:space="preserve"> R</w:t>
              </w:r>
              <w:r>
                <w:rPr>
                  <w:rFonts w:ascii="Arial" w:cs="Arial" w:eastAsia="Arial" w:hAnsi="Arial"/>
                  <w:sz w:val="14"/>
                  <w:szCs w:val="14"/>
                  <w:color w:val="0000EE"/>
                  <w:w w:val="96"/>
                </w:rPr>
                <w:t>ESULTS OF</w:t>
              </w:r>
              <w:r>
                <w:rPr>
                  <w:rFonts w:ascii="Arial" w:cs="Arial" w:eastAsia="Arial" w:hAnsi="Arial"/>
                  <w:sz w:val="17"/>
                  <w:szCs w:val="17"/>
                  <w:color w:val="0000EE"/>
                  <w:w w:val="96"/>
                </w:rPr>
                <w:t xml:space="preserve"> O</w:t>
              </w:r>
              <w:r>
                <w:rPr>
                  <w:rFonts w:ascii="Arial" w:cs="Arial" w:eastAsia="Arial" w:hAnsi="Arial"/>
                  <w:sz w:val="14"/>
                  <w:szCs w:val="14"/>
                  <w:color w:val="0000EE"/>
                  <w:w w:val="96"/>
                </w:rPr>
                <w:t>PERATIONS</w:t>
              </w:r>
            </w:hyperlink>
          </w:p>
        </w:tc>
        <w:tc>
          <w:tcPr>
            <w:tcW w:w="114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5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60</w:t>
            </w:r>
          </w:p>
        </w:tc>
        <w:tc>
          <w:tcPr>
            <w:tcW w:w="5280" w:type="dxa"/>
            <w:vAlign w:val="bottom"/>
            <w:gridSpan w:val="14"/>
          </w:tcPr>
          <w:p>
            <w:pPr>
              <w:ind w:left="220"/>
              <w:spacing w:after="0" w:line="189" w:lineRule="exact"/>
              <w:rPr>
                <w:rFonts w:ascii="Arial" w:cs="Arial" w:eastAsia="Arial" w:hAnsi="Arial"/>
                <w:sz w:val="17"/>
                <w:szCs w:val="17"/>
                <w:color w:val="0000EE"/>
              </w:rPr>
            </w:pPr>
            <w:hyperlink w:anchor="page164">
              <w:r>
                <w:rPr>
                  <w:rFonts w:ascii="Arial" w:cs="Arial" w:eastAsia="Arial" w:hAnsi="Arial"/>
                  <w:sz w:val="17"/>
                  <w:szCs w:val="17"/>
                  <w:color w:val="0000EE"/>
                </w:rPr>
                <w:t>A</w:t>
              </w:r>
              <w:r>
                <w:rPr>
                  <w:rFonts w:ascii="Arial" w:cs="Arial" w:eastAsia="Arial" w:hAnsi="Arial"/>
                  <w:sz w:val="14"/>
                  <w:szCs w:val="14"/>
                  <w:color w:val="0000EE"/>
                </w:rPr>
                <w:t>DDITIONAL</w:t>
              </w:r>
              <w:r>
                <w:rPr>
                  <w:rFonts w:ascii="Arial" w:cs="Arial" w:eastAsia="Arial" w:hAnsi="Arial"/>
                  <w:sz w:val="17"/>
                  <w:szCs w:val="17"/>
                  <w:color w:val="0000EE"/>
                </w:rPr>
                <w:t xml:space="preserve"> I</w:t>
              </w:r>
              <w:r>
                <w:rPr>
                  <w:rFonts w:ascii="Arial" w:cs="Arial" w:eastAsia="Arial" w:hAnsi="Arial"/>
                  <w:sz w:val="14"/>
                  <w:szCs w:val="14"/>
                  <w:color w:val="0000EE"/>
                </w:rPr>
                <w:t>NFORMATION</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0" w:type="dxa"/>
            <w:vAlign w:val="bottom"/>
            <w:gridSpan w:val="2"/>
          </w:tcPr>
          <w:p>
            <w:pPr>
              <w:spacing w:after="0" w:line="189" w:lineRule="exact"/>
              <w:rPr>
                <w:rFonts w:ascii="Arial" w:cs="Arial" w:eastAsia="Arial" w:hAnsi="Arial"/>
                <w:sz w:val="17"/>
                <w:szCs w:val="17"/>
                <w:color w:val="0000EE"/>
                <w:w w:val="96"/>
              </w:rPr>
            </w:pPr>
            <w:hyperlink w:anchor="page78">
              <w:r>
                <w:rPr>
                  <w:rFonts w:ascii="Arial" w:cs="Arial" w:eastAsia="Arial" w:hAnsi="Arial"/>
                  <w:sz w:val="17"/>
                  <w:szCs w:val="17"/>
                  <w:color w:val="0000EE"/>
                  <w:w w:val="96"/>
                </w:rPr>
                <w:t>B</w:t>
              </w:r>
              <w:r>
                <w:rPr>
                  <w:rFonts w:ascii="Arial" w:cs="Arial" w:eastAsia="Arial" w:hAnsi="Arial"/>
                  <w:sz w:val="14"/>
                  <w:szCs w:val="14"/>
                  <w:color w:val="0000EE"/>
                  <w:w w:val="96"/>
                </w:rPr>
                <w:t>USINESS</w:t>
              </w:r>
            </w:hyperlink>
          </w:p>
        </w:tc>
        <w:tc>
          <w:tcPr>
            <w:tcW w:w="4380" w:type="dxa"/>
            <w:vAlign w:val="bottom"/>
            <w:gridSpan w:val="9"/>
          </w:tcPr>
          <w:p>
            <w:pPr>
              <w:spacing w:after="0"/>
              <w:rPr>
                <w:sz w:val="16"/>
                <w:szCs w:val="16"/>
                <w:color w:val="auto"/>
              </w:rPr>
            </w:pPr>
          </w:p>
        </w:tc>
        <w:tc>
          <w:tcPr>
            <w:tcW w:w="5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75</w:t>
            </w:r>
          </w:p>
        </w:tc>
        <w:tc>
          <w:tcPr>
            <w:tcW w:w="5280" w:type="dxa"/>
            <w:vAlign w:val="bottom"/>
            <w:gridSpan w:val="14"/>
          </w:tcPr>
          <w:p>
            <w:pPr>
              <w:ind w:left="220"/>
              <w:spacing w:after="0" w:line="189" w:lineRule="exact"/>
              <w:rPr>
                <w:rFonts w:ascii="Arial" w:cs="Arial" w:eastAsia="Arial" w:hAnsi="Arial"/>
                <w:sz w:val="17"/>
                <w:szCs w:val="17"/>
                <w:color w:val="0000EE"/>
              </w:rPr>
            </w:pPr>
            <w:hyperlink w:anchor="page165">
              <w:r>
                <w:rPr>
                  <w:rFonts w:ascii="Arial" w:cs="Arial" w:eastAsia="Arial" w:hAnsi="Arial"/>
                  <w:sz w:val="17"/>
                  <w:szCs w:val="17"/>
                  <w:color w:val="0000EE"/>
                </w:rPr>
                <w:t>I</w:t>
              </w:r>
              <w:r>
                <w:rPr>
                  <w:rFonts w:ascii="Arial" w:cs="Arial" w:eastAsia="Arial" w:hAnsi="Arial"/>
                  <w:sz w:val="14"/>
                  <w:szCs w:val="14"/>
                  <w:color w:val="0000EE"/>
                </w:rPr>
                <w:t>NDEX TO</w:t>
              </w:r>
              <w:r>
                <w:rPr>
                  <w:rFonts w:ascii="Arial" w:cs="Arial" w:eastAsia="Arial" w:hAnsi="Arial"/>
                  <w:sz w:val="17"/>
                  <w:szCs w:val="17"/>
                  <w:color w:val="0000EE"/>
                </w:rPr>
                <w:t xml:space="preserve"> C</w:t>
              </w:r>
              <w:r>
                <w:rPr>
                  <w:rFonts w:ascii="Arial" w:cs="Arial" w:eastAsia="Arial" w:hAnsi="Arial"/>
                  <w:sz w:val="14"/>
                  <w:szCs w:val="14"/>
                  <w:color w:val="0000EE"/>
                </w:rPr>
                <w:t>ONSOLIDATED</w:t>
              </w:r>
              <w:r>
                <w:rPr>
                  <w:rFonts w:ascii="Arial" w:cs="Arial" w:eastAsia="Arial" w:hAnsi="Arial"/>
                  <w:sz w:val="17"/>
                  <w:szCs w:val="17"/>
                  <w:color w:val="0000EE"/>
                </w:rPr>
                <w:t xml:space="preserve"> F</w:t>
              </w:r>
              <w:r>
                <w:rPr>
                  <w:rFonts w:ascii="Arial" w:cs="Arial" w:eastAsia="Arial" w:hAnsi="Arial"/>
                  <w:sz w:val="14"/>
                  <w:szCs w:val="14"/>
                  <w:color w:val="0000EE"/>
                </w:rPr>
                <w:t>INANCIAL</w:t>
              </w:r>
              <w:r>
                <w:rPr>
                  <w:rFonts w:ascii="Arial" w:cs="Arial" w:eastAsia="Arial" w:hAnsi="Arial"/>
                  <w:sz w:val="17"/>
                  <w:szCs w:val="17"/>
                  <w:color w:val="0000EE"/>
                </w:rPr>
                <w:t xml:space="preserve"> S</w:t>
              </w:r>
              <w:r>
                <w:rPr>
                  <w:rFonts w:ascii="Arial" w:cs="Arial" w:eastAsia="Arial" w:hAnsi="Arial"/>
                  <w:sz w:val="14"/>
                  <w:szCs w:val="14"/>
                  <w:color w:val="0000EE"/>
                </w:rPr>
                <w:t>TATEMENTS</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324485</wp:posOffset>
            </wp:positionV>
            <wp:extent cx="15297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Through and including , 2016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1"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400"/>
          </w:cols>
          <w:pgMar w:left="240" w:top="449" w:right="25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0275" cy="4236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PROSPECTUS SUMMARY</w:t>
      </w:r>
    </w:p>
    <w:p>
      <w:pPr>
        <w:spacing w:after="0" w:line="230" w:lineRule="exact"/>
        <w:rPr>
          <w:sz w:val="20"/>
          <w:szCs w:val="20"/>
          <w:color w:val="auto"/>
        </w:rPr>
      </w:pPr>
    </w:p>
    <w:p>
      <w:pPr>
        <w:ind w:left="200"/>
        <w:spacing w:after="0" w:line="265"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left="200" w:right="40" w:firstLine="443"/>
        <w:spacing w:after="0" w:line="300" w:lineRule="auto"/>
        <w:rPr>
          <w:sz w:val="20"/>
          <w:szCs w:val="20"/>
          <w:color w:val="auto"/>
        </w:rPr>
      </w:pPr>
      <w:r>
        <w:rPr>
          <w:rFonts w:ascii="Arial" w:cs="Arial" w:eastAsia="Arial" w:hAnsi="Arial"/>
          <w:sz w:val="15"/>
          <w:szCs w:val="15"/>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Arial" w:cs="Arial" w:eastAsia="Arial" w:hAnsi="Arial"/>
          <w:sz w:val="15"/>
          <w:szCs w:val="15"/>
          <w:i w:val="1"/>
          <w:iCs w:val="1"/>
          <w:color w:val="auto"/>
        </w:rPr>
        <w:t>in vitro</w:t>
      </w:r>
      <w:r>
        <w:rPr>
          <w:rFonts w:ascii="Arial" w:cs="Arial" w:eastAsia="Arial" w:hAnsi="Arial"/>
          <w:sz w:val="15"/>
          <w:szCs w:val="15"/>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antibody programs, ANB020 and ANB019, bind to therapeutic targets that are genetically associated with severe inflammatory disorders. ANB020 is an antibody that inhibits the activity of interleukin-33 for the treatment of severe adult asthma and severe adult peanut allergy. We submitted a Clinical Trial Notification, or CTN, in Australia for ANB020 in December 2015 and plan to initiate clinical trials in the first half of 2016. ANB019 is an antibody that inhibits the interleukin-36 receptor for the treatment of rare inflammatory diseases called generalized pustular psoriasis (GPP) and palmo-plantar pustular psoriasis (PPP). We plan to submit a CTN and commence clinical trials for ANB019 by the end of 2016.</w:t>
      </w:r>
    </w:p>
    <w:p>
      <w:pPr>
        <w:spacing w:after="0" w:line="155" w:lineRule="exact"/>
        <w:rPr>
          <w:sz w:val="20"/>
          <w:szCs w:val="20"/>
          <w:color w:val="auto"/>
        </w:rPr>
      </w:pPr>
    </w:p>
    <w:p>
      <w:pPr>
        <w:jc w:val="both"/>
        <w:ind w:left="200" w:right="100" w:firstLine="443"/>
        <w:spacing w:after="0" w:line="267" w:lineRule="auto"/>
        <w:rPr>
          <w:sz w:val="20"/>
          <w:szCs w:val="20"/>
          <w:color w:val="auto"/>
        </w:rPr>
      </w:pPr>
      <w:r>
        <w:rPr>
          <w:rFonts w:ascii="Arial" w:cs="Arial" w:eastAsia="Arial" w:hAnsi="Arial"/>
          <w:sz w:val="17"/>
          <w:szCs w:val="17"/>
          <w:color w:val="auto"/>
        </w:rPr>
        <w:t>Our company is led by a strong management team with a proven track record of successfully growing biotechnology companies with deep experience in antibody discovery and development, collaborations, operations and corporate finance. Through November 30, 2015, we have raised approximately $94.2 million from investors, including Biotechnology Value Fund, Cormorant Asset Management, Frazier Healthcare, HBM Partners, Longwood Capital Partners and Novo A/S.</w:t>
      </w:r>
    </w:p>
    <w:p>
      <w:pPr>
        <w:spacing w:after="0" w:line="178" w:lineRule="exact"/>
        <w:rPr>
          <w:sz w:val="20"/>
          <w:szCs w:val="20"/>
          <w:color w:val="auto"/>
        </w:rPr>
      </w:pPr>
    </w:p>
    <w:p>
      <w:pPr>
        <w:ind w:left="200" w:right="80" w:firstLine="443"/>
        <w:spacing w:after="0" w:line="267" w:lineRule="auto"/>
        <w:rPr>
          <w:sz w:val="20"/>
          <w:szCs w:val="20"/>
          <w:color w:val="auto"/>
        </w:rPr>
      </w:pPr>
      <w:r>
        <w:rPr>
          <w:rFonts w:ascii="Arial" w:cs="Arial" w:eastAsia="Arial" w:hAnsi="Arial"/>
          <w:sz w:val="17"/>
          <w:szCs w:val="17"/>
          <w:color w:val="auto"/>
        </w:rPr>
        <w:t>In addition to our wholly-owned antibody programs, we expect four programs will be advanced by our collaborators to the clinic by the end of 2016. Our collaborations include an immuno-oncology-focused collaboration with TESARO, Inc. and TESARO Development, Ltd., or collectively, TESARO, and an inflammation-focused collaboration with Celgene Corporation, or Celgene. Through November 30, 2015, we have received non-dilutive funding of $51.6 million from our collaborators.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240" w:top="449" w:right="41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6315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0275" cy="6315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Product Candidates</w:t>
      </w:r>
    </w:p>
    <w:p>
      <w:pPr>
        <w:spacing w:after="0" w:line="125" w:lineRule="exact"/>
        <w:rPr>
          <w:sz w:val="20"/>
          <w:szCs w:val="20"/>
          <w:color w:val="auto"/>
        </w:rPr>
      </w:pPr>
    </w:p>
    <w:p>
      <w:pPr>
        <w:ind w:left="200" w:right="20" w:firstLine="443"/>
        <w:spacing w:after="0" w:line="359" w:lineRule="auto"/>
        <w:rPr>
          <w:sz w:val="20"/>
          <w:szCs w:val="20"/>
          <w:color w:val="auto"/>
        </w:rPr>
      </w:pPr>
      <w:r>
        <w:rPr>
          <w:rFonts w:ascii="Arial" w:cs="Arial" w:eastAsia="Arial" w:hAnsi="Arial"/>
          <w:sz w:val="15"/>
          <w:szCs w:val="15"/>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hanging="327"/>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Proof-of-concept, or POC, indicates initial efficacy data in a patient population.</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most advanced, wholly-owned product candidates are summarized below:</w:t>
      </w:r>
    </w:p>
    <w:p>
      <w:pPr>
        <w:spacing w:after="0" w:line="126" w:lineRule="exact"/>
        <w:rPr>
          <w:sz w:val="20"/>
          <w:szCs w:val="20"/>
          <w:color w:val="auto"/>
        </w:rPr>
      </w:pPr>
    </w:p>
    <w:p>
      <w:pPr>
        <w:ind w:left="1060" w:hanging="317"/>
        <w:spacing w:after="0" w:line="278"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an antibody that inhibits the activity of interleukin-33, or IL-33, a pro-inflammatory cytokine that multiple studies have indicated is a</w:t>
      </w:r>
      <w:r>
        <w:rPr>
          <w:rFonts w:ascii="Arial" w:cs="Arial" w:eastAsia="Arial" w:hAnsi="Arial"/>
          <w:sz w:val="16"/>
          <w:szCs w:val="16"/>
          <w:b w:val="1"/>
          <w:bCs w:val="1"/>
          <w:color w:val="auto"/>
        </w:rPr>
        <w:t xml:space="preserve"> </w:t>
      </w:r>
      <w:r>
        <w:rPr>
          <w:rFonts w:ascii="Arial" w:cs="Arial" w:eastAsia="Arial" w:hAnsi="Arial"/>
          <w:sz w:val="16"/>
          <w:szCs w:val="16"/>
          <w:color w:val="auto"/>
        </w:rPr>
        <w:t>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We believe ANB020 is potentially the first-in-class therapy targeting IL-33. In December 2015, we submitted a CTN for ANB020, the approval of which will allow us to commence a Phase 1 healthy volunteer trial in Australia in the first half of 2016, followed by patient trials in severe adult asthma and severe adult peanut allergy in other countries, including the United States after submitting an Investigational New Drug application, or IND, to the U.S. Food and Drug Administration, or FDA. We estimate, based on our analysis of publicly available data sources and interviews with physicians and key opinion leaders in the field, that asthma affects approximately 7.7% of the adult U.S. population, or approximately 19.0 million individuals, of which 19%, or approximately 3.6 million have severe, persistent occurrence of this respiratory disease. Peanut allergy is the most common cause of food-induced allergy in the United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49" w:right="3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558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0275" cy="55587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080" w:right="120"/>
        <w:spacing w:after="0" w:line="297" w:lineRule="auto"/>
        <w:rPr>
          <w:sz w:val="20"/>
          <w:szCs w:val="20"/>
          <w:color w:val="auto"/>
        </w:rPr>
      </w:pPr>
      <w:r>
        <w:rPr>
          <w:rFonts w:ascii="Arial" w:cs="Arial" w:eastAsia="Arial" w:hAnsi="Arial"/>
          <w:sz w:val="16"/>
          <w:szCs w:val="16"/>
          <w:color w:val="auto"/>
        </w:rPr>
        <w:t>States. Based on our analysis of publicly available data sources and interviews with physicians and key opinion leaders in the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w:t>
      </w:r>
    </w:p>
    <w:p>
      <w:pPr>
        <w:spacing w:after="0" w:line="57" w:lineRule="exact"/>
        <w:rPr>
          <w:sz w:val="20"/>
          <w:szCs w:val="20"/>
          <w:color w:val="auto"/>
        </w:rPr>
      </w:pPr>
    </w:p>
    <w:p>
      <w:pPr>
        <w:ind w:left="1060" w:hanging="317"/>
        <w:spacing w:after="0" w:line="280"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the interleukin-36-receptor, or IL-36R, which we are initially developing as a potential first-in-class therapy for GPP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We believe ANB019 is the most advanced therapeutic antibody targeting the IL-36R in development. We anticipate filing an Australian CTN for ANB019 by the end of 2016, the approval of which would allow us to initiate Phase 1 trials in Australia by the end of 2016.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The Advantages of Our SHM-XEL Platform</w:t>
      </w:r>
    </w:p>
    <w:p>
      <w:pPr>
        <w:spacing w:after="0" w:line="125" w:lineRule="exact"/>
        <w:rPr>
          <w:sz w:val="20"/>
          <w:szCs w:val="20"/>
          <w:color w:val="auto"/>
        </w:rPr>
      </w:pPr>
    </w:p>
    <w:p>
      <w:pPr>
        <w:ind w:left="200" w:right="160" w:firstLine="443"/>
        <w:spacing w:after="0" w:line="265" w:lineRule="auto"/>
        <w:rPr>
          <w:sz w:val="20"/>
          <w:szCs w:val="20"/>
          <w:color w:val="auto"/>
        </w:rPr>
      </w:pPr>
      <w:r>
        <w:rPr>
          <w:rFonts w:ascii="Arial" w:cs="Arial" w:eastAsia="Arial" w:hAnsi="Arial"/>
          <w:sz w:val="17"/>
          <w:szCs w:val="17"/>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80" w:lineRule="exact"/>
        <w:rPr>
          <w:sz w:val="20"/>
          <w:szCs w:val="20"/>
          <w:color w:val="auto"/>
        </w:rPr>
      </w:pPr>
    </w:p>
    <w:p>
      <w:pPr>
        <w:ind w:left="1060" w:right="440" w:hanging="317"/>
        <w:spacing w:after="0" w:line="27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Diversity against difficult targets. </w:t>
      </w:r>
      <w:r>
        <w:rPr>
          <w:rFonts w:ascii="Arial" w:cs="Arial" w:eastAsia="Arial" w:hAnsi="Arial"/>
          <w:sz w:val="17"/>
          <w:szCs w:val="17"/>
          <w:color w:val="auto"/>
        </w:rPr>
        <w:t>By applying SHM without the constraints of an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 we are able to generate an</w:t>
      </w:r>
      <w:r>
        <w:rPr>
          <w:rFonts w:ascii="Arial" w:cs="Arial" w:eastAsia="Arial" w:hAnsi="Arial"/>
          <w:sz w:val="17"/>
          <w:szCs w:val="17"/>
          <w:b w:val="1"/>
          <w:bCs w:val="1"/>
          <w:color w:val="auto"/>
        </w:rPr>
        <w:t xml:space="preserve"> </w:t>
      </w:r>
      <w:r>
        <w:rPr>
          <w:rFonts w:ascii="Arial" w:cs="Arial" w:eastAsia="Arial" w:hAnsi="Arial"/>
          <w:sz w:val="17"/>
          <w:szCs w:val="17"/>
          <w:color w:val="auto"/>
        </w:rPr>
        <w:t>unprecedented diversity of antibodies. This enables us to develop antibodies against human targets that we believe have not otherwise been accessible to other technologies.</w:t>
      </w:r>
    </w:p>
    <w:p>
      <w:pPr>
        <w:spacing w:after="0" w:line="72" w:lineRule="exact"/>
        <w:rPr>
          <w:rFonts w:ascii="Arial" w:cs="Arial" w:eastAsia="Arial" w:hAnsi="Arial"/>
          <w:sz w:val="17"/>
          <w:szCs w:val="17"/>
          <w:color w:val="auto"/>
        </w:rPr>
      </w:pPr>
    </w:p>
    <w:p>
      <w:pPr>
        <w:ind w:left="1060" w:right="60" w:hanging="317"/>
        <w:spacing w:after="0" w:line="29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54" w:lineRule="exact"/>
        <w:rPr>
          <w:rFonts w:ascii="Arial" w:cs="Arial" w:eastAsia="Arial" w:hAnsi="Arial"/>
          <w:sz w:val="17"/>
          <w:szCs w:val="17"/>
          <w:color w:val="auto"/>
        </w:rPr>
      </w:pPr>
    </w:p>
    <w:p>
      <w:pPr>
        <w:ind w:left="1060" w:right="200" w:hanging="317"/>
        <w:spacing w:after="0" w:line="27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Functional activity selection. </w:t>
      </w:r>
      <w:r>
        <w:rPr>
          <w:rFonts w:ascii="Arial" w:cs="Arial" w:eastAsia="Arial" w:hAnsi="Arial"/>
          <w:sz w:val="17"/>
          <w:szCs w:val="17"/>
          <w:color w:val="auto"/>
        </w:rPr>
        <w:t>Our mammalian cell system simultaneously displays and secretes antibodies during the antibody discovery</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allowing us to incorporate functional assays throughout the process and focus on product candidates that are optimized for the desired therapeutic activity.</w:t>
      </w:r>
    </w:p>
    <w:p>
      <w:pPr>
        <w:spacing w:after="0" w:line="72" w:lineRule="exact"/>
        <w:rPr>
          <w:rFonts w:ascii="Arial" w:cs="Arial" w:eastAsia="Arial" w:hAnsi="Arial"/>
          <w:sz w:val="17"/>
          <w:szCs w:val="17"/>
          <w:color w:val="auto"/>
        </w:rPr>
      </w:pPr>
    </w:p>
    <w:p>
      <w:pPr>
        <w:ind w:left="1060" w:right="260" w:hanging="317"/>
        <w:spacing w:after="0" w:line="27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Speed. </w:t>
      </w:r>
      <w:r>
        <w:rPr>
          <w:rFonts w:ascii="Arial" w:cs="Arial" w:eastAsia="Arial" w:hAnsi="Arial"/>
          <w:sz w:val="17"/>
          <w:szCs w:val="17"/>
          <w:color w:val="auto"/>
        </w:rPr>
        <w:t>Our platform technology enables us to generate therapeutic-grade antibodies and initiate subsequent preclinical manufacturing and</w:t>
      </w:r>
      <w:r>
        <w:rPr>
          <w:rFonts w:ascii="Arial" w:cs="Arial" w:eastAsia="Arial" w:hAnsi="Arial"/>
          <w:sz w:val="17"/>
          <w:szCs w:val="17"/>
          <w:b w:val="1"/>
          <w:bCs w:val="1"/>
          <w:color w:val="auto"/>
        </w:rPr>
        <w:t xml:space="preserve"> </w:t>
      </w:r>
      <w:r>
        <w:rPr>
          <w:rFonts w:ascii="Arial" w:cs="Arial" w:eastAsia="Arial" w:hAnsi="Arial"/>
          <w:sz w:val="17"/>
          <w:szCs w:val="17"/>
          <w:color w:val="auto"/>
        </w:rPr>
        <w:t>toxicology studies, typically in less than 12 months. We believe this timeline is significantly shorter than conventional approaches based upon mouse immunization and microbial display systems.</w:t>
      </w:r>
    </w:p>
    <w:p>
      <w:pPr>
        <w:spacing w:after="0" w:line="72" w:lineRule="exact"/>
        <w:rPr>
          <w:rFonts w:ascii="Arial" w:cs="Arial" w:eastAsia="Arial" w:hAnsi="Arial"/>
          <w:sz w:val="17"/>
          <w:szCs w:val="17"/>
          <w:color w:val="auto"/>
        </w:rPr>
      </w:pPr>
    </w:p>
    <w:p>
      <w:pPr>
        <w:ind w:left="1060" w:right="120" w:hanging="317"/>
        <w:spacing w:after="0" w:line="29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Manufacturability. </w:t>
      </w:r>
      <w:r>
        <w:rPr>
          <w:rFonts w:ascii="Arial" w:cs="Arial" w:eastAsia="Arial" w:hAnsi="Arial"/>
          <w:sz w:val="17"/>
          <w:szCs w:val="17"/>
          <w:color w:val="auto"/>
        </w:rPr>
        <w:t>By using mammalian cell display to generate our therapeutic antibodies, we believe our platform mitigates risks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with antibody expression, formulation and stability during the antibody generation process.</w:t>
      </w:r>
    </w:p>
    <w:p>
      <w:pPr>
        <w:spacing w:after="0" w:line="54" w:lineRule="exact"/>
        <w:rPr>
          <w:rFonts w:ascii="Arial" w:cs="Arial" w:eastAsia="Arial" w:hAnsi="Arial"/>
          <w:sz w:val="17"/>
          <w:szCs w:val="17"/>
          <w:color w:val="auto"/>
        </w:rPr>
      </w:pPr>
    </w:p>
    <w:p>
      <w:pPr>
        <w:ind w:left="1060" w:right="220" w:hanging="317"/>
        <w:spacing w:after="0" w:line="29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Bispecific antibodies. </w:t>
      </w:r>
      <w:r>
        <w:rPr>
          <w:rFonts w:ascii="Arial" w:cs="Arial" w:eastAsia="Arial" w:hAnsi="Arial"/>
          <w:sz w:val="17"/>
          <w:szCs w:val="17"/>
          <w:color w:val="auto"/>
        </w:rPr>
        <w:t>Our novel approach for the generation of bispecific antibodies leverages SHM to combine two therapeutic mechanisms</w:t>
      </w:r>
      <w:r>
        <w:rPr>
          <w:rFonts w:ascii="Arial" w:cs="Arial" w:eastAsia="Arial" w:hAnsi="Arial"/>
          <w:sz w:val="17"/>
          <w:szCs w:val="17"/>
          <w:b w:val="1"/>
          <w:bCs w:val="1"/>
          <w:color w:val="auto"/>
        </w:rPr>
        <w:t xml:space="preserve"> </w:t>
      </w:r>
      <w:r>
        <w:rPr>
          <w:rFonts w:ascii="Arial" w:cs="Arial" w:eastAsia="Arial" w:hAnsi="Arial"/>
          <w:sz w:val="17"/>
          <w:szCs w:val="17"/>
          <w:color w:val="auto"/>
        </w:rPr>
        <w:t>into a single natural antibody molecule.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240" w:top="449" w:right="4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6099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0275"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Collaborations</w:t>
      </w:r>
    </w:p>
    <w:p>
      <w:pPr>
        <w:spacing w:after="0" w:line="125" w:lineRule="exact"/>
        <w:rPr>
          <w:sz w:val="20"/>
          <w:szCs w:val="20"/>
          <w:color w:val="auto"/>
        </w:rPr>
      </w:pPr>
    </w:p>
    <w:p>
      <w:pPr>
        <w:jc w:val="both"/>
        <w:ind w:left="200" w:right="120" w:firstLine="443"/>
        <w:spacing w:after="0" w:line="273" w:lineRule="auto"/>
        <w:rPr>
          <w:sz w:val="20"/>
          <w:szCs w:val="20"/>
          <w:color w:val="auto"/>
        </w:rPr>
      </w:pPr>
      <w:r>
        <w:rPr>
          <w:rFonts w:ascii="Arial" w:cs="Arial" w:eastAsia="Arial" w:hAnsi="Arial"/>
          <w:sz w:val="17"/>
          <w:szCs w:val="17"/>
          <w:color w:val="auto"/>
        </w:rPr>
        <w:t>We have established collaborations with pharmaceutical and biotechnology companies that have provided us with $51.6 million in payments through November 30, 2015. Multiple antibodies, generated by us prior to or during a strategic collaboration, are currently being advanced through development by our collaborators. Our collaborations with TESARO and Celgene are described below:</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TESARO Programs</w:t>
      </w:r>
    </w:p>
    <w:p>
      <w:pPr>
        <w:spacing w:after="0" w:line="119" w:lineRule="exact"/>
        <w:rPr>
          <w:sz w:val="20"/>
          <w:szCs w:val="20"/>
          <w:color w:val="auto"/>
        </w:rPr>
      </w:pPr>
    </w:p>
    <w:p>
      <w:pPr>
        <w:ind w:left="200" w:right="260" w:firstLine="443"/>
        <w:spacing w:after="0" w:line="289" w:lineRule="auto"/>
        <w:rPr>
          <w:sz w:val="20"/>
          <w:szCs w:val="20"/>
          <w:color w:val="auto"/>
        </w:rPr>
      </w:pPr>
      <w:r>
        <w:rPr>
          <w:rFonts w:ascii="Arial" w:cs="Arial" w:eastAsia="Arial" w:hAnsi="Arial"/>
          <w:sz w:val="17"/>
          <w:szCs w:val="17"/>
          <w:color w:val="auto"/>
        </w:rPr>
        <w:t>Under our immuno-oncology collaboration with TESARO, we have granted exclusive rights to TESARO to develop and commercialize antibodies generated using our SHM-XEL platform consisting of the following antibody product candidates:</w:t>
      </w:r>
    </w:p>
    <w:p>
      <w:pPr>
        <w:spacing w:after="0" w:line="66" w:lineRule="exact"/>
        <w:rPr>
          <w:sz w:val="20"/>
          <w:szCs w:val="20"/>
          <w:color w:val="auto"/>
        </w:rPr>
      </w:pPr>
    </w:p>
    <w:p>
      <w:pPr>
        <w:ind w:left="1060" w:right="60" w:hanging="317"/>
        <w:spacing w:after="0" w:line="289"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Anti-PD-1 Monospecific Antagonist Antibody (TSR-042)</w:t>
      </w:r>
      <w:r>
        <w:rPr>
          <w:rFonts w:ascii="Arial" w:cs="Arial" w:eastAsia="Arial" w:hAnsi="Arial"/>
          <w:sz w:val="17"/>
          <w:szCs w:val="17"/>
          <w:color w:val="auto"/>
        </w:rPr>
        <w:t>: currently in preclinical development with an IND submission anticipated in the fourth</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2015 and first-in-human dosing in early 2016;</w:t>
      </w:r>
    </w:p>
    <w:p>
      <w:pPr>
        <w:spacing w:after="0" w:line="66" w:lineRule="exact"/>
        <w:rPr>
          <w:rFonts w:ascii="Arial" w:cs="Arial" w:eastAsia="Arial" w:hAnsi="Arial"/>
          <w:sz w:val="17"/>
          <w:szCs w:val="17"/>
          <w:color w:val="auto"/>
        </w:rPr>
      </w:pPr>
    </w:p>
    <w:p>
      <w:pPr>
        <w:ind w:left="1060" w:hanging="317"/>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Anti-TIM-3 Monospecific Antagonist Antibody</w:t>
      </w:r>
      <w:r>
        <w:rPr>
          <w:rFonts w:ascii="Arial" w:cs="Arial" w:eastAsia="Arial" w:hAnsi="Arial"/>
          <w:sz w:val="17"/>
          <w:szCs w:val="17"/>
          <w:color w:val="auto"/>
        </w:rPr>
        <w:t>: currently in preclinical development;</w:t>
      </w:r>
    </w:p>
    <w:p>
      <w:pPr>
        <w:spacing w:after="0" w:line="131" w:lineRule="exact"/>
        <w:rPr>
          <w:rFonts w:ascii="Arial" w:cs="Arial" w:eastAsia="Arial" w:hAnsi="Arial"/>
          <w:sz w:val="17"/>
          <w:szCs w:val="17"/>
          <w:color w:val="auto"/>
        </w:rPr>
      </w:pPr>
    </w:p>
    <w:p>
      <w:pPr>
        <w:ind w:left="1060" w:hanging="317"/>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Anti-LAG-3 Monospecific Antagonist Antibody</w:t>
      </w:r>
      <w:r>
        <w:rPr>
          <w:rFonts w:ascii="Arial" w:cs="Arial" w:eastAsia="Arial" w:hAnsi="Arial"/>
          <w:sz w:val="17"/>
          <w:szCs w:val="17"/>
          <w:color w:val="auto"/>
        </w:rPr>
        <w:t>: currently in preclinical development;</w:t>
      </w:r>
    </w:p>
    <w:p>
      <w:pPr>
        <w:spacing w:after="0" w:line="131" w:lineRule="exact"/>
        <w:rPr>
          <w:rFonts w:ascii="Arial" w:cs="Arial" w:eastAsia="Arial" w:hAnsi="Arial"/>
          <w:sz w:val="17"/>
          <w:szCs w:val="17"/>
          <w:color w:val="auto"/>
        </w:rPr>
      </w:pPr>
    </w:p>
    <w:p>
      <w:pPr>
        <w:ind w:left="1060" w:hanging="317"/>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Anti-PD-1/TIM-3 Bispecific Antagonist Antibody</w:t>
      </w:r>
      <w:r>
        <w:rPr>
          <w:rFonts w:ascii="Arial" w:cs="Arial" w:eastAsia="Arial" w:hAnsi="Arial"/>
          <w:sz w:val="17"/>
          <w:szCs w:val="17"/>
          <w:color w:val="auto"/>
        </w:rPr>
        <w:t>: currently in lead selection process;</w:t>
      </w:r>
    </w:p>
    <w:p>
      <w:pPr>
        <w:spacing w:after="0" w:line="131" w:lineRule="exact"/>
        <w:rPr>
          <w:rFonts w:ascii="Arial" w:cs="Arial" w:eastAsia="Arial" w:hAnsi="Arial"/>
          <w:sz w:val="17"/>
          <w:szCs w:val="17"/>
          <w:color w:val="auto"/>
        </w:rPr>
      </w:pPr>
    </w:p>
    <w:p>
      <w:pPr>
        <w:ind w:left="1060" w:hanging="317"/>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Anti-PD-1/LAG-3 Bispecific Antagonist Antibody</w:t>
      </w:r>
      <w:r>
        <w:rPr>
          <w:rFonts w:ascii="Arial" w:cs="Arial" w:eastAsia="Arial" w:hAnsi="Arial"/>
          <w:sz w:val="17"/>
          <w:szCs w:val="17"/>
          <w:color w:val="auto"/>
        </w:rPr>
        <w:t>: currently in lead selection process; and</w:t>
      </w:r>
    </w:p>
    <w:p>
      <w:pPr>
        <w:spacing w:after="0" w:line="131" w:lineRule="exact"/>
        <w:rPr>
          <w:rFonts w:ascii="Arial" w:cs="Arial" w:eastAsia="Arial" w:hAnsi="Arial"/>
          <w:sz w:val="17"/>
          <w:szCs w:val="17"/>
          <w:color w:val="auto"/>
        </w:rPr>
      </w:pPr>
    </w:p>
    <w:p>
      <w:pPr>
        <w:ind w:left="1060" w:hanging="317"/>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Undisclosed Bispecific Antagonist Antibody</w:t>
      </w:r>
      <w:r>
        <w:rPr>
          <w:rFonts w:ascii="Arial" w:cs="Arial" w:eastAsia="Arial" w:hAnsi="Arial"/>
          <w:sz w:val="17"/>
          <w:szCs w:val="17"/>
          <w:color w:val="auto"/>
        </w:rPr>
        <w:t>: currently in lead selection process.</w:t>
      </w:r>
    </w:p>
    <w:p>
      <w:pPr>
        <w:spacing w:after="0" w:line="32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Celgene Programs</w:t>
      </w:r>
    </w:p>
    <w:p>
      <w:pPr>
        <w:spacing w:after="0" w:line="119" w:lineRule="exact"/>
        <w:rPr>
          <w:sz w:val="20"/>
          <w:szCs w:val="20"/>
          <w:color w:val="auto"/>
        </w:rPr>
      </w:pPr>
    </w:p>
    <w:p>
      <w:pPr>
        <w:ind w:left="200" w:right="80" w:firstLine="443"/>
        <w:spacing w:after="0" w:line="267"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Strategy</w:t>
      </w:r>
    </w:p>
    <w:p>
      <w:pPr>
        <w:spacing w:after="0" w:line="125" w:lineRule="exact"/>
        <w:rPr>
          <w:sz w:val="20"/>
          <w:szCs w:val="20"/>
          <w:color w:val="auto"/>
        </w:rPr>
      </w:pPr>
    </w:p>
    <w:p>
      <w:pPr>
        <w:ind w:left="200" w:right="320" w:firstLine="443"/>
        <w:spacing w:after="0" w:line="289" w:lineRule="auto"/>
        <w:rPr>
          <w:sz w:val="20"/>
          <w:szCs w:val="20"/>
          <w:color w:val="auto"/>
        </w:rPr>
      </w:pPr>
      <w:r>
        <w:rPr>
          <w:rFonts w:ascii="Arial" w:cs="Arial" w:eastAsia="Arial" w:hAnsi="Arial"/>
          <w:sz w:val="17"/>
          <w:szCs w:val="17"/>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60" w:lineRule="exact"/>
        <w:rPr>
          <w:sz w:val="20"/>
          <w:szCs w:val="20"/>
          <w:color w:val="auto"/>
        </w:rPr>
      </w:pPr>
    </w:p>
    <w:p>
      <w:pPr>
        <w:ind w:left="1060" w:hanging="317"/>
        <w:spacing w:after="0" w:line="28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lead product candidates into the clinic. </w:t>
      </w:r>
      <w:r>
        <w:rPr>
          <w:rFonts w:ascii="Arial" w:cs="Arial" w:eastAsia="Arial" w:hAnsi="Arial"/>
          <w:sz w:val="16"/>
          <w:szCs w:val="16"/>
          <w:color w:val="auto"/>
        </w:rPr>
        <w:t>We plan to initiate a Phase 1 healthy volunteer trial for ANB020 in the first half of</w:t>
      </w:r>
      <w:r>
        <w:rPr>
          <w:rFonts w:ascii="Arial" w:cs="Arial" w:eastAsia="Arial" w:hAnsi="Arial"/>
          <w:sz w:val="16"/>
          <w:szCs w:val="16"/>
          <w:b w:val="1"/>
          <w:bCs w:val="1"/>
          <w:color w:val="auto"/>
        </w:rPr>
        <w:t xml:space="preserve"> </w:t>
      </w:r>
      <w:r>
        <w:rPr>
          <w:rFonts w:ascii="Arial" w:cs="Arial" w:eastAsia="Arial" w:hAnsi="Arial"/>
          <w:sz w:val="16"/>
          <w:szCs w:val="16"/>
          <w:color w:val="auto"/>
        </w:rPr>
        <w:t>2016, followed by trials in severe adult asthma and severe adult peanut allergy patients. We plan to initiate a Phase 1 healthy volunteer trial for ANB019 by the end of 2016, followed by a registration study in GPP patients. For both ANB020 and ANB019, we plan to conduct our initial clinical trials in Australia, and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71" w:lineRule="exact"/>
        <w:rPr>
          <w:rFonts w:ascii="Arial" w:cs="Arial" w:eastAsia="Arial" w:hAnsi="Arial"/>
          <w:sz w:val="16"/>
          <w:szCs w:val="16"/>
          <w:color w:val="auto"/>
        </w:rPr>
      </w:pPr>
    </w:p>
    <w:p>
      <w:pPr>
        <w:ind w:left="1060" w:right="220" w:hanging="317"/>
        <w:spacing w:after="0" w:line="276"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opportunities in inflammation and immuno-oncology by understanding and translating biological breakthroughs into first-in-class therapeutic antibodies. Our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449" w:right="49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5783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0275" cy="578358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080" w:right="280"/>
        <w:spacing w:after="0" w:line="297" w:lineRule="auto"/>
        <w:rPr>
          <w:sz w:val="20"/>
          <w:szCs w:val="20"/>
          <w:color w:val="auto"/>
        </w:rPr>
      </w:pPr>
      <w:r>
        <w:rPr>
          <w:rFonts w:ascii="Arial" w:cs="Arial" w:eastAsia="Arial" w:hAnsi="Arial"/>
          <w:sz w:val="16"/>
          <w:szCs w:val="16"/>
          <w:color w:val="auto"/>
        </w:rPr>
        <w:t xml:space="preserve">approach includes translational biology assessments, such as human genetics,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57" w:lineRule="exact"/>
        <w:rPr>
          <w:sz w:val="20"/>
          <w:szCs w:val="20"/>
          <w:color w:val="auto"/>
        </w:rPr>
      </w:pPr>
    </w:p>
    <w:p>
      <w:pPr>
        <w:ind w:left="1060" w:right="340" w:hanging="317"/>
        <w:spacing w:after="0" w:line="329" w:lineRule="auto"/>
        <w:tabs>
          <w:tab w:leader="none" w:pos="106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Continuing to expand our proprietary pipeline by generating new product candidates using our technology platform. </w:t>
      </w:r>
      <w:r>
        <w:rPr>
          <w:rFonts w:ascii="Arial" w:cs="Arial" w:eastAsia="Arial" w:hAnsi="Arial"/>
          <w:sz w:val="15"/>
          <w:szCs w:val="15"/>
          <w:color w:val="auto"/>
        </w:rPr>
        <w:t>Using our</w:t>
      </w:r>
      <w:r>
        <w:rPr>
          <w:rFonts w:ascii="Arial" w:cs="Arial" w:eastAsia="Arial" w:hAnsi="Arial"/>
          <w:sz w:val="15"/>
          <w:szCs w:val="15"/>
          <w:b w:val="1"/>
          <w:bCs w:val="1"/>
          <w:color w:val="auto"/>
        </w:rPr>
        <w:t xml:space="preserve"> </w:t>
      </w:r>
      <w:r>
        <w:rPr>
          <w:rFonts w:ascii="Arial" w:cs="Arial" w:eastAsia="Arial" w:hAnsi="Arial"/>
          <w:sz w:val="15"/>
          <w:szCs w:val="15"/>
          <w:color w:val="auto"/>
        </w:rPr>
        <w:t>proprietary 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37" w:lineRule="exact"/>
        <w:rPr>
          <w:rFonts w:ascii="Arial" w:cs="Arial" w:eastAsia="Arial" w:hAnsi="Arial"/>
          <w:sz w:val="15"/>
          <w:szCs w:val="15"/>
          <w:color w:val="auto"/>
        </w:rPr>
      </w:pPr>
    </w:p>
    <w:p>
      <w:pPr>
        <w:ind w:left="1060" w:right="80" w:hanging="317"/>
        <w:spacing w:after="0" w:line="270"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Retaining rights to strategic products in key commercial markets. </w:t>
      </w:r>
      <w:r>
        <w:rPr>
          <w:rFonts w:ascii="Arial" w:cs="Arial" w:eastAsia="Arial" w:hAnsi="Arial"/>
          <w:sz w:val="17"/>
          <w:szCs w:val="17"/>
          <w:color w:val="auto"/>
        </w:rPr>
        <w:t>We intend to retain ownership and control of our pipeline programs to key</w:t>
      </w:r>
      <w:r>
        <w:rPr>
          <w:rFonts w:ascii="Arial" w:cs="Arial" w:eastAsia="Arial" w:hAnsi="Arial"/>
          <w:sz w:val="17"/>
          <w:szCs w:val="17"/>
          <w:b w:val="1"/>
          <w:bCs w:val="1"/>
          <w:color w:val="auto"/>
        </w:rPr>
        <w:t xml:space="preserve"> </w:t>
      </w:r>
      <w:r>
        <w:rPr>
          <w:rFonts w:ascii="Arial" w:cs="Arial" w:eastAsia="Arial" w:hAnsi="Arial"/>
          <w:sz w:val="17"/>
          <w:szCs w:val="17"/>
          <w:color w:val="auto"/>
        </w:rPr>
        <w:t>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Risks Affecting Us</w:t>
      </w:r>
    </w:p>
    <w:p>
      <w:pPr>
        <w:spacing w:after="0" w:line="125" w:lineRule="exact"/>
        <w:rPr>
          <w:sz w:val="20"/>
          <w:szCs w:val="20"/>
          <w:color w:val="auto"/>
        </w:rPr>
      </w:pPr>
    </w:p>
    <w:p>
      <w:pPr>
        <w:ind w:left="200" w:right="240" w:firstLine="443"/>
        <w:spacing w:after="0" w:line="289" w:lineRule="auto"/>
        <w:rPr>
          <w:sz w:val="20"/>
          <w:szCs w:val="20"/>
          <w:color w:val="auto"/>
        </w:rPr>
      </w:pPr>
      <w:r>
        <w:rPr>
          <w:rFonts w:ascii="Arial" w:cs="Arial" w:eastAsia="Arial" w:hAnsi="Arial"/>
          <w:sz w:val="17"/>
          <w:szCs w:val="17"/>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66" w:lineRule="exact"/>
        <w:rPr>
          <w:sz w:val="20"/>
          <w:szCs w:val="20"/>
          <w:color w:val="auto"/>
        </w:rPr>
      </w:pPr>
    </w:p>
    <w:p>
      <w:pPr>
        <w:jc w:val="both"/>
        <w:ind w:left="1060" w:right="260" w:hanging="317"/>
        <w:spacing w:after="0" w:line="273"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9" w:lineRule="exact"/>
        <w:rPr>
          <w:rFonts w:ascii="Arial" w:cs="Arial" w:eastAsia="Arial" w:hAnsi="Arial"/>
          <w:sz w:val="17"/>
          <w:szCs w:val="17"/>
          <w:color w:val="auto"/>
        </w:rPr>
      </w:pPr>
    </w:p>
    <w:p>
      <w:pPr>
        <w:ind w:left="1060" w:hanging="317"/>
        <w:spacing w:after="0" w:line="273"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never dosed any of our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9" w:lineRule="exact"/>
        <w:rPr>
          <w:rFonts w:ascii="Arial" w:cs="Arial" w:eastAsia="Arial" w:hAnsi="Arial"/>
          <w:sz w:val="17"/>
          <w:szCs w:val="17"/>
          <w:color w:val="auto"/>
        </w:rPr>
      </w:pPr>
    </w:p>
    <w:p>
      <w:pPr>
        <w:ind w:left="1060" w:right="320" w:hanging="317"/>
        <w:spacing w:after="0" w:line="32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43" w:lineRule="exact"/>
        <w:rPr>
          <w:rFonts w:ascii="Arial" w:cs="Arial" w:eastAsia="Arial" w:hAnsi="Arial"/>
          <w:sz w:val="16"/>
          <w:szCs w:val="16"/>
          <w:color w:val="auto"/>
        </w:rPr>
      </w:pPr>
    </w:p>
    <w:p>
      <w:pPr>
        <w:ind w:left="1060" w:right="640" w:hanging="317"/>
        <w:spacing w:after="0" w:line="289"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be successful in our efforts to use and expand our technology platform to build a pipeline of product candidates and develop marketable products.</w:t>
      </w:r>
    </w:p>
    <w:p>
      <w:pPr>
        <w:spacing w:after="0" w:line="66" w:lineRule="exact"/>
        <w:rPr>
          <w:rFonts w:ascii="Arial" w:cs="Arial" w:eastAsia="Arial" w:hAnsi="Arial"/>
          <w:sz w:val="17"/>
          <w:szCs w:val="17"/>
          <w:color w:val="auto"/>
        </w:rPr>
      </w:pPr>
    </w:p>
    <w:p>
      <w:pPr>
        <w:ind w:left="1060" w:hanging="317"/>
        <w:spacing w:after="0" w:line="289"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no history of conducting clinical trials or commercializing biotechnology products, which may make it difficult to evaluate the prospects for our future viability.</w:t>
      </w:r>
    </w:p>
    <w:p>
      <w:pPr>
        <w:spacing w:after="0" w:line="66" w:lineRule="exact"/>
        <w:rPr>
          <w:rFonts w:ascii="Arial" w:cs="Arial" w:eastAsia="Arial" w:hAnsi="Arial"/>
          <w:sz w:val="17"/>
          <w:szCs w:val="17"/>
          <w:color w:val="auto"/>
        </w:rPr>
      </w:pPr>
    </w:p>
    <w:p>
      <w:pPr>
        <w:ind w:left="1060" w:right="360" w:hanging="317"/>
        <w:spacing w:after="0" w:line="289"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face significant competition, and if our competitors develop and market products that are more effective, safer or less expensive than our product candidates, our commercial opportunities will be negatively impacted.</w:t>
      </w:r>
    </w:p>
    <w:p>
      <w:pPr>
        <w:spacing w:after="0" w:line="66" w:lineRule="exact"/>
        <w:rPr>
          <w:rFonts w:ascii="Arial" w:cs="Arial" w:eastAsia="Arial" w:hAnsi="Arial"/>
          <w:sz w:val="17"/>
          <w:szCs w:val="17"/>
          <w:color w:val="auto"/>
        </w:rPr>
      </w:pPr>
    </w:p>
    <w:p>
      <w:pPr>
        <w:ind w:left="1060" w:right="320" w:hanging="317"/>
        <w:spacing w:after="0" w:line="273"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9" w:lineRule="exact"/>
        <w:rPr>
          <w:rFonts w:ascii="Arial" w:cs="Arial" w:eastAsia="Arial" w:hAnsi="Arial"/>
          <w:sz w:val="17"/>
          <w:szCs w:val="17"/>
          <w:color w:val="auto"/>
        </w:rPr>
      </w:pPr>
    </w:p>
    <w:p>
      <w:pPr>
        <w:ind w:left="1060" w:right="60" w:hanging="317"/>
        <w:spacing w:after="0" w:line="273"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240" w:top="449" w:right="41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6015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0275" cy="60159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060" w:right="20" w:hanging="317"/>
        <w:spacing w:after="0" w:line="289"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6" w:lineRule="exact"/>
        <w:rPr>
          <w:rFonts w:ascii="Arial" w:cs="Arial" w:eastAsia="Arial" w:hAnsi="Arial"/>
          <w:sz w:val="17"/>
          <w:szCs w:val="17"/>
          <w:color w:val="auto"/>
        </w:rPr>
      </w:pPr>
    </w:p>
    <w:p>
      <w:pPr>
        <w:ind w:left="1060" w:right="160" w:hanging="317"/>
        <w:spacing w:after="0" w:line="289"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ectPr>
          <w:pgSz w:w="11900" w:h="16838" w:orient="portrait"/>
          <w:cols w:equalWidth="0" w:num="1">
            <w:col w:w="11240"/>
          </w:cols>
          <w:pgMar w:left="240" w:top="449" w:right="419" w:bottom="1440" w:gutter="0" w:footer="0" w:header="0"/>
        </w:sectPr>
      </w:pPr>
    </w:p>
    <w:p>
      <w:pPr>
        <w:spacing w:after="0" w:line="6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Our executive officers, directors, current 5% or greater stockholders and entities affiliated with any of them, together will own % of our common stock after this offering based on the number of shares outstanding as of September 30, 2015; the concentration of our capital stock ownership will likely limit your ability to influence corporate matters.</w:t>
      </w:r>
    </w:p>
    <w:p>
      <w:pPr>
        <w:spacing w:after="0" w:line="200" w:lineRule="exact"/>
        <w:rPr>
          <w:sz w:val="20"/>
          <w:szCs w:val="20"/>
          <w:color w:val="auto"/>
        </w:rPr>
      </w:pPr>
    </w:p>
    <w:p>
      <w:pPr>
        <w:sectPr>
          <w:pgSz w:w="11900" w:h="16838" w:orient="portrait"/>
          <w:cols w:equalWidth="0" w:num="2">
            <w:col w:w="800" w:space="260"/>
            <w:col w:w="10180"/>
          </w:cols>
          <w:pgMar w:left="240" w:top="449" w:right="419" w:bottom="1440" w:gutter="0" w:footer="0" w:header="0"/>
          <w:type w:val="continuous"/>
        </w:sectPr>
      </w:pPr>
    </w:p>
    <w:p>
      <w:pPr>
        <w:spacing w:after="0" w:line="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Corporate Information</w:t>
      </w:r>
    </w:p>
    <w:p>
      <w:pPr>
        <w:spacing w:after="0" w:line="125" w:lineRule="exact"/>
        <w:rPr>
          <w:sz w:val="20"/>
          <w:szCs w:val="20"/>
          <w:color w:val="auto"/>
        </w:rPr>
      </w:pPr>
    </w:p>
    <w:p>
      <w:pPr>
        <w:jc w:val="both"/>
        <w:ind w:left="200" w:right="160" w:firstLine="443"/>
        <w:spacing w:after="0" w:line="267"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78" w:lineRule="exact"/>
        <w:rPr>
          <w:sz w:val="20"/>
          <w:szCs w:val="20"/>
          <w:color w:val="auto"/>
        </w:rPr>
      </w:pPr>
    </w:p>
    <w:p>
      <w:pPr>
        <w:ind w:left="200" w:right="480" w:firstLine="443"/>
        <w:spacing w:after="0" w:line="289" w:lineRule="auto"/>
        <w:rPr>
          <w:sz w:val="20"/>
          <w:szCs w:val="20"/>
          <w:color w:val="auto"/>
        </w:rPr>
      </w:pPr>
      <w:r>
        <w:rPr>
          <w:rFonts w:ascii="Arial" w:cs="Arial" w:eastAsia="Arial" w:hAnsi="Arial"/>
          <w:sz w:val="17"/>
          <w:szCs w:val="17"/>
          <w:color w:val="auto"/>
        </w:rPr>
        <w:t>The mark “AnaptysBio” is our common law trademark. All other service marks, trademarks and trade names appearing in this prospectus are the property of their respective owners.</w:t>
      </w:r>
    </w:p>
    <w:p>
      <w:pPr>
        <w:spacing w:after="0" w:line="25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25"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9" w:lineRule="exact"/>
        <w:rPr>
          <w:sz w:val="20"/>
          <w:szCs w:val="20"/>
          <w:color w:val="auto"/>
        </w:rPr>
      </w:pPr>
    </w:p>
    <w:p>
      <w:pPr>
        <w:ind w:left="1060" w:hanging="317"/>
        <w:spacing w:after="0" w:line="289"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and only two years of related Management’s Discussion and Analysis of Financial Condition and Results of Operations in this prospectus;</w:t>
      </w:r>
    </w:p>
    <w:p>
      <w:pPr>
        <w:spacing w:after="0" w:line="66" w:lineRule="exact"/>
        <w:rPr>
          <w:rFonts w:ascii="Arial" w:cs="Arial" w:eastAsia="Arial" w:hAnsi="Arial"/>
          <w:sz w:val="17"/>
          <w:szCs w:val="17"/>
          <w:color w:val="auto"/>
        </w:rPr>
      </w:pPr>
    </w:p>
    <w:p>
      <w:pPr>
        <w:ind w:left="1060" w:right="360" w:hanging="317"/>
        <w:spacing w:after="0" w:line="289"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 or the Sarbanes-Oxley Act;</w:t>
      </w:r>
    </w:p>
    <w:p>
      <w:pPr>
        <w:spacing w:after="0" w:line="66" w:lineRule="exact"/>
        <w:rPr>
          <w:rFonts w:ascii="Arial" w:cs="Arial" w:eastAsia="Arial" w:hAnsi="Arial"/>
          <w:sz w:val="17"/>
          <w:szCs w:val="17"/>
          <w:color w:val="auto"/>
        </w:rPr>
      </w:pPr>
    </w:p>
    <w:p>
      <w:pPr>
        <w:ind w:left="1060" w:hanging="317"/>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43" w:lineRule="exact"/>
        <w:rPr>
          <w:rFonts w:ascii="Arial" w:cs="Arial" w:eastAsia="Arial" w:hAnsi="Arial"/>
          <w:sz w:val="16"/>
          <w:szCs w:val="16"/>
          <w:color w:val="auto"/>
        </w:rPr>
      </w:pPr>
    </w:p>
    <w:p>
      <w:pPr>
        <w:ind w:left="1060" w:right="320" w:hanging="317"/>
        <w:spacing w:after="0" w:line="289"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58" w:lineRule="exact"/>
        <w:rPr>
          <w:sz w:val="20"/>
          <w:szCs w:val="20"/>
          <w:color w:val="auto"/>
        </w:rPr>
      </w:pPr>
    </w:p>
    <w:p>
      <w:pPr>
        <w:ind w:left="200" w:right="80" w:firstLine="443"/>
        <w:spacing w:after="0" w:line="267" w:lineRule="auto"/>
        <w:rPr>
          <w:sz w:val="20"/>
          <w:szCs w:val="20"/>
          <w:color w:val="auto"/>
        </w:rPr>
      </w:pPr>
      <w:r>
        <w:rPr>
          <w:rFonts w:ascii="Arial" w:cs="Arial" w:eastAsia="Arial" w:hAnsi="Arial"/>
          <w:sz w:val="17"/>
          <w:szCs w:val="17"/>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78" w:lineRule="exact"/>
        <w:rPr>
          <w:sz w:val="20"/>
          <w:szCs w:val="20"/>
          <w:color w:val="auto"/>
        </w:rPr>
      </w:pPr>
    </w:p>
    <w:p>
      <w:pPr>
        <w:ind w:left="200" w:right="80" w:firstLine="443"/>
        <w:spacing w:after="0" w:line="273"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240" w:top="449" w:right="41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777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0275" cy="7778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ind w:left="200" w:firstLine="443"/>
        <w:spacing w:after="0" w:line="273" w:lineRule="auto"/>
        <w:rPr>
          <w:sz w:val="20"/>
          <w:szCs w:val="20"/>
          <w:color w:val="auto"/>
        </w:rPr>
      </w:pPr>
      <w:r>
        <w:rPr>
          <w:rFonts w:ascii="Arial" w:cs="Arial" w:eastAsia="Arial" w:hAnsi="Arial"/>
          <w:sz w:val="17"/>
          <w:szCs w:val="17"/>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840"/>
          </w:cols>
          <w:pgMar w:left="240" w:top="449" w:right="8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6015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0275" cy="60159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4940" w:type="dxa"/>
            <w:vAlign w:val="bottom"/>
            <w:gridSpan w:val="2"/>
          </w:tcPr>
          <w:p>
            <w:pPr>
              <w:ind w:left="1000"/>
              <w:spacing w:after="0"/>
              <w:rPr>
                <w:sz w:val="20"/>
                <w:szCs w:val="20"/>
                <w:color w:val="auto"/>
              </w:rPr>
            </w:pPr>
            <w:r>
              <w:rPr>
                <w:rFonts w:ascii="Arial" w:cs="Arial" w:eastAsia="Arial" w:hAnsi="Arial"/>
                <w:sz w:val="17"/>
                <w:szCs w:val="17"/>
                <w:b w:val="1"/>
                <w:bCs w:val="1"/>
                <w:color w:val="auto"/>
              </w:rPr>
              <w:t>The Offering</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27"/>
        </w:trPr>
        <w:tc>
          <w:tcPr>
            <w:tcW w:w="4040" w:type="dxa"/>
            <w:vAlign w:val="bottom"/>
          </w:tcPr>
          <w:p>
            <w:pPr>
              <w:spacing w:after="0"/>
              <w:rPr>
                <w:sz w:val="20"/>
                <w:szCs w:val="20"/>
                <w:color w:val="auto"/>
              </w:rPr>
            </w:pPr>
            <w:r>
              <w:rPr>
                <w:rFonts w:ascii="Arial" w:cs="Arial" w:eastAsia="Arial" w:hAnsi="Arial"/>
                <w:sz w:val="17"/>
                <w:szCs w:val="17"/>
                <w:color w:val="auto"/>
              </w:rPr>
              <w:t>Shares of common stock offered by us</w:t>
            </w:r>
          </w:p>
        </w:tc>
        <w:tc>
          <w:tcPr>
            <w:tcW w:w="1580" w:type="dxa"/>
            <w:vAlign w:val="bottom"/>
          </w:tcPr>
          <w:p>
            <w:pPr>
              <w:ind w:left="720"/>
              <w:spacing w:after="0"/>
              <w:rPr>
                <w:sz w:val="20"/>
                <w:szCs w:val="20"/>
                <w:color w:val="auto"/>
              </w:rPr>
            </w:pPr>
            <w:r>
              <w:rPr>
                <w:rFonts w:ascii="Arial" w:cs="Arial" w:eastAsia="Arial" w:hAnsi="Arial"/>
                <w:sz w:val="17"/>
                <w:szCs w:val="17"/>
                <w:color w:val="auto"/>
              </w:rPr>
              <w:t>shares.</w:t>
            </w:r>
          </w:p>
        </w:tc>
        <w:tc>
          <w:tcPr>
            <w:tcW w:w="3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8"/>
        </w:trPr>
        <w:tc>
          <w:tcPr>
            <w:tcW w:w="4040" w:type="dxa"/>
            <w:vAlign w:val="bottom"/>
          </w:tcPr>
          <w:p>
            <w:pPr>
              <w:spacing w:after="0"/>
              <w:rPr>
                <w:sz w:val="20"/>
                <w:szCs w:val="20"/>
                <w:color w:val="auto"/>
              </w:rPr>
            </w:pPr>
            <w:r>
              <w:rPr>
                <w:rFonts w:ascii="Arial" w:cs="Arial" w:eastAsia="Arial" w:hAnsi="Arial"/>
                <w:sz w:val="17"/>
                <w:szCs w:val="17"/>
                <w:color w:val="auto"/>
                <w:w w:val="95"/>
              </w:rPr>
              <w:t>Option to purchase additional shares to be offered by us</w:t>
            </w:r>
          </w:p>
        </w:tc>
        <w:tc>
          <w:tcPr>
            <w:tcW w:w="1580" w:type="dxa"/>
            <w:vAlign w:val="bottom"/>
          </w:tcPr>
          <w:p>
            <w:pPr>
              <w:ind w:left="720"/>
              <w:spacing w:after="0"/>
              <w:rPr>
                <w:sz w:val="20"/>
                <w:szCs w:val="20"/>
                <w:color w:val="auto"/>
              </w:rPr>
            </w:pPr>
            <w:r>
              <w:rPr>
                <w:rFonts w:ascii="Arial" w:cs="Arial" w:eastAsia="Arial" w:hAnsi="Arial"/>
                <w:sz w:val="17"/>
                <w:szCs w:val="17"/>
                <w:color w:val="auto"/>
              </w:rPr>
              <w:t>shares.</w:t>
            </w:r>
          </w:p>
        </w:tc>
        <w:tc>
          <w:tcPr>
            <w:tcW w:w="3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6"/>
        </w:trPr>
        <w:tc>
          <w:tcPr>
            <w:tcW w:w="4040" w:type="dxa"/>
            <w:vAlign w:val="bottom"/>
          </w:tcPr>
          <w:p>
            <w:pPr>
              <w:spacing w:after="0"/>
              <w:rPr>
                <w:sz w:val="20"/>
                <w:szCs w:val="20"/>
                <w:color w:val="auto"/>
              </w:rPr>
            </w:pPr>
            <w:r>
              <w:rPr>
                <w:rFonts w:ascii="Arial" w:cs="Arial" w:eastAsia="Arial" w:hAnsi="Arial"/>
                <w:sz w:val="17"/>
                <w:szCs w:val="17"/>
                <w:color w:val="auto"/>
                <w:w w:val="96"/>
              </w:rPr>
              <w:t>Shares of common stock to be outstanding immediately</w:t>
            </w:r>
          </w:p>
        </w:tc>
        <w:tc>
          <w:tcPr>
            <w:tcW w:w="1580" w:type="dxa"/>
            <w:vAlign w:val="bottom"/>
          </w:tcPr>
          <w:p>
            <w:pPr>
              <w:ind w:left="720"/>
              <w:spacing w:after="0"/>
              <w:rPr>
                <w:sz w:val="20"/>
                <w:szCs w:val="20"/>
                <w:color w:val="auto"/>
              </w:rPr>
            </w:pPr>
            <w:r>
              <w:rPr>
                <w:rFonts w:ascii="Arial" w:cs="Arial" w:eastAsia="Arial" w:hAnsi="Arial"/>
                <w:sz w:val="17"/>
                <w:szCs w:val="17"/>
                <w:color w:val="auto"/>
              </w:rPr>
              <w:t>shares (</w:t>
            </w:r>
          </w:p>
        </w:tc>
        <w:tc>
          <w:tcPr>
            <w:tcW w:w="5240" w:type="dxa"/>
            <w:vAlign w:val="bottom"/>
            <w:gridSpan w:val="3"/>
          </w:tcPr>
          <w:p>
            <w:pPr>
              <w:jc w:val="right"/>
              <w:spacing w:after="0"/>
              <w:rPr>
                <w:sz w:val="20"/>
                <w:szCs w:val="20"/>
                <w:color w:val="auto"/>
              </w:rPr>
            </w:pPr>
            <w:r>
              <w:rPr>
                <w:rFonts w:ascii="Arial" w:cs="Arial" w:eastAsia="Arial" w:hAnsi="Arial"/>
                <w:sz w:val="17"/>
                <w:szCs w:val="17"/>
                <w:color w:val="auto"/>
              </w:rPr>
              <w:t>shares if the underwriters exercise their option to purchase additional</w:t>
            </w:r>
          </w:p>
        </w:tc>
      </w:tr>
      <w:tr>
        <w:trPr>
          <w:trHeight w:val="222"/>
        </w:trPr>
        <w:tc>
          <w:tcPr>
            <w:tcW w:w="4040" w:type="dxa"/>
            <w:vAlign w:val="bottom"/>
          </w:tcPr>
          <w:p>
            <w:pPr>
              <w:ind w:left="80"/>
              <w:spacing w:after="0"/>
              <w:rPr>
                <w:sz w:val="20"/>
                <w:szCs w:val="20"/>
                <w:color w:val="auto"/>
              </w:rPr>
            </w:pPr>
            <w:r>
              <w:rPr>
                <w:rFonts w:ascii="Arial" w:cs="Arial" w:eastAsia="Arial" w:hAnsi="Arial"/>
                <w:sz w:val="17"/>
                <w:szCs w:val="17"/>
                <w:color w:val="auto"/>
              </w:rPr>
              <w:t>after this offering</w:t>
            </w:r>
          </w:p>
        </w:tc>
        <w:tc>
          <w:tcPr>
            <w:tcW w:w="1580" w:type="dxa"/>
            <w:vAlign w:val="bottom"/>
          </w:tcPr>
          <w:p>
            <w:pPr>
              <w:ind w:left="160"/>
              <w:spacing w:after="0"/>
              <w:rPr>
                <w:sz w:val="20"/>
                <w:szCs w:val="20"/>
                <w:color w:val="auto"/>
              </w:rPr>
            </w:pPr>
            <w:r>
              <w:rPr>
                <w:rFonts w:ascii="Arial" w:cs="Arial" w:eastAsia="Arial" w:hAnsi="Arial"/>
                <w:sz w:val="17"/>
                <w:szCs w:val="17"/>
                <w:color w:val="auto"/>
              </w:rPr>
              <w:t>shares in full).</w:t>
            </w:r>
          </w:p>
        </w:tc>
        <w:tc>
          <w:tcPr>
            <w:tcW w:w="3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46"/>
        </w:trPr>
        <w:tc>
          <w:tcPr>
            <w:tcW w:w="4040" w:type="dxa"/>
            <w:vAlign w:val="bottom"/>
          </w:tcPr>
          <w:p>
            <w:pPr>
              <w:spacing w:after="0"/>
              <w:rPr>
                <w:sz w:val="20"/>
                <w:szCs w:val="20"/>
                <w:color w:val="auto"/>
              </w:rPr>
            </w:pPr>
            <w:r>
              <w:rPr>
                <w:rFonts w:ascii="Arial" w:cs="Arial" w:eastAsia="Arial" w:hAnsi="Arial"/>
                <w:sz w:val="17"/>
                <w:szCs w:val="17"/>
                <w:color w:val="auto"/>
              </w:rPr>
              <w:t>Voting rights</w:t>
            </w:r>
          </w:p>
        </w:tc>
        <w:tc>
          <w:tcPr>
            <w:tcW w:w="6820" w:type="dxa"/>
            <w:vAlign w:val="bottom"/>
            <w:gridSpan w:val="4"/>
          </w:tcPr>
          <w:p>
            <w:pPr>
              <w:ind w:left="160"/>
              <w:spacing w:after="0"/>
              <w:rPr>
                <w:sz w:val="20"/>
                <w:szCs w:val="20"/>
                <w:color w:val="auto"/>
              </w:rPr>
            </w:pPr>
            <w:r>
              <w:rPr>
                <w:rFonts w:ascii="Arial" w:cs="Arial" w:eastAsia="Arial" w:hAnsi="Arial"/>
                <w:sz w:val="17"/>
                <w:szCs w:val="17"/>
                <w:color w:val="auto"/>
                <w:w w:val="94"/>
              </w:rPr>
              <w:t>Upon the closing of this offering, each outstanding share of our convertible preferred stock will</w:t>
            </w:r>
          </w:p>
        </w:tc>
      </w:tr>
      <w:tr>
        <w:trPr>
          <w:trHeight w:val="210"/>
        </w:trPr>
        <w:tc>
          <w:tcPr>
            <w:tcW w:w="4040" w:type="dxa"/>
            <w:vAlign w:val="bottom"/>
          </w:tcPr>
          <w:p>
            <w:pPr>
              <w:spacing w:after="0"/>
              <w:rPr>
                <w:sz w:val="18"/>
                <w:szCs w:val="18"/>
                <w:color w:val="auto"/>
              </w:rPr>
            </w:pPr>
          </w:p>
        </w:tc>
        <w:tc>
          <w:tcPr>
            <w:tcW w:w="6820" w:type="dxa"/>
            <w:vAlign w:val="bottom"/>
            <w:gridSpan w:val="4"/>
          </w:tcPr>
          <w:p>
            <w:pPr>
              <w:ind w:left="160"/>
              <w:spacing w:after="0"/>
              <w:rPr>
                <w:sz w:val="20"/>
                <w:szCs w:val="20"/>
                <w:color w:val="auto"/>
              </w:rPr>
            </w:pPr>
            <w:r>
              <w:rPr>
                <w:rFonts w:ascii="Arial" w:cs="Arial" w:eastAsia="Arial" w:hAnsi="Arial"/>
                <w:sz w:val="17"/>
                <w:szCs w:val="17"/>
                <w:color w:val="auto"/>
                <w:w w:val="97"/>
              </w:rPr>
              <w:t>automatically convert into one share of common stock. Each share of our common stock is</w:t>
            </w:r>
          </w:p>
        </w:tc>
      </w:tr>
      <w:tr>
        <w:trPr>
          <w:trHeight w:val="210"/>
        </w:trPr>
        <w:tc>
          <w:tcPr>
            <w:tcW w:w="4040" w:type="dxa"/>
            <w:vAlign w:val="bottom"/>
          </w:tcPr>
          <w:p>
            <w:pPr>
              <w:spacing w:after="0"/>
              <w:rPr>
                <w:sz w:val="18"/>
                <w:szCs w:val="18"/>
                <w:color w:val="auto"/>
              </w:rPr>
            </w:pPr>
          </w:p>
        </w:tc>
        <w:tc>
          <w:tcPr>
            <w:tcW w:w="6820" w:type="dxa"/>
            <w:vAlign w:val="bottom"/>
            <w:gridSpan w:val="4"/>
          </w:tcPr>
          <w:p>
            <w:pPr>
              <w:ind w:left="160"/>
              <w:spacing w:after="0"/>
              <w:rPr>
                <w:sz w:val="20"/>
                <w:szCs w:val="20"/>
                <w:color w:val="auto"/>
              </w:rPr>
            </w:pPr>
            <w:r>
              <w:rPr>
                <w:rFonts w:ascii="Arial" w:cs="Arial" w:eastAsia="Arial" w:hAnsi="Arial"/>
                <w:sz w:val="17"/>
                <w:szCs w:val="17"/>
                <w:color w:val="auto"/>
                <w:w w:val="94"/>
              </w:rPr>
              <w:t>entitled to one vote on all matters submitted to a vote of stockholders, including the election of</w:t>
            </w:r>
          </w:p>
        </w:tc>
      </w:tr>
      <w:tr>
        <w:trPr>
          <w:trHeight w:val="222"/>
        </w:trPr>
        <w:tc>
          <w:tcPr>
            <w:tcW w:w="4040" w:type="dxa"/>
            <w:vAlign w:val="bottom"/>
          </w:tcPr>
          <w:p>
            <w:pPr>
              <w:spacing w:after="0"/>
              <w:rPr>
                <w:sz w:val="19"/>
                <w:szCs w:val="19"/>
                <w:color w:val="auto"/>
              </w:rPr>
            </w:pPr>
          </w:p>
        </w:tc>
        <w:tc>
          <w:tcPr>
            <w:tcW w:w="4940" w:type="dxa"/>
            <w:vAlign w:val="bottom"/>
            <w:gridSpan w:val="2"/>
          </w:tcPr>
          <w:p>
            <w:pPr>
              <w:ind w:left="160"/>
              <w:spacing w:after="0"/>
              <w:rPr>
                <w:sz w:val="20"/>
                <w:szCs w:val="20"/>
                <w:color w:val="auto"/>
              </w:rPr>
            </w:pPr>
            <w:r>
              <w:rPr>
                <w:rFonts w:ascii="Arial" w:cs="Arial" w:eastAsia="Arial" w:hAnsi="Arial"/>
                <w:sz w:val="17"/>
                <w:szCs w:val="17"/>
                <w:color w:val="auto"/>
              </w:rPr>
              <w:t>directors. See “Description of Capital Stock.”</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3"/>
        </w:trPr>
        <w:tc>
          <w:tcPr>
            <w:tcW w:w="4040" w:type="dxa"/>
            <w:vAlign w:val="bottom"/>
          </w:tcPr>
          <w:p>
            <w:pPr>
              <w:spacing w:after="0"/>
              <w:rPr>
                <w:sz w:val="20"/>
                <w:szCs w:val="20"/>
                <w:color w:val="auto"/>
              </w:rPr>
            </w:pPr>
            <w:r>
              <w:rPr>
                <w:rFonts w:ascii="Arial" w:cs="Arial" w:eastAsia="Arial" w:hAnsi="Arial"/>
                <w:sz w:val="17"/>
                <w:szCs w:val="17"/>
                <w:color w:val="auto"/>
              </w:rPr>
              <w:t>Use of proceeds</w:t>
            </w:r>
          </w:p>
        </w:tc>
        <w:tc>
          <w:tcPr>
            <w:tcW w:w="5760" w:type="dxa"/>
            <w:vAlign w:val="bottom"/>
            <w:gridSpan w:val="3"/>
          </w:tcPr>
          <w:p>
            <w:pPr>
              <w:ind w:left="160"/>
              <w:spacing w:after="0"/>
              <w:rPr>
                <w:sz w:val="20"/>
                <w:szCs w:val="20"/>
                <w:color w:val="auto"/>
              </w:rPr>
            </w:pPr>
            <w:r>
              <w:rPr>
                <w:rFonts w:ascii="Arial" w:cs="Arial" w:eastAsia="Arial" w:hAnsi="Arial"/>
                <w:sz w:val="17"/>
                <w:szCs w:val="17"/>
                <w:color w:val="auto"/>
                <w:w w:val="98"/>
              </w:rPr>
              <w:t>We estimate that the net proceeds from this offering will be approximately $</w:t>
            </w:r>
          </w:p>
        </w:tc>
        <w:tc>
          <w:tcPr>
            <w:tcW w:w="1060" w:type="dxa"/>
            <w:vAlign w:val="bottom"/>
          </w:tcPr>
          <w:p>
            <w:pPr>
              <w:jc w:val="right"/>
              <w:spacing w:after="0"/>
              <w:rPr>
                <w:sz w:val="20"/>
                <w:szCs w:val="20"/>
                <w:color w:val="auto"/>
              </w:rPr>
            </w:pPr>
            <w:r>
              <w:rPr>
                <w:rFonts w:ascii="Arial" w:cs="Arial" w:eastAsia="Arial" w:hAnsi="Arial"/>
                <w:sz w:val="17"/>
                <w:szCs w:val="17"/>
                <w:color w:val="auto"/>
              </w:rPr>
              <w:t>million (or</w:t>
            </w:r>
          </w:p>
        </w:tc>
      </w:tr>
      <w:tr>
        <w:trPr>
          <w:trHeight w:val="210"/>
        </w:trPr>
        <w:tc>
          <w:tcPr>
            <w:tcW w:w="4040" w:type="dxa"/>
            <w:vAlign w:val="bottom"/>
          </w:tcPr>
          <w:p>
            <w:pPr>
              <w:spacing w:after="0"/>
              <w:rPr>
                <w:sz w:val="18"/>
                <w:szCs w:val="18"/>
                <w:color w:val="auto"/>
              </w:rPr>
            </w:pPr>
          </w:p>
        </w:tc>
        <w:tc>
          <w:tcPr>
            <w:tcW w:w="1580" w:type="dxa"/>
            <w:vAlign w:val="bottom"/>
          </w:tcPr>
          <w:p>
            <w:pPr>
              <w:ind w:left="160"/>
              <w:spacing w:after="0"/>
              <w:rPr>
                <w:sz w:val="20"/>
                <w:szCs w:val="20"/>
                <w:color w:val="auto"/>
              </w:rPr>
            </w:pPr>
            <w:r>
              <w:rPr>
                <w:rFonts w:ascii="Arial" w:cs="Arial" w:eastAsia="Arial" w:hAnsi="Arial"/>
                <w:sz w:val="17"/>
                <w:szCs w:val="17"/>
                <w:color w:val="auto"/>
              </w:rPr>
              <w:t>approximately $</w:t>
            </w:r>
          </w:p>
        </w:tc>
        <w:tc>
          <w:tcPr>
            <w:tcW w:w="5240" w:type="dxa"/>
            <w:vAlign w:val="bottom"/>
            <w:gridSpan w:val="3"/>
          </w:tcPr>
          <w:p>
            <w:pPr>
              <w:jc w:val="right"/>
              <w:spacing w:after="0"/>
              <w:rPr>
                <w:sz w:val="20"/>
                <w:szCs w:val="20"/>
                <w:color w:val="auto"/>
              </w:rPr>
            </w:pPr>
            <w:r>
              <w:rPr>
                <w:rFonts w:ascii="Arial" w:cs="Arial" w:eastAsia="Arial" w:hAnsi="Arial"/>
                <w:sz w:val="17"/>
                <w:szCs w:val="17"/>
                <w:color w:val="auto"/>
              </w:rPr>
              <w:t>million if the underwriters exercise their option to purchase additional</w:t>
            </w:r>
          </w:p>
        </w:tc>
      </w:tr>
      <w:tr>
        <w:trPr>
          <w:trHeight w:val="222"/>
        </w:trPr>
        <w:tc>
          <w:tcPr>
            <w:tcW w:w="4040" w:type="dxa"/>
            <w:vAlign w:val="bottom"/>
          </w:tcPr>
          <w:p>
            <w:pPr>
              <w:spacing w:after="0"/>
              <w:rPr>
                <w:sz w:val="19"/>
                <w:szCs w:val="19"/>
                <w:color w:val="auto"/>
              </w:rPr>
            </w:pPr>
          </w:p>
        </w:tc>
        <w:tc>
          <w:tcPr>
            <w:tcW w:w="4940" w:type="dxa"/>
            <w:vAlign w:val="bottom"/>
            <w:gridSpan w:val="2"/>
          </w:tcPr>
          <w:p>
            <w:pPr>
              <w:ind w:left="160"/>
              <w:spacing w:after="0"/>
              <w:rPr>
                <w:sz w:val="20"/>
                <w:szCs w:val="20"/>
                <w:color w:val="auto"/>
              </w:rPr>
            </w:pPr>
            <w:r>
              <w:rPr>
                <w:rFonts w:ascii="Arial" w:cs="Arial" w:eastAsia="Arial" w:hAnsi="Arial"/>
                <w:sz w:val="17"/>
                <w:szCs w:val="17"/>
                <w:color w:val="auto"/>
                <w:w w:val="98"/>
              </w:rPr>
              <w:t>shares in full), based upon the assumed initial offering price of $</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per share, which is the</w:t>
            </w:r>
          </w:p>
        </w:tc>
      </w:tr>
    </w:tbl>
    <w:p>
      <w:pPr>
        <w:ind w:left="4400"/>
        <w:spacing w:after="0" w:line="265" w:lineRule="auto"/>
        <w:rPr>
          <w:sz w:val="20"/>
          <w:szCs w:val="20"/>
          <w:color w:val="auto"/>
        </w:rPr>
      </w:pPr>
      <w:r>
        <w:rPr>
          <w:rFonts w:ascii="Arial" w:cs="Arial" w:eastAsia="Arial" w:hAnsi="Arial"/>
          <w:sz w:val="17"/>
          <w:szCs w:val="17"/>
          <w:color w:val="auto"/>
        </w:rPr>
        <w:t>midpoint of the estimated offering price range set forth on the cover page of this prospectus, after deducting estimated underwriting discounts and commissions and estimated offering expenses payable by us.</w:t>
      </w:r>
    </w:p>
    <w:p>
      <w:pPr>
        <w:spacing w:after="0" w:line="205" w:lineRule="exact"/>
        <w:rPr>
          <w:sz w:val="20"/>
          <w:szCs w:val="20"/>
          <w:color w:val="auto"/>
        </w:rPr>
      </w:pPr>
    </w:p>
    <w:p>
      <w:pPr>
        <w:ind w:left="4400" w:right="240"/>
        <w:spacing w:after="0" w:line="289" w:lineRule="auto"/>
        <w:rPr>
          <w:sz w:val="20"/>
          <w:szCs w:val="20"/>
          <w:color w:val="auto"/>
        </w:rPr>
      </w:pPr>
      <w:r>
        <w:rPr>
          <w:rFonts w:ascii="Arial" w:cs="Arial" w:eastAsia="Arial" w:hAnsi="Arial"/>
          <w:sz w:val="16"/>
          <w:szCs w:val="16"/>
          <w:color w:val="auto"/>
        </w:rPr>
        <w:t>We intend to use the net proceeds that we receive in this offering for product discovery and development and general corporate purposes. We may use a portion of the proceeds to acquire other complementary businesses or technologies. See “Use of Proceeds” for a more complete description of the intended use of proceeds from this offering.</w:t>
      </w:r>
    </w:p>
    <w:p>
      <w:pPr>
        <w:sectPr>
          <w:pgSz w:w="11900" w:h="16838" w:orient="portrait"/>
          <w:cols w:equalWidth="0" w:num="1">
            <w:col w:w="11200"/>
          </w:cols>
          <w:pgMar w:left="240" w:top="449" w:right="459" w:bottom="1440" w:gutter="0" w:footer="0" w:header="0"/>
        </w:sectPr>
      </w:pP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500"/>
        <w:spacing w:after="0" w:line="322" w:lineRule="auto"/>
        <w:rPr>
          <w:sz w:val="20"/>
          <w:szCs w:val="20"/>
          <w:color w:val="auto"/>
        </w:rPr>
      </w:pPr>
      <w:r>
        <w:rPr>
          <w:rFonts w:ascii="Arial" w:cs="Arial" w:eastAsia="Arial" w:hAnsi="Arial"/>
          <w:sz w:val="16"/>
          <w:szCs w:val="16"/>
          <w:color w:val="auto"/>
        </w:rPr>
        <w:t>You should read the “Risk Factors” section of this prospectus for a discussion of factors to consider carefully before deciding to invest in shares of our common stock.</w:t>
      </w:r>
    </w:p>
    <w:p>
      <w:pPr>
        <w:spacing w:after="0" w:line="161" w:lineRule="exact"/>
        <w:rPr>
          <w:sz w:val="20"/>
          <w:szCs w:val="20"/>
          <w:color w:val="auto"/>
        </w:rPr>
      </w:pPr>
    </w:p>
    <w:p>
      <w:pPr>
        <w:sectPr>
          <w:pgSz w:w="11900" w:h="16838" w:orient="portrait"/>
          <w:cols w:equalWidth="0" w:num="2">
            <w:col w:w="3680" w:space="720"/>
            <w:col w:w="6800"/>
          </w:cols>
          <w:pgMar w:left="240" w:top="44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“ANAB”</w:t>
      </w:r>
    </w:p>
    <w:p>
      <w:pPr>
        <w:spacing w:after="0" w:line="200" w:lineRule="exact"/>
        <w:rPr>
          <w:sz w:val="20"/>
          <w:szCs w:val="20"/>
          <w:color w:val="auto"/>
        </w:rPr>
      </w:pPr>
    </w:p>
    <w:p>
      <w:pPr>
        <w:sectPr>
          <w:pgSz w:w="11900" w:h="16838" w:orient="portrait"/>
          <w:cols w:equalWidth="0" w:num="2">
            <w:col w:w="3680" w:space="720"/>
            <w:col w:w="6800"/>
          </w:cols>
          <w:pgMar w:left="240" w:top="449" w:right="459" w:bottom="1440" w:gutter="0" w:footer="0" w:header="0"/>
          <w:type w:val="continuous"/>
        </w:sectPr>
      </w:pPr>
    </w:p>
    <w:p>
      <w:pPr>
        <w:spacing w:after="0" w:line="3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number of shares of our common stock to be outstanding after this offering is based on 98,951,685 shares of our common stock outstanding as of</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September 30, 2015, and excludes:</w:t>
      </w:r>
    </w:p>
    <w:p>
      <w:pPr>
        <w:spacing w:after="0" w:line="120" w:lineRule="exact"/>
        <w:rPr>
          <w:sz w:val="20"/>
          <w:szCs w:val="20"/>
          <w:color w:val="auto"/>
        </w:rPr>
      </w:pPr>
    </w:p>
    <w:p>
      <w:pPr>
        <w:ind w:left="1060" w:right="520" w:hanging="317"/>
        <w:spacing w:after="0" w:line="289"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13,563,272 shares of common stock issuable upon the exercise of options outstanding as of September 30, 2015, with a weighted-average exercise price of $0.51 per share;</w:t>
      </w:r>
    </w:p>
    <w:p>
      <w:pPr>
        <w:spacing w:after="0" w:line="66" w:lineRule="exact"/>
        <w:rPr>
          <w:rFonts w:ascii="Arial" w:cs="Arial" w:eastAsia="Arial" w:hAnsi="Arial"/>
          <w:sz w:val="17"/>
          <w:szCs w:val="17"/>
          <w:color w:val="auto"/>
        </w:rPr>
      </w:pPr>
    </w:p>
    <w:p>
      <w:pPr>
        <w:ind w:left="1060" w:right="120" w:hanging="317"/>
        <w:spacing w:after="0" w:line="289"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1,251,041 shares of common stock issuable upon the exercise of options granted between September 30, 2015 and November 30, 2015, with an exercise price of $1.22 per share;</w:t>
      </w:r>
    </w:p>
    <w:p>
      <w:pPr>
        <w:spacing w:after="0" w:line="66" w:lineRule="exact"/>
        <w:rPr>
          <w:rFonts w:ascii="Arial" w:cs="Arial" w:eastAsia="Arial" w:hAnsi="Arial"/>
          <w:sz w:val="17"/>
          <w:szCs w:val="17"/>
          <w:color w:val="auto"/>
        </w:rPr>
      </w:pPr>
    </w:p>
    <w:p>
      <w:pPr>
        <w:ind w:left="1580" w:hanging="837"/>
        <w:spacing w:after="0"/>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shares of common stock reserved for future issuance under our stock-based compensation plans, consisting of (a) 3,191,727 shares of</w:t>
      </w:r>
    </w:p>
    <w:p>
      <w:pPr>
        <w:sectPr>
          <w:pgSz w:w="11900" w:h="16838" w:orient="portrait"/>
          <w:cols w:equalWidth="0" w:num="1">
            <w:col w:w="11200"/>
          </w:cols>
          <w:pgMar w:left="240" w:top="449" w:right="459" w:bottom="1440" w:gutter="0" w:footer="0" w:header="0"/>
          <w:type w:val="continuous"/>
        </w:sectPr>
      </w:pPr>
    </w:p>
    <w:p>
      <w:pPr>
        <w:spacing w:after="0" w:line="49" w:lineRule="exact"/>
        <w:rPr>
          <w:sz w:val="20"/>
          <w:szCs w:val="20"/>
          <w:color w:val="auto"/>
        </w:rPr>
      </w:pPr>
    </w:p>
    <w:p>
      <w:pPr>
        <w:ind w:left="1060" w:right="100"/>
        <w:spacing w:after="0" w:line="274" w:lineRule="auto"/>
        <w:rPr>
          <w:sz w:val="20"/>
          <w:szCs w:val="20"/>
          <w:color w:val="auto"/>
        </w:rPr>
      </w:pPr>
      <w:r>
        <w:rPr>
          <w:rFonts w:ascii="Arial" w:cs="Arial" w:eastAsia="Arial" w:hAnsi="Arial"/>
          <w:sz w:val="17"/>
          <w:szCs w:val="17"/>
          <w:color w:val="auto"/>
        </w:rPr>
        <w:t>common stock reserved for future issuance under our 2006 Equity Incentive Plan as of September 30, 2015, (b) shares of common stock reserved for future</w:t>
      </w:r>
    </w:p>
    <w:p>
      <w:pPr>
        <w:sectPr>
          <w:pgSz w:w="11900" w:h="16838" w:orient="portrait"/>
          <w:cols w:equalWidth="0" w:num="1">
            <w:col w:w="11200"/>
          </w:cols>
          <w:pgMar w:left="240" w:top="44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00"/>
          </w:cols>
          <w:pgMar w:left="240" w:top="449" w:right="459" w:bottom="1440"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3430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0275" cy="343027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issuance under our 2016 Equity Incentive Plan, which will become effective on the date immediately prior to the date of this prospectus and</w:t>
      </w:r>
    </w:p>
    <w:p>
      <w:pPr>
        <w:spacing w:after="0" w:line="38" w:lineRule="exact"/>
        <w:rPr>
          <w:sz w:val="20"/>
          <w:szCs w:val="20"/>
          <w:color w:val="auto"/>
        </w:rPr>
      </w:pPr>
    </w:p>
    <w:p>
      <w:pPr>
        <w:ind w:left="1080" w:right="20" w:hanging="9"/>
        <w:spacing w:after="0" w:line="281" w:lineRule="auto"/>
        <w:tabs>
          <w:tab w:leader="none" w:pos="1666" w:val="left"/>
        </w:tabs>
        <w:numPr>
          <w:ilvl w:val="1"/>
          <w:numId w:val="13"/>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2016 Employee Stock Purchase Plan, which will become effective on the date of this prospectus. Upon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76" w:lineRule="exact"/>
        <w:rPr>
          <w:rFonts w:ascii="Arial" w:cs="Arial" w:eastAsia="Arial" w:hAnsi="Arial"/>
          <w:sz w:val="16"/>
          <w:szCs w:val="16"/>
          <w:color w:val="auto"/>
        </w:rPr>
      </w:pPr>
    </w:p>
    <w:p>
      <w:pPr>
        <w:ind w:left="1060" w:right="240" w:hanging="317"/>
        <w:spacing w:after="0" w:line="289"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822,386 shares of our common stock issuable upon exercise of warrants for shares of common stock with an exercise price of $0.65 per share, that do not expire upon the closing of this offering; and</w:t>
      </w:r>
    </w:p>
    <w:p>
      <w:pPr>
        <w:spacing w:after="0" w:line="66" w:lineRule="exact"/>
        <w:rPr>
          <w:rFonts w:ascii="Arial" w:cs="Arial" w:eastAsia="Arial" w:hAnsi="Arial"/>
          <w:sz w:val="17"/>
          <w:szCs w:val="17"/>
          <w:color w:val="auto"/>
        </w:rPr>
      </w:pPr>
    </w:p>
    <w:p>
      <w:pPr>
        <w:ind w:left="1060" w:hanging="317"/>
        <w:spacing w:after="0" w:line="32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our Series C convertible preferred stock that were outstanding as of September 30, 2015, with an exercise price of $0.65 per share, that do not expire upon the closing of this offering.</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Except as otherwise indicated, all information in this prospectus assumes:</w:t>
      </w:r>
    </w:p>
    <w:p>
      <w:pPr>
        <w:spacing w:after="0" w:line="132" w:lineRule="exact"/>
        <w:rPr>
          <w:sz w:val="20"/>
          <w:szCs w:val="20"/>
          <w:color w:val="auto"/>
        </w:rPr>
      </w:pPr>
    </w:p>
    <w:p>
      <w:pPr>
        <w:ind w:left="1060" w:right="180" w:hanging="317"/>
        <w:spacing w:after="0" w:line="289"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as of September 30, 2015 into an aggregate of 80,645,051 shares of common stock immediately prior to the closing of this offering;</w:t>
      </w:r>
    </w:p>
    <w:p>
      <w:pPr>
        <w:sectPr>
          <w:pgSz w:w="11900" w:h="16838" w:orient="portrait"/>
          <w:cols w:equalWidth="0" w:num="1">
            <w:col w:w="11220"/>
          </w:cols>
          <w:pgMar w:left="240" w:top="449" w:right="439" w:bottom="1440" w:gutter="0" w:footer="0" w:header="0"/>
        </w:sectPr>
      </w:pPr>
    </w:p>
    <w:p>
      <w:pPr>
        <w:spacing w:after="0" w:line="6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a -for-this offering;</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reverse stock split of our common stock and convertible preferred stock, which will become effective prior to the completion of</w:t>
      </w:r>
    </w:p>
    <w:p>
      <w:pPr>
        <w:spacing w:after="0" w:line="352" w:lineRule="exact"/>
        <w:rPr>
          <w:sz w:val="20"/>
          <w:szCs w:val="20"/>
          <w:color w:val="auto"/>
        </w:rPr>
      </w:pPr>
    </w:p>
    <w:p>
      <w:pPr>
        <w:sectPr>
          <w:pgSz w:w="11900" w:h="16838" w:orient="portrait"/>
          <w:cols w:equalWidth="0" w:num="3">
            <w:col w:w="800" w:space="260"/>
            <w:col w:w="900" w:space="280"/>
            <w:col w:w="8980"/>
          </w:cols>
          <w:pgMar w:left="240" w:top="449" w:right="439" w:bottom="1440" w:gutter="0" w:footer="0" w:header="0"/>
          <w:type w:val="continuous"/>
        </w:sectPr>
      </w:pPr>
    </w:p>
    <w:p>
      <w:pPr>
        <w:ind w:left="1060" w:hanging="317"/>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effectiveness of our restated certificate of incorporation in connection with the closing of this offering;</w:t>
      </w:r>
    </w:p>
    <w:p>
      <w:pPr>
        <w:spacing w:after="0" w:line="143" w:lineRule="exact"/>
        <w:rPr>
          <w:rFonts w:ascii="Arial" w:cs="Arial" w:eastAsia="Arial" w:hAnsi="Arial"/>
          <w:sz w:val="16"/>
          <w:szCs w:val="16"/>
          <w:color w:val="auto"/>
        </w:rPr>
      </w:pPr>
    </w:p>
    <w:p>
      <w:pPr>
        <w:ind w:left="1060" w:hanging="317"/>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exercise of outstanding stock options or warrants subsequent to September 30, 2015; and</w:t>
      </w:r>
    </w:p>
    <w:p>
      <w:pPr>
        <w:spacing w:after="0" w:line="131" w:lineRule="exact"/>
        <w:rPr>
          <w:rFonts w:ascii="Arial" w:cs="Arial" w:eastAsia="Arial" w:hAnsi="Arial"/>
          <w:sz w:val="17"/>
          <w:szCs w:val="17"/>
          <w:color w:val="auto"/>
        </w:rPr>
      </w:pPr>
    </w:p>
    <w:p>
      <w:pPr>
        <w:ind w:left="1060" w:hanging="317"/>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240" w:top="449" w:right="439"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658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0275" cy="6581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Consolidated Financial Data</w:t>
      </w:r>
    </w:p>
    <w:p>
      <w:pPr>
        <w:spacing w:after="0" w:line="125" w:lineRule="exact"/>
        <w:rPr>
          <w:sz w:val="20"/>
          <w:szCs w:val="20"/>
          <w:color w:val="auto"/>
        </w:rPr>
      </w:pPr>
    </w:p>
    <w:p>
      <w:pPr>
        <w:ind w:left="200" w:firstLine="443"/>
        <w:spacing w:after="0" w:line="278" w:lineRule="auto"/>
        <w:rPr>
          <w:sz w:val="20"/>
          <w:szCs w:val="20"/>
          <w:color w:val="auto"/>
        </w:rPr>
      </w:pPr>
      <w:r>
        <w:rPr>
          <w:rFonts w:ascii="Arial" w:cs="Arial" w:eastAsia="Arial" w:hAnsi="Arial"/>
          <w:sz w:val="16"/>
          <w:szCs w:val="16"/>
          <w:color w:val="auto"/>
        </w:rPr>
        <w:t>The summary statements of operations data presented below for the years ended December 31, 2013 and 2014 are derived from our audited financial statements included elsewhere in this prospectus. The summary consolidated statements of operations data for the nine months ended September 30, 2014 and 2015 and our consolidated balance sheet data as of September 30, 2015 are derived from our unaudited consolidated financial statements included elsewhere in this prospectus. The unaudited consolidated financial statements were prepared on a basis consistent with our audited financial statements and reflect, in the opinion of management, all adjustments of a normal recurring nature that are necessary for the fair presentation of the financial statements.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nine months ended September 30, 2015 are not necessarily indicative of results to be expected for the full year. The summary financial data in this section are not intended to replace the financial statements and are qualified in their entirety by the financial statements and related notes included elsewhere in this prospectus.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7"/>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37"/>
        </w:trPr>
        <w:tc>
          <w:tcPr>
            <w:tcW w:w="644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5"/>
              <w:spacing w:after="0" w:line="137"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4"/>
              <w:spacing w:after="0" w:line="137"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4"/>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jc w:val="center"/>
              <w:spacing w:after="0" w:line="137"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Collaboration revenue</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5,483</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15,838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12,133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13,517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8,820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8,614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6,009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10,732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10,770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10,968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13,247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from operations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(5,287)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1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expense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(1,281)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(1,271)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7"/>
                <w:szCs w:val="17"/>
                <w:color w:val="auto"/>
              </w:rPr>
              <w:t>Change in fair value of liability for preferred stock warrants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income (expense)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860"/>
              <w:spacing w:after="0"/>
              <w:rPr>
                <w:sz w:val="20"/>
                <w:szCs w:val="20"/>
                <w:color w:val="auto"/>
              </w:rPr>
            </w:pPr>
            <w:r>
              <w:rPr>
                <w:rFonts w:ascii="Arial" w:cs="Arial" w:eastAsia="Arial" w:hAnsi="Arial"/>
                <w:sz w:val="17"/>
                <w:szCs w:val="17"/>
                <w:color w:val="auto"/>
              </w:rPr>
              <w:t>Total other expense, net</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(1,338)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(1,314)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(2,113)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before income taxes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(5,545)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500"/>
              <w:spacing w:after="0"/>
              <w:rPr>
                <w:sz w:val="20"/>
                <w:szCs w:val="20"/>
                <w:color w:val="auto"/>
              </w:rPr>
            </w:pPr>
            <w:r>
              <w:rPr>
                <w:rFonts w:ascii="Arial" w:cs="Arial" w:eastAsia="Arial" w:hAnsi="Arial"/>
                <w:sz w:val="17"/>
                <w:szCs w:val="17"/>
                <w:color w:val="auto"/>
              </w:rPr>
              <w:t>Provision for income taxes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income (loss)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(5,545)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(1,893)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7"/>
                <w:szCs w:val="17"/>
                <w:color w:val="auto"/>
              </w:rPr>
              <w:t>Net income attributed to participating securities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(3,300)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(2,741)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attributed to common stockholders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(5,545)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(1,893)</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7"/>
                <w:szCs w:val="17"/>
                <w:color w:val="auto"/>
              </w:rPr>
              <w:t>Net income (loss) per common share:</w:t>
            </w:r>
            <w:r>
              <w:rPr>
                <w:rFonts w:ascii="Arial" w:cs="Arial" w:eastAsia="Arial" w:hAnsi="Arial"/>
                <w:sz w:val="14"/>
                <w:szCs w:val="14"/>
                <w:color w:val="auto"/>
              </w:rPr>
              <w:t>(1)</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4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 and diluted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7"/>
                <w:szCs w:val="17"/>
                <w:color w:val="auto"/>
              </w:rPr>
              <w:t>Weighted-average number of shares outstanding:</w:t>
            </w:r>
            <w:r>
              <w:rPr>
                <w:rFonts w:ascii="Arial" w:cs="Arial" w:eastAsia="Arial" w:hAnsi="Arial"/>
                <w:sz w:val="14"/>
                <w:szCs w:val="14"/>
                <w:color w:val="auto"/>
              </w:rPr>
              <w:t>(1)</w:t>
            </w: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4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 and diluted</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17,368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17,368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7"/>
                <w:szCs w:val="17"/>
                <w:color w:val="auto"/>
              </w:rPr>
              <w:t>Pro forma net income (loss) per common share (unaudited):</w:t>
            </w:r>
            <w:r>
              <w:rPr>
                <w:rFonts w:ascii="Arial" w:cs="Arial" w:eastAsia="Arial" w:hAnsi="Arial"/>
                <w:sz w:val="14"/>
                <w:szCs w:val="14"/>
                <w:color w:val="auto"/>
              </w:rPr>
              <w:t>(1)</w:t>
            </w: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4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 and diluted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7"/>
                <w:szCs w:val="17"/>
                <w:color w:val="auto"/>
              </w:rPr>
              <w:t>Pro forma weighted-average number of shares outstanding (unaudited):</w:t>
            </w:r>
            <w:r>
              <w:rPr>
                <w:rFonts w:ascii="Arial" w:cs="Arial" w:eastAsia="Arial" w:hAnsi="Arial"/>
                <w:sz w:val="14"/>
                <w:szCs w:val="14"/>
                <w:color w:val="auto"/>
              </w:rPr>
              <w:t>(1)</w:t>
            </w: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4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 and diluted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58,473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70,904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060" w:hanging="434"/>
        <w:spacing w:after="0" w:line="273"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Note 2 to our annual and interim consolidated financial statements for an explanation of the method used to calculate basic and diluted net income (loss) per common share, unaudited pro forma basic and diluted net income (loss) per common share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60"/>
          </w:cols>
          <w:pgMar w:left="240" w:top="449" w:right="3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280275" cy="38874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0275" cy="388747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September 30, 2015</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(unaudited)</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Actual</w:t>
            </w:r>
          </w:p>
        </w:tc>
        <w:tc>
          <w:tcPr>
            <w:tcW w:w="16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1"/>
                <w:szCs w:val="11"/>
                <w:b w:val="1"/>
                <w:bCs w:val="1"/>
                <w:color w:val="auto"/>
              </w:rPr>
              <w:t>(1)</w:t>
            </w:r>
          </w:p>
        </w:tc>
        <w:tc>
          <w:tcPr>
            <w:tcW w:w="1020" w:type="dxa"/>
            <w:vAlign w:val="bottom"/>
          </w:tcPr>
          <w:p>
            <w:pPr>
              <w:ind w:left="220"/>
              <w:spacing w:after="0" w:line="115" w:lineRule="exact"/>
              <w:rPr>
                <w:sz w:val="20"/>
                <w:szCs w:val="20"/>
                <w:color w:val="auto"/>
              </w:rPr>
            </w:pPr>
            <w:r>
              <w:rPr>
                <w:rFonts w:ascii="Arial" w:cs="Arial" w:eastAsia="Arial" w:hAnsi="Arial"/>
                <w:sz w:val="13"/>
                <w:szCs w:val="13"/>
                <w:b w:val="1"/>
                <w:bCs w:val="1"/>
                <w:color w:val="auto"/>
                <w:w w:val="93"/>
              </w:rPr>
              <w:t>Pro Forma as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1"/>
                <w:szCs w:val="11"/>
                <w:b w:val="1"/>
                <w:bCs w:val="1"/>
                <w:color w:val="auto"/>
              </w:rPr>
              <w:t>(2)(3)</w:t>
            </w:r>
          </w:p>
        </w:tc>
        <w:tc>
          <w:tcPr>
            <w:tcW w:w="0" w:type="dxa"/>
            <w:vAlign w:val="bottom"/>
          </w:tcPr>
          <w:p>
            <w:pPr>
              <w:spacing w:after="0"/>
              <w:rPr>
                <w:sz w:val="1"/>
                <w:szCs w:val="1"/>
                <w:color w:val="auto"/>
              </w:rPr>
            </w:pPr>
          </w:p>
        </w:tc>
      </w:tr>
      <w:tr>
        <w:trPr>
          <w:trHeight w:val="190"/>
        </w:trPr>
        <w:tc>
          <w:tcPr>
            <w:tcW w:w="64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9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980" w:type="dxa"/>
            <w:vAlign w:val="bottom"/>
          </w:tcPr>
          <w:p>
            <w:pPr>
              <w:jc w:val="right"/>
              <w:ind w:right="255"/>
              <w:spacing w:after="0"/>
              <w:rPr>
                <w:sz w:val="20"/>
                <w:szCs w:val="20"/>
                <w:color w:val="auto"/>
              </w:rPr>
            </w:pPr>
            <w:r>
              <w:rPr>
                <w:rFonts w:ascii="Arial" w:cs="Arial" w:eastAsia="Arial" w:hAnsi="Arial"/>
                <w:sz w:val="17"/>
                <w:szCs w:val="17"/>
                <w:color w:val="auto"/>
              </w:rPr>
              <w:t>$55,245</w:t>
            </w:r>
          </w:p>
        </w:tc>
        <w:tc>
          <w:tcPr>
            <w:tcW w:w="1640" w:type="dxa"/>
            <w:vAlign w:val="bottom"/>
          </w:tcPr>
          <w:p>
            <w:pPr>
              <w:ind w:left="320"/>
              <w:spacing w:after="0"/>
              <w:rPr>
                <w:sz w:val="20"/>
                <w:szCs w:val="20"/>
                <w:color w:val="auto"/>
              </w:rPr>
            </w:pPr>
            <w:r>
              <w:rPr>
                <w:rFonts w:ascii="Arial" w:cs="Arial" w:eastAsia="Arial" w:hAnsi="Arial"/>
                <w:sz w:val="17"/>
                <w:szCs w:val="17"/>
                <w:color w:val="auto"/>
              </w:rPr>
              <w:t>$</w:t>
            </w:r>
          </w:p>
        </w:tc>
        <w:tc>
          <w:tcPr>
            <w:tcW w:w="1020" w:type="dxa"/>
            <w:vAlign w:val="bottom"/>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60,877</w:t>
            </w:r>
          </w:p>
        </w:tc>
        <w:tc>
          <w:tcPr>
            <w:tcW w:w="1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7"/>
                <w:szCs w:val="17"/>
                <w:color w:val="auto"/>
              </w:rPr>
              <w:t>Notes payable, current portion</w:t>
            </w:r>
          </w:p>
        </w:tc>
        <w:tc>
          <w:tcPr>
            <w:tcW w:w="980" w:type="dxa"/>
            <w:vAlign w:val="bottom"/>
          </w:tcPr>
          <w:p>
            <w:pPr>
              <w:jc w:val="right"/>
              <w:ind w:right="255"/>
              <w:spacing w:after="0"/>
              <w:rPr>
                <w:sz w:val="20"/>
                <w:szCs w:val="20"/>
                <w:color w:val="auto"/>
              </w:rPr>
            </w:pPr>
            <w:r>
              <w:rPr>
                <w:rFonts w:ascii="Arial" w:cs="Arial" w:eastAsia="Arial" w:hAnsi="Arial"/>
                <w:sz w:val="17"/>
                <w:szCs w:val="17"/>
                <w:color w:val="auto"/>
              </w:rPr>
              <w:t>1,023</w:t>
            </w: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Notes payable, noncurrent portion</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3,853</w:t>
            </w:r>
          </w:p>
        </w:tc>
        <w:tc>
          <w:tcPr>
            <w:tcW w:w="1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7"/>
                <w:szCs w:val="17"/>
                <w:color w:val="auto"/>
              </w:rPr>
              <w:t>Preferred stock warrant liabilities</w:t>
            </w:r>
          </w:p>
        </w:tc>
        <w:tc>
          <w:tcPr>
            <w:tcW w:w="980" w:type="dxa"/>
            <w:vAlign w:val="bottom"/>
          </w:tcPr>
          <w:p>
            <w:pPr>
              <w:jc w:val="right"/>
              <w:ind w:right="255"/>
              <w:spacing w:after="0"/>
              <w:rPr>
                <w:sz w:val="20"/>
                <w:szCs w:val="20"/>
                <w:color w:val="auto"/>
              </w:rPr>
            </w:pPr>
            <w:r>
              <w:rPr>
                <w:rFonts w:ascii="Arial" w:cs="Arial" w:eastAsia="Arial" w:hAnsi="Arial"/>
                <w:sz w:val="17"/>
                <w:szCs w:val="17"/>
                <w:color w:val="auto"/>
              </w:rPr>
              <w:t>1,800</w:t>
            </w: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9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77,516</w:t>
            </w:r>
          </w:p>
        </w:tc>
        <w:tc>
          <w:tcPr>
            <w:tcW w:w="1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(31,935)</w:t>
            </w: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060" w:right="120" w:hanging="434"/>
        <w:spacing w:after="0" w:line="299" w:lineRule="auto"/>
        <w:tabs>
          <w:tab w:leader="none" w:pos="10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pro forma consolidated balance sheet data give effect to: (i) the automatic conversion of all outstanding shares of our convertible preferred stock as of September 30, 2015 into 80,645,051 shares of common stock immediately prior to the closing of this offering and (ii) the conversion</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98"/>
        </w:trPr>
        <w:tc>
          <w:tcPr>
            <w:tcW w:w="320" w:type="dxa"/>
            <w:vAlign w:val="bottom"/>
          </w:tcPr>
          <w:p>
            <w:pPr>
              <w:spacing w:after="0"/>
              <w:rPr>
                <w:sz w:val="17"/>
                <w:szCs w:val="17"/>
                <w:color w:val="auto"/>
              </w:rPr>
            </w:pPr>
          </w:p>
        </w:tc>
        <w:tc>
          <w:tcPr>
            <w:tcW w:w="10300" w:type="dxa"/>
            <w:vAlign w:val="bottom"/>
            <w:gridSpan w:val="6"/>
          </w:tcPr>
          <w:p>
            <w:pPr>
              <w:ind w:left="120"/>
              <w:spacing w:after="0"/>
              <w:rPr>
                <w:sz w:val="20"/>
                <w:szCs w:val="20"/>
                <w:color w:val="auto"/>
              </w:rPr>
            </w:pPr>
            <w:r>
              <w:rPr>
                <w:rFonts w:ascii="Arial" w:cs="Arial" w:eastAsia="Arial" w:hAnsi="Arial"/>
                <w:sz w:val="17"/>
                <w:szCs w:val="17"/>
                <w:color w:val="auto"/>
                <w:w w:val="95"/>
              </w:rPr>
              <w:t>of the preferred stock warrants into common stock warrants and the related reclassification of the preferred stock warrant liability to additional</w:t>
            </w:r>
          </w:p>
        </w:tc>
      </w:tr>
      <w:tr>
        <w:trPr>
          <w:trHeight w:val="210"/>
        </w:trPr>
        <w:tc>
          <w:tcPr>
            <w:tcW w:w="320" w:type="dxa"/>
            <w:vAlign w:val="bottom"/>
          </w:tcPr>
          <w:p>
            <w:pPr>
              <w:spacing w:after="0"/>
              <w:rPr>
                <w:sz w:val="18"/>
                <w:szCs w:val="18"/>
                <w:color w:val="auto"/>
              </w:rPr>
            </w:pPr>
          </w:p>
        </w:tc>
        <w:tc>
          <w:tcPr>
            <w:tcW w:w="2360" w:type="dxa"/>
            <w:vAlign w:val="bottom"/>
          </w:tcPr>
          <w:p>
            <w:pPr>
              <w:ind w:left="120"/>
              <w:spacing w:after="0"/>
              <w:rPr>
                <w:sz w:val="20"/>
                <w:szCs w:val="20"/>
                <w:color w:val="auto"/>
              </w:rPr>
            </w:pPr>
            <w:r>
              <w:rPr>
                <w:rFonts w:ascii="Arial" w:cs="Arial" w:eastAsia="Arial" w:hAnsi="Arial"/>
                <w:sz w:val="17"/>
                <w:szCs w:val="17"/>
                <w:color w:val="auto"/>
              </w:rPr>
              <w:t>paid-in capital.</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0"/>
        </w:trPr>
        <w:tc>
          <w:tcPr>
            <w:tcW w:w="320" w:type="dxa"/>
            <w:vAlign w:val="bottom"/>
          </w:tcPr>
          <w:p>
            <w:pPr>
              <w:jc w:val="right"/>
              <w:ind w:right="33"/>
              <w:spacing w:after="0"/>
              <w:rPr>
                <w:sz w:val="20"/>
                <w:szCs w:val="20"/>
                <w:color w:val="auto"/>
              </w:rPr>
            </w:pPr>
            <w:r>
              <w:rPr>
                <w:rFonts w:ascii="Arial" w:cs="Arial" w:eastAsia="Arial" w:hAnsi="Arial"/>
                <w:sz w:val="17"/>
                <w:szCs w:val="17"/>
                <w:color w:val="auto"/>
                <w:w w:val="86"/>
              </w:rPr>
              <w:t>(2)</w:t>
            </w:r>
          </w:p>
        </w:tc>
        <w:tc>
          <w:tcPr>
            <w:tcW w:w="7420" w:type="dxa"/>
            <w:vAlign w:val="bottom"/>
            <w:gridSpan w:val="5"/>
          </w:tcPr>
          <w:p>
            <w:pPr>
              <w:ind w:left="120"/>
              <w:spacing w:after="0"/>
              <w:rPr>
                <w:sz w:val="20"/>
                <w:szCs w:val="20"/>
                <w:color w:val="auto"/>
              </w:rPr>
            </w:pPr>
            <w:r>
              <w:rPr>
                <w:rFonts w:ascii="Arial" w:cs="Arial" w:eastAsia="Arial" w:hAnsi="Arial"/>
                <w:sz w:val="17"/>
                <w:szCs w:val="17"/>
                <w:color w:val="auto"/>
                <w:w w:val="94"/>
              </w:rPr>
              <w:t>The pro forma as adjusted balance sheet data give effect to the pro forma adjustments and the sale of</w:t>
            </w:r>
          </w:p>
        </w:tc>
        <w:tc>
          <w:tcPr>
            <w:tcW w:w="2880" w:type="dxa"/>
            <w:vAlign w:val="bottom"/>
          </w:tcPr>
          <w:p>
            <w:pPr>
              <w:jc w:val="right"/>
              <w:spacing w:after="0"/>
              <w:rPr>
                <w:sz w:val="20"/>
                <w:szCs w:val="20"/>
                <w:color w:val="auto"/>
              </w:rPr>
            </w:pPr>
            <w:r>
              <w:rPr>
                <w:rFonts w:ascii="Arial" w:cs="Arial" w:eastAsia="Arial" w:hAnsi="Arial"/>
                <w:sz w:val="17"/>
                <w:szCs w:val="17"/>
                <w:color w:val="auto"/>
              </w:rPr>
              <w:t>shares of common stock by us in this</w:t>
            </w:r>
          </w:p>
        </w:tc>
      </w:tr>
      <w:tr>
        <w:trPr>
          <w:trHeight w:val="210"/>
        </w:trPr>
        <w:tc>
          <w:tcPr>
            <w:tcW w:w="320" w:type="dxa"/>
            <w:vAlign w:val="bottom"/>
          </w:tcPr>
          <w:p>
            <w:pPr>
              <w:spacing w:after="0"/>
              <w:rPr>
                <w:sz w:val="18"/>
                <w:szCs w:val="18"/>
                <w:color w:val="auto"/>
              </w:rPr>
            </w:pPr>
          </w:p>
        </w:tc>
        <w:tc>
          <w:tcPr>
            <w:tcW w:w="4760" w:type="dxa"/>
            <w:vAlign w:val="bottom"/>
            <w:gridSpan w:val="3"/>
          </w:tcPr>
          <w:p>
            <w:pPr>
              <w:ind w:left="120"/>
              <w:spacing w:after="0"/>
              <w:rPr>
                <w:sz w:val="20"/>
                <w:szCs w:val="20"/>
                <w:color w:val="auto"/>
              </w:rPr>
            </w:pPr>
            <w:r>
              <w:rPr>
                <w:rFonts w:ascii="Arial" w:cs="Arial" w:eastAsia="Arial" w:hAnsi="Arial"/>
                <w:sz w:val="17"/>
                <w:szCs w:val="17"/>
                <w:color w:val="auto"/>
                <w:w w:val="99"/>
              </w:rPr>
              <w:t>offering, based on an assumed initial public offering price of $</w:t>
            </w:r>
          </w:p>
        </w:tc>
        <w:tc>
          <w:tcPr>
            <w:tcW w:w="5540" w:type="dxa"/>
            <w:vAlign w:val="bottom"/>
            <w:gridSpan w:val="3"/>
          </w:tcPr>
          <w:p>
            <w:pPr>
              <w:jc w:val="right"/>
              <w:ind w:right="53"/>
              <w:spacing w:after="0"/>
              <w:rPr>
                <w:sz w:val="20"/>
                <w:szCs w:val="20"/>
                <w:color w:val="auto"/>
              </w:rPr>
            </w:pPr>
            <w:r>
              <w:rPr>
                <w:rFonts w:ascii="Arial" w:cs="Arial" w:eastAsia="Arial" w:hAnsi="Arial"/>
                <w:sz w:val="17"/>
                <w:szCs w:val="17"/>
                <w:color w:val="auto"/>
                <w:w w:val="97"/>
              </w:rPr>
              <w:t>per share, the midpoint of the estimated price range set forth on the cover</w:t>
            </w:r>
          </w:p>
        </w:tc>
      </w:tr>
      <w:tr>
        <w:trPr>
          <w:trHeight w:val="210"/>
        </w:trPr>
        <w:tc>
          <w:tcPr>
            <w:tcW w:w="320" w:type="dxa"/>
            <w:vAlign w:val="bottom"/>
          </w:tcPr>
          <w:p>
            <w:pPr>
              <w:spacing w:after="0"/>
              <w:rPr>
                <w:sz w:val="18"/>
                <w:szCs w:val="18"/>
                <w:color w:val="auto"/>
              </w:rPr>
            </w:pPr>
          </w:p>
        </w:tc>
        <w:tc>
          <w:tcPr>
            <w:tcW w:w="10300" w:type="dxa"/>
            <w:vAlign w:val="bottom"/>
            <w:gridSpan w:val="6"/>
          </w:tcPr>
          <w:p>
            <w:pPr>
              <w:ind w:left="120"/>
              <w:spacing w:after="0"/>
              <w:rPr>
                <w:sz w:val="20"/>
                <w:szCs w:val="20"/>
                <w:color w:val="auto"/>
              </w:rPr>
            </w:pPr>
            <w:r>
              <w:rPr>
                <w:rFonts w:ascii="Arial" w:cs="Arial" w:eastAsia="Arial" w:hAnsi="Arial"/>
                <w:sz w:val="17"/>
                <w:szCs w:val="17"/>
                <w:color w:val="auto"/>
                <w:w w:val="96"/>
              </w:rPr>
              <w:t>page of this prospectus, after deducting estimated underwriting discounts and commissions and estimated offering expenses payable by us.</w:t>
            </w:r>
          </w:p>
        </w:tc>
      </w:tr>
      <w:tr>
        <w:trPr>
          <w:trHeight w:val="210"/>
        </w:trPr>
        <w:tc>
          <w:tcPr>
            <w:tcW w:w="320" w:type="dxa"/>
            <w:vAlign w:val="bottom"/>
          </w:tcPr>
          <w:p>
            <w:pPr>
              <w:jc w:val="right"/>
              <w:ind w:right="33"/>
              <w:spacing w:after="0"/>
              <w:rPr>
                <w:sz w:val="20"/>
                <w:szCs w:val="20"/>
                <w:color w:val="auto"/>
              </w:rPr>
            </w:pPr>
            <w:r>
              <w:rPr>
                <w:rFonts w:ascii="Arial" w:cs="Arial" w:eastAsia="Arial" w:hAnsi="Arial"/>
                <w:sz w:val="17"/>
                <w:szCs w:val="17"/>
                <w:color w:val="auto"/>
                <w:w w:val="86"/>
              </w:rPr>
              <w:t>(3)</w:t>
            </w:r>
          </w:p>
        </w:tc>
        <w:tc>
          <w:tcPr>
            <w:tcW w:w="5880" w:type="dxa"/>
            <w:vAlign w:val="bottom"/>
            <w:gridSpan w:val="4"/>
          </w:tcPr>
          <w:p>
            <w:pPr>
              <w:ind w:left="120"/>
              <w:spacing w:after="0"/>
              <w:rPr>
                <w:sz w:val="20"/>
                <w:szCs w:val="20"/>
                <w:color w:val="auto"/>
              </w:rPr>
            </w:pPr>
            <w:r>
              <w:rPr>
                <w:rFonts w:ascii="Arial" w:cs="Arial" w:eastAsia="Arial" w:hAnsi="Arial"/>
                <w:sz w:val="17"/>
                <w:szCs w:val="17"/>
                <w:color w:val="auto"/>
                <w:w w:val="97"/>
              </w:rPr>
              <w:t>Each $1.00 increase (decrease) in the assumed initial public offering price of $</w:t>
            </w:r>
          </w:p>
        </w:tc>
        <w:tc>
          <w:tcPr>
            <w:tcW w:w="4420" w:type="dxa"/>
            <w:vAlign w:val="bottom"/>
            <w:gridSpan w:val="2"/>
          </w:tcPr>
          <w:p>
            <w:pPr>
              <w:jc w:val="right"/>
              <w:ind w:right="73"/>
              <w:spacing w:after="0"/>
              <w:rPr>
                <w:sz w:val="20"/>
                <w:szCs w:val="20"/>
                <w:color w:val="auto"/>
              </w:rPr>
            </w:pPr>
            <w:r>
              <w:rPr>
                <w:rFonts w:ascii="Arial" w:cs="Arial" w:eastAsia="Arial" w:hAnsi="Arial"/>
                <w:sz w:val="17"/>
                <w:szCs w:val="17"/>
                <w:color w:val="auto"/>
                <w:w w:val="98"/>
              </w:rPr>
              <w:t>per share, the midpoint of the price range set forth on the</w:t>
            </w:r>
          </w:p>
        </w:tc>
      </w:tr>
      <w:tr>
        <w:trPr>
          <w:trHeight w:val="210"/>
        </w:trPr>
        <w:tc>
          <w:tcPr>
            <w:tcW w:w="320" w:type="dxa"/>
            <w:vAlign w:val="bottom"/>
          </w:tcPr>
          <w:p>
            <w:pPr>
              <w:spacing w:after="0"/>
              <w:rPr>
                <w:sz w:val="18"/>
                <w:szCs w:val="18"/>
                <w:color w:val="auto"/>
              </w:rPr>
            </w:pPr>
          </w:p>
        </w:tc>
        <w:tc>
          <w:tcPr>
            <w:tcW w:w="10300" w:type="dxa"/>
            <w:vAlign w:val="bottom"/>
            <w:gridSpan w:val="6"/>
          </w:tcPr>
          <w:p>
            <w:pPr>
              <w:ind w:left="120"/>
              <w:spacing w:after="0"/>
              <w:rPr>
                <w:sz w:val="20"/>
                <w:szCs w:val="20"/>
                <w:color w:val="auto"/>
              </w:rPr>
            </w:pPr>
            <w:r>
              <w:rPr>
                <w:rFonts w:ascii="Arial" w:cs="Arial" w:eastAsia="Arial" w:hAnsi="Arial"/>
                <w:sz w:val="17"/>
                <w:szCs w:val="17"/>
                <w:color w:val="auto"/>
                <w:w w:val="95"/>
              </w:rPr>
              <w:t>cover page of this prospectus, would increase (decrease) each of our pro forma as adjusted cash and cash equivalents, total assets and total</w:t>
            </w:r>
          </w:p>
        </w:tc>
      </w:tr>
      <w:tr>
        <w:trPr>
          <w:trHeight w:val="210"/>
        </w:trPr>
        <w:tc>
          <w:tcPr>
            <w:tcW w:w="32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Arial" w:cs="Arial" w:eastAsia="Arial" w:hAnsi="Arial"/>
                <w:sz w:val="17"/>
                <w:szCs w:val="17"/>
                <w:color w:val="auto"/>
              </w:rPr>
              <w:t>stockholders’ equity (deficit) by approximately $</w:t>
            </w:r>
          </w:p>
        </w:tc>
        <w:tc>
          <w:tcPr>
            <w:tcW w:w="6480" w:type="dxa"/>
            <w:vAlign w:val="bottom"/>
            <w:gridSpan w:val="4"/>
          </w:tcPr>
          <w:p>
            <w:pPr>
              <w:jc w:val="right"/>
              <w:ind w:right="133"/>
              <w:spacing w:after="0"/>
              <w:rPr>
                <w:sz w:val="20"/>
                <w:szCs w:val="20"/>
                <w:color w:val="auto"/>
              </w:rPr>
            </w:pPr>
            <w:r>
              <w:rPr>
                <w:rFonts w:ascii="Arial" w:cs="Arial" w:eastAsia="Arial" w:hAnsi="Arial"/>
                <w:sz w:val="17"/>
                <w:szCs w:val="17"/>
                <w:color w:val="auto"/>
                <w:w w:val="96"/>
              </w:rPr>
              <w:t>million, assuming that the number of shares offered by us, remains the same and after</w:t>
            </w:r>
          </w:p>
        </w:tc>
      </w:tr>
      <w:tr>
        <w:trPr>
          <w:trHeight w:val="210"/>
        </w:trPr>
        <w:tc>
          <w:tcPr>
            <w:tcW w:w="320" w:type="dxa"/>
            <w:vAlign w:val="bottom"/>
          </w:tcPr>
          <w:p>
            <w:pPr>
              <w:spacing w:after="0"/>
              <w:rPr>
                <w:sz w:val="18"/>
                <w:szCs w:val="18"/>
                <w:color w:val="auto"/>
              </w:rPr>
            </w:pPr>
          </w:p>
        </w:tc>
        <w:tc>
          <w:tcPr>
            <w:tcW w:w="10300" w:type="dxa"/>
            <w:vAlign w:val="bottom"/>
            <w:gridSpan w:val="6"/>
          </w:tcPr>
          <w:p>
            <w:pPr>
              <w:ind w:left="120"/>
              <w:spacing w:after="0"/>
              <w:rPr>
                <w:sz w:val="20"/>
                <w:szCs w:val="20"/>
                <w:color w:val="auto"/>
              </w:rPr>
            </w:pPr>
            <w:r>
              <w:rPr>
                <w:rFonts w:ascii="Arial" w:cs="Arial" w:eastAsia="Arial" w:hAnsi="Arial"/>
                <w:sz w:val="17"/>
                <w:szCs w:val="17"/>
                <w:color w:val="auto"/>
                <w:w w:val="93"/>
              </w:rPr>
              <w:t>deducting estimated underwriting discounts and commissions. Similarly, each increase (decrease) of one million shares in the number of shares</w:t>
            </w:r>
          </w:p>
        </w:tc>
      </w:tr>
      <w:tr>
        <w:trPr>
          <w:trHeight w:val="210"/>
        </w:trPr>
        <w:tc>
          <w:tcPr>
            <w:tcW w:w="320" w:type="dxa"/>
            <w:vAlign w:val="bottom"/>
          </w:tcPr>
          <w:p>
            <w:pPr>
              <w:spacing w:after="0"/>
              <w:rPr>
                <w:sz w:val="18"/>
                <w:szCs w:val="18"/>
                <w:color w:val="auto"/>
              </w:rPr>
            </w:pPr>
          </w:p>
        </w:tc>
        <w:tc>
          <w:tcPr>
            <w:tcW w:w="10300" w:type="dxa"/>
            <w:vAlign w:val="bottom"/>
            <w:gridSpan w:val="6"/>
          </w:tcPr>
          <w:p>
            <w:pPr>
              <w:ind w:left="120"/>
              <w:spacing w:after="0"/>
              <w:rPr>
                <w:sz w:val="20"/>
                <w:szCs w:val="20"/>
                <w:color w:val="auto"/>
              </w:rPr>
            </w:pPr>
            <w:r>
              <w:rPr>
                <w:rFonts w:ascii="Arial" w:cs="Arial" w:eastAsia="Arial" w:hAnsi="Arial"/>
                <w:sz w:val="17"/>
                <w:szCs w:val="17"/>
                <w:color w:val="auto"/>
                <w:w w:val="93"/>
              </w:rPr>
              <w:t>offered by us would increase (decrease) each of our pro forma as adjusted cash and cash equivalents, total assets and total stockholders’ equity</w:t>
            </w:r>
          </w:p>
        </w:tc>
      </w:tr>
      <w:tr>
        <w:trPr>
          <w:trHeight w:val="222"/>
        </w:trPr>
        <w:tc>
          <w:tcPr>
            <w:tcW w:w="320" w:type="dxa"/>
            <w:vAlign w:val="bottom"/>
          </w:tcPr>
          <w:p>
            <w:pPr>
              <w:spacing w:after="0"/>
              <w:rPr>
                <w:sz w:val="19"/>
                <w:szCs w:val="19"/>
                <w:color w:val="auto"/>
              </w:rPr>
            </w:pPr>
          </w:p>
        </w:tc>
        <w:tc>
          <w:tcPr>
            <w:tcW w:w="2360" w:type="dxa"/>
            <w:vAlign w:val="bottom"/>
          </w:tcPr>
          <w:p>
            <w:pPr>
              <w:ind w:left="120"/>
              <w:spacing w:after="0"/>
              <w:rPr>
                <w:sz w:val="20"/>
                <w:szCs w:val="20"/>
                <w:color w:val="auto"/>
              </w:rPr>
            </w:pPr>
            <w:r>
              <w:rPr>
                <w:rFonts w:ascii="Arial" w:cs="Arial" w:eastAsia="Arial" w:hAnsi="Arial"/>
                <w:sz w:val="17"/>
                <w:szCs w:val="17"/>
                <w:color w:val="auto"/>
              </w:rPr>
              <w:t>(deficit) by approximately $</w:t>
            </w:r>
          </w:p>
        </w:tc>
        <w:tc>
          <w:tcPr>
            <w:tcW w:w="7940" w:type="dxa"/>
            <w:vAlign w:val="bottom"/>
            <w:gridSpan w:val="5"/>
          </w:tcPr>
          <w:p>
            <w:pPr>
              <w:jc w:val="right"/>
              <w:ind w:right="133"/>
              <w:spacing w:after="0"/>
              <w:rPr>
                <w:sz w:val="20"/>
                <w:szCs w:val="20"/>
                <w:color w:val="auto"/>
              </w:rPr>
            </w:pPr>
            <w:r>
              <w:rPr>
                <w:rFonts w:ascii="Arial" w:cs="Arial" w:eastAsia="Arial" w:hAnsi="Arial"/>
                <w:sz w:val="17"/>
                <w:szCs w:val="17"/>
                <w:color w:val="auto"/>
                <w:w w:val="96"/>
              </w:rPr>
              <w:t>million, assuming the assumed initial public offering price remains the same and after deducting estimated</w:t>
            </w:r>
          </w:p>
        </w:tc>
      </w:tr>
    </w:tbl>
    <w:p>
      <w:pPr>
        <w:ind w:left="1060"/>
        <w:spacing w:after="0"/>
        <w:rPr>
          <w:sz w:val="20"/>
          <w:szCs w:val="20"/>
          <w:color w:val="auto"/>
        </w:rPr>
      </w:pPr>
      <w:r>
        <w:rPr>
          <w:rFonts w:ascii="Arial" w:cs="Arial" w:eastAsia="Arial" w:hAnsi="Arial"/>
          <w:sz w:val="17"/>
          <w:szCs w:val="17"/>
          <w:color w:val="auto"/>
        </w:rPr>
        <w:t>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240" w:top="449" w:right="41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 FACTORS</w:t>
      </w:r>
    </w:p>
    <w:p>
      <w:pPr>
        <w:spacing w:after="0" w:line="230" w:lineRule="exact"/>
        <w:rPr>
          <w:sz w:val="20"/>
          <w:szCs w:val="20"/>
          <w:color w:val="auto"/>
        </w:rPr>
      </w:pPr>
    </w:p>
    <w:p>
      <w:pPr>
        <w:ind w:right="300" w:firstLine="457"/>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Discovery and Development of Our Product Candidates</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66"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78"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71"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The success of our current product candidates, and any other product candidates we may develop in the future, will depend on many factors, including the following:</w:t>
      </w:r>
    </w:p>
    <w:p>
      <w:pPr>
        <w:spacing w:after="0" w:line="66" w:lineRule="exact"/>
        <w:rPr>
          <w:sz w:val="20"/>
          <w:szCs w:val="20"/>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obtaining regulatory permission to initiate clinical trials;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 enrollment of patients in, and the completion of, our planned clinical trials;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receiving marketing approvals from applicable regulatory authorities;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enforcing and defending intellectual property rights and claims;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achieving desirable therapeutic properties for our product candidates’ intended indications;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launching commercial sales of our product candidates, if and when approved, whether alone or in collaboration with third parties;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acceptance of our product candidates, if and when approved, by patients, the medical community and third-party payors;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effectively competing with other therapies;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449"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720" w:firstLine="457"/>
        <w:spacing w:after="0" w:line="28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58"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73" w:lineRule="exact"/>
        <w:rPr>
          <w:sz w:val="20"/>
          <w:szCs w:val="20"/>
          <w:color w:val="auto"/>
        </w:rPr>
      </w:pPr>
    </w:p>
    <w:p>
      <w:pPr>
        <w:ind w:right="60"/>
        <w:spacing w:after="0" w:line="359" w:lineRule="auto"/>
        <w:rPr>
          <w:sz w:val="20"/>
          <w:szCs w:val="20"/>
          <w:color w:val="auto"/>
        </w:rPr>
      </w:pPr>
      <w:r>
        <w:rPr>
          <w:rFonts w:ascii="Arial" w:cs="Arial" w:eastAsia="Arial" w:hAnsi="Arial"/>
          <w:sz w:val="15"/>
          <w:szCs w:val="15"/>
          <w:b w:val="1"/>
          <w:bCs w:val="1"/>
          <w:i w:val="1"/>
          <w:iCs w:val="1"/>
          <w:color w:val="auto"/>
        </w:rPr>
        <w:t>We have never dosed any of our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8" w:lineRule="exact"/>
        <w:rPr>
          <w:sz w:val="20"/>
          <w:szCs w:val="20"/>
          <w:color w:val="auto"/>
        </w:rPr>
      </w:pPr>
    </w:p>
    <w:p>
      <w:pPr>
        <w:ind w:right="480" w:firstLine="457"/>
        <w:spacing w:after="0" w:line="265" w:lineRule="auto"/>
        <w:rPr>
          <w:sz w:val="20"/>
          <w:szCs w:val="20"/>
          <w:color w:val="auto"/>
        </w:rPr>
      </w:pPr>
      <w:r>
        <w:rPr>
          <w:rFonts w:ascii="Arial" w:cs="Arial" w:eastAsia="Arial" w:hAnsi="Arial"/>
          <w:sz w:val="17"/>
          <w:szCs w:val="17"/>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7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We have not yet initiated any clinical trials or dosed any of our product candidates, including ANB019 and ANB020,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w:t>
      </w:r>
    </w:p>
    <w:p>
      <w:pPr>
        <w:spacing w:after="0" w:line="3"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Subjects in our planned clinical trials may suffer significant adverse events or other side effects not observed in our preclinical studies, including, but not limited to, immunogenic responses, organ toxicities such as liver, heart or kidney or other tolerability issues.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62"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If significant adverse events or other side effects are observed in any of our future clinical trials, we may have difficulty recruiting patients to the clinical trial, patients may drop out of our trial, or we may be required to</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49"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6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2" w:lineRule="exact"/>
        <w:rPr>
          <w:sz w:val="20"/>
          <w:szCs w:val="20"/>
          <w:color w:val="auto"/>
        </w:rPr>
      </w:pPr>
    </w:p>
    <w:p>
      <w:pPr>
        <w:ind w:right="660"/>
        <w:spacing w:after="0" w:line="322" w:lineRule="auto"/>
        <w:rPr>
          <w:sz w:val="20"/>
          <w:szCs w:val="20"/>
          <w:color w:val="auto"/>
        </w:rPr>
      </w:pPr>
      <w:r>
        <w:rPr>
          <w:rFonts w:ascii="Arial" w:cs="Arial" w:eastAsia="Arial" w:hAnsi="Arial"/>
          <w:sz w:val="16"/>
          <w:szCs w:val="16"/>
          <w:b w:val="1"/>
          <w:bCs w:val="1"/>
          <w:i w:val="1"/>
          <w:i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0" w:lineRule="exact"/>
        <w:rPr>
          <w:sz w:val="20"/>
          <w:szCs w:val="20"/>
          <w:color w:val="auto"/>
        </w:rPr>
      </w:pPr>
    </w:p>
    <w:p>
      <w:pPr>
        <w:ind w:right="160" w:firstLine="457"/>
        <w:spacing w:after="0" w:line="278"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73"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preliminary comments from the FDA for a pre-IND meeting for ANB020 that focused on preclinical data necessary to initiate studies in humans and potential design for Phase 1 study in healthy volunteers, we have not yet discussed with the FDA or foreign regulatory authorities the development plans for any of our product candidates or the designs of any of our later-stage clinical studies. We thus do not have the benefit of the FDA’s or foreign regulatory authorities’ current thinking on trial designs or product 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449" w:right="2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Preclinical studies and clinical trials are expensive, difficult to design and implement, can take many years to complete and are uncertain as to outcome. Products, on average, take ten to 15 years to be developed from the time they are discovered to the time they are approved and available for treating patients. The start or end of a clinical trial is often delayed or halted for many reasons, including:</w:t>
      </w:r>
    </w:p>
    <w:p>
      <w:pPr>
        <w:spacing w:after="0" w:line="79" w:lineRule="exact"/>
        <w:rPr>
          <w:sz w:val="20"/>
          <w:szCs w:val="20"/>
          <w:color w:val="auto"/>
        </w:rPr>
      </w:pPr>
    </w:p>
    <w:p>
      <w:pPr>
        <w:ind w:left="900" w:right="480" w:hanging="332"/>
        <w:spacing w:after="0" w:line="289"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imposition of a clinical hold for safety reasons or following an inspection of our clinical trial operations or site by the FDA or other regulatory authorities;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manufacturing challenges;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insufficient supply or quality of product candidates or other materials necessary to conduct clinical trials;</w:t>
      </w:r>
    </w:p>
    <w:p>
      <w:pPr>
        <w:spacing w:after="0" w:line="131" w:lineRule="exact"/>
        <w:rPr>
          <w:rFonts w:ascii="Arial" w:cs="Arial" w:eastAsia="Arial" w:hAnsi="Arial"/>
          <w:sz w:val="17"/>
          <w:szCs w:val="17"/>
          <w:color w:val="auto"/>
        </w:rPr>
      </w:pPr>
    </w:p>
    <w:p>
      <w:pPr>
        <w:ind w:left="900" w:hanging="332"/>
        <w:spacing w:after="0" w:line="359"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20" w:lineRule="exact"/>
        <w:rPr>
          <w:rFonts w:ascii="Arial" w:cs="Arial" w:eastAsia="Arial" w:hAnsi="Arial"/>
          <w:sz w:val="15"/>
          <w:szCs w:val="15"/>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clinical sites electing to terminate their participation in one of our clinical trials;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or unwillingness of patients or medical investigators to follow our clinical trial protocols;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required clinical trial administrative actions;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slower than anticipated patient enrollment;</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changing standards of care;</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safety concerns;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or prevalence of use of a comparative drug or required prior therapy; or</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clinical outcomes or financial constraints.</w:t>
      </w:r>
    </w:p>
    <w:p>
      <w:pPr>
        <w:spacing w:after="0" w:line="224" w:lineRule="exact"/>
        <w:rPr>
          <w:sz w:val="20"/>
          <w:szCs w:val="20"/>
          <w:color w:val="auto"/>
        </w:rPr>
      </w:pPr>
    </w:p>
    <w:p>
      <w:pPr>
        <w:ind w:right="200" w:firstLine="457"/>
        <w:spacing w:after="0" w:line="28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we experience any of the issues described above, or other similar or related issues, we may:</w:t>
      </w:r>
    </w:p>
    <w:p>
      <w:pPr>
        <w:spacing w:after="0" w:line="132" w:lineRule="exact"/>
        <w:rPr>
          <w:sz w:val="20"/>
          <w:szCs w:val="20"/>
          <w:color w:val="auto"/>
        </w:rPr>
      </w:pPr>
    </w:p>
    <w:p>
      <w:pPr>
        <w:ind w:left="900" w:hanging="332"/>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31" w:lineRule="exact"/>
        <w:rPr>
          <w:rFonts w:ascii="Arial" w:cs="Arial" w:eastAsia="Arial" w:hAnsi="Arial"/>
          <w:sz w:val="17"/>
          <w:szCs w:val="17"/>
          <w:color w:val="auto"/>
        </w:rPr>
      </w:pPr>
    </w:p>
    <w:p>
      <w:pPr>
        <w:ind w:left="900" w:hanging="332"/>
        <w:spacing w:after="0" w:line="289"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marketing approval in some countries and not in others; obtain approval for indications or patient populations that are not as broad as intended or desired;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 including boxed warnings;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have the product removed from the market after obtaining marketing approval.</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20"/>
          </w:cols>
          <w:pgMar w:left="240" w:top="449"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technology platform to build a pipeline of product candidates and develop marketable products.</w:t>
      </w:r>
    </w:p>
    <w:p>
      <w:pPr>
        <w:spacing w:after="0" w:line="142" w:lineRule="exact"/>
        <w:rPr>
          <w:sz w:val="20"/>
          <w:szCs w:val="20"/>
          <w:color w:val="auto"/>
        </w:rPr>
      </w:pPr>
    </w:p>
    <w:p>
      <w:pPr>
        <w:ind w:right="20" w:firstLine="457"/>
        <w:spacing w:after="0" w:line="300" w:lineRule="auto"/>
        <w:rPr>
          <w:sz w:val="20"/>
          <w:szCs w:val="20"/>
          <w:color w:val="auto"/>
        </w:rPr>
      </w:pPr>
      <w:r>
        <w:rPr>
          <w:rFonts w:ascii="Arial" w:cs="Arial" w:eastAsia="Arial" w:hAnsi="Arial"/>
          <w:sz w:val="15"/>
          <w:szCs w:val="15"/>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5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73"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b w:val="1"/>
          <w:bCs w:val="1"/>
          <w:i w:val="1"/>
          <w:iCs w:val="1"/>
          <w:color w:val="auto"/>
        </w:rPr>
        <w:t>We have no history of conducting clinical trials or commercializing biotechnology products, which may make it difficult to evaluate the prospects for our future viability.</w:t>
      </w:r>
    </w:p>
    <w:p>
      <w:pPr>
        <w:spacing w:after="0" w:line="5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in the United States, none of our employees have experience with clinical trials in Australia and, as a company, we have no experience conducting clinical trials in any jurisdiction and have not had previous experience commercializing product candidates, including submitting an IND or a BLA to the FDA. We have only recently submitted a CTN for ANB020, the approval of which will allow us to initiate clinical trials in Australia, and have not obtained marketing authorization from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73" w:lineRule="exact"/>
        <w:rPr>
          <w:sz w:val="20"/>
          <w:szCs w:val="20"/>
          <w:color w:val="auto"/>
        </w:rPr>
      </w:pPr>
    </w:p>
    <w:p>
      <w:pPr>
        <w:ind w:right="200" w:firstLine="457"/>
        <w:spacing w:after="0" w:line="359" w:lineRule="auto"/>
        <w:rPr>
          <w:sz w:val="20"/>
          <w:szCs w:val="20"/>
          <w:color w:val="auto"/>
        </w:rPr>
      </w:pPr>
      <w:r>
        <w:rPr>
          <w:rFonts w:ascii="Arial" w:cs="Arial" w:eastAsia="Arial" w:hAnsi="Arial"/>
          <w:sz w:val="15"/>
          <w:szCs w:val="15"/>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21" w:lineRule="exact"/>
        <w:rPr>
          <w:sz w:val="20"/>
          <w:szCs w:val="20"/>
          <w:color w:val="auto"/>
        </w:rPr>
      </w:pPr>
    </w:p>
    <w:p>
      <w:pPr>
        <w:ind w:left="900" w:right="280" w:hanging="332"/>
        <w:spacing w:after="0" w:line="289"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9"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332"/>
        <w:spacing w:after="0" w:line="289"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conditions imposed by the FDA or foreign regulatory authorities regarding the number, scope or design of our clinical trials;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enrolling research subjects in clinical trials;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high drop-out rates of research subjects;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inadequate supply or quality of clinical trial materials or other supplies necessary for the conduct of our clinical trials;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poor effectiveness or unacceptable side effects of our product candidates during clinical trials;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w:t>
      </w:r>
    </w:p>
    <w:p>
      <w:pPr>
        <w:spacing w:after="0" w:line="131" w:lineRule="exact"/>
        <w:rPr>
          <w:rFonts w:ascii="Arial" w:cs="Arial" w:eastAsia="Arial" w:hAnsi="Arial"/>
          <w:sz w:val="17"/>
          <w:szCs w:val="17"/>
          <w:color w:val="auto"/>
        </w:rPr>
      </w:pPr>
    </w:p>
    <w:p>
      <w:pPr>
        <w:ind w:left="900" w:right="420" w:hanging="332"/>
        <w:spacing w:after="0" w:line="289"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66" w:lineRule="exact"/>
        <w:rPr>
          <w:rFonts w:ascii="Arial" w:cs="Arial" w:eastAsia="Arial" w:hAnsi="Arial"/>
          <w:sz w:val="17"/>
          <w:szCs w:val="17"/>
          <w:color w:val="auto"/>
        </w:rPr>
      </w:pPr>
    </w:p>
    <w:p>
      <w:pPr>
        <w:ind w:left="900" w:right="100" w:hanging="332"/>
        <w:spacing w:after="0" w:line="289"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serious and unexpected drug-related side effects experienced by participants in our planned clinical trials or by individuals using drugs similar to our product candidates;</w:t>
      </w:r>
    </w:p>
    <w:p>
      <w:pPr>
        <w:spacing w:after="0" w:line="66" w:lineRule="exact"/>
        <w:rPr>
          <w:rFonts w:ascii="Arial" w:cs="Arial" w:eastAsia="Arial" w:hAnsi="Arial"/>
          <w:sz w:val="17"/>
          <w:szCs w:val="17"/>
          <w:color w:val="auto"/>
        </w:rPr>
      </w:pPr>
    </w:p>
    <w:p>
      <w:pPr>
        <w:ind w:left="900" w:right="400" w:hanging="332"/>
        <w:spacing w:after="0" w:line="289"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varying interpretations of data by the FDA and foreign regulatory authorities.</w:t>
      </w:r>
    </w:p>
    <w:p>
      <w:pPr>
        <w:spacing w:after="0" w:line="224"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58" w:lineRule="exact"/>
        <w:rPr>
          <w:sz w:val="20"/>
          <w:szCs w:val="20"/>
          <w:color w:val="auto"/>
        </w:rPr>
      </w:pPr>
    </w:p>
    <w:p>
      <w:pPr>
        <w:ind w:right="80" w:firstLine="457"/>
        <w:spacing w:after="0" w:line="359" w:lineRule="auto"/>
        <w:rPr>
          <w:sz w:val="20"/>
          <w:szCs w:val="20"/>
          <w:color w:val="auto"/>
        </w:rPr>
      </w:pPr>
      <w:r>
        <w:rPr>
          <w:rFonts w:ascii="Arial" w:cs="Arial" w:eastAsia="Arial" w:hAnsi="Arial"/>
          <w:sz w:val="15"/>
          <w:szCs w:val="15"/>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17" w:lineRule="exact"/>
        <w:rPr>
          <w:sz w:val="20"/>
          <w:szCs w:val="20"/>
          <w:color w:val="auto"/>
        </w:rPr>
      </w:pPr>
    </w:p>
    <w:p>
      <w:pPr>
        <w:ind w:right="700"/>
        <w:spacing w:after="0" w:line="289"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3" w:lineRule="exact"/>
        <w:rPr>
          <w:sz w:val="20"/>
          <w:szCs w:val="20"/>
          <w:color w:val="auto"/>
        </w:rPr>
      </w:pPr>
    </w:p>
    <w:p>
      <w:pPr>
        <w:ind w:right="100" w:firstLine="457"/>
        <w:spacing w:after="0" w:line="298" w:lineRule="auto"/>
        <w:rPr>
          <w:sz w:val="20"/>
          <w:szCs w:val="20"/>
          <w:color w:val="auto"/>
        </w:rPr>
      </w:pPr>
      <w:r>
        <w:rPr>
          <w:rFonts w:ascii="Arial" w:cs="Arial" w:eastAsia="Arial" w:hAnsi="Arial"/>
          <w:sz w:val="15"/>
          <w:szCs w:val="15"/>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449" w:right="27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AMG317 (Amgen) each in clinical testing and antibodies that bind the ST2 receptor including AMG282 (Amgen), which is in clinical testing. 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17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On March 6, 2015, the FDA approved the first biosimilar product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8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1"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6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60"/>
          </w:cols>
          <w:pgMar w:left="240" w:top="449" w:right="2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of technological change, we may be unable to compete effectively. Technological advances or products developed by our competitors may render our technologies or product candidates obsolete, less competitive or not economical.</w:t>
      </w:r>
    </w:p>
    <w:p>
      <w:pPr>
        <w:spacing w:after="0" w:line="263"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53" w:lineRule="exact"/>
        <w:rPr>
          <w:sz w:val="20"/>
          <w:szCs w:val="20"/>
          <w:color w:val="auto"/>
        </w:rPr>
      </w:pPr>
    </w:p>
    <w:p>
      <w:pPr>
        <w:ind w:right="160" w:firstLine="457"/>
        <w:spacing w:after="0" w:line="359" w:lineRule="auto"/>
        <w:rPr>
          <w:sz w:val="20"/>
          <w:szCs w:val="20"/>
          <w:color w:val="auto"/>
        </w:rPr>
      </w:pPr>
      <w:r>
        <w:rPr>
          <w:rFonts w:ascii="Arial" w:cs="Arial" w:eastAsia="Arial" w:hAnsi="Arial"/>
          <w:sz w:val="15"/>
          <w:szCs w:val="15"/>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21" w:lineRule="exact"/>
        <w:rPr>
          <w:sz w:val="20"/>
          <w:szCs w:val="20"/>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efficacy and safety profile as demonstrated in planned clinical trials;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of market introduction of the product candidate as well as competitive products;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clinical indications for which the product candidate is approved;</w:t>
      </w:r>
    </w:p>
    <w:p>
      <w:pPr>
        <w:spacing w:after="0" w:line="131" w:lineRule="exact"/>
        <w:rPr>
          <w:rFonts w:ascii="Arial" w:cs="Arial" w:eastAsia="Arial" w:hAnsi="Arial"/>
          <w:sz w:val="17"/>
          <w:szCs w:val="17"/>
          <w:color w:val="auto"/>
        </w:rPr>
      </w:pPr>
    </w:p>
    <w:p>
      <w:pPr>
        <w:ind w:left="900" w:right="540" w:hanging="332"/>
        <w:spacing w:after="0" w:line="28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acceptance of the product candidate as a safe and effective treatment by physicians, clinics and patients;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treatment in relation to alternative treatments;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and pricing by third parties and government authorities;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frequency and severity of adverse events;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effectiveness of sales and marketing efforts;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unfavorable publicity relating to the product candidate.</w:t>
      </w:r>
    </w:p>
    <w:p>
      <w:pPr>
        <w:spacing w:after="0" w:line="224"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63" w:lineRule="exact"/>
        <w:rPr>
          <w:sz w:val="20"/>
          <w:szCs w:val="20"/>
          <w:color w:val="auto"/>
        </w:rPr>
      </w:pPr>
    </w:p>
    <w:p>
      <w:pPr>
        <w:ind w:right="700"/>
        <w:spacing w:after="0" w:line="322" w:lineRule="auto"/>
        <w:rPr>
          <w:sz w:val="20"/>
          <w:szCs w:val="20"/>
          <w:color w:val="auto"/>
        </w:rPr>
      </w:pPr>
      <w:r>
        <w:rPr>
          <w:rFonts w:ascii="Arial" w:cs="Arial" w:eastAsia="Arial" w:hAnsi="Arial"/>
          <w:sz w:val="16"/>
          <w:szCs w:val="16"/>
          <w:b w:val="1"/>
          <w:bCs w:val="1"/>
          <w:i w:val="1"/>
          <w:i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as is currently planned, we use a genetic test to determine which patients are most likely to benefit from ANB019 for the treatment of GPP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9"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we or our partners, or any third party, are unable to successfully develop companion diagnostics for our product candidates, or experience delays in doing</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so:</w:t>
      </w:r>
    </w:p>
    <w:p>
      <w:pPr>
        <w:spacing w:after="0" w:line="120" w:lineRule="exact"/>
        <w:rPr>
          <w:sz w:val="20"/>
          <w:szCs w:val="20"/>
          <w:color w:val="auto"/>
        </w:rPr>
      </w:pPr>
    </w:p>
    <w:p>
      <w:pPr>
        <w:ind w:left="900" w:right="240" w:hanging="332"/>
        <w:spacing w:after="0" w:line="289"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development of our product candidates may be adversely affected if we are unable to appropriately select patients for enrollment in our planned clinical trials;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31" w:lineRule="exact"/>
        <w:rPr>
          <w:rFonts w:ascii="Arial" w:cs="Arial" w:eastAsia="Arial" w:hAnsi="Arial"/>
          <w:sz w:val="17"/>
          <w:szCs w:val="17"/>
          <w:color w:val="auto"/>
        </w:rPr>
      </w:pPr>
    </w:p>
    <w:p>
      <w:pPr>
        <w:ind w:left="900" w:right="120" w:hanging="332"/>
        <w:spacing w:after="0" w:line="289"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58" w:lineRule="exact"/>
        <w:rPr>
          <w:sz w:val="20"/>
          <w:szCs w:val="20"/>
          <w:color w:val="auto"/>
        </w:rPr>
      </w:pPr>
    </w:p>
    <w:p>
      <w:pPr>
        <w:ind w:firstLine="457"/>
        <w:spacing w:after="0" w:line="297" w:lineRule="auto"/>
        <w:rPr>
          <w:sz w:val="20"/>
          <w:szCs w:val="20"/>
          <w:color w:val="auto"/>
        </w:rPr>
      </w:pPr>
      <w:r>
        <w:rPr>
          <w:rFonts w:ascii="Arial" w:cs="Arial" w:eastAsia="Arial" w:hAnsi="Arial"/>
          <w:sz w:val="16"/>
          <w:szCs w:val="16"/>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any of these events were to occur, our business would be harmed, possibly materially.</w:t>
      </w:r>
    </w:p>
    <w:p>
      <w:pPr>
        <w:spacing w:after="0" w:line="328"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b w:val="1"/>
          <w:bCs w:val="1"/>
          <w:i w:val="1"/>
          <w:i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66"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w:t>
      </w:r>
    </w:p>
    <w:p>
      <w:pPr>
        <w:spacing w:after="0" w:line="181"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2"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9"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Capital Needs</w:t>
      </w:r>
    </w:p>
    <w:p>
      <w:pPr>
        <w:spacing w:after="0" w:line="125" w:lineRule="exact"/>
        <w:rPr>
          <w:sz w:val="20"/>
          <w:szCs w:val="20"/>
          <w:color w:val="auto"/>
        </w:rPr>
      </w:pPr>
    </w:p>
    <w:p>
      <w:pPr>
        <w:ind w:right="680"/>
        <w:spacing w:after="0" w:line="289" w:lineRule="auto"/>
        <w:rPr>
          <w:sz w:val="20"/>
          <w:szCs w:val="20"/>
          <w:color w:val="auto"/>
        </w:rPr>
      </w:pPr>
      <w:r>
        <w:rPr>
          <w:rFonts w:ascii="Arial" w:cs="Arial" w:eastAsia="Arial" w:hAnsi="Arial"/>
          <w:sz w:val="17"/>
          <w:szCs w:val="17"/>
          <w:b w:val="1"/>
          <w:bCs w:val="1"/>
          <w:i w:val="1"/>
          <w:i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1" w:lineRule="exact"/>
        <w:rPr>
          <w:sz w:val="20"/>
          <w:szCs w:val="20"/>
          <w:color w:val="auto"/>
        </w:rPr>
      </w:pPr>
    </w:p>
    <w:p>
      <w:pPr>
        <w:ind w:right="140" w:firstLine="457"/>
        <w:spacing w:after="0" w:line="325" w:lineRule="auto"/>
        <w:rPr>
          <w:sz w:val="20"/>
          <w:szCs w:val="20"/>
          <w:color w:val="auto"/>
        </w:rPr>
      </w:pPr>
      <w:r>
        <w:rPr>
          <w:rFonts w:ascii="Arial" w:cs="Arial" w:eastAsia="Arial" w:hAnsi="Arial"/>
          <w:sz w:val="15"/>
          <w:szCs w:val="15"/>
          <w:color w:val="auto"/>
        </w:rPr>
        <w:t>Since our inception, we have incurred significant operating losses in every year except fiscal year 2014 and we do not expect to be profitable in 2015. Our collaboration revenue was $13.5 million and net loss was $1.9 million for the nine months ended September 30, 2015 and our collaboration revenue was $15.8 million and our net income was $3.5 million for the year ended December 31, 2014. As of September 30, 2015, we had an accumulated deficit of $47.2 million.</w:t>
      </w:r>
    </w:p>
    <w:p>
      <w:pPr>
        <w:spacing w:after="0" w:line="137" w:lineRule="exact"/>
        <w:rPr>
          <w:sz w:val="20"/>
          <w:szCs w:val="20"/>
          <w:color w:val="auto"/>
        </w:rPr>
      </w:pPr>
    </w:p>
    <w:p>
      <w:pPr>
        <w:ind w:right="20" w:firstLine="457"/>
        <w:spacing w:after="0" w:line="305" w:lineRule="auto"/>
        <w:rPr>
          <w:sz w:val="20"/>
          <w:szCs w:val="20"/>
          <w:color w:val="auto"/>
        </w:rPr>
      </w:pPr>
      <w:r>
        <w:rPr>
          <w:rFonts w:ascii="Arial" w:cs="Arial" w:eastAsia="Arial" w:hAnsi="Arial"/>
          <w:sz w:val="15"/>
          <w:szCs w:val="15"/>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60" w:lineRule="exact"/>
        <w:rPr>
          <w:sz w:val="20"/>
          <w:szCs w:val="20"/>
          <w:color w:val="auto"/>
        </w:rPr>
      </w:pPr>
    </w:p>
    <w:p>
      <w:pPr>
        <w:ind w:left="900" w:hanging="33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continue our research and preclinical development of our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identify additional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 existing and enter into new collaboration agreements;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conduct additional preclinical studies and initiate clinical trials for our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approvals for the product candidates we develop or developed under our collaboration arrangements;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3" w:lineRule="exact"/>
        <w:rPr>
          <w:rFonts w:ascii="Arial" w:cs="Arial" w:eastAsia="Arial" w:hAnsi="Arial"/>
          <w:sz w:val="16"/>
          <w:szCs w:val="16"/>
          <w:color w:val="auto"/>
        </w:rPr>
      </w:pPr>
    </w:p>
    <w:p>
      <w:pPr>
        <w:ind w:left="900" w:hanging="33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hire additional executive, clinical, quality control and scientific personnel;</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31" w:lineRule="exact"/>
        <w:rPr>
          <w:rFonts w:ascii="Arial" w:cs="Arial" w:eastAsia="Arial" w:hAnsi="Arial"/>
          <w:sz w:val="17"/>
          <w:szCs w:val="17"/>
          <w:color w:val="auto"/>
        </w:rPr>
      </w:pPr>
    </w:p>
    <w:p>
      <w:pPr>
        <w:ind w:left="900" w:right="300" w:hanging="332"/>
        <w:spacing w:after="0" w:line="289"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 and maintain supply and manufacturing relationships with third parties, and ensure adequate and legally compliant manufacturing of our products;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coverage and adequate product reimbursement from third-party payors, including government payors;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80"/>
          </w:cols>
          <w:pgMar w:left="240" w:top="449" w:right="2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332"/>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achieve market acceptance for our or our collaborators’ products, if any.</w:t>
      </w:r>
    </w:p>
    <w:p>
      <w:pPr>
        <w:spacing w:after="0" w:line="224"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78"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82"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3"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24 months.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75" w:lineRule="exact"/>
        <w:rPr>
          <w:sz w:val="20"/>
          <w:szCs w:val="20"/>
          <w:color w:val="auto"/>
        </w:rPr>
      </w:pPr>
    </w:p>
    <w:p>
      <w:pPr>
        <w:ind w:right="320" w:firstLine="457"/>
        <w:spacing w:after="0" w:line="297"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63" w:lineRule="exact"/>
        <w:rPr>
          <w:sz w:val="20"/>
          <w:szCs w:val="20"/>
          <w:color w:val="auto"/>
        </w:rPr>
      </w:pPr>
    </w:p>
    <w:p>
      <w:pPr>
        <w:ind w:left="900" w:hanging="332"/>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43" w:lineRule="exact"/>
        <w:rPr>
          <w:rFonts w:ascii="Arial" w:cs="Arial" w:eastAsia="Arial" w:hAnsi="Arial"/>
          <w:sz w:val="16"/>
          <w:szCs w:val="16"/>
          <w:color w:val="auto"/>
        </w:rPr>
      </w:pPr>
    </w:p>
    <w:p>
      <w:pPr>
        <w:ind w:left="900" w:right="360" w:hanging="332"/>
        <w:spacing w:after="0" w:line="289"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seek strategic alliances for research and development programs at an earlier stage than we would otherwise desire or on terms less favorable than might otherwise be available;</w:t>
      </w:r>
    </w:p>
    <w:p>
      <w:pPr>
        <w:spacing w:after="0" w:line="66" w:lineRule="exact"/>
        <w:rPr>
          <w:rFonts w:ascii="Arial" w:cs="Arial" w:eastAsia="Arial" w:hAnsi="Arial"/>
          <w:sz w:val="17"/>
          <w:szCs w:val="17"/>
          <w:color w:val="auto"/>
        </w:rPr>
      </w:pPr>
    </w:p>
    <w:p>
      <w:pPr>
        <w:ind w:left="900" w:right="260" w:hanging="332"/>
        <w:spacing w:after="0" w:line="289"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relinquish, or license on unfavorable terms, our rights to technologies or any future product candidates that we otherwise would seek to develop or commercialize ourselves; or</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eliminate staff to conserve resources.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80"/>
          </w:cols>
          <w:pgMar w:left="240" w:top="449" w:right="2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180" w:firstLine="457"/>
        <w:spacing w:after="0" w:line="359" w:lineRule="auto"/>
        <w:rPr>
          <w:sz w:val="20"/>
          <w:szCs w:val="20"/>
          <w:color w:val="auto"/>
        </w:rPr>
      </w:pPr>
      <w:r>
        <w:rPr>
          <w:rFonts w:ascii="Arial" w:cs="Arial" w:eastAsia="Arial" w:hAnsi="Arial"/>
          <w:sz w:val="15"/>
          <w:szCs w:val="15"/>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13"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86" w:lineRule="exact"/>
        <w:rPr>
          <w:sz w:val="20"/>
          <w:szCs w:val="20"/>
          <w:color w:val="auto"/>
        </w:rPr>
      </w:pPr>
    </w:p>
    <w:p>
      <w:pPr>
        <w:ind w:left="900" w:right="200" w:hanging="332"/>
        <w:spacing w:after="0" w:line="289"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studies and clinical trials for our product candidates and future product candidates we may develop;</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31" w:lineRule="exact"/>
        <w:rPr>
          <w:rFonts w:ascii="Arial" w:cs="Arial" w:eastAsia="Arial" w:hAnsi="Arial"/>
          <w:sz w:val="17"/>
          <w:szCs w:val="17"/>
          <w:color w:val="auto"/>
        </w:rPr>
      </w:pPr>
    </w:p>
    <w:p>
      <w:pPr>
        <w:ind w:left="900" w:right="180" w:hanging="332"/>
        <w:spacing w:after="0" w:line="289"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maintain existing and enter into new collaboration agreements;</w:t>
      </w:r>
    </w:p>
    <w:p>
      <w:pPr>
        <w:spacing w:after="0" w:line="131" w:lineRule="exact"/>
        <w:rPr>
          <w:rFonts w:ascii="Arial" w:cs="Arial" w:eastAsia="Arial" w:hAnsi="Arial"/>
          <w:sz w:val="17"/>
          <w:szCs w:val="17"/>
          <w:color w:val="auto"/>
        </w:rPr>
      </w:pPr>
    </w:p>
    <w:p>
      <w:pPr>
        <w:ind w:left="900" w:right="220" w:hanging="332"/>
        <w:spacing w:after="0" w:line="273"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79" w:lineRule="exact"/>
        <w:rPr>
          <w:rFonts w:ascii="Arial" w:cs="Arial" w:eastAsia="Arial" w:hAnsi="Arial"/>
          <w:sz w:val="17"/>
          <w:szCs w:val="17"/>
          <w:color w:val="auto"/>
        </w:rPr>
      </w:pPr>
    </w:p>
    <w:p>
      <w:pPr>
        <w:ind w:left="900" w:hanging="332"/>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market acceptance of any approved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of acquiring, licensing or investing in additional businesses, products, product candidates and technologies;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recruiting and retaining key employees;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and timing of selecting, auditing and potentially validating a manufacturing site for commercial-scale manufacturing; and</w:t>
      </w:r>
    </w:p>
    <w:p>
      <w:pPr>
        <w:spacing w:after="0" w:line="131" w:lineRule="exact"/>
        <w:rPr>
          <w:rFonts w:ascii="Arial" w:cs="Arial" w:eastAsia="Arial" w:hAnsi="Arial"/>
          <w:sz w:val="17"/>
          <w:szCs w:val="17"/>
          <w:color w:val="auto"/>
        </w:rPr>
      </w:pPr>
    </w:p>
    <w:p>
      <w:pPr>
        <w:ind w:left="900" w:hanging="332"/>
        <w:spacing w:after="0" w:line="289"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58" w:lineRule="exact"/>
        <w:rPr>
          <w:sz w:val="20"/>
          <w:szCs w:val="20"/>
          <w:color w:val="auto"/>
        </w:rPr>
      </w:pPr>
    </w:p>
    <w:p>
      <w:pPr>
        <w:ind w:right="500" w:firstLine="457"/>
        <w:spacing w:after="0" w:line="289" w:lineRule="auto"/>
        <w:rPr>
          <w:sz w:val="20"/>
          <w:szCs w:val="20"/>
          <w:color w:val="auto"/>
        </w:rPr>
      </w:pPr>
      <w:r>
        <w:rPr>
          <w:rFonts w:ascii="Arial" w:cs="Arial" w:eastAsia="Arial" w:hAnsi="Arial"/>
          <w:sz w:val="17"/>
          <w:szCs w:val="17"/>
          <w:color w:val="auto"/>
        </w:rPr>
        <w:t>If a lack of available capital means that we cannot expand our operations or otherwise capitalize on our business opportunities, our business, financial condition and results of operations could be adversely affected.</w:t>
      </w:r>
    </w:p>
    <w:p>
      <w:pPr>
        <w:spacing w:after="0" w:line="263"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53"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9"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70" w:lineRule="exact"/>
        <w:rPr>
          <w:sz w:val="20"/>
          <w:szCs w:val="20"/>
          <w:color w:val="auto"/>
        </w:rPr>
      </w:pPr>
    </w:p>
    <w:p>
      <w:pPr>
        <w:ind w:right="5440"/>
        <w:spacing w:after="0" w:line="441" w:lineRule="auto"/>
        <w:rPr>
          <w:sz w:val="20"/>
          <w:szCs w:val="20"/>
          <w:color w:val="auto"/>
        </w:rPr>
      </w:pPr>
      <w:r>
        <w:rPr>
          <w:rFonts w:ascii="Arial" w:cs="Arial" w:eastAsia="Arial" w:hAnsi="Arial"/>
          <w:sz w:val="15"/>
          <w:szCs w:val="15"/>
          <w:b w:val="1"/>
          <w:bCs w:val="1"/>
          <w:color w:val="auto"/>
        </w:rPr>
        <w:t xml:space="preserve">Risks Related to Managing Growth, Operations and Macroeconomic Conditions </w:t>
      </w:r>
      <w:r>
        <w:rPr>
          <w:rFonts w:ascii="Arial" w:cs="Arial" w:eastAsia="Arial" w:hAnsi="Arial"/>
          <w:sz w:val="15"/>
          <w:szCs w:val="15"/>
          <w:b w:val="1"/>
          <w:bCs w:val="1"/>
          <w:i w:val="1"/>
          <w:iCs w:val="1"/>
          <w:color w:val="auto"/>
        </w:rPr>
        <w:t>We must attract and retain highly skilled employees in order to succeed.</w:t>
      </w:r>
    </w:p>
    <w:p>
      <w:pPr>
        <w:spacing w:after="0" w:line="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1" w:lineRule="exact"/>
        <w:rPr>
          <w:sz w:val="20"/>
          <w:szCs w:val="20"/>
          <w:color w:val="auto"/>
        </w:rPr>
      </w:pPr>
    </w:p>
    <w:p>
      <w:pPr>
        <w:ind w:right="260" w:firstLine="457"/>
        <w:spacing w:after="0" w:line="289"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6" w:lineRule="exact"/>
        <w:rPr>
          <w:sz w:val="20"/>
          <w:szCs w:val="20"/>
          <w:color w:val="auto"/>
        </w:rPr>
      </w:pPr>
    </w:p>
    <w:p>
      <w:pPr>
        <w:jc w:val="both"/>
        <w:ind w:right="440"/>
        <w:spacing w:after="0" w:line="273" w:lineRule="auto"/>
        <w:rPr>
          <w:sz w:val="20"/>
          <w:szCs w:val="20"/>
          <w:color w:val="auto"/>
        </w:rPr>
      </w:pPr>
      <w:r>
        <w:rPr>
          <w:rFonts w:ascii="Arial" w:cs="Arial" w:eastAsia="Arial" w:hAnsi="Arial"/>
          <w:sz w:val="17"/>
          <w:szCs w:val="17"/>
          <w:b w:val="1"/>
          <w:bCs w:val="1"/>
          <w:i w:val="1"/>
          <w:i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6" w:lineRule="exact"/>
        <w:rPr>
          <w:sz w:val="20"/>
          <w:szCs w:val="20"/>
          <w:color w:val="auto"/>
        </w:rPr>
      </w:pPr>
    </w:p>
    <w:p>
      <w:pPr>
        <w:ind w:right="100" w:firstLine="457"/>
        <w:spacing w:after="0" w:line="277" w:lineRule="auto"/>
        <w:rPr>
          <w:sz w:val="20"/>
          <w:szCs w:val="20"/>
          <w:color w:val="auto"/>
        </w:rPr>
      </w:pPr>
      <w:r>
        <w:rPr>
          <w:rFonts w:ascii="Arial" w:cs="Arial" w:eastAsia="Arial" w:hAnsi="Arial"/>
          <w:sz w:val="16"/>
          <w:szCs w:val="16"/>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80"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as a result, we may encounter difficulties in managing our growth, which could disrupt our operations.</w:t>
      </w:r>
    </w:p>
    <w:p>
      <w:pPr>
        <w:spacing w:after="0" w:line="53"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9"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2"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b w:val="1"/>
          <w:bCs w:val="1"/>
          <w:i w:val="1"/>
          <w:i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30"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8" w:lineRule="exact"/>
        <w:rPr>
          <w:sz w:val="20"/>
          <w:szCs w:val="20"/>
          <w:color w:val="auto"/>
        </w:rPr>
      </w:pPr>
    </w:p>
    <w:p>
      <w:pPr>
        <w:ind w:right="140" w:firstLine="457"/>
        <w:spacing w:after="0" w:line="297"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43.5%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6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7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68" w:lineRule="exact"/>
        <w:rPr>
          <w:sz w:val="20"/>
          <w:szCs w:val="20"/>
          <w:color w:val="auto"/>
        </w:rPr>
      </w:pPr>
    </w:p>
    <w:p>
      <w:pPr>
        <w:ind w:right="320" w:firstLine="457"/>
        <w:spacing w:after="0" w:line="267" w:lineRule="auto"/>
        <w:rPr>
          <w:sz w:val="20"/>
          <w:szCs w:val="20"/>
          <w:color w:val="auto"/>
        </w:rPr>
      </w:pPr>
      <w:r>
        <w:rPr>
          <w:rFonts w:ascii="Arial" w:cs="Arial" w:eastAsia="Arial" w:hAnsi="Arial"/>
          <w:sz w:val="17"/>
          <w:szCs w:val="17"/>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78"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9"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vulnerable to disruption, damage and financial obligation as a result of system failures.</w:t>
      </w:r>
    </w:p>
    <w:p>
      <w:pPr>
        <w:spacing w:after="0" w:line="119"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73"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5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existing collaborations, including those with TESARO and Celgene, are important to our business, and future collaborations may also be important to us.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any of these collaborations, or if these collaborations are not successful, our business could be adversely affected.</w:t>
      </w:r>
    </w:p>
    <w:p>
      <w:pPr>
        <w:spacing w:after="0" w:line="118" w:lineRule="exact"/>
        <w:rPr>
          <w:sz w:val="20"/>
          <w:szCs w:val="20"/>
          <w:color w:val="auto"/>
        </w:rPr>
      </w:pPr>
    </w:p>
    <w:p>
      <w:pPr>
        <w:jc w:val="both"/>
        <w:ind w:right="320" w:firstLine="457"/>
        <w:spacing w:after="0" w:line="297"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49"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generation and/or development collaborations with various collaborators, including TESARO and Celgene, under which we have generated therapeutic quality antibodies using our technology platform and conducted certain preclinical studies in collaboration. These collaborations have provided us with $51.6 million in non-dilutive funding through November 30, 2015.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6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87" w:lineRule="exact"/>
        <w:rPr>
          <w:sz w:val="20"/>
          <w:szCs w:val="20"/>
          <w:color w:val="auto"/>
        </w:rPr>
      </w:pPr>
    </w:p>
    <w:p>
      <w:pPr>
        <w:ind w:right="860"/>
        <w:spacing w:after="0" w:line="289" w:lineRule="auto"/>
        <w:rPr>
          <w:sz w:val="20"/>
          <w:szCs w:val="20"/>
          <w:color w:val="auto"/>
        </w:rPr>
      </w:pPr>
      <w:r>
        <w:rPr>
          <w:rFonts w:ascii="Arial" w:cs="Arial" w:eastAsia="Arial" w:hAnsi="Arial"/>
          <w:sz w:val="17"/>
          <w:szCs w:val="17"/>
          <w:b w:val="1"/>
          <w:bCs w:val="1"/>
          <w:i w:val="1"/>
          <w:iCs w:val="1"/>
          <w:color w:val="auto"/>
        </w:rPr>
        <w:t>We may not succeed in establishing and maintaining additional development collaborations, which could adversely affect our ability to develop and commercialize product candidates.</w:t>
      </w:r>
    </w:p>
    <w:p>
      <w:pPr>
        <w:spacing w:after="0" w:line="5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Moreover, if we fail to establish and maintain additional development collaborations related to our product candidates:</w:t>
      </w:r>
    </w:p>
    <w:p>
      <w:pPr>
        <w:spacing w:after="0" w:line="132" w:lineRule="exact"/>
        <w:rPr>
          <w:sz w:val="20"/>
          <w:szCs w:val="20"/>
          <w:color w:val="auto"/>
        </w:rPr>
      </w:pPr>
    </w:p>
    <w:p>
      <w:pPr>
        <w:ind w:left="900" w:hanging="332"/>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development of certain of our current or future product candidates may be terminated or delayed;</w:t>
      </w:r>
    </w:p>
    <w:p>
      <w:pPr>
        <w:spacing w:after="0" w:line="131" w:lineRule="exact"/>
        <w:rPr>
          <w:rFonts w:ascii="Arial" w:cs="Arial" w:eastAsia="Arial" w:hAnsi="Arial"/>
          <w:sz w:val="17"/>
          <w:szCs w:val="17"/>
          <w:color w:val="auto"/>
        </w:rPr>
      </w:pPr>
    </w:p>
    <w:p>
      <w:pPr>
        <w:ind w:left="900" w:right="200" w:hanging="332"/>
        <w:spacing w:after="0" w:line="28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cash expenditures related to development of certain of our current or future product candidates would increase significantly and we may need to seek additional financing;</w:t>
      </w:r>
    </w:p>
    <w:p>
      <w:pPr>
        <w:spacing w:after="0" w:line="66" w:lineRule="exact"/>
        <w:rPr>
          <w:rFonts w:ascii="Arial" w:cs="Arial" w:eastAsia="Arial" w:hAnsi="Arial"/>
          <w:sz w:val="17"/>
          <w:szCs w:val="17"/>
          <w:color w:val="auto"/>
        </w:rPr>
      </w:pPr>
    </w:p>
    <w:p>
      <w:pPr>
        <w:ind w:left="900" w:right="580" w:hanging="332"/>
        <w:spacing w:after="0" w:line="28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hire additional employees or otherwise develop expertise, such as sales and marketing expertise, for which we have not budgeted; and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will bear all of the risk related to the development of any such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9"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ind w:firstLine="457"/>
        <w:spacing w:after="0" w:line="300" w:lineRule="auto"/>
        <w:rPr>
          <w:sz w:val="20"/>
          <w:szCs w:val="20"/>
          <w:color w:val="auto"/>
        </w:rPr>
      </w:pPr>
      <w:r>
        <w:rPr>
          <w:rFonts w:ascii="Arial" w:cs="Arial" w:eastAsia="Arial" w:hAnsi="Arial"/>
          <w:sz w:val="15"/>
          <w:szCs w:val="15"/>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55" w:lineRule="exact"/>
        <w:rPr>
          <w:sz w:val="20"/>
          <w:szCs w:val="20"/>
          <w:color w:val="auto"/>
        </w:rPr>
      </w:pPr>
    </w:p>
    <w:p>
      <w:pPr>
        <w:ind w:right="80" w:firstLine="457"/>
        <w:spacing w:after="0" w:line="308" w:lineRule="auto"/>
        <w:rPr>
          <w:sz w:val="20"/>
          <w:szCs w:val="20"/>
          <w:color w:val="auto"/>
        </w:rPr>
      </w:pPr>
      <w:r>
        <w:rPr>
          <w:rFonts w:ascii="Arial" w:cs="Arial" w:eastAsia="Arial" w:hAnsi="Arial"/>
          <w:sz w:val="15"/>
          <w:szCs w:val="15"/>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Approval of Our Product Candidates and Other Legal Compliance Matters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w:t>
      </w:r>
    </w:p>
    <w:p>
      <w:pPr>
        <w:spacing w:after="0" w:line="119"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8" w:lineRule="exact"/>
        <w:rPr>
          <w:sz w:val="20"/>
          <w:szCs w:val="20"/>
          <w:color w:val="auto"/>
        </w:rPr>
      </w:pPr>
    </w:p>
    <w:p>
      <w:pPr>
        <w:ind w:left="5620" w:right="2240" w:hanging="5052"/>
        <w:spacing w:after="0" w:line="466" w:lineRule="auto"/>
        <w:tabs>
          <w:tab w:leader="none" w:pos="889"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restrictions on our ability to conduct clinical trials, including full or partial clinical holds on ongoing or planned trials; 28</w:t>
      </w:r>
    </w:p>
    <w:p>
      <w:pPr>
        <w:sectPr>
          <w:pgSz w:w="11900" w:h="16838" w:orient="portrait"/>
          <w:cols w:equalWidth="0" w:num="1">
            <w:col w:w="11380"/>
          </w:cols>
          <w:pgMar w:left="240" w:top="449" w:right="2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332"/>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on the products, manufacturers or manufacturing process;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warning or untitled letters;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civil and criminal penalties;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injunctions;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suspension or withdrawal of regulatory approvals;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seizures, detentions or import bans;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voluntary or mandatory product recalls and publicity requirements;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total or partial suspension of production;</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imposition of restrictions on operations, including costly new manufacturing requirements;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refusal to approve pending BLAs or supplements to approved BLAs.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24" w:lineRule="exact"/>
        <w:rPr>
          <w:sz w:val="20"/>
          <w:szCs w:val="20"/>
          <w:color w:val="auto"/>
        </w:rPr>
      </w:pPr>
    </w:p>
    <w:p>
      <w:pPr>
        <w:ind w:right="200" w:firstLine="457"/>
        <w:spacing w:after="0" w:line="265"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7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obtain regulatory approval in international jurisdictions would prevent us from marketing our product candidates outside the United States.</w:t>
      </w:r>
    </w:p>
    <w:p>
      <w:pPr>
        <w:spacing w:after="0" w:line="142" w:lineRule="exact"/>
        <w:rPr>
          <w:sz w:val="20"/>
          <w:szCs w:val="20"/>
          <w:color w:val="auto"/>
        </w:rPr>
      </w:pPr>
    </w:p>
    <w:p>
      <w:pPr>
        <w:ind w:right="260" w:firstLine="457"/>
        <w:spacing w:after="0" w:line="265" w:lineRule="auto"/>
        <w:rPr>
          <w:sz w:val="20"/>
          <w:szCs w:val="20"/>
          <w:color w:val="auto"/>
        </w:rPr>
      </w:pPr>
      <w:r>
        <w:rPr>
          <w:rFonts w:ascii="Arial" w:cs="Arial" w:eastAsia="Arial" w:hAnsi="Arial"/>
          <w:sz w:val="17"/>
          <w:szCs w:val="17"/>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449" w:right="2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58"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82" w:lineRule="exact"/>
        <w:rPr>
          <w:sz w:val="20"/>
          <w:szCs w:val="20"/>
          <w:color w:val="auto"/>
        </w:rPr>
      </w:pPr>
    </w:p>
    <w:p>
      <w:pPr>
        <w:ind w:right="160"/>
        <w:spacing w:after="0" w:line="322" w:lineRule="auto"/>
        <w:rPr>
          <w:sz w:val="20"/>
          <w:szCs w:val="20"/>
          <w:color w:val="auto"/>
        </w:rPr>
      </w:pPr>
      <w:r>
        <w:rPr>
          <w:rFonts w:ascii="Arial" w:cs="Arial" w:eastAsia="Arial" w:hAnsi="Arial"/>
          <w:sz w:val="16"/>
          <w:szCs w:val="16"/>
          <w:b w:val="1"/>
          <w:bCs w:val="1"/>
          <w:i w:val="1"/>
          <w:iCs w:val="1"/>
          <w:color w:val="auto"/>
        </w:rPr>
        <w:t>We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30"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 plan to conduct our initial clinical trials for ANB020 and ANB019 in Australia.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the need for us to repeat our Phase 1 trials in the United States. However, there can be no assurance the FDA or other foreign equivalents will accept data from the clinical trials we plan to conduct in Australia. If the FDA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8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Although the FDA and other foreign equivalents may accept data from clinical trials conducted outside the United States,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Conducting clinical trials outside the United States also exposes us to additional risks, including risks associated with the following:</w:t>
      </w:r>
    </w:p>
    <w:p>
      <w:pPr>
        <w:spacing w:after="0" w:line="132" w:lineRule="exact"/>
        <w:rPr>
          <w:sz w:val="20"/>
          <w:szCs w:val="20"/>
          <w:color w:val="auto"/>
        </w:rPr>
      </w:pPr>
    </w:p>
    <w:p>
      <w:pPr>
        <w:ind w:left="900" w:hanging="332"/>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additional foreign regulatory requirements;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foreign exchange fluctuations;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compliance with foreign manufacturing, customs, shipment and storage requirements;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cultural differences in medical practice and clinical research;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diminished protection of intellectual property in some countries.</w:t>
      </w:r>
    </w:p>
    <w:p>
      <w:pPr>
        <w:spacing w:after="0" w:line="328"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b w:val="1"/>
          <w:bCs w:val="1"/>
          <w:i w:val="1"/>
          <w:iCs w:val="1"/>
          <w:color w:val="auto"/>
        </w:rPr>
        <w:t>We plan to seek Orphan Drug Designation for ANB019 or certain of our other product candidates and we may not be able to obtain or maintain orphan designation or obtain the benefits associated with Orphan Drug status, including market exclusivity.</w:t>
      </w:r>
    </w:p>
    <w:p>
      <w:pPr>
        <w:spacing w:after="0" w:line="53"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9"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70"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8"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drugs we develop may become subject to unfavorable third-party reimbursement practices and pricing regulations.</w:t>
      </w:r>
    </w:p>
    <w:p>
      <w:pPr>
        <w:spacing w:after="0" w:line="1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2" w:lineRule="exact"/>
        <w:rPr>
          <w:sz w:val="20"/>
          <w:szCs w:val="20"/>
          <w:color w:val="auto"/>
        </w:rPr>
      </w:pPr>
    </w:p>
    <w:p>
      <w:pPr>
        <w:ind w:right="440" w:firstLine="457"/>
        <w:spacing w:after="0" w:line="265"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9"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1"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68"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81"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8"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9"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83"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i w:val="1"/>
          <w:iCs w:val="1"/>
          <w:color w:val="auto"/>
        </w:rPr>
        <w:t>Recently enacted legislation may increase the difficulty and cost for us to obtain marketing approval of and commercialize our product candidates and affect the prices we may obtain.</w:t>
      </w:r>
    </w:p>
    <w:p>
      <w:pPr>
        <w:spacing w:after="0" w:line="53"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71" w:lineRule="exact"/>
        <w:rPr>
          <w:sz w:val="20"/>
          <w:szCs w:val="20"/>
          <w:color w:val="auto"/>
        </w:rPr>
      </w:pPr>
    </w:p>
    <w:p>
      <w:pPr>
        <w:ind w:right="440" w:firstLine="457"/>
        <w:spacing w:after="0" w:line="267"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Among the provisions of the ACA of importance to our potential product candidates are the following:</w:t>
      </w:r>
    </w:p>
    <w:p>
      <w:pPr>
        <w:spacing w:after="0" w:line="132" w:lineRule="exact"/>
        <w:rPr>
          <w:sz w:val="20"/>
          <w:szCs w:val="20"/>
          <w:color w:val="auto"/>
        </w:rPr>
      </w:pPr>
    </w:p>
    <w:p>
      <w:pPr>
        <w:ind w:left="900" w:hanging="332"/>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w:t>
      </w:r>
    </w:p>
    <w:p>
      <w:pPr>
        <w:spacing w:after="0" w:line="131" w:lineRule="exact"/>
        <w:rPr>
          <w:rFonts w:ascii="Arial" w:cs="Arial" w:eastAsia="Arial" w:hAnsi="Arial"/>
          <w:sz w:val="17"/>
          <w:szCs w:val="17"/>
          <w:color w:val="auto"/>
        </w:rPr>
      </w:pPr>
    </w:p>
    <w:p>
      <w:pPr>
        <w:ind w:left="900" w:right="100" w:hanging="332"/>
        <w:spacing w:after="0" w:line="289"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new government investigative powers, and enhanced penalties for noncompliance;</w:t>
      </w:r>
    </w:p>
    <w:p>
      <w:pPr>
        <w:spacing w:after="0" w:line="66" w:lineRule="exact"/>
        <w:rPr>
          <w:rFonts w:ascii="Arial" w:cs="Arial" w:eastAsia="Arial" w:hAnsi="Arial"/>
          <w:sz w:val="17"/>
          <w:szCs w:val="17"/>
          <w:color w:val="auto"/>
        </w:rPr>
      </w:pPr>
    </w:p>
    <w:p>
      <w:pPr>
        <w:jc w:val="both"/>
        <w:ind w:left="900" w:hanging="332"/>
        <w:spacing w:after="0" w:line="273"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79" w:lineRule="exact"/>
        <w:rPr>
          <w:rFonts w:ascii="Arial" w:cs="Arial" w:eastAsia="Arial" w:hAnsi="Arial"/>
          <w:sz w:val="17"/>
          <w:szCs w:val="17"/>
          <w:color w:val="auto"/>
        </w:rPr>
      </w:pPr>
    </w:p>
    <w:p>
      <w:pPr>
        <w:ind w:left="900" w:right="700" w:hanging="332"/>
        <w:spacing w:after="0" w:line="289"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66" w:lineRule="exact"/>
        <w:rPr>
          <w:rFonts w:ascii="Arial" w:cs="Arial" w:eastAsia="Arial" w:hAnsi="Arial"/>
          <w:sz w:val="17"/>
          <w:szCs w:val="17"/>
          <w:color w:val="auto"/>
        </w:rPr>
      </w:pPr>
    </w:p>
    <w:p>
      <w:pPr>
        <w:ind w:left="900" w:right="360" w:hanging="332"/>
        <w:spacing w:after="0" w:line="289"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requirements to report certain financial arrangements with physicians and teaching hospitals;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31" w:lineRule="exact"/>
        <w:rPr>
          <w:rFonts w:ascii="Arial" w:cs="Arial" w:eastAsia="Arial" w:hAnsi="Arial"/>
          <w:sz w:val="17"/>
          <w:szCs w:val="17"/>
          <w:color w:val="auto"/>
        </w:rPr>
      </w:pPr>
    </w:p>
    <w:p>
      <w:pPr>
        <w:ind w:left="900" w:right="100" w:hanging="332"/>
        <w:spacing w:after="0" w:line="289"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60"/>
          </w:cols>
          <w:pgMar w:left="240" w:top="449" w:right="29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difficulties from changes to current regulations and future legislation.</w:t>
      </w:r>
    </w:p>
    <w:p>
      <w:pPr>
        <w:spacing w:after="0" w:line="119" w:lineRule="exact"/>
        <w:rPr>
          <w:sz w:val="20"/>
          <w:szCs w:val="20"/>
          <w:color w:val="auto"/>
        </w:rPr>
      </w:pPr>
    </w:p>
    <w:p>
      <w:pPr>
        <w:ind w:firstLine="457"/>
        <w:spacing w:after="0" w:line="314" w:lineRule="auto"/>
        <w:rPr>
          <w:sz w:val="20"/>
          <w:szCs w:val="20"/>
          <w:color w:val="auto"/>
        </w:rPr>
      </w:pPr>
      <w:r>
        <w:rPr>
          <w:rFonts w:ascii="Arial" w:cs="Arial" w:eastAsia="Arial" w:hAnsi="Arial"/>
          <w:sz w:val="15"/>
          <w:szCs w:val="15"/>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5"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2024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1"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Likewise, the annual Medicare Physician Fee Schedule update, which, until recently, was based on a target-setting formula system called the Sustainable Growth Rate (“SGR”), was adjusted to reflect the comparison of actual expenditures to target expenditures. Because one of the factors for calculating the SGR was linked to the growth in the U.S. gross domestic product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70"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8"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9" w:right="2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66" w:lineRule="exact"/>
        <w:rPr>
          <w:sz w:val="20"/>
          <w:szCs w:val="20"/>
          <w:color w:val="auto"/>
        </w:rPr>
      </w:pPr>
    </w:p>
    <w:p>
      <w:pPr>
        <w:jc w:val="both"/>
        <w:ind w:right="300" w:firstLine="457"/>
        <w:spacing w:after="0" w:line="289"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70" w:lineRule="exact"/>
        <w:rPr>
          <w:sz w:val="20"/>
          <w:szCs w:val="20"/>
          <w:color w:val="auto"/>
        </w:rPr>
      </w:pPr>
    </w:p>
    <w:p>
      <w:pPr>
        <w:ind w:left="900" w:right="180" w:hanging="332"/>
        <w:spacing w:after="0" w:line="26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6" w:lineRule="exact"/>
        <w:rPr>
          <w:rFonts w:ascii="Arial" w:cs="Arial" w:eastAsia="Arial" w:hAnsi="Arial"/>
          <w:sz w:val="17"/>
          <w:szCs w:val="17"/>
          <w:color w:val="auto"/>
        </w:rPr>
      </w:pPr>
    </w:p>
    <w:p>
      <w:pPr>
        <w:ind w:left="900" w:right="240" w:hanging="332"/>
        <w:spacing w:after="0" w:line="26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7"/>
          <w:szCs w:val="17"/>
          <w:color w:val="auto"/>
        </w:rPr>
      </w:pPr>
    </w:p>
    <w:p>
      <w:pPr>
        <w:ind w:left="900" w:right="360" w:hanging="332"/>
        <w:spacing w:after="0" w:line="359"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20" w:lineRule="exact"/>
        <w:rPr>
          <w:rFonts w:ascii="Arial" w:cs="Arial" w:eastAsia="Arial" w:hAnsi="Arial"/>
          <w:sz w:val="15"/>
          <w:szCs w:val="15"/>
          <w:color w:val="auto"/>
        </w:rPr>
      </w:pPr>
    </w:p>
    <w:p>
      <w:pPr>
        <w:jc w:val="both"/>
        <w:ind w:left="900" w:right="260" w:hanging="332"/>
        <w:spacing w:after="0" w:line="273"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9" w:lineRule="exact"/>
        <w:rPr>
          <w:rFonts w:ascii="Arial" w:cs="Arial" w:eastAsia="Arial" w:hAnsi="Arial"/>
          <w:sz w:val="17"/>
          <w:szCs w:val="17"/>
          <w:color w:val="auto"/>
        </w:rPr>
      </w:pPr>
    </w:p>
    <w:p>
      <w:pPr>
        <w:ind w:left="900" w:right="60" w:hanging="332"/>
        <w:spacing w:after="0" w:line="359"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w:t>
      </w:r>
    </w:p>
    <w:p>
      <w:pPr>
        <w:spacing w:after="0" w:line="4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60"/>
          </w:cols>
          <w:pgMar w:left="240" w:top="449" w:right="29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20"/>
        <w:spacing w:after="0" w:line="273" w:lineRule="auto"/>
        <w:rPr>
          <w:sz w:val="20"/>
          <w:szCs w:val="20"/>
          <w:color w:val="auto"/>
        </w:rPr>
      </w:pPr>
      <w:r>
        <w:rPr>
          <w:rFonts w:ascii="Arial" w:cs="Arial" w:eastAsia="Arial" w:hAnsi="Arial"/>
          <w:sz w:val="17"/>
          <w:szCs w:val="17"/>
          <w:color w:val="auto"/>
        </w:rPr>
        <w:t>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79" w:lineRule="exact"/>
        <w:rPr>
          <w:sz w:val="20"/>
          <w:szCs w:val="20"/>
          <w:color w:val="auto"/>
        </w:rPr>
      </w:pPr>
    </w:p>
    <w:p>
      <w:pPr>
        <w:ind w:left="900" w:right="40" w:hanging="332"/>
        <w:spacing w:after="0" w:line="32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35"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92"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i w:val="1"/>
          <w:iCs w:val="1"/>
          <w:color w:val="auto"/>
        </w:rPr>
        <w:t>Our employees may engage in misconduct or other improper activities, including noncompliance with regulatory standards and requirements and insider trading.</w:t>
      </w:r>
    </w:p>
    <w:p>
      <w:pPr>
        <w:spacing w:after="0" w:line="5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9"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obtain or protect intellectual property rights, we may not be able to compete effectively in our market.</w:t>
      </w:r>
    </w:p>
    <w:p>
      <w:pPr>
        <w:spacing w:after="0" w:line="119"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7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73" w:lineRule="exact"/>
        <w:rPr>
          <w:sz w:val="20"/>
          <w:szCs w:val="20"/>
          <w:color w:val="auto"/>
        </w:rPr>
      </w:pPr>
    </w:p>
    <w:p>
      <w:pPr>
        <w:ind w:right="20" w:firstLine="457"/>
        <w:spacing w:after="0" w:line="305" w:lineRule="auto"/>
        <w:rPr>
          <w:sz w:val="20"/>
          <w:szCs w:val="20"/>
          <w:color w:val="auto"/>
        </w:rPr>
      </w:pPr>
      <w:r>
        <w:rPr>
          <w:rFonts w:ascii="Arial" w:cs="Arial" w:eastAsia="Arial" w:hAnsi="Arial"/>
          <w:sz w:val="15"/>
          <w:szCs w:val="15"/>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51"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449"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2"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19"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55"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80"/>
          </w:cols>
          <w:pgMar w:left="240" w:top="449" w:right="27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19"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71"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8"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8"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85"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6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9"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66" w:lineRule="exact"/>
        <w:rPr>
          <w:sz w:val="20"/>
          <w:szCs w:val="20"/>
          <w:color w:val="auto"/>
        </w:rPr>
      </w:pPr>
    </w:p>
    <w:p>
      <w:pPr>
        <w:ind w:right="80"/>
        <w:spacing w:after="0" w:line="359"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3"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3"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9"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53"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87"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78"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70"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9"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b w:val="1"/>
          <w:bCs w:val="1"/>
          <w:i w:val="1"/>
          <w:iCs w:val="1"/>
          <w:color w:val="auto"/>
        </w:rPr>
        <w:t>If we breach the license agreements related to our product candidates, we could lose the ability to continue the development and commercialization of our product candidates.</w:t>
      </w:r>
    </w:p>
    <w:p>
      <w:pPr>
        <w:spacing w:after="0" w:line="5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32" w:lineRule="exact"/>
        <w:rPr>
          <w:sz w:val="20"/>
          <w:szCs w:val="20"/>
          <w:color w:val="auto"/>
        </w:rPr>
      </w:pPr>
    </w:p>
    <w:p>
      <w:pPr>
        <w:ind w:left="900" w:hanging="332"/>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3" w:lineRule="exact"/>
        <w:rPr>
          <w:rFonts w:ascii="Arial" w:cs="Arial" w:eastAsia="Arial" w:hAnsi="Arial"/>
          <w:sz w:val="16"/>
          <w:szCs w:val="16"/>
          <w:color w:val="auto"/>
        </w:rPr>
      </w:pPr>
    </w:p>
    <w:p>
      <w:pPr>
        <w:ind w:left="900" w:hanging="332"/>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any collaboration relationships we might enter into in the future;</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31" w:lineRule="exact"/>
        <w:rPr>
          <w:rFonts w:ascii="Arial" w:cs="Arial" w:eastAsia="Arial" w:hAnsi="Arial"/>
          <w:sz w:val="17"/>
          <w:szCs w:val="17"/>
          <w:color w:val="auto"/>
        </w:rPr>
      </w:pPr>
    </w:p>
    <w:p>
      <w:pPr>
        <w:ind w:left="900" w:right="900" w:hanging="332"/>
        <w:spacing w:after="0" w:line="28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and us and our collaborators; and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224"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6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6"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9"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7"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3"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65"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inability to protect our confidential information and trade secrets would harm our business and competitive position.</w:t>
      </w:r>
    </w:p>
    <w:p>
      <w:pPr>
        <w:spacing w:after="0" w:line="119"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9"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i w:val="1"/>
          <w:iCs w:val="1"/>
          <w:color w:val="auto"/>
        </w:rPr>
        <w:t>If we do not obtain protection under the Hatch-Waxman Amendments and similar foreign legislation for extending the term of patents covering each of our product candidates, our business may be harmed.</w:t>
      </w:r>
    </w:p>
    <w:p>
      <w:pPr>
        <w:spacing w:after="0" w:line="5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5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stock may be volatile, and you could lose all or part of your investment.</w:t>
      </w:r>
    </w:p>
    <w:p>
      <w:pPr>
        <w:spacing w:after="0" w:line="119" w:lineRule="exact"/>
        <w:rPr>
          <w:sz w:val="20"/>
          <w:szCs w:val="20"/>
          <w:color w:val="auto"/>
        </w:rPr>
      </w:pPr>
    </w:p>
    <w:p>
      <w:pPr>
        <w:ind w:right="100" w:firstLine="457"/>
        <w:spacing w:after="0" w:line="322" w:lineRule="auto"/>
        <w:rPr>
          <w:sz w:val="20"/>
          <w:szCs w:val="20"/>
          <w:color w:val="auto"/>
        </w:rPr>
      </w:pPr>
      <w:r>
        <w:rPr>
          <w:rFonts w:ascii="Arial" w:cs="Arial" w:eastAsia="Arial" w:hAnsi="Arial"/>
          <w:sz w:val="16"/>
          <w:szCs w:val="16"/>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43" w:lineRule="exact"/>
        <w:rPr>
          <w:sz w:val="20"/>
          <w:szCs w:val="20"/>
          <w:color w:val="auto"/>
        </w:rPr>
      </w:pPr>
    </w:p>
    <w:p>
      <w:pPr>
        <w:ind w:left="900" w:hanging="332"/>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success of competitive products;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actions with respect to our products or our competitors’ products;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3" w:lineRule="exact"/>
        <w:rPr>
          <w:rFonts w:ascii="Arial" w:cs="Arial" w:eastAsia="Arial" w:hAnsi="Arial"/>
          <w:sz w:val="16"/>
          <w:szCs w:val="16"/>
          <w:color w:val="auto"/>
        </w:rPr>
      </w:pPr>
    </w:p>
    <w:p>
      <w:pPr>
        <w:ind w:left="900" w:hanging="332"/>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of our product candidates or those of our competitors;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developments with respect to our existing collaboration agreements and announcements of new collaboration agreements;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60"/>
          </w:cols>
          <w:pgMar w:left="240" w:top="449" w:right="2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33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results of our efforts to in-license or acquire additional product candidates or products;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sales of our common stock by us, our insiders or our other stockholders;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market conditions in the biotechnology sector;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22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in the use of the net proceeds from this offering and may not use them effectively.</w:t>
      </w:r>
    </w:p>
    <w:p>
      <w:pPr>
        <w:spacing w:after="0" w:line="119"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19" w:lineRule="exact"/>
        <w:rPr>
          <w:sz w:val="20"/>
          <w:szCs w:val="20"/>
          <w:color w:val="auto"/>
        </w:rPr>
      </w:pPr>
    </w:p>
    <w:p>
      <w:pPr>
        <w:ind w:right="240" w:firstLine="457"/>
        <w:spacing w:after="0" w:line="273"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6"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w:t>
      </w:r>
    </w:p>
    <w:p>
      <w:pPr>
        <w:spacing w:after="0" w:line="2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approximately 84.1% of our voting stock and, upon the closing of this offering, that same group will hold approximately % of our outstanding voting stock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After this offering, this group of stockholders will have the ability to control us through this ownership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49"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19" w:lineRule="exact"/>
        <w:rPr>
          <w:sz w:val="20"/>
          <w:szCs w:val="20"/>
          <w:color w:val="auto"/>
        </w:rPr>
      </w:pPr>
    </w:p>
    <w:p>
      <w:pPr>
        <w:ind w:right="100" w:firstLine="457"/>
        <w:spacing w:after="0" w:line="299" w:lineRule="auto"/>
        <w:rPr>
          <w:sz w:val="20"/>
          <w:szCs w:val="20"/>
          <w:color w:val="auto"/>
        </w:rPr>
      </w:pPr>
      <w:r>
        <w:rPr>
          <w:rFonts w:ascii="Arial" w:cs="Arial" w:eastAsia="Arial" w:hAnsi="Arial"/>
          <w:sz w:val="15"/>
          <w:szCs w:val="15"/>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purchasing common stock in this offering will incur immediate dilution of $ per share, based upon an assumed initial public offering price of $ per share (the midpoint of the price range set forth on the cover page of this prospectus). Further, investors purchasing common stock in this offering will contribute approximately % of the total amount invested by stockholders since our inception, but will own only approximately % of the shares of common stock outstanding after giving effect to this offering.</w:t>
      </w:r>
    </w:p>
    <w:p>
      <w:pPr>
        <w:spacing w:after="0" w:line="182"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September 30, 2015, options to purchase 13,563,272 shares of our common stock at a weighted-average exercise price of $0.51 per share, warrants exercisable for 822,386 shares of our common stock at an exercise price of $0.65 per share and warrants exercisable for Series C convertible preferred stock convertible into 2,063,484 shares of our common stock at an exercise price of $0.65 per share were outstanding. Additional options to purchase 1,251,041 shares of our common stock at an exercise price of $1.22 per share were granted between September 30, 2015 and November 30, 2015. The exercise of any of these options or warrants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273"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5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jc w:val="both"/>
        <w:ind w:right="320" w:firstLine="457"/>
        <w:spacing w:after="0" w:line="273"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9"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the market value of our common stock that is held by non-affiliates to exceed $700 million as of the prior June 30th, and (ii) the date on which we have issued more than $1 billion in non-convertible debt during the prior three-year period.</w:t>
      </w:r>
    </w:p>
    <w:p>
      <w:pPr>
        <w:spacing w:after="0" w:line="15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incur increased costs as a result of operating as a public company, and our management will devote substantial time to new compliance initiatives.</w:t>
      </w:r>
    </w:p>
    <w:p>
      <w:pPr>
        <w:spacing w:after="0" w:line="142"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19"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w:t>
      </w:r>
    </w:p>
    <w:p>
      <w:pPr>
        <w:spacing w:after="0" w:line="1" w:lineRule="exact"/>
        <w:rPr>
          <w:sz w:val="20"/>
          <w:szCs w:val="20"/>
          <w:color w:val="auto"/>
        </w:rPr>
      </w:pPr>
    </w:p>
    <w:p>
      <w:pPr>
        <w:ind w:right="20" w:firstLine="524"/>
        <w:spacing w:after="0" w:line="291" w:lineRule="auto"/>
        <w:rPr>
          <w:sz w:val="20"/>
          <w:szCs w:val="20"/>
          <w:color w:val="auto"/>
        </w:rPr>
      </w:pPr>
      <w:r>
        <w:rPr>
          <w:rFonts w:ascii="Arial" w:cs="Arial" w:eastAsia="Arial" w:hAnsi="Arial"/>
          <w:sz w:val="15"/>
          <w:szCs w:val="15"/>
          <w:color w:val="auto"/>
        </w:rPr>
        <w:t>shares of common stock based on the number of shares outstanding as of September 30, 2015, assuming: (i) no exercise of the underwriters’ option to purchase additional shares and (ii) the conversion of all outstanding shares of our convertible preferred stock into 80,645,051 shares of common stock immediately prior to the closing of this offering. This includes the shares that we sell in this offering, which may be resold in the public market immediately without restriction,</w:t>
      </w:r>
    </w:p>
    <w:p>
      <w:pPr>
        <w:spacing w:after="0" w:line="1"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unless purchased by our affiliates. Of the remaining shares, shares of our common stock are currently restricted as a result of securities laws or lock-up agreements but will be able to be sold after this offering as described in the “Shares Eligible for Future Sale” section of this prospectus. Moreover, after this</w:t>
      </w:r>
    </w:p>
    <w:p>
      <w:pPr>
        <w:spacing w:after="0" w:line="284" w:lineRule="auto"/>
        <w:rPr>
          <w:sz w:val="20"/>
          <w:szCs w:val="20"/>
          <w:color w:val="auto"/>
        </w:rPr>
      </w:pPr>
      <w:r>
        <w:rPr>
          <w:rFonts w:ascii="Arial" w:cs="Arial" w:eastAsia="Arial" w:hAnsi="Arial"/>
          <w:sz w:val="16"/>
          <w:szCs w:val="16"/>
          <w:color w:val="auto"/>
        </w:rPr>
        <w:t>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9"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20"/>
        <w:spacing w:after="0" w:line="289" w:lineRule="auto"/>
        <w:rPr>
          <w:sz w:val="20"/>
          <w:szCs w:val="20"/>
          <w:color w:val="auto"/>
        </w:rPr>
      </w:pPr>
      <w:r>
        <w:rPr>
          <w:rFonts w:ascii="Arial" w:cs="Arial" w:eastAsia="Arial" w:hAnsi="Arial"/>
          <w:sz w:val="17"/>
          <w:szCs w:val="17"/>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19"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8" w:lineRule="exact"/>
        <w:rPr>
          <w:sz w:val="20"/>
          <w:szCs w:val="20"/>
          <w:color w:val="auto"/>
        </w:rPr>
      </w:pPr>
    </w:p>
    <w:p>
      <w:pPr>
        <w:jc w:val="both"/>
        <w:ind w:right="140" w:firstLine="457"/>
        <w:spacing w:after="0" w:line="325" w:lineRule="auto"/>
        <w:rPr>
          <w:sz w:val="20"/>
          <w:szCs w:val="20"/>
          <w:color w:val="auto"/>
        </w:rPr>
      </w:pPr>
      <w:r>
        <w:rPr>
          <w:rFonts w:ascii="Arial" w:cs="Arial" w:eastAsia="Arial" w:hAnsi="Arial"/>
          <w:sz w:val="15"/>
          <w:szCs w:val="15"/>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19" w:lineRule="exact"/>
        <w:rPr>
          <w:sz w:val="20"/>
          <w:szCs w:val="20"/>
          <w:color w:val="auto"/>
        </w:rPr>
      </w:pPr>
    </w:p>
    <w:p>
      <w:pPr>
        <w:jc w:val="both"/>
        <w:ind w:right="260" w:firstLine="457"/>
        <w:spacing w:after="0" w:line="273" w:lineRule="auto"/>
        <w:rPr>
          <w:sz w:val="20"/>
          <w:szCs w:val="20"/>
          <w:color w:val="auto"/>
        </w:rPr>
      </w:pPr>
      <w:r>
        <w:rPr>
          <w:rFonts w:ascii="Arial" w:cs="Arial" w:eastAsia="Arial" w:hAnsi="Arial"/>
          <w:sz w:val="17"/>
          <w:szCs w:val="17"/>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76"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3"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9" w:lineRule="exact"/>
        <w:rPr>
          <w:sz w:val="20"/>
          <w:szCs w:val="20"/>
          <w:color w:val="auto"/>
        </w:rPr>
      </w:pPr>
    </w:p>
    <w:p>
      <w:pPr>
        <w:ind w:left="900" w:hanging="33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establish a classified board of directors so that not all members of our board are elected at one time;</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permit only the board of directors to establish the number of directors and fill vacancies on the board;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 that directors may only be removed “for cause” and only with the approval of two-thirds of our stockholders;</w:t>
      </w:r>
    </w:p>
    <w:p>
      <w:pPr>
        <w:spacing w:after="0" w:line="131" w:lineRule="exact"/>
        <w:rPr>
          <w:rFonts w:ascii="Arial" w:cs="Arial" w:eastAsia="Arial" w:hAnsi="Arial"/>
          <w:sz w:val="17"/>
          <w:szCs w:val="17"/>
          <w:color w:val="auto"/>
        </w:rPr>
      </w:pPr>
    </w:p>
    <w:p>
      <w:pPr>
        <w:ind w:left="5620" w:right="2180" w:hanging="5052"/>
        <w:spacing w:after="0" w:line="466" w:lineRule="auto"/>
        <w:tabs>
          <w:tab w:leader="none" w:pos="8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restated certificate of incorporation and restated bylaws; 48</w:t>
      </w:r>
    </w:p>
    <w:p>
      <w:pPr>
        <w:sectPr>
          <w:pgSz w:w="11900" w:h="16838" w:orient="portrait"/>
          <w:cols w:equalWidth="0" w:num="1">
            <w:col w:w="11420"/>
          </w:cols>
          <w:pgMar w:left="240" w:top="449"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400" w:hanging="332"/>
        <w:spacing w:after="0" w:line="289"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could use to implement a stockholder rights plan (also known as a “poison pill”);</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eliminate the ability of our stockholders to call special meetings of stockholders;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prohibit cumulative voting; and</w:t>
      </w:r>
    </w:p>
    <w:p>
      <w:pPr>
        <w:spacing w:after="0" w:line="131" w:lineRule="exact"/>
        <w:rPr>
          <w:rFonts w:ascii="Arial" w:cs="Arial" w:eastAsia="Arial" w:hAnsi="Arial"/>
          <w:sz w:val="17"/>
          <w:szCs w:val="17"/>
          <w:color w:val="auto"/>
        </w:rPr>
      </w:pPr>
    </w:p>
    <w:p>
      <w:pPr>
        <w:ind w:left="900" w:right="320" w:hanging="332"/>
        <w:spacing w:after="0" w:line="289"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or for proposing matters that can be acted upon by stockholders at annual stockholder meetings.</w:t>
      </w:r>
    </w:p>
    <w:p>
      <w:pPr>
        <w:spacing w:after="0" w:line="158" w:lineRule="exact"/>
        <w:rPr>
          <w:sz w:val="20"/>
          <w:szCs w:val="20"/>
          <w:color w:val="auto"/>
        </w:rPr>
      </w:pPr>
    </w:p>
    <w:p>
      <w:pPr>
        <w:ind w:right="500" w:firstLine="457"/>
        <w:spacing w:after="0" w:line="32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40"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3" w:lineRule="exact"/>
        <w:rPr>
          <w:sz w:val="20"/>
          <w:szCs w:val="20"/>
          <w:color w:val="auto"/>
        </w:rPr>
      </w:pPr>
    </w:p>
    <w:p>
      <w:pPr>
        <w:ind w:right="60" w:firstLine="457"/>
        <w:spacing w:after="0" w:line="305"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56"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issuance of equity securities.</w:t>
      </w:r>
    </w:p>
    <w:p>
      <w:pPr>
        <w:spacing w:after="0" w:line="66" w:lineRule="exact"/>
        <w:rPr>
          <w:sz w:val="20"/>
          <w:szCs w:val="20"/>
          <w:color w:val="auto"/>
        </w:rPr>
      </w:pPr>
    </w:p>
    <w:p>
      <w:pPr>
        <w:ind w:right="100" w:firstLine="457"/>
        <w:spacing w:after="0" w:line="294" w:lineRule="auto"/>
        <w:rPr>
          <w:sz w:val="20"/>
          <w:szCs w:val="20"/>
          <w:color w:val="auto"/>
        </w:rPr>
      </w:pPr>
      <w:r>
        <w:rPr>
          <w:rFonts w:ascii="Arial" w:cs="Arial" w:eastAsia="Arial" w:hAnsi="Arial"/>
          <w:sz w:val="15"/>
          <w:szCs w:val="15"/>
          <w:color w:val="auto"/>
        </w:rPr>
        <w:t>We plan to use our current year operating losses to offset taxable income from any revenue generated from operations or corporate collaborations. To the extent that our taxable income exceeds any current year operating losses, we plan to use our NOL carryforwards to offset income that would otherwise be taxable. However, under the Tax Reform Act of 1986, the amount of benefits from our NOL carryforwards may be impaired or limited if we incur a cumulative ownership change of more than 50%, as interpreted by the U.S. Internal Revenue Service, over a three-year period. In September 2015, we completed a Section 382 analysis through December 31, 2014 and determined that there was an ownership change in 2007 that may limit the utilization of approximately $5.3 million and</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49"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0"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forward-looking statements in this prospectus include, among other things, statements about:</w:t>
      </w:r>
    </w:p>
    <w:p>
      <w:pPr>
        <w:spacing w:after="0" w:line="132" w:lineRule="exact"/>
        <w:rPr>
          <w:sz w:val="20"/>
          <w:szCs w:val="20"/>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success, cost and timing of our product candidate development activities and planned clinical trials;</w:t>
      </w:r>
    </w:p>
    <w:p>
      <w:pPr>
        <w:spacing w:after="0" w:line="131" w:lineRule="exact"/>
        <w:rPr>
          <w:rFonts w:ascii="Arial" w:cs="Arial" w:eastAsia="Arial" w:hAnsi="Arial"/>
          <w:sz w:val="17"/>
          <w:szCs w:val="17"/>
          <w:color w:val="auto"/>
        </w:rPr>
      </w:pPr>
    </w:p>
    <w:p>
      <w:pPr>
        <w:ind w:left="900" w:right="420" w:hanging="332"/>
        <w:spacing w:after="0" w:line="289"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plans to develop and commercialize antibodies, including our lead product candidates ANB020 for patients with severe allergic and atopic diseases and ANB019 for patients with GPP and PPP;</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likelihood that the clinical data generated in Australia will be subsequently accepted by the FDA and its foreign equivalents outside of Australia;</w:t>
      </w:r>
    </w:p>
    <w:p>
      <w:pPr>
        <w:spacing w:after="0" w:line="154" w:lineRule="exact"/>
        <w:rPr>
          <w:rFonts w:ascii="Arial" w:cs="Arial" w:eastAsia="Arial" w:hAnsi="Arial"/>
          <w:sz w:val="15"/>
          <w:szCs w:val="15"/>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timing and ability of our collaborators to develop and commercialize our partnered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potential benefits and advantages of our product candidates and approaches versus those of our competitors;</w:t>
      </w:r>
    </w:p>
    <w:p>
      <w:pPr>
        <w:spacing w:after="0" w:line="131" w:lineRule="exact"/>
        <w:rPr>
          <w:rFonts w:ascii="Arial" w:cs="Arial" w:eastAsia="Arial" w:hAnsi="Arial"/>
          <w:sz w:val="17"/>
          <w:szCs w:val="17"/>
          <w:color w:val="auto"/>
        </w:rPr>
      </w:pPr>
    </w:p>
    <w:p>
      <w:pPr>
        <w:ind w:left="900" w:right="80" w:hanging="332"/>
        <w:spacing w:after="0" w:line="289"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66" w:lineRule="exact"/>
        <w:rPr>
          <w:rFonts w:ascii="Arial" w:cs="Arial" w:eastAsia="Arial" w:hAnsi="Arial"/>
          <w:sz w:val="17"/>
          <w:szCs w:val="17"/>
          <w:color w:val="auto"/>
        </w:rPr>
      </w:pPr>
    </w:p>
    <w:p>
      <w:pPr>
        <w:ind w:left="900" w:right="40" w:hanging="332"/>
        <w:spacing w:after="0" w:line="289"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further development and commercialization of our product candidates;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ANB020 and ANB019 and our other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develop our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any approved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size and growth potential of the markets for any approved product candidates, and our ability to serve those markets;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maintain intellectual property protection for our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regulatory developments in the United States, Australia and other foreign countries;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use of the net proceeds from this offering;</w:t>
      </w:r>
    </w:p>
    <w:p>
      <w:pPr>
        <w:spacing w:after="0" w:line="131" w:lineRule="exact"/>
        <w:rPr>
          <w:rFonts w:ascii="Arial" w:cs="Arial" w:eastAsia="Arial" w:hAnsi="Arial"/>
          <w:sz w:val="17"/>
          <w:szCs w:val="17"/>
          <w:color w:val="auto"/>
        </w:rPr>
      </w:pPr>
    </w:p>
    <w:p>
      <w:pPr>
        <w:ind w:left="900" w:right="480" w:hanging="332"/>
        <w:spacing w:after="0" w:line="289"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identify additional products or product candidates with significant commercial potential that are consistent with our commercial objectives; and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needs for additional financing.</w:t>
      </w:r>
    </w:p>
    <w:p>
      <w:pPr>
        <w:spacing w:after="0" w:line="224" w:lineRule="exact"/>
        <w:rPr>
          <w:sz w:val="20"/>
          <w:szCs w:val="20"/>
          <w:color w:val="auto"/>
        </w:rPr>
      </w:pPr>
    </w:p>
    <w:p>
      <w:pPr>
        <w:ind w:right="580" w:firstLine="457"/>
        <w:spacing w:after="0" w:line="289"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and elsewhere in this prospectus. Moreover, we operate in a competitive and</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60"/>
          </w:cols>
          <w:pgMar w:left="240" w:top="449" w:right="3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61"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8"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MARKET AND INDUSTRY DATA</w:t>
      </w:r>
    </w:p>
    <w:p>
      <w:pPr>
        <w:spacing w:after="0" w:line="23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49"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4240" w:type="dxa"/>
            <w:vAlign w:val="bottom"/>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516"/>
        </w:trPr>
        <w:tc>
          <w:tcPr>
            <w:tcW w:w="132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40" w:type="dxa"/>
            <w:vAlign w:val="bottom"/>
            <w:gridSpan w:val="2"/>
          </w:tcPr>
          <w:p>
            <w:pPr>
              <w:ind w:left="100"/>
              <w:spacing w:after="0"/>
              <w:rPr>
                <w:sz w:val="20"/>
                <w:szCs w:val="20"/>
                <w:color w:val="auto"/>
              </w:rPr>
            </w:pPr>
            <w:r>
              <w:rPr>
                <w:rFonts w:ascii="Arial" w:cs="Arial" w:eastAsia="Arial" w:hAnsi="Arial"/>
                <w:sz w:val="17"/>
                <w:szCs w:val="17"/>
                <w:b w:val="1"/>
                <w:bCs w:val="1"/>
                <w:color w:val="auto"/>
              </w:rPr>
              <w:t>USE OF PROCEEDS</w:t>
            </w:r>
          </w:p>
        </w:tc>
        <w:tc>
          <w:tcPr>
            <w:tcW w:w="540" w:type="dxa"/>
            <w:vAlign w:val="bottom"/>
          </w:tcPr>
          <w:p>
            <w:pPr>
              <w:spacing w:after="0"/>
              <w:rPr>
                <w:sz w:val="24"/>
                <w:szCs w:val="24"/>
                <w:color w:val="auto"/>
              </w:rPr>
            </w:pPr>
          </w:p>
        </w:tc>
      </w:tr>
      <w:tr>
        <w:trPr>
          <w:trHeight w:val="407"/>
        </w:trPr>
        <w:tc>
          <w:tcPr>
            <w:tcW w:w="4240" w:type="dxa"/>
            <w:vAlign w:val="bottom"/>
            <w:gridSpan w:val="2"/>
          </w:tcPr>
          <w:p>
            <w:pPr>
              <w:ind w:left="460"/>
              <w:spacing w:after="0"/>
              <w:rPr>
                <w:sz w:val="20"/>
                <w:szCs w:val="20"/>
                <w:color w:val="auto"/>
              </w:rPr>
            </w:pPr>
            <w:r>
              <w:rPr>
                <w:rFonts w:ascii="Arial" w:cs="Arial" w:eastAsia="Arial" w:hAnsi="Arial"/>
                <w:sz w:val="17"/>
                <w:szCs w:val="17"/>
                <w:color w:val="auto"/>
                <w:w w:val="98"/>
              </w:rPr>
              <w:t>We estimate that the net proceeds from our sale of</w:t>
            </w:r>
          </w:p>
        </w:tc>
        <w:tc>
          <w:tcPr>
            <w:tcW w:w="6600" w:type="dxa"/>
            <w:vAlign w:val="bottom"/>
            <w:gridSpan w:val="3"/>
          </w:tcPr>
          <w:p>
            <w:pPr>
              <w:ind w:left="280"/>
              <w:spacing w:after="0"/>
              <w:rPr>
                <w:sz w:val="20"/>
                <w:szCs w:val="20"/>
                <w:color w:val="auto"/>
              </w:rPr>
            </w:pPr>
            <w:r>
              <w:rPr>
                <w:rFonts w:ascii="Arial" w:cs="Arial" w:eastAsia="Arial" w:hAnsi="Arial"/>
                <w:sz w:val="17"/>
                <w:szCs w:val="17"/>
                <w:color w:val="auto"/>
                <w:w w:val="98"/>
              </w:rPr>
              <w:t>shares of common stock in this offering at an assumed initial public offering price of $</w:t>
            </w:r>
          </w:p>
        </w:tc>
        <w:tc>
          <w:tcPr>
            <w:tcW w:w="540" w:type="dxa"/>
            <w:vAlign w:val="bottom"/>
          </w:tcPr>
          <w:p>
            <w:pPr>
              <w:ind w:left="120"/>
              <w:spacing w:after="0"/>
              <w:rPr>
                <w:sz w:val="20"/>
                <w:szCs w:val="20"/>
                <w:color w:val="auto"/>
              </w:rPr>
            </w:pPr>
            <w:r>
              <w:rPr>
                <w:rFonts w:ascii="Arial" w:cs="Arial" w:eastAsia="Arial" w:hAnsi="Arial"/>
                <w:sz w:val="17"/>
                <w:szCs w:val="17"/>
                <w:color w:val="auto"/>
              </w:rPr>
              <w:t>per</w:t>
            </w:r>
          </w:p>
        </w:tc>
      </w:tr>
      <w:tr>
        <w:trPr>
          <w:trHeight w:val="210"/>
        </w:trPr>
        <w:tc>
          <w:tcPr>
            <w:tcW w:w="10840" w:type="dxa"/>
            <w:vAlign w:val="bottom"/>
            <w:gridSpan w:val="5"/>
          </w:tcPr>
          <w:p>
            <w:pPr>
              <w:spacing w:after="0"/>
              <w:rPr>
                <w:sz w:val="20"/>
                <w:szCs w:val="20"/>
                <w:color w:val="auto"/>
              </w:rPr>
            </w:pPr>
            <w:r>
              <w:rPr>
                <w:rFonts w:ascii="Arial" w:cs="Arial" w:eastAsia="Arial" w:hAnsi="Arial"/>
                <w:sz w:val="17"/>
                <w:szCs w:val="17"/>
                <w:color w:val="auto"/>
                <w:w w:val="92"/>
              </w:rPr>
              <w:t>share, the midpoint of the price range set forth on the cover page of this prospectus, after deducting estimated underwriting discounts and commissions and</w:t>
            </w:r>
          </w:p>
        </w:tc>
        <w:tc>
          <w:tcPr>
            <w:tcW w:w="540" w:type="dxa"/>
            <w:vAlign w:val="bottom"/>
          </w:tcPr>
          <w:p>
            <w:pPr>
              <w:spacing w:after="0"/>
              <w:rPr>
                <w:sz w:val="18"/>
                <w:szCs w:val="18"/>
                <w:color w:val="auto"/>
              </w:rPr>
            </w:pPr>
          </w:p>
        </w:tc>
      </w:tr>
      <w:tr>
        <w:trPr>
          <w:trHeight w:val="210"/>
        </w:trPr>
        <w:tc>
          <w:tcPr>
            <w:tcW w:w="4800" w:type="dxa"/>
            <w:vAlign w:val="bottom"/>
            <w:gridSpan w:val="3"/>
          </w:tcPr>
          <w:p>
            <w:pPr>
              <w:spacing w:after="0"/>
              <w:rPr>
                <w:sz w:val="20"/>
                <w:szCs w:val="20"/>
                <w:color w:val="auto"/>
              </w:rPr>
            </w:pPr>
            <w:r>
              <w:rPr>
                <w:rFonts w:ascii="Arial" w:cs="Arial" w:eastAsia="Arial" w:hAnsi="Arial"/>
                <w:sz w:val="17"/>
                <w:szCs w:val="17"/>
                <w:color w:val="auto"/>
                <w:w w:val="94"/>
              </w:rPr>
              <w:t>estimated offering expenses payable by us, will be approximately $</w:t>
            </w:r>
          </w:p>
        </w:tc>
        <w:tc>
          <w:tcPr>
            <w:tcW w:w="1360" w:type="dxa"/>
            <w:vAlign w:val="bottom"/>
          </w:tcPr>
          <w:p>
            <w:pPr>
              <w:ind w:left="300"/>
              <w:spacing w:after="0"/>
              <w:rPr>
                <w:sz w:val="20"/>
                <w:szCs w:val="20"/>
                <w:color w:val="auto"/>
              </w:rPr>
            </w:pPr>
            <w:r>
              <w:rPr>
                <w:rFonts w:ascii="Arial" w:cs="Arial" w:eastAsia="Arial" w:hAnsi="Arial"/>
                <w:sz w:val="17"/>
                <w:szCs w:val="17"/>
                <w:color w:val="auto"/>
              </w:rPr>
              <w:t>million, or $</w:t>
            </w:r>
          </w:p>
        </w:tc>
        <w:tc>
          <w:tcPr>
            <w:tcW w:w="5220" w:type="dxa"/>
            <w:vAlign w:val="bottom"/>
            <w:gridSpan w:val="2"/>
          </w:tcPr>
          <w:p>
            <w:pPr>
              <w:ind w:left="200"/>
              <w:spacing w:after="0"/>
              <w:rPr>
                <w:sz w:val="20"/>
                <w:szCs w:val="20"/>
                <w:color w:val="auto"/>
              </w:rPr>
            </w:pPr>
            <w:r>
              <w:rPr>
                <w:rFonts w:ascii="Arial" w:cs="Arial" w:eastAsia="Arial" w:hAnsi="Arial"/>
                <w:sz w:val="17"/>
                <w:szCs w:val="17"/>
                <w:color w:val="auto"/>
                <w:w w:val="96"/>
              </w:rPr>
              <w:t>million if the underwriters exercise their option to purchase additional</w:t>
            </w:r>
          </w:p>
        </w:tc>
      </w:tr>
      <w:tr>
        <w:trPr>
          <w:trHeight w:val="222"/>
        </w:trPr>
        <w:tc>
          <w:tcPr>
            <w:tcW w:w="4240" w:type="dxa"/>
            <w:vAlign w:val="bottom"/>
            <w:gridSpan w:val="2"/>
          </w:tcPr>
          <w:p>
            <w:pPr>
              <w:spacing w:after="0"/>
              <w:rPr>
                <w:sz w:val="20"/>
                <w:szCs w:val="20"/>
                <w:color w:val="auto"/>
              </w:rPr>
            </w:pPr>
            <w:r>
              <w:rPr>
                <w:rFonts w:ascii="Arial" w:cs="Arial" w:eastAsia="Arial" w:hAnsi="Arial"/>
                <w:sz w:val="17"/>
                <w:szCs w:val="17"/>
                <w:color w:val="auto"/>
              </w:rPr>
              <w:t>shares in full.</w:t>
            </w: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19"/>
        </w:trPr>
        <w:tc>
          <w:tcPr>
            <w:tcW w:w="10840" w:type="dxa"/>
            <w:vAlign w:val="bottom"/>
            <w:gridSpan w:val="5"/>
          </w:tcPr>
          <w:p>
            <w:pPr>
              <w:ind w:left="460"/>
              <w:spacing w:after="0"/>
              <w:rPr>
                <w:sz w:val="20"/>
                <w:szCs w:val="20"/>
                <w:color w:val="auto"/>
              </w:rPr>
            </w:pPr>
            <w:r>
              <w:rPr>
                <w:rFonts w:ascii="Arial" w:cs="Arial" w:eastAsia="Arial" w:hAnsi="Arial"/>
                <w:sz w:val="17"/>
                <w:szCs w:val="17"/>
                <w:color w:val="auto"/>
                <w:w w:val="96"/>
              </w:rPr>
              <w:t>A $1.00 increase (decrease) in the assumed initial public offering price would increase (decrease) the net proceeds to us from this offering by $</w:t>
            </w:r>
          </w:p>
        </w:tc>
        <w:tc>
          <w:tcPr>
            <w:tcW w:w="540" w:type="dxa"/>
            <w:vAlign w:val="bottom"/>
          </w:tcPr>
          <w:p>
            <w:pPr>
              <w:spacing w:after="0"/>
              <w:rPr>
                <w:sz w:val="20"/>
                <w:szCs w:val="20"/>
                <w:color w:val="auto"/>
              </w:rPr>
            </w:pPr>
            <w:r>
              <w:rPr>
                <w:rFonts w:ascii="Arial" w:cs="Arial" w:eastAsia="Arial" w:hAnsi="Arial"/>
                <w:sz w:val="17"/>
                <w:szCs w:val="17"/>
                <w:color w:val="auto"/>
                <w:w w:val="98"/>
              </w:rPr>
              <w:t>million,</w:t>
            </w:r>
          </w:p>
        </w:tc>
      </w:tr>
    </w:tbl>
    <w:p>
      <w:pPr>
        <w:jc w:val="both"/>
        <w:ind w:right="2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assuming the number of shares offered by us, remains the same, and after deducting estimated underwriting discounts and commissions. Similarly, each increase or decrease of one million in the number of shares of common stock offered by us would increase or decrease the net proceeds that we receive from this offering by</w:t>
      </w:r>
    </w:p>
    <w:p>
      <w:pPr>
        <w:spacing w:after="0" w:line="1" w:lineRule="exact"/>
        <w:rPr>
          <w:sz w:val="20"/>
          <w:szCs w:val="20"/>
          <w:color w:val="auto"/>
        </w:rPr>
      </w:pPr>
    </w:p>
    <w:p>
      <w:pPr>
        <w:ind w:firstLine="5"/>
        <w:spacing w:after="0" w:line="274" w:lineRule="auto"/>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million, assuming that the assumed initial public offering price remains the same and after deducting estimated underwriting discounts and commissions and estimated offering expenses payable by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intend to use the net proceeds we receive from this offering as follows:</w:t>
      </w:r>
    </w:p>
    <w:p>
      <w:pPr>
        <w:spacing w:after="0" w:line="132" w:lineRule="exact"/>
        <w:rPr>
          <w:sz w:val="20"/>
          <w:szCs w:val="20"/>
          <w:color w:val="auto"/>
        </w:rPr>
      </w:pPr>
    </w:p>
    <w:p>
      <w:pPr>
        <w:ind w:left="900" w:right="60" w:hanging="332"/>
        <w:spacing w:after="0" w:line="289"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approximately $ million to fund development of ANB019 and ANB020 through initial clinical trials intended to demonstrate efficacy in multiple indications;</w:t>
      </w:r>
    </w:p>
    <w:p>
      <w:pPr>
        <w:spacing w:after="0" w:line="66" w:lineRule="exact"/>
        <w:rPr>
          <w:rFonts w:ascii="Arial" w:cs="Arial" w:eastAsia="Arial" w:hAnsi="Arial"/>
          <w:sz w:val="17"/>
          <w:szCs w:val="17"/>
          <w:color w:val="auto"/>
        </w:rPr>
      </w:pPr>
    </w:p>
    <w:p>
      <w:pPr>
        <w:ind w:left="900" w:right="200" w:hanging="332"/>
        <w:spacing w:after="0" w:line="289"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approximately $ million to fund continued development of other wholly-owned product candidates and discovery of new product candidates to further expand our proprietary pipeline; and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remaining amounts to fund working capital, including general corporate purposes.</w:t>
      </w:r>
    </w:p>
    <w:p>
      <w:pPr>
        <w:spacing w:after="0" w:line="224"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58"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78"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8"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58"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42"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 POLICY</w:t>
      </w:r>
    </w:p>
    <w:p>
      <w:pPr>
        <w:spacing w:after="0" w:line="230"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449" w:right="2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cash and cash equivalents and capitalization as of September 30, 2015 on:</w:t>
      </w:r>
    </w:p>
    <w:p>
      <w:pPr>
        <w:spacing w:after="0" w:line="132" w:lineRule="exact"/>
        <w:rPr>
          <w:sz w:val="20"/>
          <w:szCs w:val="20"/>
          <w:color w:val="auto"/>
        </w:rPr>
      </w:pPr>
    </w:p>
    <w:p>
      <w:pPr>
        <w:ind w:left="900" w:hanging="332"/>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actual basis;</w:t>
      </w:r>
    </w:p>
    <w:p>
      <w:pPr>
        <w:spacing w:after="0" w:line="131" w:lineRule="exact"/>
        <w:rPr>
          <w:rFonts w:ascii="Arial" w:cs="Arial" w:eastAsia="Arial" w:hAnsi="Arial"/>
          <w:sz w:val="17"/>
          <w:szCs w:val="17"/>
          <w:color w:val="auto"/>
        </w:rPr>
      </w:pPr>
    </w:p>
    <w:p>
      <w:pPr>
        <w:ind w:left="900" w:right="20" w:hanging="332"/>
        <w:spacing w:after="0" w:line="267"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pro forma basis, giving effect to (i) the automatic conversion of all outstanding shares of our convertible preferred stock as of September 30, 2015 into 80,645,051 shares of common stock immediately prior to the closing of this offering, (ii) the conversion of the preferred stock warrants into common stock warrants and the related reclassification of the preferred stock warrant liability to additional paid-in capital and (iii) the effectiveness of our restated certificate of incorporation in connection with the closing of this offering; and</w:t>
      </w:r>
    </w:p>
    <w:p>
      <w:pPr>
        <w:sectPr>
          <w:pgSz w:w="11900" w:h="16838" w:orient="portrait"/>
          <w:cols w:equalWidth="0" w:num="1">
            <w:col w:w="11420"/>
          </w:cols>
          <w:pgMar w:left="240" w:top="449" w:right="239" w:bottom="1440" w:gutter="0" w:footer="0" w:header="0"/>
        </w:sectPr>
      </w:pPr>
    </w:p>
    <w:p>
      <w:pPr>
        <w:spacing w:after="0" w:line="8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 pro forma as adjusted basis, giving effect to the pro forma adjustments and the sale of shares of common stock by us in this offering, based on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71" w:lineRule="exact"/>
        <w:rPr>
          <w:sz w:val="20"/>
          <w:szCs w:val="20"/>
          <w:color w:val="auto"/>
        </w:rPr>
      </w:pPr>
    </w:p>
    <w:p>
      <w:pPr>
        <w:sectPr>
          <w:pgSz w:w="11900" w:h="16838" w:orient="portrait"/>
          <w:cols w:equalWidth="0" w:num="2">
            <w:col w:w="620" w:space="280"/>
            <w:col w:w="10520"/>
          </w:cols>
          <w:pgMar w:left="240" w:top="449" w:right="239" w:bottom="1440" w:gutter="0" w:footer="0" w:header="0"/>
          <w:type w:val="continuous"/>
        </w:sectPr>
      </w:pPr>
    </w:p>
    <w:p>
      <w:pPr>
        <w:ind w:right="60"/>
        <w:spacing w:after="0" w:line="289" w:lineRule="auto"/>
        <w:rPr>
          <w:sz w:val="20"/>
          <w:szCs w:val="20"/>
          <w:color w:val="auto"/>
        </w:rPr>
      </w:pPr>
      <w:r>
        <w:rPr>
          <w:rFonts w:ascii="Arial" w:cs="Arial" w:eastAsia="Arial" w:hAnsi="Arial"/>
          <w:sz w:val="17"/>
          <w:szCs w:val="17"/>
          <w:color w:val="auto"/>
        </w:rPr>
        <w:t>The pro forma as adjusted information set forth in the table below is illustrative only and will be adjusted based on the actual initial public offering price and other terms of this offering determined at pricing.</w:t>
      </w:r>
    </w:p>
    <w:p>
      <w:pPr>
        <w:spacing w:after="0" w:line="158"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ind w:left="160"/>
              <w:spacing w:after="0"/>
              <w:rPr>
                <w:sz w:val="20"/>
                <w:szCs w:val="20"/>
                <w:color w:val="auto"/>
              </w:rPr>
            </w:pPr>
            <w:r>
              <w:rPr>
                <w:rFonts w:ascii="Arial" w:cs="Arial" w:eastAsia="Arial" w:hAnsi="Arial"/>
                <w:sz w:val="14"/>
                <w:szCs w:val="14"/>
                <w:b w:val="1"/>
                <w:bCs w:val="1"/>
                <w:color w:val="auto"/>
                <w:w w:val="88"/>
              </w:rPr>
              <w:t>As of September 30, 2015</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(unaudited)</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20" w:type="dxa"/>
            <w:vAlign w:val="bottom"/>
          </w:tcPr>
          <w:p>
            <w:pPr>
              <w:spacing w:after="0"/>
              <w:rPr>
                <w:sz w:val="9"/>
                <w:szCs w:val="9"/>
                <w:color w:val="auto"/>
              </w:rPr>
            </w:pPr>
          </w:p>
        </w:tc>
        <w:tc>
          <w:tcPr>
            <w:tcW w:w="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860" w:type="dxa"/>
            <w:vAlign w:val="bottom"/>
          </w:tcPr>
          <w:p>
            <w:pPr>
              <w:ind w:left="100"/>
              <w:spacing w:after="0" w:line="115"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80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6"/>
              </w:rPr>
              <w:t>As Adjusted</w:t>
            </w:r>
            <w:r>
              <w:rPr>
                <w:rFonts w:ascii="Arial" w:cs="Arial" w:eastAsia="Arial" w:hAnsi="Arial"/>
                <w:sz w:val="11"/>
                <w:szCs w:val="11"/>
                <w:b w:val="1"/>
                <w:bCs w:val="1"/>
                <w:color w:val="auto"/>
                <w:w w:val="96"/>
              </w:rPr>
              <w:t>(1)</w:t>
            </w:r>
          </w:p>
        </w:tc>
        <w:tc>
          <w:tcPr>
            <w:tcW w:w="0" w:type="dxa"/>
            <w:vAlign w:val="bottom"/>
          </w:tcPr>
          <w:p>
            <w:pPr>
              <w:spacing w:after="0"/>
              <w:rPr>
                <w:sz w:val="1"/>
                <w:szCs w:val="1"/>
                <w:color w:val="auto"/>
              </w:rPr>
            </w:pPr>
          </w:p>
        </w:tc>
      </w:tr>
      <w:tr>
        <w:trPr>
          <w:trHeight w:val="150"/>
        </w:trPr>
        <w:tc>
          <w:tcPr>
            <w:tcW w:w="272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5"/>
                <w:szCs w:val="15"/>
                <w:color w:val="auto"/>
              </w:rPr>
              <w:t>Cash and cash equivalents</w:t>
            </w:r>
          </w:p>
        </w:tc>
        <w:tc>
          <w:tcPr>
            <w:tcW w:w="53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95"/>
              </w:rPr>
              <w:t>55,245</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5"/>
                <w:szCs w:val="15"/>
                <w:color w:val="auto"/>
              </w:rPr>
              <w:t>Notes payable</w:t>
            </w:r>
          </w:p>
        </w:tc>
        <w:tc>
          <w:tcPr>
            <w:tcW w:w="5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720" w:type="dxa"/>
            <w:vAlign w:val="bottom"/>
            <w:vMerge w:val="continue"/>
          </w:tcPr>
          <w:p>
            <w:pPr>
              <w:spacing w:after="0"/>
              <w:rPr>
                <w:sz w:val="13"/>
                <w:szCs w:val="13"/>
                <w:color w:val="auto"/>
              </w:rPr>
            </w:pPr>
          </w:p>
        </w:tc>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5"/>
                <w:szCs w:val="15"/>
                <w:color w:val="auto"/>
              </w:rPr>
              <w:t>4,876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Borders>
              <w:top w:val="single" w:sz="8" w:color="auto"/>
            </w:tcBorders>
          </w:tcPr>
          <w:p>
            <w:pPr>
              <w:spacing w:after="0" w:line="150" w:lineRule="exact"/>
              <w:rPr>
                <w:sz w:val="20"/>
                <w:szCs w:val="20"/>
                <w:color w:val="auto"/>
              </w:rPr>
            </w:pPr>
            <w:r>
              <w:rPr>
                <w:rFonts w:ascii="Arial" w:cs="Arial" w:eastAsia="Arial" w:hAnsi="Arial"/>
                <w:sz w:val="15"/>
                <w:szCs w:val="15"/>
                <w:color w:val="auto"/>
              </w:rPr>
              <w:t>$</w:t>
            </w:r>
          </w:p>
        </w:tc>
        <w:tc>
          <w:tcPr>
            <w:tcW w:w="600" w:type="dxa"/>
            <w:vAlign w:val="bottom"/>
          </w:tcPr>
          <w:p>
            <w:pPr>
              <w:spacing w:after="0"/>
              <w:rPr>
                <w:sz w:val="13"/>
                <w:szCs w:val="13"/>
                <w:color w:val="auto"/>
              </w:rPr>
            </w:pPr>
          </w:p>
        </w:tc>
        <w:tc>
          <w:tcPr>
            <w:tcW w:w="860" w:type="dxa"/>
            <w:vAlign w:val="bottom"/>
            <w:tcBorders>
              <w:top w:val="single" w:sz="8" w:color="auto"/>
            </w:tcBorders>
          </w:tcPr>
          <w:p>
            <w:pPr>
              <w:spacing w:after="0" w:line="150"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Preferred stock warrant liabilities</w:t>
            </w:r>
          </w:p>
        </w:tc>
        <w:tc>
          <w:tcPr>
            <w:tcW w:w="5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5"/>
                <w:szCs w:val="15"/>
                <w:color w:val="auto"/>
              </w:rPr>
              <w:t>1,800</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80" w:type="dxa"/>
            <w:vAlign w:val="bottom"/>
            <w:gridSpan w:val="2"/>
          </w:tcPr>
          <w:p>
            <w:pPr>
              <w:spacing w:after="0" w:line="144" w:lineRule="exact"/>
              <w:rPr>
                <w:sz w:val="20"/>
                <w:szCs w:val="20"/>
                <w:color w:val="auto"/>
              </w:rPr>
            </w:pPr>
            <w:r>
              <w:rPr>
                <w:rFonts w:ascii="Arial" w:cs="Arial" w:eastAsia="Arial" w:hAnsi="Arial"/>
                <w:sz w:val="15"/>
                <w:szCs w:val="15"/>
                <w:color w:val="auto"/>
              </w:rPr>
              <w:t>Series B convertible preferred stock, $0.001 par value; 27,742,877 shares authorized, 27,742,877 shares issued and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80" w:type="dxa"/>
            <w:vAlign w:val="bottom"/>
            <w:gridSpan w:val="2"/>
          </w:tcPr>
          <w:p>
            <w:pPr>
              <w:ind w:left="160"/>
              <w:spacing w:after="0" w:line="171" w:lineRule="exact"/>
              <w:rPr>
                <w:sz w:val="20"/>
                <w:szCs w:val="20"/>
                <w:color w:val="auto"/>
              </w:rPr>
            </w:pPr>
            <w:r>
              <w:rPr>
                <w:rFonts w:ascii="Arial" w:cs="Arial" w:eastAsia="Arial" w:hAnsi="Arial"/>
                <w:sz w:val="15"/>
                <w:szCs w:val="15"/>
                <w:color w:val="auto"/>
              </w:rPr>
              <w:t>outstanding, actual; no shares designated, issued or outstanding pro forma and pro forma as adjusted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w w:val="95"/>
              </w:rPr>
              <w:t>28,220</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80" w:type="dxa"/>
            <w:vAlign w:val="bottom"/>
            <w:gridSpan w:val="2"/>
            <w:shd w:val="clear" w:color="auto" w:fill="CCEEFF"/>
          </w:tcPr>
          <w:p>
            <w:pPr>
              <w:spacing w:after="0" w:line="144" w:lineRule="exact"/>
              <w:rPr>
                <w:sz w:val="20"/>
                <w:szCs w:val="20"/>
                <w:color w:val="auto"/>
              </w:rPr>
            </w:pPr>
            <w:r>
              <w:rPr>
                <w:rFonts w:ascii="Arial" w:cs="Arial" w:eastAsia="Arial" w:hAnsi="Arial"/>
                <w:sz w:val="15"/>
                <w:szCs w:val="15"/>
                <w:color w:val="auto"/>
              </w:rPr>
              <w:t>Series C convertible preferred stock, $0.001 par value; 13,210,753 shares authorized, 11,147,269 shares issued and</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80" w:type="dxa"/>
            <w:vAlign w:val="bottom"/>
            <w:gridSpan w:val="2"/>
            <w:shd w:val="clear" w:color="auto" w:fill="CCEEFF"/>
          </w:tcPr>
          <w:p>
            <w:pPr>
              <w:ind w:left="160"/>
              <w:spacing w:after="0" w:line="171" w:lineRule="exact"/>
              <w:rPr>
                <w:sz w:val="20"/>
                <w:szCs w:val="20"/>
                <w:color w:val="auto"/>
              </w:rPr>
            </w:pPr>
            <w:r>
              <w:rPr>
                <w:rFonts w:ascii="Arial" w:cs="Arial" w:eastAsia="Arial" w:hAnsi="Arial"/>
                <w:sz w:val="15"/>
                <w:szCs w:val="15"/>
                <w:color w:val="auto"/>
              </w:rPr>
              <w:t>outstanding, actual; no shares designated, issued or outstanding pro forma and pro forma as adjusted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6,452</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80" w:type="dxa"/>
            <w:vAlign w:val="bottom"/>
            <w:gridSpan w:val="2"/>
          </w:tcPr>
          <w:p>
            <w:pPr>
              <w:spacing w:after="0" w:line="144" w:lineRule="exact"/>
              <w:rPr>
                <w:sz w:val="20"/>
                <w:szCs w:val="20"/>
                <w:color w:val="auto"/>
              </w:rPr>
            </w:pPr>
            <w:r>
              <w:rPr>
                <w:rFonts w:ascii="Arial" w:cs="Arial" w:eastAsia="Arial" w:hAnsi="Arial"/>
                <w:sz w:val="15"/>
                <w:szCs w:val="15"/>
                <w:color w:val="auto"/>
              </w:rPr>
              <w:t>Series C-1 convertible preferred stock, $0.001 par value; 3,318,054 shares authorized, 3,318,054 shares issued and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80" w:type="dxa"/>
            <w:vAlign w:val="bottom"/>
            <w:gridSpan w:val="2"/>
          </w:tcPr>
          <w:p>
            <w:pPr>
              <w:ind w:left="160"/>
              <w:spacing w:after="0" w:line="171" w:lineRule="exact"/>
              <w:rPr>
                <w:sz w:val="20"/>
                <w:szCs w:val="20"/>
                <w:color w:val="auto"/>
              </w:rPr>
            </w:pPr>
            <w:r>
              <w:rPr>
                <w:rFonts w:ascii="Arial" w:cs="Arial" w:eastAsia="Arial" w:hAnsi="Arial"/>
                <w:sz w:val="15"/>
                <w:szCs w:val="15"/>
                <w:color w:val="auto"/>
              </w:rPr>
              <w:t>outstanding, actual; no shares designated, issued or outstanding pro forma and pro forma as adjusted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2,156</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80" w:type="dxa"/>
            <w:vAlign w:val="bottom"/>
            <w:gridSpan w:val="2"/>
            <w:shd w:val="clear" w:color="auto" w:fill="CCEEFF"/>
          </w:tcPr>
          <w:p>
            <w:pPr>
              <w:spacing w:after="0" w:line="144" w:lineRule="exact"/>
              <w:rPr>
                <w:sz w:val="20"/>
                <w:szCs w:val="20"/>
                <w:color w:val="auto"/>
              </w:rPr>
            </w:pPr>
            <w:r>
              <w:rPr>
                <w:rFonts w:ascii="Arial" w:cs="Arial" w:eastAsia="Arial" w:hAnsi="Arial"/>
                <w:sz w:val="15"/>
                <w:szCs w:val="15"/>
                <w:color w:val="auto"/>
              </w:rPr>
              <w:t>Series D convertible preferred stock, $0.001 par value; 38,436,851 shares authorized, 38,436,851 shares issued and</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80" w:type="dxa"/>
            <w:vAlign w:val="bottom"/>
            <w:gridSpan w:val="2"/>
            <w:shd w:val="clear" w:color="auto" w:fill="CCEEFF"/>
          </w:tcPr>
          <w:p>
            <w:pPr>
              <w:ind w:left="160"/>
              <w:spacing w:after="0" w:line="171" w:lineRule="exact"/>
              <w:rPr>
                <w:sz w:val="20"/>
                <w:szCs w:val="20"/>
                <w:color w:val="auto"/>
              </w:rPr>
            </w:pPr>
            <w:r>
              <w:rPr>
                <w:rFonts w:ascii="Arial" w:cs="Arial" w:eastAsia="Arial" w:hAnsi="Arial"/>
                <w:sz w:val="15"/>
                <w:szCs w:val="15"/>
                <w:color w:val="auto"/>
              </w:rPr>
              <w:t>outstanding, actual; no shares designated, issued or outstanding pro forma and pro forma as adjusted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w w:val="95"/>
              </w:rPr>
              <w:t>40,688</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line="157" w:lineRule="exact"/>
              <w:rPr>
                <w:sz w:val="20"/>
                <w:szCs w:val="20"/>
                <w:color w:val="auto"/>
              </w:rPr>
            </w:pPr>
            <w:r>
              <w:rPr>
                <w:rFonts w:ascii="Arial" w:cs="Arial" w:eastAsia="Arial" w:hAnsi="Arial"/>
                <w:sz w:val="15"/>
                <w:szCs w:val="15"/>
                <w:color w:val="auto"/>
              </w:rPr>
              <w:t>Stockholders’ equity (deficit):</w:t>
            </w:r>
          </w:p>
        </w:tc>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80" w:type="dxa"/>
            <w:vAlign w:val="bottom"/>
            <w:gridSpan w:val="2"/>
            <w:shd w:val="clear" w:color="auto" w:fill="CCEEFF"/>
          </w:tcPr>
          <w:p>
            <w:pPr>
              <w:ind w:left="300"/>
              <w:spacing w:after="0" w:line="144" w:lineRule="exact"/>
              <w:rPr>
                <w:sz w:val="20"/>
                <w:szCs w:val="20"/>
                <w:color w:val="auto"/>
              </w:rPr>
            </w:pPr>
            <w:r>
              <w:rPr>
                <w:rFonts w:ascii="Arial" w:cs="Arial" w:eastAsia="Arial" w:hAnsi="Arial"/>
                <w:sz w:val="15"/>
                <w:szCs w:val="15"/>
                <w:color w:val="auto"/>
                <w:w w:val="96"/>
              </w:rPr>
              <w:t>Preferred Stock, $0.001 par value; no shares authorized, issued or outstanding, actual; 10,000,000 shares authorized, no</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80" w:type="dxa"/>
            <w:vAlign w:val="bottom"/>
            <w:gridSpan w:val="2"/>
            <w:shd w:val="clear" w:color="auto" w:fill="CCEEFF"/>
          </w:tcPr>
          <w:p>
            <w:pPr>
              <w:ind w:left="460"/>
              <w:spacing w:after="0" w:line="171" w:lineRule="exact"/>
              <w:rPr>
                <w:sz w:val="20"/>
                <w:szCs w:val="20"/>
                <w:color w:val="auto"/>
              </w:rPr>
            </w:pPr>
            <w:r>
              <w:rPr>
                <w:rFonts w:ascii="Arial" w:cs="Arial" w:eastAsia="Arial" w:hAnsi="Arial"/>
                <w:sz w:val="15"/>
                <w:szCs w:val="15"/>
                <w:color w:val="auto"/>
              </w:rPr>
              <w:t>shares issued or outstanding, pro forma and pro forma as adjusted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ind w:left="240"/>
              <w:spacing w:after="0" w:line="171"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80" w:type="dxa"/>
            <w:vAlign w:val="bottom"/>
            <w:gridSpan w:val="2"/>
          </w:tcPr>
          <w:p>
            <w:pPr>
              <w:ind w:left="300"/>
              <w:spacing w:after="0" w:line="144" w:lineRule="exact"/>
              <w:rPr>
                <w:sz w:val="20"/>
                <w:szCs w:val="20"/>
                <w:color w:val="auto"/>
              </w:rPr>
            </w:pPr>
            <w:r>
              <w:rPr>
                <w:rFonts w:ascii="Arial" w:cs="Arial" w:eastAsia="Arial" w:hAnsi="Arial"/>
                <w:sz w:val="15"/>
                <w:szCs w:val="15"/>
                <w:color w:val="auto"/>
                <w:w w:val="99"/>
              </w:rPr>
              <w:t>Common stock, $0.001 par value; 120,500,000 shares authorized, 18,306,634 shares issued and outstanding, actual;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20" w:type="dxa"/>
            <w:vAlign w:val="bottom"/>
          </w:tcPr>
          <w:p>
            <w:pPr>
              <w:ind w:left="460"/>
              <w:spacing w:after="0" w:line="157" w:lineRule="exact"/>
              <w:rPr>
                <w:sz w:val="20"/>
                <w:szCs w:val="20"/>
                <w:color w:val="auto"/>
              </w:rPr>
            </w:pPr>
            <w:r>
              <w:rPr>
                <w:rFonts w:ascii="Arial" w:cs="Arial" w:eastAsia="Arial" w:hAnsi="Arial"/>
                <w:sz w:val="15"/>
                <w:szCs w:val="15"/>
                <w:color w:val="auto"/>
              </w:rPr>
              <w:t>500,000,000 shares authorized,</w:t>
            </w:r>
          </w:p>
        </w:tc>
        <w:tc>
          <w:tcPr>
            <w:tcW w:w="5360" w:type="dxa"/>
            <w:vAlign w:val="bottom"/>
          </w:tcPr>
          <w:p>
            <w:pPr>
              <w:ind w:left="60"/>
              <w:spacing w:after="0" w:line="157" w:lineRule="exact"/>
              <w:rPr>
                <w:sz w:val="20"/>
                <w:szCs w:val="20"/>
                <w:color w:val="auto"/>
              </w:rPr>
            </w:pPr>
            <w:r>
              <w:rPr>
                <w:rFonts w:ascii="Arial" w:cs="Arial" w:eastAsia="Arial" w:hAnsi="Arial"/>
                <w:sz w:val="15"/>
                <w:szCs w:val="15"/>
                <w:color w:val="auto"/>
              </w:rPr>
              <w:t>shares issued and outstanding, pro forma; 500,000,000 shares authorized,</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80" w:type="dxa"/>
            <w:vAlign w:val="bottom"/>
            <w:gridSpan w:val="2"/>
          </w:tcPr>
          <w:p>
            <w:pPr>
              <w:ind w:left="900"/>
              <w:spacing w:after="0" w:line="171" w:lineRule="exact"/>
              <w:rPr>
                <w:sz w:val="20"/>
                <w:szCs w:val="20"/>
                <w:color w:val="auto"/>
              </w:rPr>
            </w:pPr>
            <w:r>
              <w:rPr>
                <w:rFonts w:ascii="Arial" w:cs="Arial" w:eastAsia="Arial" w:hAnsi="Arial"/>
                <w:sz w:val="15"/>
                <w:szCs w:val="15"/>
                <w:color w:val="auto"/>
              </w:rPr>
              <w:t>shares issued and outstanding, pro forma as adjusted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18</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ind w:left="300"/>
              <w:spacing w:after="0" w:line="157" w:lineRule="exact"/>
              <w:rPr>
                <w:sz w:val="20"/>
                <w:szCs w:val="20"/>
                <w:color w:val="auto"/>
              </w:rPr>
            </w:pPr>
            <w:r>
              <w:rPr>
                <w:rFonts w:ascii="Arial" w:cs="Arial" w:eastAsia="Arial" w:hAnsi="Arial"/>
                <w:sz w:val="15"/>
                <w:szCs w:val="15"/>
                <w:color w:val="auto"/>
              </w:rPr>
              <w:t>Additional paid in capital</w:t>
            </w:r>
          </w:p>
        </w:tc>
        <w:tc>
          <w:tcPr>
            <w:tcW w:w="5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5"/>
                <w:szCs w:val="15"/>
                <w:color w:val="auto"/>
                <w:w w:val="95"/>
              </w:rPr>
              <w:t>15,199</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ind w:left="300"/>
              <w:spacing w:after="0" w:line="157" w:lineRule="exact"/>
              <w:rPr>
                <w:sz w:val="20"/>
                <w:szCs w:val="20"/>
                <w:color w:val="auto"/>
              </w:rPr>
            </w:pPr>
            <w:r>
              <w:rPr>
                <w:rFonts w:ascii="Arial" w:cs="Arial" w:eastAsia="Arial" w:hAnsi="Arial"/>
                <w:sz w:val="15"/>
                <w:szCs w:val="15"/>
                <w:color w:val="auto"/>
              </w:rPr>
              <w:t>Accumulated deficit</w:t>
            </w:r>
          </w:p>
        </w:tc>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tcPr>
          <w:p>
            <w:pPr>
              <w:ind w:left="20"/>
              <w:spacing w:after="0" w:line="157" w:lineRule="exact"/>
              <w:rPr>
                <w:sz w:val="20"/>
                <w:szCs w:val="20"/>
                <w:color w:val="auto"/>
              </w:rPr>
            </w:pPr>
            <w:r>
              <w:rPr>
                <w:rFonts w:ascii="Arial" w:cs="Arial" w:eastAsia="Arial" w:hAnsi="Arial"/>
                <w:sz w:val="15"/>
                <w:szCs w:val="15"/>
                <w:color w:val="auto"/>
              </w:rPr>
              <w:t>(47,152)</w:t>
            </w: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720" w:type="dxa"/>
            <w:vAlign w:val="bottom"/>
            <w:shd w:val="clear" w:color="auto" w:fill="CCEEFF"/>
          </w:tcPr>
          <w:p>
            <w:pPr>
              <w:ind w:left="600"/>
              <w:spacing w:after="0" w:line="157" w:lineRule="exact"/>
              <w:rPr>
                <w:sz w:val="20"/>
                <w:szCs w:val="20"/>
                <w:color w:val="auto"/>
              </w:rPr>
            </w:pPr>
            <w:r>
              <w:rPr>
                <w:rFonts w:ascii="Arial" w:cs="Arial" w:eastAsia="Arial" w:hAnsi="Arial"/>
                <w:sz w:val="15"/>
                <w:szCs w:val="15"/>
                <w:color w:val="auto"/>
                <w:w w:val="94"/>
              </w:rPr>
              <w:t>Total stockholders’ equity (deficit)</w:t>
            </w:r>
          </w:p>
        </w:tc>
        <w:tc>
          <w:tcPr>
            <w:tcW w:w="5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5"/>
                <w:szCs w:val="15"/>
                <w:color w:val="auto"/>
              </w:rPr>
              <w:t>(31,935)</w:t>
            </w: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20" w:type="dxa"/>
            <w:vAlign w:val="bottom"/>
          </w:tcPr>
          <w:p>
            <w:pPr>
              <w:ind w:left="900"/>
              <w:spacing w:after="0" w:line="164" w:lineRule="exact"/>
              <w:rPr>
                <w:sz w:val="20"/>
                <w:szCs w:val="20"/>
                <w:color w:val="auto"/>
              </w:rPr>
            </w:pPr>
            <w:r>
              <w:rPr>
                <w:rFonts w:ascii="Arial" w:cs="Arial" w:eastAsia="Arial" w:hAnsi="Arial"/>
                <w:sz w:val="15"/>
                <w:szCs w:val="15"/>
                <w:color w:val="auto"/>
              </w:rPr>
              <w:t>Total capitalization</w:t>
            </w:r>
          </w:p>
        </w:tc>
        <w:tc>
          <w:tcPr>
            <w:tcW w:w="5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w w:val="95"/>
              </w:rPr>
              <w:t>52,257</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line="164" w:lineRule="exact"/>
              <w:rPr>
                <w:sz w:val="20"/>
                <w:szCs w:val="20"/>
                <w:color w:val="auto"/>
              </w:rPr>
            </w:pPr>
            <w:r>
              <w:rPr>
                <w:rFonts w:ascii="Arial" w:cs="Arial" w:eastAsia="Arial" w:hAnsi="Arial"/>
                <w:sz w:val="15"/>
                <w:szCs w:val="15"/>
                <w:color w:val="auto"/>
              </w:rPr>
              <w:t>$</w:t>
            </w:r>
          </w:p>
        </w:tc>
        <w:tc>
          <w:tcPr>
            <w:tcW w:w="600" w:type="dxa"/>
            <w:vAlign w:val="bottom"/>
          </w:tcPr>
          <w:p>
            <w:pPr>
              <w:spacing w:after="0"/>
              <w:rPr>
                <w:sz w:val="14"/>
                <w:szCs w:val="14"/>
                <w:color w:val="auto"/>
              </w:rPr>
            </w:pPr>
          </w:p>
        </w:tc>
        <w:tc>
          <w:tcPr>
            <w:tcW w:w="860" w:type="dxa"/>
            <w:vAlign w:val="bottom"/>
            <w:tcBorders>
              <w:top w:val="single" w:sz="8" w:color="auto"/>
              <w:bottom w:val="single" w:sz="8" w:color="auto"/>
            </w:tcBorders>
          </w:tcPr>
          <w:p>
            <w:pPr>
              <w:spacing w:after="0" w:line="164"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449" w:right="239" w:bottom="1440" w:gutter="0" w:footer="0" w:header="0"/>
          <w:type w:val="continuous"/>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286385</wp:posOffset>
            </wp:positionV>
            <wp:extent cx="7232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40" w:right="220" w:hanging="335"/>
        <w:spacing w:after="0" w:line="261"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Each $1.00 increase (decrease) in the assumed initial public offering price of $ per share, the midpoint of the price range set forth on the cover page of this prospectus, would increase (decrease) each of our pro forma as adjusted cash and cash equivalents, additional paid-in capital, total stockholders’ equity (deficit) and total capitalization by approximately</w:t>
      </w:r>
    </w:p>
    <w:p>
      <w:pPr>
        <w:spacing w:after="0" w:line="1" w:lineRule="exact"/>
        <w:rPr>
          <w:rFonts w:ascii="Arial" w:cs="Arial" w:eastAsia="Arial" w:hAnsi="Arial"/>
          <w:sz w:val="13"/>
          <w:szCs w:val="13"/>
          <w:color w:val="auto"/>
        </w:rPr>
      </w:pPr>
    </w:p>
    <w:p>
      <w:pPr>
        <w:ind w:left="340" w:right="160"/>
        <w:spacing w:after="0" w:line="252" w:lineRule="auto"/>
        <w:rPr>
          <w:rFonts w:ascii="Arial" w:cs="Arial" w:eastAsia="Arial" w:hAnsi="Arial"/>
          <w:sz w:val="13"/>
          <w:szCs w:val="13"/>
          <w:color w:val="auto"/>
        </w:rPr>
      </w:pPr>
      <w:r>
        <w:rPr>
          <w:rFonts w:ascii="Arial" w:cs="Arial" w:eastAsia="Arial" w:hAnsi="Arial"/>
          <w:sz w:val="13"/>
          <w:szCs w:val="13"/>
          <w:color w:val="auto"/>
        </w:rPr>
        <w:t>$ million, assuming that the number of shares offered by us remains the same and after deducting estimated underwriting discounts and commissions. Similarly, each increase (decrease) of one million shares in the number of shares offered by us would increase (decrease) each of our pro forma as adjusted cash and cash equivalents, additional paid-in capital,</w:t>
      </w:r>
    </w:p>
    <w:p>
      <w:pPr>
        <w:ind w:left="340" w:right="400"/>
        <w:spacing w:after="0" w:line="231" w:lineRule="auto"/>
        <w:rPr>
          <w:rFonts w:ascii="Arial" w:cs="Arial" w:eastAsia="Arial" w:hAnsi="Arial"/>
          <w:sz w:val="13"/>
          <w:szCs w:val="13"/>
          <w:color w:val="auto"/>
        </w:rPr>
      </w:pPr>
      <w:r>
        <w:rPr>
          <w:rFonts w:ascii="Arial" w:cs="Arial" w:eastAsia="Arial" w:hAnsi="Arial"/>
          <w:sz w:val="15"/>
          <w:szCs w:val="15"/>
          <w:color w:val="auto"/>
        </w:rPr>
        <w:t>total stockholders’ equity (deficit) and total capitalization by approximately $ million, assuming the assumed initial public offering price remains the same and after deducting estimated underwriting discounts and commissions.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98,951,685 shares of our common stock outstanding as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2015, and excludes:</w:t>
      </w:r>
    </w:p>
    <w:p>
      <w:pPr>
        <w:spacing w:after="0" w:line="120" w:lineRule="exact"/>
        <w:rPr>
          <w:sz w:val="20"/>
          <w:szCs w:val="20"/>
          <w:color w:val="auto"/>
        </w:rPr>
      </w:pPr>
    </w:p>
    <w:p>
      <w:pPr>
        <w:ind w:left="900" w:right="260" w:hanging="332"/>
        <w:spacing w:after="0" w:line="289"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13,563,272 shares of common stock issuable upon the exercise of options outstanding as of September 30, 2015, with a weighted-average exercise price of $0.51 per share;</w:t>
      </w:r>
    </w:p>
    <w:p>
      <w:pPr>
        <w:spacing w:after="0" w:line="66" w:lineRule="exact"/>
        <w:rPr>
          <w:rFonts w:ascii="Arial" w:cs="Arial" w:eastAsia="Arial" w:hAnsi="Arial"/>
          <w:sz w:val="17"/>
          <w:szCs w:val="17"/>
          <w:color w:val="auto"/>
        </w:rPr>
      </w:pPr>
    </w:p>
    <w:p>
      <w:pPr>
        <w:ind w:left="900" w:right="480" w:hanging="332"/>
        <w:spacing w:after="0" w:line="289"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1,251,041 shares of common stock issuable upon the exercise of options granted between September 30, 2015 and November 30, 2015, with an exercise price of $1.22 per share;</w:t>
      </w:r>
    </w:p>
    <w:p>
      <w:pPr>
        <w:spacing w:after="0" w:line="66" w:lineRule="exact"/>
        <w:rPr>
          <w:rFonts w:ascii="Arial" w:cs="Arial" w:eastAsia="Arial" w:hAnsi="Arial"/>
          <w:sz w:val="17"/>
          <w:szCs w:val="17"/>
          <w:color w:val="auto"/>
        </w:rPr>
      </w:pPr>
    </w:p>
    <w:p>
      <w:pPr>
        <w:ind w:left="1420" w:hanging="852"/>
        <w:spacing w:after="0"/>
        <w:tabs>
          <w:tab w:leader="none" w:pos="14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shares of common stock reserved for future issuance under our stock-based compensation plans, consisting of (a) 3,191,727 shares of common</w:t>
      </w:r>
    </w:p>
    <w:p>
      <w:pPr>
        <w:spacing w:after="0" w:line="49" w:lineRule="exact"/>
        <w:rPr>
          <w:sz w:val="20"/>
          <w:szCs w:val="20"/>
          <w:color w:val="auto"/>
        </w:rPr>
      </w:pPr>
    </w:p>
    <w:p>
      <w:pPr>
        <w:ind w:left="900" w:right="240"/>
        <w:spacing w:after="0" w:line="291" w:lineRule="auto"/>
        <w:rPr>
          <w:sz w:val="20"/>
          <w:szCs w:val="20"/>
          <w:color w:val="auto"/>
        </w:rPr>
      </w:pPr>
      <w:r>
        <w:rPr>
          <w:rFonts w:ascii="Arial" w:cs="Arial" w:eastAsia="Arial" w:hAnsi="Arial"/>
          <w:sz w:val="15"/>
          <w:szCs w:val="15"/>
          <w:color w:val="auto"/>
        </w:rPr>
        <w:t>stock reserved for future issuance under our 2006 Equity Incentive Plan as of September 30, 2015, (b) shares of common stock reserved for future issuance under our 2016 Equity Incentive Plan, which will become effective on the date immediately prior to the date of this prospectus and</w:t>
      </w:r>
    </w:p>
    <w:p>
      <w:pPr>
        <w:spacing w:after="0" w:line="1" w:lineRule="exact"/>
        <w:rPr>
          <w:sz w:val="20"/>
          <w:szCs w:val="20"/>
          <w:color w:val="auto"/>
        </w:rPr>
      </w:pPr>
    </w:p>
    <w:p>
      <w:pPr>
        <w:jc w:val="both"/>
        <w:ind w:left="900" w:hanging="5"/>
        <w:spacing w:after="0" w:line="281" w:lineRule="auto"/>
        <w:tabs>
          <w:tab w:leader="none" w:pos="1661" w:val="left"/>
        </w:tabs>
        <w:numPr>
          <w:ilvl w:val="1"/>
          <w:numId w:val="47"/>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76" w:lineRule="exact"/>
        <w:rPr>
          <w:rFonts w:ascii="Arial" w:cs="Arial" w:eastAsia="Arial" w:hAnsi="Arial"/>
          <w:sz w:val="16"/>
          <w:szCs w:val="16"/>
          <w:color w:val="auto"/>
        </w:rPr>
      </w:pPr>
    </w:p>
    <w:p>
      <w:pPr>
        <w:ind w:left="900" w:right="60" w:hanging="332"/>
        <w:spacing w:after="0" w:line="289"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822,386 shares of our common stock issuable upon exercise of warrants for shares of common stock with an exercise price of $0.65 per share, that do not expire upon the closing of this offering; and</w:t>
      </w:r>
    </w:p>
    <w:p>
      <w:pPr>
        <w:spacing w:after="0" w:line="66" w:lineRule="exact"/>
        <w:rPr>
          <w:rFonts w:ascii="Arial" w:cs="Arial" w:eastAsia="Arial" w:hAnsi="Arial"/>
          <w:sz w:val="17"/>
          <w:szCs w:val="17"/>
          <w:color w:val="auto"/>
        </w:rPr>
      </w:pPr>
    </w:p>
    <w:p>
      <w:pPr>
        <w:ind w:left="900" w:right="620" w:hanging="332"/>
        <w:spacing w:after="0" w:line="32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September 30, 2015, with an exercise price of $0.65 per share, that do not expire upon the closing of this offering.</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449" w:right="2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30" w:lineRule="exact"/>
        <w:rPr>
          <w:sz w:val="20"/>
          <w:szCs w:val="20"/>
          <w:color w:val="auto"/>
        </w:rPr>
      </w:pPr>
    </w:p>
    <w:p>
      <w:pPr>
        <w:ind w:right="100" w:firstLine="457"/>
        <w:spacing w:after="0" w:line="322"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35" w:lineRule="exact"/>
        <w:rPr>
          <w:sz w:val="20"/>
          <w:szCs w:val="20"/>
          <w:color w:val="auto"/>
        </w:rPr>
      </w:pPr>
    </w:p>
    <w:p>
      <w:pPr>
        <w:ind w:right="100" w:firstLine="457"/>
        <w:spacing w:after="0" w:line="308" w:lineRule="auto"/>
        <w:rPr>
          <w:sz w:val="20"/>
          <w:szCs w:val="20"/>
          <w:color w:val="auto"/>
        </w:rPr>
      </w:pPr>
      <w:r>
        <w:rPr>
          <w:rFonts w:ascii="Arial" w:cs="Arial" w:eastAsia="Arial" w:hAnsi="Arial"/>
          <w:sz w:val="15"/>
          <w:szCs w:val="15"/>
          <w:color w:val="auto"/>
        </w:rPr>
        <w:t>As of September 30, 2015, our pro forma net tangible book value was approximately $45.4 million, or $0.46 per share of common stock. Our pro forma net tangible book value per share represents the amount of our total tangible assets reduced by the amount of our total liabilities and divided by the total number of shares of our common stock outstanding as of September 30, 2015, assuming (i) the automatic conversion of all outstanding shares of our convertible preferred stock as of September 30, 2015 into 80,645,051 shares of common stock as of immediately prior to the closing of this offering and (ii) the conversion of the preferred stock warrants into common stock warrants and the related reclassification of the preferred stock warrant liability to additional paid-in capital.</w:t>
      </w:r>
    </w:p>
    <w:p>
      <w:pPr>
        <w:spacing w:after="0" w:line="150" w:lineRule="exact"/>
        <w:rPr>
          <w:sz w:val="20"/>
          <w:szCs w:val="20"/>
          <w:color w:val="auto"/>
        </w:rPr>
      </w:pPr>
    </w:p>
    <w:p>
      <w:pPr>
        <w:ind w:right="280" w:firstLine="457"/>
        <w:spacing w:after="0" w:line="281" w:lineRule="auto"/>
        <w:rPr>
          <w:sz w:val="20"/>
          <w:szCs w:val="20"/>
          <w:color w:val="auto"/>
        </w:rPr>
      </w:pPr>
      <w:r>
        <w:rPr>
          <w:rFonts w:ascii="Arial" w:cs="Arial" w:eastAsia="Arial" w:hAnsi="Arial"/>
          <w:sz w:val="16"/>
          <w:szCs w:val="16"/>
          <w:color w:val="auto"/>
        </w:rPr>
        <w:t>After giving effect to our sale in this offering of shares of our common stock at an assumed initial public offering price of $ per share, the midpoint of the price range set forth on the cover page of this prospectus, and after deducting estimated underwriting discounts and commissions and estimated</w:t>
      </w:r>
    </w:p>
    <w:tbl>
      <w:tblPr>
        <w:tblLayout w:type="fixed"/>
        <w:tblInd w:w="0" w:type="dxa"/>
        <w:tblCellMar>
          <w:top w:w="0" w:type="dxa"/>
          <w:left w:w="0" w:type="dxa"/>
          <w:bottom w:w="0" w:type="dxa"/>
          <w:right w:w="0" w:type="dxa"/>
        </w:tblCellMar>
      </w:tblPr>
      <w:tr>
        <w:trPr>
          <w:trHeight w:val="198"/>
        </w:trPr>
        <w:tc>
          <w:tcPr>
            <w:tcW w:w="9400" w:type="dxa"/>
            <w:vAlign w:val="bottom"/>
            <w:gridSpan w:val="6"/>
          </w:tcPr>
          <w:p>
            <w:pPr>
              <w:spacing w:after="0"/>
              <w:rPr>
                <w:sz w:val="20"/>
                <w:szCs w:val="20"/>
                <w:color w:val="auto"/>
              </w:rPr>
            </w:pPr>
            <w:r>
              <w:rPr>
                <w:rFonts w:ascii="Arial" w:cs="Arial" w:eastAsia="Arial" w:hAnsi="Arial"/>
                <w:sz w:val="17"/>
                <w:szCs w:val="17"/>
                <w:color w:val="auto"/>
                <w:w w:val="94"/>
              </w:rPr>
              <w:t>offering expenses payable by us, our pro forma net tangible book value as of September 30, 2015 would have been approximately $</w:t>
            </w: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rPr>
              <w:t>million, or $</w:t>
            </w:r>
          </w:p>
        </w:tc>
        <w:tc>
          <w:tcPr>
            <w:tcW w:w="700" w:type="dxa"/>
            <w:vAlign w:val="bottom"/>
            <w:gridSpan w:val="2"/>
          </w:tcPr>
          <w:p>
            <w:pPr>
              <w:jc w:val="right"/>
              <w:ind w:right="340"/>
              <w:spacing w:after="0"/>
              <w:rPr>
                <w:sz w:val="20"/>
                <w:szCs w:val="20"/>
                <w:color w:val="auto"/>
              </w:rPr>
            </w:pPr>
            <w:r>
              <w:rPr>
                <w:rFonts w:ascii="Arial" w:cs="Arial" w:eastAsia="Arial" w:hAnsi="Arial"/>
                <w:sz w:val="17"/>
                <w:szCs w:val="17"/>
                <w:color w:val="auto"/>
              </w:rPr>
              <w:t>per</w:t>
            </w:r>
          </w:p>
        </w:tc>
      </w:tr>
      <w:tr>
        <w:trPr>
          <w:trHeight w:val="210"/>
        </w:trPr>
        <w:tc>
          <w:tcPr>
            <w:tcW w:w="7760" w:type="dxa"/>
            <w:vAlign w:val="bottom"/>
            <w:gridSpan w:val="4"/>
          </w:tcPr>
          <w:p>
            <w:pPr>
              <w:spacing w:after="0"/>
              <w:rPr>
                <w:sz w:val="20"/>
                <w:szCs w:val="20"/>
                <w:color w:val="auto"/>
              </w:rPr>
            </w:pPr>
            <w:r>
              <w:rPr>
                <w:rFonts w:ascii="Arial" w:cs="Arial" w:eastAsia="Arial" w:hAnsi="Arial"/>
                <w:sz w:val="17"/>
                <w:szCs w:val="17"/>
                <w:color w:val="auto"/>
                <w:w w:val="94"/>
              </w:rPr>
              <w:t>share of our common stock. This represents an immediate increase in pro forma net tangible book value of $</w:t>
            </w:r>
          </w:p>
        </w:tc>
        <w:tc>
          <w:tcPr>
            <w:tcW w:w="3660" w:type="dxa"/>
            <w:vAlign w:val="bottom"/>
            <w:gridSpan w:val="7"/>
          </w:tcPr>
          <w:p>
            <w:pPr>
              <w:jc w:val="right"/>
              <w:ind w:right="340"/>
              <w:spacing w:after="0"/>
              <w:rPr>
                <w:sz w:val="20"/>
                <w:szCs w:val="20"/>
                <w:color w:val="auto"/>
              </w:rPr>
            </w:pPr>
            <w:r>
              <w:rPr>
                <w:rFonts w:ascii="Arial" w:cs="Arial" w:eastAsia="Arial" w:hAnsi="Arial"/>
                <w:sz w:val="17"/>
                <w:szCs w:val="17"/>
                <w:color w:val="auto"/>
                <w:w w:val="97"/>
              </w:rPr>
              <w:t>per share to our existing stockholders and an</w:t>
            </w:r>
          </w:p>
        </w:tc>
      </w:tr>
      <w:tr>
        <w:trPr>
          <w:trHeight w:val="222"/>
        </w:trPr>
        <w:tc>
          <w:tcPr>
            <w:tcW w:w="1840" w:type="dxa"/>
            <w:vAlign w:val="bottom"/>
          </w:tcPr>
          <w:p>
            <w:pPr>
              <w:spacing w:after="0"/>
              <w:rPr>
                <w:sz w:val="20"/>
                <w:szCs w:val="20"/>
                <w:color w:val="auto"/>
              </w:rPr>
            </w:pPr>
            <w:r>
              <w:rPr>
                <w:rFonts w:ascii="Arial" w:cs="Arial" w:eastAsia="Arial" w:hAnsi="Arial"/>
                <w:sz w:val="17"/>
                <w:szCs w:val="17"/>
                <w:color w:val="auto"/>
              </w:rPr>
              <w:t>immediate dilution of $</w:t>
            </w:r>
          </w:p>
        </w:tc>
        <w:tc>
          <w:tcPr>
            <w:tcW w:w="5920" w:type="dxa"/>
            <w:vAlign w:val="bottom"/>
            <w:gridSpan w:val="3"/>
          </w:tcPr>
          <w:p>
            <w:pPr>
              <w:ind w:left="200"/>
              <w:spacing w:after="0"/>
              <w:rPr>
                <w:sz w:val="20"/>
                <w:szCs w:val="20"/>
                <w:color w:val="auto"/>
              </w:rPr>
            </w:pPr>
            <w:r>
              <w:rPr>
                <w:rFonts w:ascii="Arial" w:cs="Arial" w:eastAsia="Arial" w:hAnsi="Arial"/>
                <w:sz w:val="17"/>
                <w:szCs w:val="17"/>
                <w:color w:val="auto"/>
              </w:rPr>
              <w:t>per share to investors purchasing shares in this offering, as follows: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5920" w:type="dxa"/>
            <w:vAlign w:val="bottom"/>
            <w:gridSpan w:val="3"/>
          </w:tcPr>
          <w:p>
            <w:pPr>
              <w:spacing w:after="0"/>
              <w:rPr>
                <w:sz w:val="20"/>
                <w:szCs w:val="20"/>
                <w:color w:val="auto"/>
              </w:rPr>
            </w:pPr>
          </w:p>
        </w:tc>
        <w:tc>
          <w:tcPr>
            <w:tcW w:w="1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gridSpan w:val="3"/>
          </w:tcPr>
          <w:p>
            <w:pPr>
              <w:ind w:left="360"/>
              <w:spacing w:after="0"/>
              <w:rPr>
                <w:sz w:val="20"/>
                <w:szCs w:val="20"/>
                <w:color w:val="auto"/>
              </w:rPr>
            </w:pPr>
            <w:r>
              <w:rPr>
                <w:rFonts w:ascii="Arial" w:cs="Arial" w:eastAsia="Arial" w:hAnsi="Arial"/>
                <w:sz w:val="17"/>
                <w:szCs w:val="17"/>
                <w:color w:val="auto"/>
              </w:rPr>
              <w:t>Pro forma net tangible book value per share as of September 30, 2015</w:t>
            </w: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7"/>
                <w:szCs w:val="17"/>
                <w:color w:val="auto"/>
              </w:rPr>
              <w:t>$0.46</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7760" w:type="dxa"/>
            <w:vAlign w:val="bottom"/>
            <w:gridSpan w:val="4"/>
            <w:shd w:val="clear" w:color="auto" w:fill="CCEEFF"/>
          </w:tcPr>
          <w:p>
            <w:pPr>
              <w:ind w:left="360"/>
              <w:spacing w:after="0"/>
              <w:rPr>
                <w:sz w:val="20"/>
                <w:szCs w:val="20"/>
                <w:color w:val="auto"/>
              </w:rPr>
            </w:pPr>
            <w:r>
              <w:rPr>
                <w:rFonts w:ascii="Arial" w:cs="Arial" w:eastAsia="Arial" w:hAnsi="Arial"/>
                <w:sz w:val="17"/>
                <w:szCs w:val="17"/>
                <w:color w:val="auto"/>
              </w:rPr>
              <w:t>Increase in pro forma net tangible book value per share attributable to new investors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5920" w:type="dxa"/>
            <w:vAlign w:val="bottom"/>
            <w:gridSpan w:val="3"/>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Dilution per share to investors in this offering</w:t>
            </w:r>
          </w:p>
        </w:tc>
        <w:tc>
          <w:tcPr>
            <w:tcW w:w="1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r>
      <w:tr>
        <w:trPr>
          <w:trHeight w:val="20"/>
        </w:trPr>
        <w:tc>
          <w:tcPr>
            <w:tcW w:w="59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5920" w:type="dxa"/>
            <w:vAlign w:val="bottom"/>
            <w:gridSpan w:val="3"/>
          </w:tcPr>
          <w:p>
            <w:pPr>
              <w:ind w:left="460"/>
              <w:spacing w:after="0"/>
              <w:rPr>
                <w:sz w:val="20"/>
                <w:szCs w:val="20"/>
                <w:color w:val="auto"/>
              </w:rPr>
            </w:pPr>
            <w:r>
              <w:rPr>
                <w:rFonts w:ascii="Arial" w:cs="Arial" w:eastAsia="Arial" w:hAnsi="Arial"/>
                <w:sz w:val="17"/>
                <w:szCs w:val="17"/>
                <w:color w:val="auto"/>
                <w:w w:val="96"/>
              </w:rPr>
              <w:t>A $1.00 increase (decrease) in the assumed initial public offering price of $</w:t>
            </w:r>
          </w:p>
        </w:tc>
        <w:tc>
          <w:tcPr>
            <w:tcW w:w="5500" w:type="dxa"/>
            <w:vAlign w:val="bottom"/>
            <w:gridSpan w:val="8"/>
          </w:tcPr>
          <w:p>
            <w:pPr>
              <w:ind w:left="200"/>
              <w:spacing w:after="0"/>
              <w:rPr>
                <w:sz w:val="20"/>
                <w:szCs w:val="20"/>
                <w:color w:val="auto"/>
              </w:rPr>
            </w:pPr>
            <w:r>
              <w:rPr>
                <w:rFonts w:ascii="Arial" w:cs="Arial" w:eastAsia="Arial" w:hAnsi="Arial"/>
                <w:sz w:val="17"/>
                <w:szCs w:val="17"/>
                <w:color w:val="auto"/>
                <w:w w:val="92"/>
              </w:rPr>
              <w:t>per share, the midpoint of the price range set forth on the cover page of this</w:t>
            </w:r>
          </w:p>
        </w:tc>
      </w:tr>
      <w:tr>
        <w:trPr>
          <w:trHeight w:val="210"/>
        </w:trPr>
        <w:tc>
          <w:tcPr>
            <w:tcW w:w="8820" w:type="dxa"/>
            <w:vAlign w:val="bottom"/>
            <w:gridSpan w:val="5"/>
          </w:tcPr>
          <w:p>
            <w:pPr>
              <w:spacing w:after="0"/>
              <w:rPr>
                <w:sz w:val="20"/>
                <w:szCs w:val="20"/>
                <w:color w:val="auto"/>
              </w:rPr>
            </w:pPr>
            <w:r>
              <w:rPr>
                <w:rFonts w:ascii="Arial" w:cs="Arial" w:eastAsia="Arial" w:hAnsi="Arial"/>
                <w:sz w:val="17"/>
                <w:szCs w:val="17"/>
                <w:color w:val="auto"/>
                <w:w w:val="94"/>
              </w:rPr>
              <w:t>prospectus, would increase (decrease) our pro forma net tangible book value, as adjusted to give effect to this offering, by $</w:t>
            </w:r>
          </w:p>
        </w:tc>
        <w:tc>
          <w:tcPr>
            <w:tcW w:w="2600" w:type="dxa"/>
            <w:vAlign w:val="bottom"/>
            <w:gridSpan w:val="6"/>
          </w:tcPr>
          <w:p>
            <w:pPr>
              <w:ind w:left="200"/>
              <w:spacing w:after="0"/>
              <w:rPr>
                <w:sz w:val="20"/>
                <w:szCs w:val="20"/>
                <w:color w:val="auto"/>
              </w:rPr>
            </w:pPr>
            <w:r>
              <w:rPr>
                <w:rFonts w:ascii="Arial" w:cs="Arial" w:eastAsia="Arial" w:hAnsi="Arial"/>
                <w:sz w:val="17"/>
                <w:szCs w:val="17"/>
                <w:color w:val="auto"/>
                <w:w w:val="91"/>
              </w:rPr>
              <w:t>per share, the increase (decrease)</w:t>
            </w:r>
          </w:p>
        </w:tc>
      </w:tr>
      <w:tr>
        <w:trPr>
          <w:trHeight w:val="222"/>
        </w:trPr>
        <w:tc>
          <w:tcPr>
            <w:tcW w:w="2420" w:type="dxa"/>
            <w:vAlign w:val="bottom"/>
            <w:gridSpan w:val="2"/>
          </w:tcPr>
          <w:p>
            <w:pPr>
              <w:spacing w:after="0"/>
              <w:rPr>
                <w:sz w:val="20"/>
                <w:szCs w:val="20"/>
                <w:color w:val="auto"/>
              </w:rPr>
            </w:pPr>
            <w:r>
              <w:rPr>
                <w:rFonts w:ascii="Arial" w:cs="Arial" w:eastAsia="Arial" w:hAnsi="Arial"/>
                <w:sz w:val="17"/>
                <w:szCs w:val="17"/>
                <w:color w:val="auto"/>
              </w:rPr>
              <w:t>attributable to this offering by $</w:t>
            </w:r>
          </w:p>
        </w:tc>
        <w:tc>
          <w:tcPr>
            <w:tcW w:w="9000" w:type="dxa"/>
            <w:vAlign w:val="bottom"/>
            <w:gridSpan w:val="9"/>
          </w:tcPr>
          <w:p>
            <w:pPr>
              <w:ind w:left="200"/>
              <w:spacing w:after="0"/>
              <w:rPr>
                <w:sz w:val="20"/>
                <w:szCs w:val="20"/>
                <w:color w:val="auto"/>
              </w:rPr>
            </w:pPr>
            <w:r>
              <w:rPr>
                <w:rFonts w:ascii="Arial" w:cs="Arial" w:eastAsia="Arial" w:hAnsi="Arial"/>
                <w:sz w:val="17"/>
                <w:szCs w:val="17"/>
                <w:color w:val="auto"/>
                <w:w w:val="97"/>
              </w:rPr>
              <w:t>per share, and the dilution in pro forma as adjusted net tangible book value per share to new investors in this offering by</w:t>
            </w:r>
          </w:p>
        </w:tc>
      </w:tr>
    </w:tbl>
    <w:p>
      <w:pPr>
        <w:ind w:right="240" w:firstLine="5"/>
        <w:spacing w:after="0" w:line="291" w:lineRule="auto"/>
        <w:tabs>
          <w:tab w:leader="none" w:pos="4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per share, assuming the number of shares offered by us, as set forth on the cover page of this prospectus, remains the same, and after deducting estimated underwriting discounts and commissions and estimated offering expenses payable by us. Similarly, each increase of one million shares in the number of shares offered by us in this offering would increase our pro forma as adjusted net tangible book value per share, and decrease the dilution per share to investors in this</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offering, by $</w:t>
      </w:r>
      <w:r>
        <w:rPr>
          <w:rFonts w:ascii="Arial" w:cs="Arial" w:eastAsia="Arial" w:hAnsi="Arial"/>
          <w:sz w:val="15"/>
          <w:szCs w:val="15"/>
          <w:color w:val="auto"/>
        </w:rPr>
        <w:t>per share. Each decrease of one million shares in the number of shares offered by us would decrease our pro forma as adjusted net tangible</w:t>
      </w:r>
    </w:p>
    <w:p>
      <w:pPr>
        <w:spacing w:after="0" w:line="199" w:lineRule="exact"/>
        <w:rPr>
          <w:sz w:val="20"/>
          <w:szCs w:val="20"/>
          <w:color w:val="auto"/>
        </w:rPr>
      </w:pPr>
    </w:p>
    <w:p>
      <w:pPr>
        <w:spacing w:after="0"/>
        <w:tabs>
          <w:tab w:leader="none" w:pos="6620" w:val="left"/>
        </w:tabs>
        <w:rPr>
          <w:sz w:val="20"/>
          <w:szCs w:val="20"/>
          <w:color w:val="auto"/>
        </w:rPr>
      </w:pPr>
      <w:r>
        <w:rPr>
          <w:rFonts w:ascii="Arial" w:cs="Arial" w:eastAsia="Arial" w:hAnsi="Arial"/>
          <w:sz w:val="17"/>
          <w:szCs w:val="17"/>
          <w:color w:val="auto"/>
        </w:rPr>
        <w:t>book value per share, and increase the dilution per share to investors in this offering, by $</w:t>
      </w:r>
      <w:r>
        <w:rPr>
          <w:sz w:val="20"/>
          <w:szCs w:val="20"/>
          <w:color w:val="auto"/>
        </w:rPr>
        <w:tab/>
      </w:r>
      <w:r>
        <w:rPr>
          <w:rFonts w:ascii="Arial" w:cs="Arial" w:eastAsia="Arial" w:hAnsi="Arial"/>
          <w:sz w:val="15"/>
          <w:szCs w:val="15"/>
          <w:color w:val="auto"/>
        </w:rPr>
        <w:t>per share.</w:t>
      </w:r>
    </w:p>
    <w:p>
      <w:pPr>
        <w:spacing w:after="0" w:line="224" w:lineRule="exact"/>
        <w:rPr>
          <w:sz w:val="20"/>
          <w:szCs w:val="20"/>
          <w:color w:val="auto"/>
        </w:rPr>
      </w:pPr>
    </w:p>
    <w:p>
      <w:pPr>
        <w:ind w:right="60" w:firstLine="457"/>
        <w:spacing w:after="0" w:line="322" w:lineRule="auto"/>
        <w:rPr>
          <w:sz w:val="20"/>
          <w:szCs w:val="20"/>
          <w:color w:val="auto"/>
        </w:rPr>
      </w:pPr>
      <w:r>
        <w:rPr>
          <w:rFonts w:ascii="Arial" w:cs="Arial" w:eastAsia="Arial" w:hAnsi="Arial"/>
          <w:sz w:val="16"/>
          <w:szCs w:val="16"/>
          <w:color w:val="auto"/>
        </w:rPr>
        <w:t>If the underwriters exercise their option in full to purchase additional shares, the pro forma net tangible book value per share of our common stock after giving effect to this offering would be $ per share, and the dilution in net tangible book value per share to investors in this offering would be $ per share.</w:t>
      </w:r>
    </w:p>
    <w:p>
      <w:pPr>
        <w:spacing w:after="0" w:line="135" w:lineRule="exact"/>
        <w:rPr>
          <w:sz w:val="20"/>
          <w:szCs w:val="20"/>
          <w:color w:val="auto"/>
        </w:rPr>
      </w:pPr>
    </w:p>
    <w:p>
      <w:pPr>
        <w:ind w:right="300" w:firstLine="457"/>
        <w:spacing w:after="0" w:line="299" w:lineRule="auto"/>
        <w:rPr>
          <w:sz w:val="20"/>
          <w:szCs w:val="20"/>
          <w:color w:val="auto"/>
        </w:rPr>
      </w:pPr>
      <w:r>
        <w:rPr>
          <w:rFonts w:ascii="Arial" w:cs="Arial" w:eastAsia="Arial" w:hAnsi="Arial"/>
          <w:sz w:val="15"/>
          <w:szCs w:val="15"/>
          <w:color w:val="auto"/>
        </w:rPr>
        <w:t>The following table summarizes, on a pro forma as adjusted basis as of September 30, 2015 after giving effect to (i) the automatic conversion of all outstanding shares of our convertible preferred stock into 80,645,051 shares of common stock as of immediately prior to the closing of this offering and (ii) the</w:t>
      </w:r>
    </w:p>
    <w:p>
      <w:pPr>
        <w:spacing w:after="0" w:line="1" w:lineRule="exact"/>
        <w:rPr>
          <w:sz w:val="20"/>
          <w:szCs w:val="20"/>
          <w:color w:val="auto"/>
        </w:rPr>
      </w:pPr>
    </w:p>
    <w:p>
      <w:pPr>
        <w:spacing w:after="0"/>
        <w:tabs>
          <w:tab w:leader="none" w:pos="1340" w:val="left"/>
          <w:tab w:leader="none" w:pos="7760" w:val="left"/>
        </w:tabs>
        <w:rPr>
          <w:sz w:val="20"/>
          <w:szCs w:val="20"/>
          <w:color w:val="auto"/>
        </w:rPr>
      </w:pPr>
      <w:r>
        <w:rPr>
          <w:rFonts w:ascii="Arial" w:cs="Arial" w:eastAsia="Arial" w:hAnsi="Arial"/>
          <w:sz w:val="17"/>
          <w:szCs w:val="17"/>
          <w:color w:val="auto"/>
        </w:rPr>
        <w:t>issuance of</w:t>
      </w:r>
      <w:r>
        <w:rPr>
          <w:sz w:val="20"/>
          <w:szCs w:val="20"/>
          <w:color w:val="auto"/>
        </w:rPr>
        <w:tab/>
      </w:r>
      <w:r>
        <w:rPr>
          <w:rFonts w:ascii="Arial" w:cs="Arial" w:eastAsia="Arial" w:hAnsi="Arial"/>
          <w:sz w:val="17"/>
          <w:szCs w:val="17"/>
          <w:color w:val="auto"/>
        </w:rPr>
        <w:t>shares of common stock in this offering at an assumed initial public offering price of $</w:t>
      </w:r>
      <w:r>
        <w:rPr>
          <w:sz w:val="20"/>
          <w:szCs w:val="20"/>
          <w:color w:val="auto"/>
        </w:rPr>
        <w:tab/>
      </w:r>
      <w:r>
        <w:rPr>
          <w:rFonts w:ascii="Arial" w:cs="Arial" w:eastAsia="Arial" w:hAnsi="Arial"/>
          <w:sz w:val="15"/>
          <w:szCs w:val="15"/>
          <w:color w:val="auto"/>
        </w:rPr>
        <w:t>per share,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49"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460"/>
        <w:spacing w:after="0" w:line="273" w:lineRule="auto"/>
        <w:rPr>
          <w:sz w:val="20"/>
          <w:szCs w:val="20"/>
          <w:color w:val="auto"/>
        </w:rPr>
      </w:pPr>
      <w:r>
        <w:rPr>
          <w:rFonts w:ascii="Arial" w:cs="Arial" w:eastAsia="Arial" w:hAnsi="Arial"/>
          <w:sz w:val="17"/>
          <w:szCs w:val="17"/>
          <w:color w:val="auto"/>
        </w:rPr>
        <w:t>midpoint of the price range set forth on the cover page of this prospectus,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 payable by 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3"/>
            <w:vMerge w:val="restart"/>
          </w:tcPr>
          <w:p>
            <w:pPr>
              <w:jc w:val="right"/>
              <w:ind w:right="21"/>
              <w:spacing w:after="0"/>
              <w:rPr>
                <w:sz w:val="20"/>
                <w:szCs w:val="20"/>
                <w:color w:val="auto"/>
              </w:rPr>
            </w:pPr>
            <w:r>
              <w:rPr>
                <w:rFonts w:ascii="Arial" w:cs="Arial" w:eastAsia="Arial" w:hAnsi="Arial"/>
                <w:sz w:val="14"/>
                <w:szCs w:val="14"/>
                <w:b w:val="1"/>
                <w:bCs w:val="1"/>
                <w:color w:val="auto"/>
                <w:w w:val="94"/>
              </w:rPr>
              <w:t>Shares Purchased</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Total Consideration</w:t>
            </w:r>
          </w:p>
        </w:tc>
        <w:tc>
          <w:tcPr>
            <w:tcW w:w="500" w:type="dxa"/>
            <w:vAlign w:val="bottom"/>
            <w:vMerge w:val="restart"/>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80"/>
        </w:trPr>
        <w:tc>
          <w:tcPr>
            <w:tcW w:w="5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8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gridSpan w:val="2"/>
            <w:vMerge w:val="restart"/>
          </w:tcPr>
          <w:p>
            <w:pPr>
              <w:jc w:val="center"/>
              <w:ind w:right="80"/>
              <w:spacing w:after="0" w:line="144"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49"/>
        </w:trPr>
        <w:tc>
          <w:tcPr>
            <w:tcW w:w="5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4"/>
                <w:szCs w:val="4"/>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Percent</w:t>
            </w:r>
          </w:p>
        </w:tc>
        <w:tc>
          <w:tcPr>
            <w:tcW w:w="18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4"/>
                <w:szCs w:val="4"/>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5"/>
              </w:rPr>
              <w:t>Percent</w:t>
            </w: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5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37"/>
        </w:trPr>
        <w:tc>
          <w:tcPr>
            <w:tcW w:w="5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80" w:type="dxa"/>
            <w:vAlign w:val="bottom"/>
            <w:tcBorders>
              <w:top w:val="single" w:sz="8" w:color="auto"/>
            </w:tcBorders>
            <w:gridSpan w:val="8"/>
          </w:tcPr>
          <w:p>
            <w:pPr>
              <w:jc w:val="right"/>
              <w:spacing w:after="0" w:line="137" w:lineRule="exact"/>
              <w:rPr>
                <w:sz w:val="20"/>
                <w:szCs w:val="20"/>
                <w:color w:val="auto"/>
              </w:rPr>
            </w:pPr>
            <w:r>
              <w:rPr>
                <w:rFonts w:ascii="Arial" w:cs="Arial" w:eastAsia="Arial" w:hAnsi="Arial"/>
                <w:sz w:val="14"/>
                <w:szCs w:val="14"/>
                <w:b w:val="1"/>
                <w:bCs w:val="1"/>
                <w:color w:val="auto"/>
                <w:w w:val="91"/>
              </w:rPr>
              <w:t>(in thousands, except percentage and per share data)</w:t>
            </w: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center"/>
              <w:ind w:right="270"/>
              <w:spacing w:after="0"/>
              <w:rPr>
                <w:sz w:val="20"/>
                <w:szCs w:val="20"/>
                <w:color w:val="auto"/>
              </w:rPr>
            </w:pPr>
            <w:r>
              <w:rPr>
                <w:rFonts w:ascii="Arial" w:cs="Arial" w:eastAsia="Arial" w:hAnsi="Arial"/>
                <w:sz w:val="17"/>
                <w:szCs w:val="17"/>
                <w:color w:val="auto"/>
                <w:w w:val="84"/>
              </w:rPr>
              <w:t>$</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7"/>
                <w:szCs w:val="17"/>
                <w:color w:val="auto"/>
              </w:rPr>
              <w:t>New public investors</w:t>
            </w:r>
          </w:p>
        </w:tc>
        <w:tc>
          <w:tcPr>
            <w:tcW w:w="10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w:t>
            </w:r>
          </w:p>
        </w:tc>
        <w:tc>
          <w:tcPr>
            <w:tcW w:w="780" w:type="dxa"/>
            <w:vAlign w:val="bottom"/>
            <w:gridSpan w:val="2"/>
            <w:shd w:val="clear" w:color="auto" w:fill="CCEEFF"/>
          </w:tcPr>
          <w:p>
            <w:pPr>
              <w:jc w:val="center"/>
              <w:ind w:right="270"/>
              <w:spacing w:after="0"/>
              <w:rPr>
                <w:sz w:val="20"/>
                <w:szCs w:val="20"/>
                <w:color w:val="auto"/>
              </w:rPr>
            </w:pPr>
            <w:r>
              <w:rPr>
                <w:rFonts w:ascii="Arial" w:cs="Arial" w:eastAsia="Arial" w:hAnsi="Arial"/>
                <w:sz w:val="17"/>
                <w:szCs w:val="17"/>
                <w:color w:val="auto"/>
                <w:w w:val="84"/>
              </w:rPr>
              <w:t>$</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100%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920" w:type="dxa"/>
            <w:vAlign w:val="bottom"/>
          </w:tcPr>
          <w:p>
            <w:pPr>
              <w:ind w:left="460"/>
              <w:spacing w:after="0"/>
              <w:rPr>
                <w:sz w:val="20"/>
                <w:szCs w:val="20"/>
                <w:color w:val="auto"/>
              </w:rPr>
            </w:pPr>
            <w:r>
              <w:rPr>
                <w:rFonts w:ascii="Arial" w:cs="Arial" w:eastAsia="Arial" w:hAnsi="Arial"/>
                <w:sz w:val="17"/>
                <w:szCs w:val="17"/>
                <w:color w:val="auto"/>
                <w:w w:val="96"/>
              </w:rPr>
              <w:t>A $1.00 increase (decrease) in the assumed initial public offering price of $</w:t>
            </w:r>
          </w:p>
        </w:tc>
        <w:tc>
          <w:tcPr>
            <w:tcW w:w="5500" w:type="dxa"/>
            <w:vAlign w:val="bottom"/>
            <w:gridSpan w:val="12"/>
          </w:tcPr>
          <w:p>
            <w:pPr>
              <w:jc w:val="center"/>
              <w:ind w:left="73"/>
              <w:spacing w:after="0"/>
              <w:rPr>
                <w:sz w:val="20"/>
                <w:szCs w:val="20"/>
                <w:color w:val="auto"/>
              </w:rPr>
            </w:pPr>
            <w:r>
              <w:rPr>
                <w:rFonts w:ascii="Arial" w:cs="Arial" w:eastAsia="Arial" w:hAnsi="Arial"/>
                <w:sz w:val="17"/>
                <w:szCs w:val="17"/>
                <w:color w:val="auto"/>
                <w:w w:val="92"/>
              </w:rPr>
              <w:t>per share, the midpoint of the price range set forth on the cover page of this</w:t>
            </w:r>
          </w:p>
        </w:tc>
        <w:tc>
          <w:tcPr>
            <w:tcW w:w="0" w:type="dxa"/>
            <w:vAlign w:val="bottom"/>
          </w:tcPr>
          <w:p>
            <w:pPr>
              <w:spacing w:after="0"/>
              <w:rPr>
                <w:sz w:val="1"/>
                <w:szCs w:val="1"/>
                <w:color w:val="auto"/>
              </w:rPr>
            </w:pPr>
          </w:p>
        </w:tc>
      </w:tr>
      <w:tr>
        <w:trPr>
          <w:trHeight w:val="222"/>
        </w:trPr>
        <w:tc>
          <w:tcPr>
            <w:tcW w:w="10700" w:type="dxa"/>
            <w:vAlign w:val="bottom"/>
            <w:gridSpan w:val="11"/>
          </w:tcPr>
          <w:p>
            <w:pPr>
              <w:spacing w:after="0"/>
              <w:rPr>
                <w:sz w:val="20"/>
                <w:szCs w:val="20"/>
                <w:color w:val="auto"/>
              </w:rPr>
            </w:pPr>
            <w:r>
              <w:rPr>
                <w:rFonts w:ascii="Arial" w:cs="Arial" w:eastAsia="Arial" w:hAnsi="Arial"/>
                <w:sz w:val="17"/>
                <w:szCs w:val="17"/>
                <w:color w:val="auto"/>
                <w:w w:val="96"/>
              </w:rPr>
              <w:t>prospectus, would increase (decrease) total consideration paid by new investors and total consideration paid by all stockholders by approximately $</w:t>
            </w:r>
          </w:p>
        </w:tc>
        <w:tc>
          <w:tcPr>
            <w:tcW w:w="720" w:type="dxa"/>
            <w:vAlign w:val="bottom"/>
            <w:gridSpan w:val="2"/>
          </w:tcPr>
          <w:p>
            <w:pPr>
              <w:spacing w:after="0"/>
              <w:rPr>
                <w:sz w:val="20"/>
                <w:szCs w:val="20"/>
                <w:color w:val="auto"/>
              </w:rPr>
            </w:pPr>
            <w:r>
              <w:rPr>
                <w:rFonts w:ascii="Arial" w:cs="Arial" w:eastAsia="Arial" w:hAnsi="Arial"/>
                <w:sz w:val="17"/>
                <w:szCs w:val="17"/>
                <w:color w:val="auto"/>
              </w:rPr>
              <w:t>million,</w:t>
            </w:r>
          </w:p>
        </w:tc>
        <w:tc>
          <w:tcPr>
            <w:tcW w:w="0" w:type="dxa"/>
            <w:vAlign w:val="bottom"/>
          </w:tcPr>
          <w:p>
            <w:pPr>
              <w:spacing w:after="0"/>
              <w:rPr>
                <w:sz w:val="1"/>
                <w:szCs w:val="1"/>
                <w:color w:val="auto"/>
              </w:rPr>
            </w:pPr>
          </w:p>
        </w:tc>
      </w:tr>
    </w:tbl>
    <w:p>
      <w:pPr>
        <w:ind w:right="180"/>
        <w:spacing w:after="0" w:line="274" w:lineRule="auto"/>
        <w:rPr>
          <w:sz w:val="20"/>
          <w:szCs w:val="20"/>
          <w:color w:val="auto"/>
        </w:rPr>
      </w:pPr>
      <w:r>
        <w:rPr>
          <w:rFonts w:ascii="Arial" w:cs="Arial" w:eastAsia="Arial" w:hAnsi="Arial"/>
          <w:sz w:val="17"/>
          <w:szCs w:val="17"/>
          <w:color w:val="auto"/>
        </w:rPr>
        <w:t>assuming that the number of shares offered by us, as set forth on the cover page of this prospectus, remains the same, and after deducting estimated underwriting discounts and commissions and estimated offering expenses payable by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extent that any outstanding options are exercised, investors will experience further dilution.</w:t>
      </w:r>
    </w:p>
    <w:p>
      <w:pPr>
        <w:spacing w:after="0" w:line="224" w:lineRule="exact"/>
        <w:rPr>
          <w:sz w:val="20"/>
          <w:szCs w:val="20"/>
          <w:color w:val="auto"/>
        </w:rPr>
      </w:pPr>
    </w:p>
    <w:p>
      <w:pPr>
        <w:ind w:right="300" w:firstLine="457"/>
        <w:spacing w:after="0" w:line="273" w:lineRule="auto"/>
        <w:rPr>
          <w:sz w:val="20"/>
          <w:szCs w:val="20"/>
          <w:color w:val="auto"/>
        </w:rPr>
      </w:pPr>
      <w:r>
        <w:rPr>
          <w:rFonts w:ascii="Arial" w:cs="Arial" w:eastAsia="Arial" w:hAnsi="Arial"/>
          <w:sz w:val="17"/>
          <w:szCs w:val="17"/>
          <w:color w:val="auto"/>
        </w:rPr>
        <w:t>Except as otherwise indicated, the above discussion and tables assume no exercise of the underwriters’ option to purchase additional shares. If the underwriters exercise their option to purchase additional shares in full, our existing stockholders would own % and our new investors would own % of the total number of shares of our common stock outstanding upon the closing of this offering.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98,951,685 shares of our common stock outstanding as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2015, and excludes:</w:t>
      </w:r>
    </w:p>
    <w:p>
      <w:pPr>
        <w:spacing w:after="0" w:line="120" w:lineRule="exact"/>
        <w:rPr>
          <w:sz w:val="20"/>
          <w:szCs w:val="20"/>
          <w:color w:val="auto"/>
        </w:rPr>
      </w:pPr>
    </w:p>
    <w:p>
      <w:pPr>
        <w:ind w:left="900" w:right="280" w:hanging="332"/>
        <w:spacing w:after="0" w:line="289"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13,563,272 shares of common stock issuable upon the exercise of options outstanding as of September 30, 2015, with a weighted-average exercise price of $0.51 per share;</w:t>
      </w:r>
    </w:p>
    <w:p>
      <w:pPr>
        <w:spacing w:after="0" w:line="66" w:lineRule="exact"/>
        <w:rPr>
          <w:rFonts w:ascii="Arial" w:cs="Arial" w:eastAsia="Arial" w:hAnsi="Arial"/>
          <w:sz w:val="17"/>
          <w:szCs w:val="17"/>
          <w:color w:val="auto"/>
        </w:rPr>
      </w:pPr>
    </w:p>
    <w:p>
      <w:pPr>
        <w:ind w:left="900" w:right="500" w:hanging="332"/>
        <w:spacing w:after="0" w:line="289"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1,251,041 shares of common stock issuable upon the exercise of options granted between September 30, 2015 and November 30, 2015, with an exercise price of $1.22 per share;</w:t>
      </w:r>
    </w:p>
    <w:p>
      <w:pPr>
        <w:spacing w:after="0" w:line="66" w:lineRule="exact"/>
        <w:rPr>
          <w:rFonts w:ascii="Arial" w:cs="Arial" w:eastAsia="Arial" w:hAnsi="Arial"/>
          <w:sz w:val="17"/>
          <w:szCs w:val="17"/>
          <w:color w:val="auto"/>
        </w:rPr>
      </w:pPr>
    </w:p>
    <w:p>
      <w:pPr>
        <w:ind w:left="1420" w:hanging="852"/>
        <w:spacing w:after="0"/>
        <w:tabs>
          <w:tab w:leader="none" w:pos="14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shares of common stock reserved for future issuance under our stock-based compensation plans, consisting of (a) 3,191,727 shares of common</w:t>
      </w:r>
    </w:p>
    <w:p>
      <w:pPr>
        <w:spacing w:after="0" w:line="49" w:lineRule="exact"/>
        <w:rPr>
          <w:sz w:val="20"/>
          <w:szCs w:val="20"/>
          <w:color w:val="auto"/>
        </w:rPr>
      </w:pPr>
    </w:p>
    <w:p>
      <w:pPr>
        <w:ind w:left="900" w:right="260"/>
        <w:spacing w:after="0" w:line="291" w:lineRule="auto"/>
        <w:rPr>
          <w:sz w:val="20"/>
          <w:szCs w:val="20"/>
          <w:color w:val="auto"/>
        </w:rPr>
      </w:pPr>
      <w:r>
        <w:rPr>
          <w:rFonts w:ascii="Arial" w:cs="Arial" w:eastAsia="Arial" w:hAnsi="Arial"/>
          <w:sz w:val="15"/>
          <w:szCs w:val="15"/>
          <w:color w:val="auto"/>
        </w:rPr>
        <w:t>stock reserved for future issuance under our 2006 Equity Incentive Plan as of September 30, 2015, (b) shares of common stock reserved for future issuance under our 2016 Equity Incentive Plan, which will become effective on the date immediately prior to the date of this prospectus and</w:t>
      </w:r>
    </w:p>
    <w:p>
      <w:pPr>
        <w:spacing w:after="0" w:line="1" w:lineRule="exact"/>
        <w:rPr>
          <w:sz w:val="20"/>
          <w:szCs w:val="20"/>
          <w:color w:val="auto"/>
        </w:rPr>
      </w:pPr>
    </w:p>
    <w:p>
      <w:pPr>
        <w:ind w:left="900" w:right="20" w:hanging="5"/>
        <w:spacing w:after="0" w:line="281" w:lineRule="auto"/>
        <w:tabs>
          <w:tab w:leader="none" w:pos="1705" w:val="left"/>
        </w:tabs>
        <w:numPr>
          <w:ilvl w:val="1"/>
          <w:numId w:val="50"/>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76" w:lineRule="exact"/>
        <w:rPr>
          <w:rFonts w:ascii="Arial" w:cs="Arial" w:eastAsia="Arial" w:hAnsi="Arial"/>
          <w:sz w:val="16"/>
          <w:szCs w:val="16"/>
          <w:color w:val="auto"/>
        </w:rPr>
      </w:pPr>
    </w:p>
    <w:p>
      <w:pPr>
        <w:ind w:left="900" w:right="80" w:hanging="332"/>
        <w:spacing w:after="0" w:line="289"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822,386 shares of our common stock issuable upon exercise of warrants for shares of common stock with an exercise price of $0.65 per share, that do not expire upon the closing of this offering; and</w:t>
      </w:r>
    </w:p>
    <w:p>
      <w:pPr>
        <w:spacing w:after="0" w:line="66" w:lineRule="exact"/>
        <w:rPr>
          <w:rFonts w:ascii="Arial" w:cs="Arial" w:eastAsia="Arial" w:hAnsi="Arial"/>
          <w:sz w:val="17"/>
          <w:szCs w:val="17"/>
          <w:color w:val="auto"/>
        </w:rPr>
      </w:pPr>
    </w:p>
    <w:p>
      <w:pPr>
        <w:ind w:left="900" w:right="640" w:hanging="332"/>
        <w:spacing w:after="0" w:line="32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September 30, 2015, with an exercise price of $0.65 per share, that do not expire upon the closing of this offering.</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9"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30"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The selected statements of operations data for the years ended December 31, 2013 and 2014 and the balance sheet data as of December 31, 2013 and 2014 are derived from our audited financial statements included elsewhere in this prospectus. The selected consolidated statement of operations data for the nine months ended September 30, 2014 and 2015 and the consolidated balance sheet data as of September 30, 2015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the results for the nine months ended September 30, 2015 are not necessarily indicative of results to be expected for the full year. The selected financial data in this section are not intended to replace the financial statements and are qualified in their entirety by the financial statements and related notes included elsewhere in this prospectus.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7"/>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37"/>
        </w:trPr>
        <w:tc>
          <w:tcPr>
            <w:tcW w:w="5400" w:type="dxa"/>
            <w:vAlign w:val="bottom"/>
            <w:vMerge w:val="continue"/>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5"/>
              <w:spacing w:after="0" w:line="137"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4"/>
              <w:spacing w:after="0" w:line="137"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4"/>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400" w:type="dxa"/>
            <w:vAlign w:val="bottom"/>
            <w:vMerge w:val="restart"/>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Collaboration revenue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2"/>
              </w:rPr>
              <w:t>15,838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8"/>
              </w:rPr>
              <w:t>12,133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13,517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7"/>
                <w:szCs w:val="17"/>
                <w:color w:val="auto"/>
              </w:rPr>
              <w:t>Operating expenses:</w:t>
            </w:r>
          </w:p>
        </w:tc>
        <w:tc>
          <w:tcPr>
            <w:tcW w:w="2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6,009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10,732</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1,950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1,780</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operating expenses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10,770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2"/>
              </w:rPr>
              <w:t>10,968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7,789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13,247</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700"/>
              <w:spacing w:after="0"/>
              <w:rPr>
                <w:sz w:val="20"/>
                <w:szCs w:val="20"/>
                <w:color w:val="auto"/>
              </w:rPr>
            </w:pPr>
            <w:r>
              <w:rPr>
                <w:rFonts w:ascii="Arial" w:cs="Arial" w:eastAsia="Arial" w:hAnsi="Arial"/>
                <w:sz w:val="17"/>
                <w:szCs w:val="17"/>
                <w:color w:val="auto"/>
              </w:rPr>
              <w:t>Income (loss) from operations</w:t>
            </w: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(5,287)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4,870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4,344</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(1,271)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6"/>
              </w:rPr>
              <w:t>(1,281)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(1,528)</w:t>
            </w: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7"/>
                <w:szCs w:val="17"/>
                <w:color w:val="auto"/>
              </w:rPr>
              <w:t>Change in fair value of liability for preferred stock warrants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627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880"/>
              <w:spacing w:after="0"/>
              <w:rPr>
                <w:sz w:val="20"/>
                <w:szCs w:val="20"/>
                <w:color w:val="auto"/>
              </w:rPr>
            </w:pPr>
            <w:r>
              <w:rPr>
                <w:rFonts w:ascii="Arial" w:cs="Arial" w:eastAsia="Arial" w:hAnsi="Arial"/>
                <w:sz w:val="17"/>
                <w:szCs w:val="17"/>
                <w:color w:val="auto"/>
              </w:rPr>
              <w:t>Total other expense, net</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6"/>
              </w:rPr>
              <w:t>(1,338)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(1,314)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(2,113)</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7"/>
                <w:szCs w:val="17"/>
                <w:color w:val="auto"/>
              </w:rPr>
              <w:t>Income (loss) before income taxes</w:t>
            </w: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(5,545)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3,532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3,030</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(1,843)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Provision for income taxes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60"/>
              <w:spacing w:after="0"/>
              <w:rPr>
                <w:sz w:val="20"/>
                <w:szCs w:val="20"/>
                <w:color w:val="auto"/>
              </w:rPr>
            </w:pPr>
            <w:r>
              <w:rPr>
                <w:rFonts w:ascii="Arial" w:cs="Arial" w:eastAsia="Arial" w:hAnsi="Arial"/>
                <w:sz w:val="17"/>
                <w:szCs w:val="17"/>
                <w:color w:val="auto"/>
              </w:rPr>
              <w:t>Net income (loss)</w:t>
            </w: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(5,545)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3,532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3,030</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(1,893)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attributed to participating securities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6"/>
              </w:rPr>
              <w:t>(3,300)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(2,741)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Net income (loss) attributed to common stockholders</w:t>
            </w: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vMerge w:val="continue"/>
          </w:tcPr>
          <w:p>
            <w:pPr>
              <w:spacing w:after="0"/>
              <w:rPr>
                <w:sz w:val="18"/>
                <w:szCs w:val="18"/>
                <w:color w:val="auto"/>
              </w:rPr>
            </w:pPr>
          </w:p>
        </w:tc>
        <w:tc>
          <w:tcPr>
            <w:tcW w:w="2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(5,545)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232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289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(1,893)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common share:</w:t>
            </w:r>
            <w:r>
              <w:rPr>
                <w:rFonts w:ascii="Arial" w:cs="Arial" w:eastAsia="Arial" w:hAnsi="Arial"/>
                <w:sz w:val="14"/>
                <w:szCs w:val="14"/>
                <w:color w:val="auto"/>
              </w:rPr>
              <w:t>(1)</w:t>
            </w:r>
          </w:p>
        </w:tc>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7"/>
                <w:szCs w:val="17"/>
                <w:color w:val="auto"/>
              </w:rPr>
              <w:t>Basic and diluted</w:t>
            </w:r>
          </w:p>
        </w:tc>
        <w:tc>
          <w:tcPr>
            <w:tcW w:w="2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(0.71)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shares outstanding:</w:t>
            </w:r>
            <w:r>
              <w:rPr>
                <w:rFonts w:ascii="Arial" w:cs="Arial" w:eastAsia="Arial" w:hAnsi="Arial"/>
                <w:sz w:val="14"/>
                <w:szCs w:val="14"/>
                <w:color w:val="auto"/>
              </w:rPr>
              <w:t>(1)</w:t>
            </w:r>
          </w:p>
        </w:tc>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7"/>
                <w:szCs w:val="17"/>
                <w:color w:val="auto"/>
              </w:rPr>
              <w:t>Basic and diluted</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7,787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w w:val="92"/>
              </w:rPr>
              <w:t>17,368</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w w:val="88"/>
              </w:rPr>
              <w:t>17,368</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17,694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(loss) per common share (unaudited):</w:t>
            </w:r>
            <w:r>
              <w:rPr>
                <w:rFonts w:ascii="Arial" w:cs="Arial" w:eastAsia="Arial" w:hAnsi="Arial"/>
                <w:sz w:val="14"/>
                <w:szCs w:val="14"/>
                <w:color w:val="auto"/>
              </w:rPr>
              <w:t>(1)</w:t>
            </w:r>
          </w:p>
        </w:tc>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7"/>
                <w:szCs w:val="17"/>
                <w:color w:val="auto"/>
              </w:rPr>
              <w:t>Basic and diluted</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0.06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w w:val="96"/>
              </w:rPr>
              <w:t>Pro forma weighted-average number of shares outstanding (unaudited):</w:t>
            </w:r>
            <w:r>
              <w:rPr>
                <w:rFonts w:ascii="Arial" w:cs="Arial" w:eastAsia="Arial" w:hAnsi="Arial"/>
                <w:sz w:val="14"/>
                <w:szCs w:val="14"/>
                <w:color w:val="auto"/>
                <w:w w:val="96"/>
              </w:rPr>
              <w:t>(1)</w:t>
            </w:r>
          </w:p>
        </w:tc>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180"/>
              <w:spacing w:after="0"/>
              <w:rPr>
                <w:sz w:val="20"/>
                <w:szCs w:val="20"/>
                <w:color w:val="auto"/>
              </w:rPr>
            </w:pPr>
            <w:r>
              <w:rPr>
                <w:rFonts w:ascii="Arial" w:cs="Arial" w:eastAsia="Arial" w:hAnsi="Arial"/>
                <w:sz w:val="17"/>
                <w:szCs w:val="17"/>
                <w:color w:val="auto"/>
              </w:rPr>
              <w:t>Basic and diluted</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w w:val="92"/>
              </w:rPr>
              <w:t>58,473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70,904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40" w:type="dxa"/>
            <w:vAlign w:val="bottom"/>
            <w:vMerge w:val="restart"/>
          </w:tcPr>
          <w:p>
            <w:pPr>
              <w:jc w:val="right"/>
              <w:ind w:right="2153"/>
              <w:spacing w:after="0"/>
              <w:rPr>
                <w:sz w:val="20"/>
                <w:szCs w:val="20"/>
                <w:color w:val="auto"/>
              </w:rPr>
            </w:pPr>
            <w:r>
              <w:rPr>
                <w:rFonts w:ascii="Arial" w:cs="Arial" w:eastAsia="Arial" w:hAnsi="Arial"/>
                <w:sz w:val="17"/>
                <w:szCs w:val="17"/>
                <w:color w:val="auto"/>
              </w:rPr>
              <w:t>58</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4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286385</wp:posOffset>
            </wp:positionV>
            <wp:extent cx="7232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900" w:hanging="450"/>
        <w:spacing w:after="0" w:line="273"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See Note 2 to our annual and interim consolidated financial statements for an explanation of the method used to calculate basic and diluted net income (loss) per common share, unaudited pro forma basic and diluted net income (loss) per common share and the weighted-average number of shares used in the computation of the per share amounts.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r>
      <w:tr>
        <w:trPr>
          <w:trHeight w:val="157"/>
        </w:trPr>
        <w:tc>
          <w:tcPr>
            <w:tcW w:w="41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360" w:type="dxa"/>
            <w:vAlign w:val="bottom"/>
            <w:gridSpan w:val="5"/>
          </w:tcPr>
          <w:p>
            <w:pPr>
              <w:jc w:val="right"/>
              <w:ind w:right="960"/>
              <w:spacing w:after="0" w:line="157"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96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89"/>
              </w:rPr>
              <w:t>September 30,</w:t>
            </w:r>
          </w:p>
        </w:tc>
      </w:tr>
      <w:tr>
        <w:trPr>
          <w:trHeight w:val="137"/>
        </w:trPr>
        <w:tc>
          <w:tcPr>
            <w:tcW w:w="4180" w:type="dxa"/>
            <w:vAlign w:val="bottom"/>
          </w:tcPr>
          <w:p>
            <w:pPr>
              <w:spacing w:after="0" w:line="137" w:lineRule="exact"/>
              <w:rPr>
                <w:sz w:val="20"/>
                <w:szCs w:val="20"/>
                <w:color w:val="auto"/>
              </w:rPr>
            </w:pPr>
            <w:r>
              <w:rPr>
                <w:rFonts w:ascii="Arial" w:cs="Arial" w:eastAsia="Arial" w:hAnsi="Arial"/>
                <w:sz w:val="14"/>
                <w:szCs w:val="14"/>
                <w:b w:val="1"/>
                <w:bCs w:val="1"/>
                <w:color w:val="auto"/>
              </w:rPr>
              <w:t>(in thousands)</w:t>
            </w:r>
          </w:p>
        </w:tc>
        <w:tc>
          <w:tcPr>
            <w:tcW w:w="2700" w:type="dxa"/>
            <w:vAlign w:val="bottom"/>
          </w:tcPr>
          <w:p>
            <w:pPr>
              <w:spacing w:after="0"/>
              <w:rPr>
                <w:sz w:val="11"/>
                <w:szCs w:val="11"/>
                <w:color w:val="auto"/>
              </w:rPr>
            </w:pPr>
          </w:p>
        </w:tc>
        <w:tc>
          <w:tcPr>
            <w:tcW w:w="640" w:type="dxa"/>
            <w:vAlign w:val="bottom"/>
            <w:tcBorders>
              <w:top w:val="single" w:sz="8" w:color="auto"/>
            </w:tcBorders>
          </w:tcPr>
          <w:p>
            <w:pPr>
              <w:jc w:val="right"/>
              <w:ind w:right="101"/>
              <w:spacing w:after="0" w:line="137"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93"/>
              <w:spacing w:after="0" w:line="137"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ind w:right="76"/>
              <w:spacing w:after="0" w:line="137"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1"/>
                <w:szCs w:val="11"/>
                <w:color w:val="auto"/>
              </w:rPr>
            </w:pPr>
          </w:p>
        </w:tc>
      </w:tr>
      <w:tr>
        <w:trPr>
          <w:trHeight w:val="137"/>
        </w:trPr>
        <w:tc>
          <w:tcPr>
            <w:tcW w:w="41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1"/>
                <w:szCs w:val="1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2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460" w:type="dxa"/>
            <w:vAlign w:val="bottom"/>
            <w:gridSpan w:val="3"/>
          </w:tcPr>
          <w:p>
            <w:pPr>
              <w:jc w:val="right"/>
              <w:ind w:right="120"/>
              <w:spacing w:after="0"/>
              <w:rPr>
                <w:sz w:val="20"/>
                <w:szCs w:val="20"/>
                <w:color w:val="auto"/>
              </w:rPr>
            </w:pPr>
            <w:r>
              <w:rPr>
                <w:rFonts w:ascii="Arial" w:cs="Arial" w:eastAsia="Arial" w:hAnsi="Arial"/>
                <w:sz w:val="17"/>
                <w:szCs w:val="17"/>
                <w:color w:val="auto"/>
              </w:rPr>
              <w:t>$  2,810</w:t>
            </w:r>
          </w:p>
        </w:tc>
        <w:tc>
          <w:tcPr>
            <w:tcW w:w="1600" w:type="dxa"/>
            <w:vAlign w:val="bottom"/>
            <w:gridSpan w:val="3"/>
          </w:tcPr>
          <w:p>
            <w:pPr>
              <w:jc w:val="right"/>
              <w:ind w:right="380"/>
              <w:spacing w:after="0"/>
              <w:rPr>
                <w:sz w:val="20"/>
                <w:szCs w:val="20"/>
                <w:color w:val="auto"/>
              </w:rPr>
            </w:pPr>
            <w:r>
              <w:rPr>
                <w:rFonts w:ascii="Arial" w:cs="Arial" w:eastAsia="Arial" w:hAnsi="Arial"/>
                <w:sz w:val="17"/>
                <w:szCs w:val="17"/>
                <w:color w:val="auto"/>
              </w:rPr>
              <w:t>$ 22,188</w:t>
            </w:r>
          </w:p>
        </w:tc>
        <w:tc>
          <w:tcPr>
            <w:tcW w:w="48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55,245</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3,914</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25,065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60,877</w:t>
            </w: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Convertible promissory notes, current portion</w:t>
            </w:r>
          </w:p>
        </w:tc>
        <w:tc>
          <w:tcPr>
            <w:tcW w:w="3460" w:type="dxa"/>
            <w:vAlign w:val="bottom"/>
            <w:gridSpan w:val="3"/>
          </w:tcPr>
          <w:p>
            <w:pPr>
              <w:jc w:val="right"/>
              <w:ind w:right="120"/>
              <w:spacing w:after="0"/>
              <w:rPr>
                <w:sz w:val="20"/>
                <w:szCs w:val="20"/>
                <w:color w:val="auto"/>
              </w:rPr>
            </w:pPr>
            <w:r>
              <w:rPr>
                <w:rFonts w:ascii="Arial" w:cs="Arial" w:eastAsia="Arial" w:hAnsi="Arial"/>
                <w:sz w:val="17"/>
                <w:szCs w:val="17"/>
                <w:color w:val="auto"/>
              </w:rPr>
              <w:t>818</w:t>
            </w:r>
          </w:p>
        </w:tc>
        <w:tc>
          <w:tcPr>
            <w:tcW w:w="5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Notes payable, current portion</w:t>
            </w:r>
          </w:p>
        </w:tc>
        <w:tc>
          <w:tcPr>
            <w:tcW w:w="2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1,023</w:t>
            </w: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Notes payable, noncurrent portion</w:t>
            </w:r>
          </w:p>
        </w:tc>
        <w:tc>
          <w:tcPr>
            <w:tcW w:w="27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4,793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3,853</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warrant liabilities</w:t>
            </w:r>
          </w:p>
        </w:tc>
        <w:tc>
          <w:tcPr>
            <w:tcW w:w="34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386</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569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1,800</w:t>
            </w: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Convertible preferred stock</w:t>
            </w:r>
          </w:p>
        </w:tc>
        <w:tc>
          <w:tcPr>
            <w:tcW w:w="3460" w:type="dxa"/>
            <w:vAlign w:val="bottom"/>
            <w:gridSpan w:val="3"/>
          </w:tcPr>
          <w:p>
            <w:pPr>
              <w:jc w:val="right"/>
              <w:ind w:right="120"/>
              <w:spacing w:after="0"/>
              <w:rPr>
                <w:sz w:val="20"/>
                <w:szCs w:val="20"/>
                <w:color w:val="auto"/>
              </w:rPr>
            </w:pPr>
            <w:r>
              <w:rPr>
                <w:rFonts w:ascii="Arial" w:cs="Arial" w:eastAsia="Arial" w:hAnsi="Arial"/>
                <w:sz w:val="17"/>
                <w:szCs w:val="17"/>
                <w:color w:val="auto"/>
              </w:rPr>
              <w:t>34,672</w:t>
            </w:r>
          </w:p>
        </w:tc>
        <w:tc>
          <w:tcPr>
            <w:tcW w:w="1600" w:type="dxa"/>
            <w:vAlign w:val="bottom"/>
            <w:gridSpan w:val="3"/>
          </w:tcPr>
          <w:p>
            <w:pPr>
              <w:jc w:val="right"/>
              <w:ind w:right="380"/>
              <w:spacing w:after="0"/>
              <w:rPr>
                <w:sz w:val="20"/>
                <w:szCs w:val="20"/>
                <w:color w:val="auto"/>
              </w:rPr>
            </w:pPr>
            <w:r>
              <w:rPr>
                <w:rFonts w:ascii="Arial" w:cs="Arial" w:eastAsia="Arial" w:hAnsi="Arial"/>
                <w:sz w:val="17"/>
                <w:szCs w:val="17"/>
                <w:color w:val="auto"/>
              </w:rPr>
              <w:t>36,828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77,516</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 (deficit)</w:t>
            </w:r>
          </w:p>
        </w:tc>
        <w:tc>
          <w:tcPr>
            <w:tcW w:w="34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(34,527)</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(30,835)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(31,935)</w:t>
            </w:r>
          </w:p>
        </w:tc>
      </w:tr>
      <w:tr>
        <w:trPr>
          <w:trHeight w:val="353"/>
        </w:trPr>
        <w:tc>
          <w:tcPr>
            <w:tcW w:w="4180" w:type="dxa"/>
            <w:vAlign w:val="bottom"/>
          </w:tcPr>
          <w:p>
            <w:pPr>
              <w:spacing w:after="0"/>
              <w:rPr>
                <w:sz w:val="24"/>
                <w:szCs w:val="24"/>
                <w:color w:val="auto"/>
              </w:rPr>
            </w:pPr>
          </w:p>
        </w:tc>
        <w:tc>
          <w:tcPr>
            <w:tcW w:w="2700" w:type="dxa"/>
            <w:vAlign w:val="bottom"/>
          </w:tcPr>
          <w:p>
            <w:pPr>
              <w:jc w:val="right"/>
              <w:ind w:right="1453"/>
              <w:spacing w:after="0"/>
              <w:rPr>
                <w:sz w:val="20"/>
                <w:szCs w:val="20"/>
                <w:color w:val="auto"/>
              </w:rPr>
            </w:pPr>
            <w:r>
              <w:rPr>
                <w:rFonts w:ascii="Arial" w:cs="Arial" w:eastAsia="Arial" w:hAnsi="Arial"/>
                <w:sz w:val="17"/>
                <w:szCs w:val="17"/>
                <w:color w:val="auto"/>
              </w:rPr>
              <w:t>59</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49" w:right="2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2" w:lineRule="exact"/>
        <w:rPr>
          <w:sz w:val="20"/>
          <w:szCs w:val="20"/>
          <w:color w:val="auto"/>
        </w:rPr>
      </w:pPr>
    </w:p>
    <w:p>
      <w:pPr>
        <w:ind w:right="280" w:firstLine="457"/>
        <w:spacing w:after="0" w:line="28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right="120" w:firstLine="457"/>
        <w:spacing w:after="0" w:line="279" w:lineRule="auto"/>
        <w:rPr>
          <w:sz w:val="20"/>
          <w:szCs w:val="20"/>
          <w:color w:val="auto"/>
        </w:rPr>
      </w:pPr>
      <w:r>
        <w:rPr>
          <w:rFonts w:ascii="Arial" w:cs="Arial" w:eastAsia="Arial" w:hAnsi="Arial"/>
          <w:sz w:val="16"/>
          <w:szCs w:val="16"/>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antibody programs, ANB020 and ANB019, bind to therapeutic targets that are genetically associated with severe inflammatory disorders. ANB020 is an antibody that inhibits the activity of interleukin-33 for the treatment of severe adult asthma and severe adult peanut allergy. We submitted a Clinical Trial Notification, or CTN, in Australia for ANB020 in December 2015 and plan to initiate clinical trials in the first half of 2016. ANB019 is an antibody that inhibits the interleukin-36 receptor for the treatment of rare inflammatory diseases called generalized pustular psoriasis and palmo-plantar pustular psoriasis. We plan to submit a CTN and commence clinical trials for ANB019 by the end of 2016.</w:t>
      </w:r>
    </w:p>
    <w:p>
      <w:pPr>
        <w:spacing w:after="0" w:line="170" w:lineRule="exact"/>
        <w:rPr>
          <w:sz w:val="20"/>
          <w:szCs w:val="20"/>
          <w:color w:val="auto"/>
        </w:rPr>
      </w:pPr>
    </w:p>
    <w:p>
      <w:pPr>
        <w:ind w:right="40" w:firstLine="457"/>
        <w:spacing w:after="0" w:line="297" w:lineRule="auto"/>
        <w:rPr>
          <w:sz w:val="20"/>
          <w:szCs w:val="20"/>
          <w:color w:val="auto"/>
        </w:rPr>
      </w:pPr>
      <w:r>
        <w:rPr>
          <w:rFonts w:ascii="Arial" w:cs="Arial" w:eastAsia="Arial" w:hAnsi="Arial"/>
          <w:sz w:val="16"/>
          <w:szCs w:val="16"/>
          <w:color w:val="auto"/>
        </w:rPr>
        <w:t>Our company is led by a strong management team with a proven track record of successfully growing biotechnology companies with deep experience in antibody discovery and development, collaborations, operations and corporate finance. Through November 30, 2015, we have raised $94.2 million from investors, including Biotechnology Value Fund, Cormorant Asset Management, Frazier Healthcare, HBM Partners, Longwood Capital Partners and Novo A/S.</w:t>
      </w:r>
    </w:p>
    <w:p>
      <w:pPr>
        <w:spacing w:after="0" w:line="155" w:lineRule="exact"/>
        <w:rPr>
          <w:sz w:val="20"/>
          <w:szCs w:val="20"/>
          <w:color w:val="auto"/>
        </w:rPr>
      </w:pPr>
    </w:p>
    <w:p>
      <w:pPr>
        <w:ind w:right="240" w:firstLine="457"/>
        <w:spacing w:after="0" w:line="273" w:lineRule="auto"/>
        <w:rPr>
          <w:sz w:val="20"/>
          <w:szCs w:val="20"/>
          <w:color w:val="auto"/>
        </w:rPr>
      </w:pPr>
      <w:r>
        <w:rPr>
          <w:rFonts w:ascii="Arial" w:cs="Arial" w:eastAsia="Arial" w:hAnsi="Arial"/>
          <w:sz w:val="17"/>
          <w:szCs w:val="17"/>
          <w:color w:val="auto"/>
        </w:rPr>
        <w:t>In addition to our wholly-owned antibody programs, we expect four programs will be advanced by our collaborators to the clinic by the end of 2016. Our collaborations include an immuno-oncology-focused collaboration with TESARO and an inflammation-focused collaboration with Celgene. Through November 30, 2015, we have received non-dilutive funding of $51.6 million from our collaborators.</w:t>
      </w:r>
    </w:p>
    <w:p>
      <w:pPr>
        <w:spacing w:after="0" w:line="171"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71"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We have generated multiple antibodies by using our SHM-XEL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71"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We have incurred losses in each period since our inception in 2005, except for 2014 in which we received $19.0 million from two upfront payments and recognized revenue of $11.5 million during 2014 following the execution of our strategic collaboration with TESARO. Accordingly, for the year ended December 31, 2014 we reported net income of $3.5 million. As of September 30, 2015, we had an accumulated deficit of $47.2 million. We expect to continue to incur net operating losses for at least the next several years as we advance our products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00"/>
          </w:cols>
          <w:pgMar w:left="240" w:top="449" w:right="2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19"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Collaboration and Exclusive License Agreement with TESARO</w:t>
      </w:r>
    </w:p>
    <w:p>
      <w:pPr>
        <w:spacing w:after="0" w:line="119"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In March 2014, we entered into an exclusive worldwide license and collaboration agreement with TESARO for the development and commercialization of therapeutic monospecific and bispecific antibodies that antagonize PD-1, TIM-3 and/or LAG-3.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as revenue through March 2016, which is the same period that our research and development services, for which we are reimbursed, are performed. From inception of the agreement through September 30, 2015, we have recognized $25.0 million in total revenue from TESARO.</w:t>
      </w:r>
    </w:p>
    <w:p>
      <w:pPr>
        <w:spacing w:after="0" w:line="181"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 xml:space="preserve">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 In June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good laboratory practices for the anti-PD-1 antagonist antibody resulting in us receiving a $1.0 million milestone in July 2015. In October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good laboratory practices for the anti-TIM-3 antagonist antibody resulting in us receiving a $1.0 million milestone in November 2015. We expect to receive an additional aggregate of $13.0 million in preclinical and IND-related milestone payments by the end of 2016 based upon further development of the targets mentioned above.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Antibody Generation Agreement with Celgene Corporation</w:t>
      </w:r>
    </w:p>
    <w:p>
      <w:pPr>
        <w:spacing w:after="0" w:line="119" w:lineRule="exact"/>
        <w:rPr>
          <w:sz w:val="20"/>
          <w:szCs w:val="20"/>
          <w:color w:val="auto"/>
        </w:rPr>
      </w:pPr>
    </w:p>
    <w:p>
      <w:pPr>
        <w:jc w:val="both"/>
        <w:ind w:right="480" w:firstLine="457"/>
        <w:spacing w:after="0" w:line="325" w:lineRule="auto"/>
        <w:rPr>
          <w:sz w:val="20"/>
          <w:szCs w:val="20"/>
          <w:color w:val="auto"/>
        </w:rPr>
      </w:pPr>
      <w:r>
        <w:rPr>
          <w:rFonts w:ascii="Arial" w:cs="Arial" w:eastAsia="Arial" w:hAnsi="Arial"/>
          <w:sz w:val="15"/>
          <w:szCs w:val="15"/>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37" w:lineRule="exact"/>
        <w:rPr>
          <w:sz w:val="20"/>
          <w:szCs w:val="20"/>
          <w:color w:val="auto"/>
        </w:rPr>
      </w:pPr>
    </w:p>
    <w:p>
      <w:pPr>
        <w:ind w:right="140" w:firstLine="457"/>
        <w:spacing w:after="0" w:line="289" w:lineRule="auto"/>
        <w:rPr>
          <w:sz w:val="20"/>
          <w:szCs w:val="20"/>
          <w:color w:val="auto"/>
        </w:rPr>
      </w:pPr>
      <w:r>
        <w:rPr>
          <w:rFonts w:ascii="Arial" w:cs="Arial" w:eastAsia="Arial" w:hAnsi="Arial"/>
          <w:sz w:val="16"/>
          <w:szCs w:val="16"/>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September 30, 2015, we have recognized $8.5 million in total revenue from Celgene. For one of the two programs being advanced by Celgene, we expect to receive up to an aggregate of $1.5 million in preclinical and IND-related milestone payments by the end of 2016.</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49" w:right="2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Other Collaborative Agreements</w:t>
      </w:r>
    </w:p>
    <w:p>
      <w:pPr>
        <w:spacing w:after="0" w:line="119" w:lineRule="exact"/>
        <w:rPr>
          <w:sz w:val="20"/>
          <w:szCs w:val="20"/>
          <w:color w:val="auto"/>
        </w:rPr>
      </w:pPr>
    </w:p>
    <w:p>
      <w:pPr>
        <w:ind w:right="420" w:firstLine="457"/>
        <w:spacing w:after="0" w:line="289" w:lineRule="auto"/>
        <w:rPr>
          <w:sz w:val="20"/>
          <w:szCs w:val="20"/>
          <w:color w:val="auto"/>
        </w:rPr>
      </w:pPr>
      <w:r>
        <w:rPr>
          <w:rFonts w:ascii="Arial" w:cs="Arial" w:eastAsia="Arial" w:hAnsi="Arial"/>
          <w:sz w:val="17"/>
          <w:szCs w:val="17"/>
          <w:color w:val="auto"/>
        </w:rPr>
        <w:t>We are party to other collaboration agreements for which in 2013 and 2014 we recognized $1.7 million and $3.7 million, respectively, in collaboration revenue. We have completed our obligations under these agreements and do not anticipate any additional revenue from them.</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9" w:lineRule="exact"/>
        <w:rPr>
          <w:sz w:val="20"/>
          <w:szCs w:val="20"/>
          <w:color w:val="auto"/>
        </w:rPr>
      </w:pPr>
    </w:p>
    <w:p>
      <w:pPr>
        <w:ind w:right="700" w:firstLine="457"/>
        <w:spacing w:after="0" w:line="289"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66" w:lineRule="exact"/>
        <w:rPr>
          <w:sz w:val="20"/>
          <w:szCs w:val="20"/>
          <w:color w:val="auto"/>
        </w:rPr>
      </w:pPr>
    </w:p>
    <w:p>
      <w:pPr>
        <w:ind w:left="900" w:right="240" w:hanging="332"/>
        <w:spacing w:after="0" w:line="289"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third-parties, such as CROs, consultants, members of our scientific and therapeutic advisory boards, and clinical manufacturers;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travel and stock-based compensation;</w:t>
      </w:r>
    </w:p>
    <w:p>
      <w:pPr>
        <w:spacing w:after="0" w:line="131" w:lineRule="exact"/>
        <w:rPr>
          <w:rFonts w:ascii="Arial" w:cs="Arial" w:eastAsia="Arial" w:hAnsi="Arial"/>
          <w:sz w:val="17"/>
          <w:szCs w:val="17"/>
          <w:color w:val="auto"/>
        </w:rPr>
      </w:pPr>
    </w:p>
    <w:p>
      <w:pPr>
        <w:ind w:left="900" w:right="120" w:hanging="332"/>
        <w:spacing w:after="0" w:line="289"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License and sublicense fees.</w:t>
      </w:r>
    </w:p>
    <w:p>
      <w:pPr>
        <w:spacing w:after="0" w:line="224"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58" w:lineRule="exact"/>
        <w:rPr>
          <w:sz w:val="20"/>
          <w:szCs w:val="20"/>
          <w:color w:val="auto"/>
        </w:rPr>
      </w:pPr>
    </w:p>
    <w:p>
      <w:pPr>
        <w:ind w:right="60" w:firstLine="457"/>
        <w:spacing w:after="0" w:line="289"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61" w:lineRule="exact"/>
        <w:rPr>
          <w:sz w:val="20"/>
          <w:szCs w:val="20"/>
          <w:color w:val="auto"/>
        </w:rPr>
      </w:pPr>
    </w:p>
    <w:p>
      <w:pPr>
        <w:ind w:right="20" w:firstLine="457"/>
        <w:spacing w:after="0" w:line="297" w:lineRule="auto"/>
        <w:rPr>
          <w:sz w:val="20"/>
          <w:szCs w:val="20"/>
          <w:color w:val="auto"/>
        </w:rPr>
      </w:pPr>
      <w:r>
        <w:rPr>
          <w:rFonts w:ascii="Arial" w:cs="Arial" w:eastAsia="Arial" w:hAnsi="Arial"/>
          <w:sz w:val="16"/>
          <w:szCs w:val="16"/>
          <w:color w:val="auto"/>
        </w:rPr>
        <w:t>We are planning to conduct initial clinical trials in Australia to rapidly enter into first-in-human studies for ANB020 and ANB019 and benefit from research and development-related financial incentives related to the development of ANB020 and ANB019. Taking into account any financial incentives, we expect our research and development expenses to be higher in 2015 and 2016 as we advance our product candidates into clinical development.</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19"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9"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Interest expense consists of stated interest and amortization of discounts on our outstanding notes payable relating to our Loan and Security Agreement with Oxford Finance LLC and Silicon Valley Bank, which we refer to as the Loan Agreement.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380"/>
          </w:cols>
          <w:pgMar w:left="240" w:top="449" w:right="27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Liability for Preferred Stock Warrants</w:t>
      </w:r>
    </w:p>
    <w:p>
      <w:pPr>
        <w:spacing w:after="0" w:line="119" w:lineRule="exact"/>
        <w:rPr>
          <w:sz w:val="20"/>
          <w:szCs w:val="20"/>
          <w:color w:val="auto"/>
        </w:rPr>
      </w:pPr>
    </w:p>
    <w:p>
      <w:pPr>
        <w:jc w:val="both"/>
        <w:ind w:right="60" w:firstLine="457"/>
        <w:spacing w:after="0" w:line="267" w:lineRule="auto"/>
        <w:rPr>
          <w:sz w:val="20"/>
          <w:szCs w:val="20"/>
          <w:color w:val="auto"/>
        </w:rPr>
      </w:pPr>
      <w:r>
        <w:rPr>
          <w:rFonts w:ascii="Arial" w:cs="Arial" w:eastAsia="Arial" w:hAnsi="Arial"/>
          <w:sz w:val="17"/>
          <w:szCs w:val="17"/>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 convert into warrants to purchase shares of common stock, the preferred stock warrant liabilities will be reclassified to additional paid-in capital and periodic fair value adjustments will no longer be recorded.</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Operating Loss and Research and Development Tax Credit Carryforwards</w:t>
      </w:r>
    </w:p>
    <w:p>
      <w:pPr>
        <w:spacing w:after="0" w:line="119"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From our inception to December 31, 2013, we accumulated net operating losses, or NOLs. For the year ended December 31, 2014, we generated net income of $3.5 million primarily as a result of our collaboration agreement with TESARO. While we utilized NOLs in 2014, we continue to have a valuation allowance against our net deferred tax assets due to the uncertainty surrounding the realization of such assets.</w:t>
      </w:r>
    </w:p>
    <w:p>
      <w:pPr>
        <w:spacing w:after="0" w:line="171" w:lineRule="exact"/>
        <w:rPr>
          <w:sz w:val="20"/>
          <w:szCs w:val="20"/>
          <w:color w:val="auto"/>
        </w:rPr>
      </w:pPr>
    </w:p>
    <w:p>
      <w:pPr>
        <w:jc w:val="both"/>
        <w:ind w:right="320" w:firstLine="457"/>
        <w:spacing w:after="0" w:line="297" w:lineRule="auto"/>
        <w:rPr>
          <w:sz w:val="20"/>
          <w:szCs w:val="20"/>
          <w:color w:val="auto"/>
        </w:rPr>
      </w:pPr>
      <w:r>
        <w:rPr>
          <w:rFonts w:ascii="Arial" w:cs="Arial" w:eastAsia="Arial" w:hAnsi="Arial"/>
          <w:sz w:val="16"/>
          <w:szCs w:val="16"/>
          <w:color w:val="auto"/>
        </w:rPr>
        <w:t>At December 31, 2014, we had federal and state NOL carryforwards of $41.4 million each. The federal and state NOLs will begin to expire in 2027 and 2017, respectively, unless previously utilized. At December 31, 2014 we had federal and California research tax credit carryforwards of $1.6 million and $1.4 million, respectively. The federal research tax credit carryforward will begin to expire in 2026 and the California state credits carry forward indefinitely.</w:t>
      </w:r>
    </w:p>
    <w:p>
      <w:pPr>
        <w:spacing w:after="0" w:line="155"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The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an IRC Section 382/383 analysis through December 31, 2014 and determined that there was an ownership change in 2007 that may limit the utilization of approximately $5.3 million and $5.4 million in Federal and state NOLs, respectively, and $0.2 million in both Federal and state research tax credits. If a change in ownership occurs as a result of this offering, additional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125"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82" w:lineRule="exact"/>
        <w:rPr>
          <w:sz w:val="20"/>
          <w:szCs w:val="20"/>
          <w:color w:val="auto"/>
        </w:rPr>
      </w:pPr>
    </w:p>
    <w:p>
      <w:pPr>
        <w:ind w:right="320" w:firstLine="457"/>
        <w:spacing w:after="0" w:line="32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449" w:right="2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ind w:right="100" w:firstLine="457"/>
        <w:spacing w:after="0" w:line="297"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55"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 represents a</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61"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We recognize consideration allocated to an individual element when all other revenue recognition criteria are met for that element. Our multiple-element revenue arrangements may include the following:</w:t>
      </w:r>
    </w:p>
    <w:p>
      <w:pPr>
        <w:spacing w:after="0" w:line="66" w:lineRule="exact"/>
        <w:rPr>
          <w:sz w:val="20"/>
          <w:szCs w:val="20"/>
          <w:color w:val="auto"/>
        </w:rPr>
      </w:pPr>
    </w:p>
    <w:p>
      <w:pPr>
        <w:ind w:left="900" w:right="160" w:hanging="332"/>
        <w:spacing w:after="0" w:line="314"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53" w:lineRule="exact"/>
        <w:rPr>
          <w:rFonts w:ascii="Arial" w:cs="Arial" w:eastAsia="Arial" w:hAnsi="Arial"/>
          <w:sz w:val="15"/>
          <w:szCs w:val="15"/>
          <w:color w:val="auto"/>
        </w:rPr>
      </w:pPr>
    </w:p>
    <w:p>
      <w:pPr>
        <w:ind w:left="900" w:right="20" w:hanging="332"/>
        <w:spacing w:after="0" w:line="285"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6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81"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66" w:lineRule="exact"/>
        <w:rPr>
          <w:sz w:val="20"/>
          <w:szCs w:val="20"/>
          <w:color w:val="auto"/>
        </w:rPr>
      </w:pPr>
    </w:p>
    <w:p>
      <w:pPr>
        <w:ind w:left="900" w:right="340" w:hanging="332"/>
        <w:spacing w:after="0" w:line="289"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consideration relates solely to past performance;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consideration is reasonable relative to all of the deliverables and payment terms within the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00"/>
          </w:cols>
          <w:pgMar w:left="240" w:top="449" w:right="2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60" w:firstLine="457"/>
        <w:spacing w:after="0" w:line="289" w:lineRule="auto"/>
        <w:rPr>
          <w:sz w:val="20"/>
          <w:szCs w:val="20"/>
          <w:color w:val="auto"/>
        </w:rPr>
      </w:pPr>
      <w:r>
        <w:rPr>
          <w:rFonts w:ascii="Arial" w:cs="Arial" w:eastAsia="Arial" w:hAnsi="Arial"/>
          <w:sz w:val="17"/>
          <w:szCs w:val="17"/>
          <w:color w:val="auto"/>
        </w:rPr>
        <w:t>Milestones that are not considered substantive are generally recognized in the same manner as the undelivered item(s), which is generally the period over which we provide research and development services.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9" w:lineRule="exact"/>
        <w:rPr>
          <w:sz w:val="20"/>
          <w:szCs w:val="20"/>
          <w:color w:val="auto"/>
        </w:rPr>
      </w:pPr>
    </w:p>
    <w:p>
      <w:pPr>
        <w:ind w:right="60" w:firstLine="457"/>
        <w:spacing w:after="0" w:line="302" w:lineRule="auto"/>
        <w:rPr>
          <w:sz w:val="20"/>
          <w:szCs w:val="20"/>
          <w:color w:val="auto"/>
        </w:rPr>
      </w:pPr>
      <w:r>
        <w:rPr>
          <w:rFonts w:ascii="Arial" w:cs="Arial" w:eastAsia="Arial" w:hAnsi="Arial"/>
          <w:sz w:val="15"/>
          <w:szCs w:val="15"/>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5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8" w:lineRule="exact"/>
        <w:rPr>
          <w:sz w:val="20"/>
          <w:szCs w:val="20"/>
          <w:color w:val="auto"/>
        </w:rPr>
      </w:pPr>
    </w:p>
    <w:p>
      <w:pPr>
        <w:jc w:val="both"/>
        <w:ind w:right="440" w:firstLine="457"/>
        <w:spacing w:after="0" w:line="297"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79" w:lineRule="exact"/>
        <w:rPr>
          <w:sz w:val="20"/>
          <w:szCs w:val="20"/>
          <w:color w:val="auto"/>
        </w:rPr>
      </w:pPr>
    </w:p>
    <w:p>
      <w:pPr>
        <w:ind w:left="900" w:right="140" w:hanging="332"/>
        <w:spacing w:after="0" w:line="32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fair value of the underlying common shares</w:t>
      </w:r>
      <w:r>
        <w:rPr>
          <w:rFonts w:ascii="Arial" w:cs="Arial" w:eastAsia="Arial" w:hAnsi="Arial"/>
          <w:sz w:val="16"/>
          <w:szCs w:val="16"/>
          <w:color w:val="auto"/>
        </w:rPr>
        <w:t>, as approved by our board of directors, which was determined using the option-pricing method, or OPM,</w:t>
      </w:r>
      <w:r>
        <w:rPr>
          <w:rFonts w:ascii="Arial" w:cs="Arial" w:eastAsia="Arial" w:hAnsi="Arial"/>
          <w:sz w:val="16"/>
          <w:szCs w:val="16"/>
          <w:i w:val="1"/>
          <w:iCs w:val="1"/>
          <w:color w:val="auto"/>
        </w:rPr>
        <w:t xml:space="preserve"> </w:t>
      </w:r>
      <w:r>
        <w:rPr>
          <w:rFonts w:ascii="Arial" w:cs="Arial" w:eastAsia="Arial" w:hAnsi="Arial"/>
          <w:sz w:val="16"/>
          <w:szCs w:val="16"/>
          <w:color w:val="auto"/>
        </w:rPr>
        <w:t>in periods through December 31, 2014, and the probability-weighted expected return method, or PWERM, beginning March 31, 2015;</w:t>
      </w:r>
    </w:p>
    <w:p>
      <w:pPr>
        <w:spacing w:after="0" w:line="43" w:lineRule="exact"/>
        <w:rPr>
          <w:rFonts w:ascii="Arial" w:cs="Arial" w:eastAsia="Arial" w:hAnsi="Arial"/>
          <w:sz w:val="16"/>
          <w:szCs w:val="16"/>
          <w:color w:val="auto"/>
        </w:rPr>
      </w:pPr>
    </w:p>
    <w:p>
      <w:pPr>
        <w:ind w:left="900" w:right="40" w:hanging="332"/>
        <w:spacing w:after="0" w:line="289"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which is based on observed interest rates appropriate for the expected term of the stock option grants, historically U.S.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constant maturities;</w:t>
      </w:r>
    </w:p>
    <w:p>
      <w:pPr>
        <w:spacing w:after="0" w:line="66" w:lineRule="exact"/>
        <w:rPr>
          <w:rFonts w:ascii="Arial" w:cs="Arial" w:eastAsia="Arial" w:hAnsi="Arial"/>
          <w:sz w:val="17"/>
          <w:szCs w:val="17"/>
          <w:color w:val="auto"/>
        </w:rPr>
      </w:pPr>
    </w:p>
    <w:p>
      <w:pPr>
        <w:ind w:left="900" w:right="240" w:hanging="332"/>
        <w:spacing w:after="0" w:line="273"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which is calculated based on reported volatility data for a representative peer group of publicly traded biotechnology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historical information is available. Because we are privately held as of the date of these financial statements, we do not have relevant historical data to support our expected volatility;</w:t>
      </w:r>
    </w:p>
    <w:p>
      <w:pPr>
        <w:spacing w:after="0" w:line="79" w:lineRule="exact"/>
        <w:rPr>
          <w:rFonts w:ascii="Arial" w:cs="Arial" w:eastAsia="Arial" w:hAnsi="Arial"/>
          <w:sz w:val="17"/>
          <w:szCs w:val="17"/>
          <w:color w:val="auto"/>
        </w:rPr>
      </w:pPr>
    </w:p>
    <w:p>
      <w:pPr>
        <w:ind w:left="5620" w:hanging="5052"/>
        <w:spacing w:after="0" w:line="466" w:lineRule="auto"/>
        <w:tabs>
          <w:tab w:leader="none" w:pos="889"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which is zero as we have never paid cash dividends and do not expect to pay any cash dividends in the foreseeable future; and</w:t>
      </w:r>
      <w:r>
        <w:rPr>
          <w:rFonts w:ascii="Arial" w:cs="Arial" w:eastAsia="Arial" w:hAnsi="Arial"/>
          <w:sz w:val="17"/>
          <w:szCs w:val="17"/>
          <w:i w:val="1"/>
          <w:iCs w:val="1"/>
          <w:color w:val="auto"/>
        </w:rPr>
        <w:t xml:space="preserve"> </w:t>
      </w:r>
      <w:r>
        <w:rPr>
          <w:rFonts w:ascii="Arial" w:cs="Arial" w:eastAsia="Arial" w:hAnsi="Arial"/>
          <w:sz w:val="17"/>
          <w:szCs w:val="17"/>
          <w:color w:val="auto"/>
        </w:rPr>
        <w:t>65</w:t>
      </w:r>
    </w:p>
    <w:p>
      <w:pPr>
        <w:sectPr>
          <w:pgSz w:w="11900" w:h="16838" w:orient="portrait"/>
          <w:cols w:equalWidth="0" w:num="1">
            <w:col w:w="11420"/>
          </w:cols>
          <w:pgMar w:left="240" w:top="449"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200" w:hanging="332"/>
        <w:spacing w:after="0" w:line="273"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which we calculate using the simplified method, which defines the life as the average of the contractual term of the options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vesting period for all option tranches, as we have insufficient historical information regarding our stock options to provide a basis for an estimate.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computed the fair value of stock options at the date of grant using the following assumptions:</w:t>
      </w:r>
    </w:p>
    <w:p>
      <w:pPr>
        <w:spacing w:after="0" w:line="24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100" w:type="dxa"/>
            <w:vAlign w:val="bottom"/>
          </w:tcPr>
          <w:p>
            <w:pPr>
              <w:spacing w:after="0"/>
              <w:rPr>
                <w:sz w:val="14"/>
                <w:szCs w:val="14"/>
                <w:color w:val="auto"/>
              </w:rPr>
            </w:pPr>
          </w:p>
        </w:tc>
        <w:tc>
          <w:tcPr>
            <w:tcW w:w="25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r>
      <w:tr>
        <w:trPr>
          <w:trHeight w:val="137"/>
        </w:trPr>
        <w:tc>
          <w:tcPr>
            <w:tcW w:w="610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9"/>
              <w:spacing w:after="0" w:line="137" w:lineRule="exact"/>
              <w:rPr>
                <w:sz w:val="20"/>
                <w:szCs w:val="20"/>
                <w:color w:val="auto"/>
              </w:rPr>
            </w:pPr>
            <w:r>
              <w:rPr>
                <w:rFonts w:ascii="Arial" w:cs="Arial" w:eastAsia="Arial" w:hAnsi="Arial"/>
                <w:sz w:val="14"/>
                <w:szCs w:val="14"/>
                <w:b w:val="1"/>
                <w:bCs w:val="1"/>
                <w:color w:val="auto"/>
              </w:rPr>
              <w:t>2013</w:t>
            </w:r>
          </w:p>
        </w:tc>
        <w:tc>
          <w:tcPr>
            <w:tcW w:w="1100" w:type="dxa"/>
            <w:vAlign w:val="bottom"/>
            <w:tcBorders>
              <w:top w:val="single" w:sz="8" w:color="auto"/>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16"/>
              <w:spacing w:after="0" w:line="137"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1"/>
                <w:szCs w:val="11"/>
                <w:color w:val="auto"/>
              </w:rPr>
            </w:pPr>
          </w:p>
        </w:tc>
      </w:tr>
      <w:tr>
        <w:trPr>
          <w:trHeight w:val="203"/>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72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1.5%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r>
      <w:tr>
        <w:trPr>
          <w:trHeight w:val="210"/>
        </w:trPr>
        <w:tc>
          <w:tcPr>
            <w:tcW w:w="6100" w:type="dxa"/>
            <w:vAlign w:val="bottom"/>
          </w:tcPr>
          <w:p>
            <w:pPr>
              <w:spacing w:after="0"/>
              <w:rPr>
                <w:sz w:val="20"/>
                <w:szCs w:val="20"/>
                <w:color w:val="auto"/>
              </w:rPr>
            </w:pPr>
            <w:r>
              <w:rPr>
                <w:rFonts w:ascii="Arial" w:cs="Arial" w:eastAsia="Arial" w:hAnsi="Arial"/>
                <w:sz w:val="17"/>
                <w:szCs w:val="17"/>
                <w:color w:val="auto"/>
              </w:rPr>
              <w:t>Expected volatility</w:t>
            </w:r>
          </w:p>
        </w:tc>
        <w:tc>
          <w:tcPr>
            <w:tcW w:w="1720" w:type="dxa"/>
            <w:vAlign w:val="bottom"/>
            <w:gridSpan w:val="2"/>
          </w:tcPr>
          <w:p>
            <w:pPr>
              <w:jc w:val="right"/>
              <w:ind w:right="960"/>
              <w:spacing w:after="0"/>
              <w:rPr>
                <w:sz w:val="20"/>
                <w:szCs w:val="20"/>
                <w:color w:val="auto"/>
              </w:rPr>
            </w:pPr>
            <w:r>
              <w:rPr>
                <w:rFonts w:ascii="Arial" w:cs="Arial" w:eastAsia="Arial" w:hAnsi="Arial"/>
                <w:sz w:val="17"/>
                <w:szCs w:val="17"/>
                <w:color w:val="auto"/>
              </w:rPr>
              <w:t>72.5%</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66.8%</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172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r>
      <w:tr>
        <w:trPr>
          <w:trHeight w:val="222"/>
        </w:trPr>
        <w:tc>
          <w:tcPr>
            <w:tcW w:w="6100" w:type="dxa"/>
            <w:vAlign w:val="bottom"/>
          </w:tcPr>
          <w:p>
            <w:pPr>
              <w:spacing w:after="0"/>
              <w:rPr>
                <w:sz w:val="20"/>
                <w:szCs w:val="20"/>
                <w:color w:val="auto"/>
              </w:rPr>
            </w:pPr>
            <w:r>
              <w:rPr>
                <w:rFonts w:ascii="Arial" w:cs="Arial" w:eastAsia="Arial" w:hAnsi="Arial"/>
                <w:sz w:val="17"/>
                <w:szCs w:val="17"/>
                <w:color w:val="auto"/>
              </w:rPr>
              <w:t>Expected term (in years)</w:t>
            </w:r>
          </w:p>
        </w:tc>
        <w:tc>
          <w:tcPr>
            <w:tcW w:w="620" w:type="dxa"/>
            <w:vAlign w:val="bottom"/>
          </w:tcPr>
          <w:p>
            <w:pPr>
              <w:jc w:val="right"/>
              <w:spacing w:after="0"/>
              <w:rPr>
                <w:sz w:val="20"/>
                <w:szCs w:val="20"/>
                <w:color w:val="auto"/>
              </w:rPr>
            </w:pPr>
            <w:r>
              <w:rPr>
                <w:rFonts w:ascii="Arial" w:cs="Arial" w:eastAsia="Arial" w:hAnsi="Arial"/>
                <w:sz w:val="17"/>
                <w:szCs w:val="17"/>
                <w:color w:val="auto"/>
              </w:rPr>
              <w:t>6.1</w:t>
            </w:r>
          </w:p>
        </w:tc>
        <w:tc>
          <w:tcPr>
            <w:tcW w:w="1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6.1</w:t>
            </w:r>
          </w:p>
        </w:tc>
      </w:tr>
    </w:tbl>
    <w:p>
      <w:pPr>
        <w:spacing w:after="0" w:line="185"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Stock-based compensation expense related to unvested stock option grants not yet recognized as of September 30, 2015 was $3.9 million and the weighted average period over which these grants are expected to vest is 3.7 years. We expect to continue to grant stock options in the future, and to the extent we do, our actual stock-based compensation expense recognized in future periods will likely increase.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Valuations</w:t>
      </w:r>
    </w:p>
    <w:p>
      <w:pPr>
        <w:spacing w:after="0" w:line="119"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Select Market.</w:t>
      </w:r>
    </w:p>
    <w:p>
      <w:pPr>
        <w:spacing w:after="0" w:line="181" w:lineRule="exact"/>
        <w:rPr>
          <w:sz w:val="20"/>
          <w:szCs w:val="20"/>
          <w:color w:val="auto"/>
        </w:rPr>
      </w:pPr>
    </w:p>
    <w:p>
      <w:pPr>
        <w:jc w:val="both"/>
        <w:ind w:right="520" w:firstLine="457"/>
        <w:spacing w:after="0" w:line="297" w:lineRule="auto"/>
        <w:rPr>
          <w:sz w:val="20"/>
          <w:szCs w:val="20"/>
          <w:color w:val="auto"/>
        </w:rPr>
      </w:pPr>
      <w:r>
        <w:rPr>
          <w:rFonts w:ascii="Arial" w:cs="Arial" w:eastAsia="Arial" w:hAnsi="Arial"/>
          <w:sz w:val="16"/>
          <w:szCs w:val="16"/>
          <w:b w:val="1"/>
          <w:bCs w:val="1"/>
          <w:i w:val="1"/>
          <w:iCs w:val="1"/>
          <w:color w:val="auto"/>
        </w:rPr>
        <w:t xml:space="preserve">Common Stock Valuation Methodologies. </w:t>
      </w:r>
      <w:r>
        <w:rPr>
          <w:rFonts w:ascii="Arial" w:cs="Arial" w:eastAsia="Arial" w:hAnsi="Arial"/>
          <w:sz w:val="16"/>
          <w:szCs w:val="16"/>
          <w:color w:val="auto"/>
        </w:rPr>
        <w:t>Our contemporaneous and retrospective valuations were prepared in accordance with the guidelines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55"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73" w:lineRule="exact"/>
        <w:rPr>
          <w:sz w:val="20"/>
          <w:szCs w:val="20"/>
          <w:color w:val="auto"/>
        </w:rPr>
      </w:pPr>
    </w:p>
    <w:p>
      <w:pPr>
        <w:ind w:left="900" w:hanging="332"/>
        <w:spacing w:after="0" w:line="265"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Guideline Public Company Method. </w:t>
      </w:r>
      <w:r>
        <w:rPr>
          <w:rFonts w:ascii="Arial" w:cs="Arial" w:eastAsia="Arial" w:hAnsi="Arial"/>
          <w:sz w:val="17"/>
          <w:szCs w:val="17"/>
          <w:color w:val="auto"/>
        </w:rPr>
        <w:t>The guideline public company method, or GPC method, compares the subject company with guideline publicly</w:t>
      </w:r>
      <w:r>
        <w:rPr>
          <w:rFonts w:ascii="Arial" w:cs="Arial" w:eastAsia="Arial" w:hAnsi="Arial"/>
          <w:sz w:val="17"/>
          <w:szCs w:val="17"/>
          <w:b w:val="1"/>
          <w:bCs w:val="1"/>
          <w:color w:val="auto"/>
        </w:rPr>
        <w:t xml:space="preserve"> </w:t>
      </w:r>
      <w:r>
        <w:rPr>
          <w:rFonts w:ascii="Arial" w:cs="Arial" w:eastAsia="Arial" w:hAnsi="Arial"/>
          <w:sz w:val="17"/>
          <w:szCs w:val="17"/>
          <w:color w:val="auto"/>
        </w:rPr>
        <w:t>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79" w:lineRule="exact"/>
        <w:rPr>
          <w:rFonts w:ascii="Arial" w:cs="Arial" w:eastAsia="Arial" w:hAnsi="Arial"/>
          <w:sz w:val="17"/>
          <w:szCs w:val="17"/>
          <w:color w:val="auto"/>
        </w:rPr>
      </w:pPr>
    </w:p>
    <w:p>
      <w:pPr>
        <w:ind w:left="900" w:hanging="332"/>
        <w:spacing w:after="0" w:line="270"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Similar Transaction Method. </w:t>
      </w:r>
      <w:r>
        <w:rPr>
          <w:rFonts w:ascii="Arial" w:cs="Arial" w:eastAsia="Arial" w:hAnsi="Arial"/>
          <w:sz w:val="17"/>
          <w:szCs w:val="17"/>
          <w:color w:val="auto"/>
        </w:rPr>
        <w:t>The similar transaction method, or ST method, relies on data of actual transactions, such as mergers and acquisitions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initial public offerings, that have occurred in 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9"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b w:val="1"/>
          <w:bCs w:val="1"/>
          <w:i w:val="1"/>
          <w:iCs w:val="1"/>
          <w:color w:val="auto"/>
        </w:rPr>
        <w:t>Methods Used to Allocate Our Enterprise Value to Classes of Securities</w:t>
      </w:r>
      <w:r>
        <w:rPr>
          <w:rFonts w:ascii="Arial" w:cs="Arial" w:eastAsia="Arial" w:hAnsi="Arial"/>
          <w:sz w:val="17"/>
          <w:szCs w:val="17"/>
          <w:color w:val="auto"/>
        </w:rPr>
        <w:t>. In accordance with the Practice Aid, we considered the various methods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allocating the enterprise value across our classes and series of capital stock to determine the fair value of our common stock at each valuation date. The methods we utilized consisted of the following:</w:t>
      </w:r>
    </w:p>
    <w:p>
      <w:pPr>
        <w:spacing w:after="0" w:line="73" w:lineRule="exact"/>
        <w:rPr>
          <w:sz w:val="20"/>
          <w:szCs w:val="20"/>
          <w:color w:val="auto"/>
        </w:rPr>
      </w:pPr>
    </w:p>
    <w:p>
      <w:pPr>
        <w:ind w:left="900" w:right="140" w:hanging="332"/>
        <w:spacing w:after="0" w:line="330"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Option Pricing Method. </w:t>
      </w:r>
      <w:r>
        <w:rPr>
          <w:rFonts w:ascii="Arial" w:cs="Arial" w:eastAsia="Arial" w:hAnsi="Arial"/>
          <w:sz w:val="16"/>
          <w:szCs w:val="16"/>
          <w:color w:val="auto"/>
        </w:rPr>
        <w:t>Under OPM, shares are valued by creating a series of call options with exercise prices based on the liquidation preferences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conversion terms of each equity class. The values of the preferred and common stock are inferred by analyzing these options.</w:t>
      </w:r>
    </w:p>
    <w:p>
      <w:pPr>
        <w:spacing w:after="0" w:line="30" w:lineRule="exact"/>
        <w:rPr>
          <w:rFonts w:ascii="Arial" w:cs="Arial" w:eastAsia="Arial" w:hAnsi="Arial"/>
          <w:sz w:val="16"/>
          <w:szCs w:val="16"/>
          <w:color w:val="auto"/>
        </w:rPr>
      </w:pPr>
    </w:p>
    <w:p>
      <w:pPr>
        <w:jc w:val="both"/>
        <w:ind w:left="900" w:right="140" w:hanging="332"/>
        <w:spacing w:after="0" w:line="276"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Probability-Weighted Expected Return Method</w:t>
      </w:r>
      <w:r>
        <w:rPr>
          <w:rFonts w:ascii="Arial" w:cs="Arial" w:eastAsia="Arial" w:hAnsi="Arial"/>
          <w:sz w:val="17"/>
          <w:szCs w:val="17"/>
          <w:color w:val="auto"/>
        </w:rPr>
        <w:t>. PWERM is a scenario based analysis that estimates the value per share based on the probability-weighted present value of expected future investment returns, considering each of the possible outcomes available to us, as well as the economic and control rights of each share class.</w:t>
      </w:r>
    </w:p>
    <w:p>
      <w:pPr>
        <w:spacing w:after="0" w:line="170"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Our per share common stock value was estimated by allocating the equity value using the OPM at each valuation date up through December 31, 2014. Starting from our March 31, 2015 contemporaneous valuation, we used the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 Warrant Liabilities</w:t>
      </w:r>
    </w:p>
    <w:p>
      <w:pPr>
        <w:spacing w:after="0" w:line="119"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We account for warrants for shares of preferred stock with conversion features that provide for adjustments in the warrant price as derivative liabilities in the accompanying consolidated balance sheets at their fair value on 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78"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Pronouncements Recently Adopted</w:t>
      </w:r>
    </w:p>
    <w:p>
      <w:pPr>
        <w:spacing w:after="0" w:line="119"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 xml:space="preserve">In June 2014, the Financial Accounting Standards Board, or FASB, issued Accounting Standards Update, or ASU, No. 2014-10, </w:t>
      </w:r>
      <w:r>
        <w:rPr>
          <w:rFonts w:ascii="Arial" w:cs="Arial" w:eastAsia="Arial" w:hAnsi="Arial"/>
          <w:sz w:val="16"/>
          <w:szCs w:val="16"/>
          <w:i w:val="1"/>
          <w:iCs w:val="1"/>
          <w:color w:val="auto"/>
        </w:rPr>
        <w:t>Development Stage Entities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915)</w:t>
      </w:r>
      <w:r>
        <w:rPr>
          <w:rFonts w:ascii="Arial" w:cs="Arial" w:eastAsia="Arial" w:hAnsi="Arial"/>
          <w:sz w:val="16"/>
          <w:szCs w:val="16"/>
          <w:color w:val="auto"/>
        </w:rPr>
        <w:t>, which eliminated the distinction of a Development Stage Entity along with the inception to date reporting requirements. As permitted by this ASU, we</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to early adopt the amendment beginning with our annual reporting period ended December 31, 2014, with retrospective application of the amended guidance. Upon adoption, there was no effect to our consolidated financial statements, other than the elimination of inception to date disclosures.</w:t>
      </w:r>
    </w:p>
    <w:p>
      <w:pPr>
        <w:spacing w:after="0" w:line="161" w:lineRule="exact"/>
        <w:rPr>
          <w:sz w:val="20"/>
          <w:szCs w:val="20"/>
          <w:color w:val="auto"/>
        </w:rPr>
      </w:pPr>
    </w:p>
    <w:p>
      <w:pPr>
        <w:ind w:right="180" w:firstLine="457"/>
        <w:spacing w:after="0" w:line="262"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This update requires the presentation of debt issuance costs in financial statements as a direct reduction of related debt liabilities rather than as an asset. Amortization of debt issuance costs continue to be reported as interest expense. As permitted by the ASU, we elected to early adopt the amendment beginning with its annual reporting period ended December 31, 2014, with retrospective application of the amended guidance. The adoption of this ASU resulted in the reclassification $37,000 and $85,000 in deferred debt issuance costs from prepaid expenses and other current assets to a direct reduction to the carrying values of notes payable and convertible promissory notes reported in the balance sheets at December 31, 2013 and 2014, respectively. The adoption of this guidance did not have any effect on our statement of operations during the years ended December 31, 2013 or 2014.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9"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9"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68" w:lineRule="exact"/>
        <w:rPr>
          <w:sz w:val="20"/>
          <w:szCs w:val="20"/>
          <w:color w:val="auto"/>
        </w:rPr>
      </w:pPr>
    </w:p>
    <w:p>
      <w:pPr>
        <w:ind w:right="120" w:firstLine="457"/>
        <w:spacing w:after="0" w:line="280"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the financials are issued. When management identifies conditions or events that raise substantial doubt about the entity’s ability to continue as a going concern, this standard also outlines disclosures that are required in our footnotes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JOBS Act</w:t>
      </w:r>
    </w:p>
    <w:p>
      <w:pPr>
        <w:spacing w:after="0" w:line="125" w:lineRule="exact"/>
        <w:rPr>
          <w:sz w:val="20"/>
          <w:szCs w:val="20"/>
          <w:color w:val="auto"/>
        </w:rPr>
      </w:pPr>
    </w:p>
    <w:p>
      <w:pPr>
        <w:ind w:right="360" w:firstLine="457"/>
        <w:spacing w:after="0" w:line="314" w:lineRule="auto"/>
        <w:rPr>
          <w:sz w:val="20"/>
          <w:szCs w:val="20"/>
          <w:color w:val="auto"/>
        </w:rPr>
      </w:pPr>
      <w:r>
        <w:rPr>
          <w:rFonts w:ascii="Arial" w:cs="Arial" w:eastAsia="Arial" w:hAnsi="Arial"/>
          <w:sz w:val="15"/>
          <w:szCs w:val="15"/>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45" w:lineRule="exact"/>
        <w:rPr>
          <w:sz w:val="20"/>
          <w:szCs w:val="20"/>
          <w:color w:val="auto"/>
        </w:rPr>
      </w:pPr>
    </w:p>
    <w:p>
      <w:pPr>
        <w:ind w:right="320" w:firstLine="457"/>
        <w:spacing w:after="0" w:line="322" w:lineRule="auto"/>
        <w:rPr>
          <w:sz w:val="20"/>
          <w:szCs w:val="20"/>
          <w:color w:val="auto"/>
        </w:rPr>
      </w:pPr>
      <w:r>
        <w:rPr>
          <w:rFonts w:ascii="Arial" w:cs="Arial" w:eastAsia="Arial" w:hAnsi="Arial"/>
          <w:sz w:val="16"/>
          <w:szCs w:val="16"/>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43" w:lineRule="exact"/>
        <w:rPr>
          <w:sz w:val="20"/>
          <w:szCs w:val="20"/>
          <w:color w:val="auto"/>
        </w:rPr>
      </w:pPr>
    </w:p>
    <w:p>
      <w:pPr>
        <w:ind w:left="900" w:right="340" w:hanging="332"/>
        <w:spacing w:after="0" w:line="289"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and only two years of related Management’s Discussion and Analysis of Financial Condition and Results of Operations in this prospectus;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31" w:lineRule="exact"/>
        <w:rPr>
          <w:rFonts w:ascii="Arial" w:cs="Arial" w:eastAsia="Arial" w:hAnsi="Arial"/>
          <w:sz w:val="17"/>
          <w:szCs w:val="17"/>
          <w:color w:val="auto"/>
        </w:rPr>
      </w:pPr>
    </w:p>
    <w:p>
      <w:pPr>
        <w:ind w:left="900" w:right="640" w:hanging="332"/>
        <w:spacing w:after="0" w:line="289"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58"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We may use these provisions until the last day of our fiscal year following the fifth anniversary of the closing of this offering. However, if certain events occur prior to the end of such five-year period, including if we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40" w:top="449" w:right="25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Nine Months Ended September 30, 2014 and 2015</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19" w:lineRule="exact"/>
        <w:rPr>
          <w:sz w:val="20"/>
          <w:szCs w:val="20"/>
          <w:color w:val="auto"/>
        </w:rPr>
      </w:pPr>
    </w:p>
    <w:p>
      <w:pPr>
        <w:ind w:right="580" w:firstLine="457"/>
        <w:spacing w:after="0" w:line="289" w:lineRule="auto"/>
        <w:rPr>
          <w:sz w:val="20"/>
          <w:szCs w:val="20"/>
          <w:color w:val="auto"/>
        </w:rPr>
      </w:pPr>
      <w:r>
        <w:rPr>
          <w:rFonts w:ascii="Arial" w:cs="Arial" w:eastAsia="Arial" w:hAnsi="Arial"/>
          <w:sz w:val="17"/>
          <w:szCs w:val="17"/>
          <w:color w:val="auto"/>
        </w:rPr>
        <w:t>Collaboration revenue was $12.1 million and $13.5 million during the nine months ended September 30, 2014 and 2015, respectively, an increase of $1.4 million. A comparison of revenue by collaborator is as follows:</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center"/>
              <w:ind w:left="299"/>
              <w:spacing w:after="0"/>
              <w:rPr>
                <w:sz w:val="20"/>
                <w:szCs w:val="20"/>
                <w:color w:val="auto"/>
              </w:rPr>
            </w:pPr>
            <w:r>
              <w:rPr>
                <w:rFonts w:ascii="Arial" w:cs="Arial" w:eastAsia="Arial" w:hAnsi="Arial"/>
                <w:sz w:val="14"/>
                <w:szCs w:val="14"/>
                <w:b w:val="1"/>
                <w:bCs w:val="1"/>
                <w:color w:val="auto"/>
                <w:w w:val="92"/>
              </w:rPr>
              <w:t>Nine Months</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89"/>
              </w:rPr>
              <w:t>Ended September 30,</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r>
      <w:tr>
        <w:trPr>
          <w:trHeight w:val="137"/>
        </w:trPr>
        <w:tc>
          <w:tcPr>
            <w:tcW w:w="6440" w:type="dxa"/>
            <w:vAlign w:val="bottom"/>
          </w:tcPr>
          <w:p>
            <w:pPr>
              <w:spacing w:after="0" w:line="137"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9"/>
              <w:spacing w:after="0" w:line="137"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5"/>
              <w:spacing w:after="0" w:line="137"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1"/>
                <w:szCs w:val="11"/>
                <w:color w:val="auto"/>
              </w:rPr>
            </w:pPr>
          </w:p>
        </w:tc>
        <w:tc>
          <w:tcPr>
            <w:tcW w:w="720" w:type="dxa"/>
            <w:vAlign w:val="bottom"/>
            <w:gridSpan w:val="3"/>
          </w:tcPr>
          <w:p>
            <w:pPr>
              <w:spacing w:after="0" w:line="137" w:lineRule="exact"/>
              <w:rPr>
                <w:sz w:val="20"/>
                <w:szCs w:val="20"/>
                <w:color w:val="auto"/>
              </w:rPr>
            </w:pPr>
            <w:r>
              <w:rPr>
                <w:rFonts w:ascii="Arial" w:cs="Arial" w:eastAsia="Arial" w:hAnsi="Arial"/>
                <w:sz w:val="14"/>
                <w:szCs w:val="14"/>
                <w:b w:val="1"/>
                <w:bCs w:val="1"/>
                <w:color w:val="auto"/>
                <w:w w:val="97"/>
              </w:rPr>
              <w:t>(Decrease)</w:t>
            </w:r>
          </w:p>
        </w:tc>
      </w:tr>
      <w:tr>
        <w:trPr>
          <w:trHeight w:val="137"/>
        </w:trPr>
        <w:tc>
          <w:tcPr>
            <w:tcW w:w="6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4"/>
          </w:tcPr>
          <w:p>
            <w:pPr>
              <w:jc w:val="center"/>
              <w:ind w:left="299"/>
              <w:spacing w:after="0" w:line="137" w:lineRule="exact"/>
              <w:rPr>
                <w:sz w:val="20"/>
                <w:szCs w:val="20"/>
                <w:color w:val="auto"/>
              </w:rPr>
            </w:pPr>
            <w:r>
              <w:rPr>
                <w:rFonts w:ascii="Arial" w:cs="Arial" w:eastAsia="Arial" w:hAnsi="Arial"/>
                <w:sz w:val="14"/>
                <w:szCs w:val="14"/>
                <w:b w:val="1"/>
                <w:bCs w:val="1"/>
                <w:color w:val="auto"/>
                <w:w w:val="91"/>
              </w:rPr>
              <w:t>(unaudited)</w:t>
            </w:r>
          </w:p>
        </w:tc>
        <w:tc>
          <w:tcPr>
            <w:tcW w:w="48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TESARO-amortization of upfront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4,730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7,500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2,770</w:t>
            </w:r>
          </w:p>
        </w:tc>
      </w:tr>
      <w:tr>
        <w:trPr>
          <w:trHeight w:val="210"/>
        </w:trPr>
        <w:tc>
          <w:tcPr>
            <w:tcW w:w="6440" w:type="dxa"/>
            <w:vAlign w:val="bottom"/>
          </w:tcPr>
          <w:p>
            <w:pPr>
              <w:spacing w:after="0"/>
              <w:rPr>
                <w:sz w:val="20"/>
                <w:szCs w:val="20"/>
                <w:color w:val="auto"/>
              </w:rPr>
            </w:pPr>
            <w:r>
              <w:rPr>
                <w:rFonts w:ascii="Arial" w:cs="Arial" w:eastAsia="Arial" w:hAnsi="Arial"/>
                <w:sz w:val="17"/>
                <w:szCs w:val="17"/>
                <w:color w:val="auto"/>
              </w:rPr>
              <w:t>TESARO-funding of research and development</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3,112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7"/>
                <w:szCs w:val="17"/>
                <w:color w:val="auto"/>
              </w:rPr>
              <w:t>5,267</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2,155</w:t>
            </w: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TESARO-milestone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750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750</w:t>
            </w:r>
          </w:p>
        </w:tc>
      </w:tr>
      <w:tr>
        <w:trPr>
          <w:trHeight w:val="210"/>
        </w:trPr>
        <w:tc>
          <w:tcPr>
            <w:tcW w:w="6440" w:type="dxa"/>
            <w:vAlign w:val="bottom"/>
          </w:tcPr>
          <w:p>
            <w:pPr>
              <w:spacing w:after="0"/>
              <w:rPr>
                <w:sz w:val="20"/>
                <w:szCs w:val="20"/>
                <w:color w:val="auto"/>
              </w:rPr>
            </w:pPr>
            <w:r>
              <w:rPr>
                <w:rFonts w:ascii="Arial" w:cs="Arial" w:eastAsia="Arial" w:hAnsi="Arial"/>
                <w:sz w:val="17"/>
                <w:szCs w:val="17"/>
                <w:color w:val="auto"/>
              </w:rPr>
              <w:t>Momenta</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3,100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(3,100)</w:t>
            </w: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Celgene Corporation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(592)</w:t>
            </w:r>
          </w:p>
        </w:tc>
      </w:tr>
      <w:tr>
        <w:trPr>
          <w:trHeight w:val="210"/>
        </w:trPr>
        <w:tc>
          <w:tcPr>
            <w:tcW w:w="644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599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(599)</w:t>
            </w:r>
          </w:p>
        </w:tc>
      </w:tr>
      <w:tr>
        <w:trPr>
          <w:trHeight w:val="26"/>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6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8"/>
              </w:rPr>
              <w:t>12,133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88"/>
              </w:rPr>
              <w:t>13,517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1,384</w:t>
            </w: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 xml:space="preserve">During the first and fourth quarter of 2014 we received $17.0 million and $2.0 million, respectively, in upfront fees under our collaboration and exclusive license agreement with TESARO. For the nine months ended September 30, 2014 and 2015, we recognized the amortized portion of these upfront fees in the amounts of $4.7 million and $7.5 million, respectively. The upfront fees will continue to be recognized ratably through March 2016. We also recognized revenue of $3.1 million and $5.3 million during the nine months ended September 30, 2014 and 2015, respectively, for research and development services performed under the agreement. We recognized revenue of $0.8 million during the nine months ended September 30, 2015, for the achievement of a $1.0 million milestone upon initiation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under the principles of good laboratory practice, using the anti-PD-1 antagonist antibody (TSR-042) being advanced by TESARO. The remaining $0.2 million of the milestone will be recognized ratably through March 2016.</w:t>
      </w:r>
    </w:p>
    <w:p>
      <w:pPr>
        <w:spacing w:after="0" w:line="168" w:lineRule="exact"/>
        <w:rPr>
          <w:sz w:val="20"/>
          <w:szCs w:val="20"/>
          <w:color w:val="auto"/>
        </w:rPr>
      </w:pPr>
    </w:p>
    <w:p>
      <w:pPr>
        <w:ind w:right="340" w:firstLine="457"/>
        <w:spacing w:after="0" w:line="273" w:lineRule="auto"/>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nine months ended September 30, 2014, we recognized revenue from Momenta of $3.1 million, which relates to a $2.0 million success fee and $1.1 million in amortization of the upfront fee.</w:t>
      </w:r>
    </w:p>
    <w:p>
      <w:pPr>
        <w:spacing w:after="0" w:line="171"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The final deliverable under our 2011 antibody generation agreement with Celgene was completed in 2014. During the nine months ended September 30, 2014, we recognized revenue of $0.6 million, which relates to $0.5 million for a success fee and $0.1 for research and development services performed under this agreement.</w:t>
      </w:r>
    </w:p>
    <w:p>
      <w:pPr>
        <w:spacing w:after="0" w:line="171" w:lineRule="exact"/>
        <w:rPr>
          <w:sz w:val="20"/>
          <w:szCs w:val="20"/>
          <w:color w:val="auto"/>
        </w:rPr>
      </w:pPr>
    </w:p>
    <w:p>
      <w:pPr>
        <w:ind w:right="480" w:firstLine="457"/>
        <w:spacing w:after="0" w:line="359" w:lineRule="auto"/>
        <w:rPr>
          <w:sz w:val="20"/>
          <w:szCs w:val="20"/>
          <w:color w:val="auto"/>
        </w:rPr>
      </w:pPr>
      <w:r>
        <w:rPr>
          <w:rFonts w:ascii="Arial" w:cs="Arial" w:eastAsia="Arial" w:hAnsi="Arial"/>
          <w:sz w:val="15"/>
          <w:szCs w:val="15"/>
          <w:color w:val="auto"/>
        </w:rPr>
        <w:t>We are a party to other collaboration agreements for which in the nine months ended September 30, 2014 we recognized $0.6 million in collaboration revenue. We completed our obligations under these agreements in 2014 and do not anticipate any additional revenue from them beyond 2014.</w:t>
      </w:r>
    </w:p>
    <w:p>
      <w:pPr>
        <w:spacing w:after="0" w:line="113"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We expect that any collaboration revenue we generate will continue to fluctuate from period to period as a result of the timing and amount of milestones and other payments from our existing collaborations.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9" w:lineRule="exact"/>
        <w:rPr>
          <w:sz w:val="20"/>
          <w:szCs w:val="20"/>
          <w:color w:val="auto"/>
        </w:rPr>
      </w:pPr>
    </w:p>
    <w:p>
      <w:pPr>
        <w:ind w:right="400" w:firstLine="457"/>
        <w:spacing w:after="0" w:line="289" w:lineRule="auto"/>
        <w:rPr>
          <w:sz w:val="20"/>
          <w:szCs w:val="20"/>
          <w:color w:val="auto"/>
        </w:rPr>
      </w:pPr>
      <w:r>
        <w:rPr>
          <w:rFonts w:ascii="Arial" w:cs="Arial" w:eastAsia="Arial" w:hAnsi="Arial"/>
          <w:sz w:val="17"/>
          <w:szCs w:val="17"/>
          <w:color w:val="auto"/>
        </w:rPr>
        <w:t>Research and development expenses were $6.0 million during the nine months ended September 30, 2014 and $10.7 million for the nine months ended September 30, 2015. The increase of $4.7 million is primarily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00"/>
          </w:cols>
          <w:pgMar w:left="240" w:top="449" w:right="25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20"/>
        <w:spacing w:after="0" w:line="322" w:lineRule="auto"/>
        <w:rPr>
          <w:sz w:val="20"/>
          <w:szCs w:val="20"/>
          <w:color w:val="auto"/>
        </w:rPr>
      </w:pPr>
      <w:r>
        <w:rPr>
          <w:rFonts w:ascii="Arial" w:cs="Arial" w:eastAsia="Arial" w:hAnsi="Arial"/>
          <w:sz w:val="16"/>
          <w:szCs w:val="16"/>
          <w:color w:val="auto"/>
        </w:rPr>
        <w:t>related to a $3.1 million increase in external services and preclinical manufacturing consultation cost relating to our ANB020 and ANB019 programs, a $1.0 million increase in payroll and related expenses, including stock-based compensation, and a $0.4 million increase in laboratory supplies.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expect our research and development expenses to increase as we advance our development programs further and, in particular, as we enter into clinical</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trials.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19"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General and administrative expenses were $1.8 million during the nine months ended September 30, 2014 and $2.5 million for the nine months ended September 30, 2015. The $0.7 million increase is due primarily to a $0.3 million increase in payroll and related expenses, and a $0.3 million increase in audit and tax fees.</w:t>
      </w:r>
    </w:p>
    <w:p>
      <w:pPr>
        <w:spacing w:after="0" w:line="171"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Interest expense was $1.3 million during the nine months ended September 30, 2014 and represents stated interest of 10.0% on our convertible promissory notes principal of $2.0 million and amortization of the related beneficial conversion feature. All outstanding principal and accrued interest on the convertible promissory notes were converted in April 2014 into shares of Series C-1 preferred stock. Interest expense was $0.3 million during the nine months ended September 30, 2015 and represents effective interest of 9.25% on our outstanding Term A Loans, which have an outstanding principal balance of $5.0 million as of September 30, 2015.</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Liabilities for Preferred Stock Warrants</w:t>
      </w:r>
    </w:p>
    <w:p>
      <w:pPr>
        <w:spacing w:after="0" w:line="119"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The expense from the change in fair value of the liabilities for stock warrants increased by $1.5 million during the nine months ended September 30, 2015 when compared to the nine months ended September 30, 2014, and primarily reflects an increase in the valuation of our Series C convertible preferred stock at September 30, 2015 which had the effect of increasing the estimated fair value of the warrants.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19" w:lineRule="exact"/>
        <w:rPr>
          <w:sz w:val="20"/>
          <w:szCs w:val="20"/>
          <w:color w:val="auto"/>
        </w:rPr>
      </w:pPr>
    </w:p>
    <w:p>
      <w:pPr>
        <w:ind w:right="860" w:firstLine="457"/>
        <w:spacing w:after="0" w:line="289" w:lineRule="auto"/>
        <w:rPr>
          <w:sz w:val="20"/>
          <w:szCs w:val="20"/>
          <w:color w:val="auto"/>
        </w:rPr>
      </w:pPr>
      <w:r>
        <w:rPr>
          <w:rFonts w:ascii="Arial" w:cs="Arial" w:eastAsia="Arial" w:hAnsi="Arial"/>
          <w:sz w:val="17"/>
          <w:szCs w:val="17"/>
          <w:color w:val="auto"/>
        </w:rPr>
        <w:t>Other income (expense) was ($0.2) million during the nine months ended September 30, 2015 and primarily included a foreign exchange loss of ($0.3) million related to our Australian subsidiary, which was established in March 2015.</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9"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We recorded a provision for income taxes of $50,000 during the nine months ended September 30, 2015 related to alternative minimum taxes, which we were not subject to during the nine months ended September 30, 2014.</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00"/>
          </w:cols>
          <w:pgMar w:left="240" w:top="449" w:right="2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2013 and 2014</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19" w:lineRule="exact"/>
        <w:rPr>
          <w:sz w:val="20"/>
          <w:szCs w:val="20"/>
          <w:color w:val="auto"/>
        </w:rPr>
      </w:pPr>
    </w:p>
    <w:p>
      <w:pPr>
        <w:ind w:right="80" w:firstLine="457"/>
        <w:spacing w:after="0" w:line="359" w:lineRule="auto"/>
        <w:rPr>
          <w:sz w:val="20"/>
          <w:szCs w:val="20"/>
          <w:color w:val="auto"/>
        </w:rPr>
      </w:pPr>
      <w:r>
        <w:rPr>
          <w:rFonts w:ascii="Arial" w:cs="Arial" w:eastAsia="Arial" w:hAnsi="Arial"/>
          <w:sz w:val="15"/>
          <w:szCs w:val="15"/>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r>
      <w:tr>
        <w:trPr>
          <w:trHeight w:val="137"/>
        </w:trPr>
        <w:tc>
          <w:tcPr>
            <w:tcW w:w="5000" w:type="dxa"/>
            <w:vAlign w:val="bottom"/>
          </w:tcPr>
          <w:p>
            <w:pPr>
              <w:spacing w:after="0" w:line="137" w:lineRule="exact"/>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6"/>
              <w:spacing w:after="0" w:line="137"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1"/>
                <w:szCs w:val="11"/>
                <w:color w:val="auto"/>
              </w:rPr>
            </w:pPr>
          </w:p>
        </w:tc>
        <w:tc>
          <w:tcPr>
            <w:tcW w:w="720" w:type="dxa"/>
            <w:vAlign w:val="bottom"/>
            <w:gridSpan w:val="3"/>
          </w:tcPr>
          <w:p>
            <w:pPr>
              <w:spacing w:after="0" w:line="137" w:lineRule="exact"/>
              <w:rPr>
                <w:sz w:val="20"/>
                <w:szCs w:val="20"/>
                <w:color w:val="auto"/>
              </w:rPr>
            </w:pPr>
            <w:r>
              <w:rPr>
                <w:rFonts w:ascii="Arial" w:cs="Arial" w:eastAsia="Arial" w:hAnsi="Arial"/>
                <w:sz w:val="14"/>
                <w:szCs w:val="14"/>
                <w:b w:val="1"/>
                <w:bCs w:val="1"/>
                <w:color w:val="auto"/>
                <w:w w:val="97"/>
              </w:rPr>
              <w:t>(Decrease)</w:t>
            </w:r>
          </w:p>
        </w:tc>
      </w:tr>
      <w:tr>
        <w:trPr>
          <w:trHeight w:val="203"/>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TESARO-amortization of upfront payments</w:t>
            </w:r>
          </w:p>
        </w:tc>
        <w:tc>
          <w:tcPr>
            <w:tcW w:w="1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6,980</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7"/>
                <w:szCs w:val="17"/>
                <w:color w:val="auto"/>
              </w:rPr>
              <w:t>TESARO-funding of research and development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4,568</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4,568</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Celgene Corporation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3,746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592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(3,154)</w:t>
            </w:r>
          </w:p>
        </w:tc>
      </w:tr>
      <w:tr>
        <w:trPr>
          <w:trHeight w:val="210"/>
        </w:trPr>
        <w:tc>
          <w:tcPr>
            <w:tcW w:w="5000" w:type="dxa"/>
            <w:vAlign w:val="bottom"/>
          </w:tcPr>
          <w:p>
            <w:pPr>
              <w:spacing w:after="0"/>
              <w:rPr>
                <w:sz w:val="20"/>
                <w:szCs w:val="20"/>
                <w:color w:val="auto"/>
              </w:rPr>
            </w:pPr>
            <w:r>
              <w:rPr>
                <w:rFonts w:ascii="Arial" w:cs="Arial" w:eastAsia="Arial" w:hAnsi="Arial"/>
                <w:sz w:val="17"/>
                <w:szCs w:val="17"/>
                <w:color w:val="auto"/>
              </w:rPr>
              <w:t>Other</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7"/>
                <w:szCs w:val="17"/>
                <w:color w:val="auto"/>
              </w:rPr>
              <w:t>1,737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3,698</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1,961</w:t>
            </w:r>
          </w:p>
        </w:tc>
      </w:tr>
      <w:tr>
        <w:trPr>
          <w:trHeight w:val="26"/>
        </w:trPr>
        <w:tc>
          <w:tcPr>
            <w:tcW w:w="5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50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5,483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92"/>
              </w:rPr>
              <w:t>15,838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10,355</w:t>
            </w:r>
          </w:p>
        </w:tc>
      </w:tr>
      <w:tr>
        <w:trPr>
          <w:trHeight w:val="20"/>
        </w:trPr>
        <w:tc>
          <w:tcPr>
            <w:tcW w:w="5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71"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Pursuant to our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78"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During 2013 and 2014, we recognized revenues aggregating $1.7 million and $3.7 million, respectively from other collaborative agreements for which our obligations were completed in 2014.</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9" w:lineRule="exact"/>
        <w:rPr>
          <w:sz w:val="20"/>
          <w:szCs w:val="20"/>
          <w:color w:val="auto"/>
        </w:rPr>
      </w:pPr>
    </w:p>
    <w:p>
      <w:pPr>
        <w:ind w:right="60" w:firstLine="457"/>
        <w:spacing w:after="0" w:line="314" w:lineRule="auto"/>
        <w:rPr>
          <w:sz w:val="20"/>
          <w:szCs w:val="20"/>
          <w:color w:val="auto"/>
        </w:rPr>
      </w:pPr>
      <w:r>
        <w:rPr>
          <w:rFonts w:ascii="Arial" w:cs="Arial" w:eastAsia="Arial" w:hAnsi="Arial"/>
          <w:sz w:val="15"/>
          <w:szCs w:val="15"/>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19"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7"/>
          <w:szCs w:val="17"/>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9"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Interest expense was $0.9 million during 2013 compared to $1.3 million during 2014, an increase of $0.4 million and represents stated interest of 10.0% on our convertible promissory notes principal of $2.0 million and 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00"/>
          </w:cols>
          <w:pgMar w:left="240" w:top="449" w:right="2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Liabilities for Stock Warrants</w:t>
      </w:r>
    </w:p>
    <w:p>
      <w:pPr>
        <w:spacing w:after="0" w:line="11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5"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From our inception through September 30, 2015, we have received an aggregate of $142.9 million to fund our operations including $84.8 million from the sale of equity securities, $48.7 million from our collaboration agreements and $9.4 million from venture debt. As of September 30, 2015, we had $55.2 million in cash and cash equivalents.</w:t>
      </w:r>
    </w:p>
    <w:p>
      <w:pPr>
        <w:spacing w:after="0" w:line="171"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78"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Under the Loan Agreement, we may borrow up to $15.0 million in three separate draws of $5.0 million each, of which $5.0 million of the Term A Loans were outstanding at September 30, 2015.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Final maturity of the loans pursuant to the Loan Agreement is in January 2019.</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19" w:lineRule="exact"/>
        <w:rPr>
          <w:sz w:val="20"/>
          <w:szCs w:val="20"/>
          <w:color w:val="auto"/>
        </w:rPr>
      </w:pPr>
    </w:p>
    <w:p>
      <w:pPr>
        <w:ind w:right="240" w:firstLine="457"/>
        <w:spacing w:after="0" w:line="297"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15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24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9"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7"/>
          <w:szCs w:val="17"/>
          <w:color w:val="auto"/>
        </w:rPr>
        <w:t>Net cash provided by operating activities during the nine months ended September 30, 2014 of $13.5 million was primarily due to cash received pursuant to our collaboration agreement with TESARO. Net cash used in operating activities during the nine months ended September 30, 2015 of $7.0 million was primarily due to operating expenses of $13.2 million, offset by cash received from our collaborative partner of $5.8 million.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360"/>
          </w:cols>
          <w:pgMar w:left="240" w:top="449" w:right="2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60" w:firstLine="457"/>
        <w:spacing w:after="0" w:line="289" w:lineRule="auto"/>
        <w:rPr>
          <w:sz w:val="20"/>
          <w:szCs w:val="20"/>
          <w:color w:val="auto"/>
        </w:rPr>
      </w:pPr>
      <w:r>
        <w:rPr>
          <w:rFonts w:ascii="Arial" w:cs="Arial" w:eastAsia="Arial" w:hAnsi="Arial"/>
          <w:sz w:val="16"/>
          <w:szCs w:val="16"/>
          <w:color w:val="auto"/>
        </w:rPr>
        <w:t>Net cash used in operating activities during the year ended December 31, 2013 of $5.8 million was primarily due to our net loss for the period. Net cash provided by operating activities of $14.6 million during the year ended December 31, 2014 was primarily due to cash received pursuant to our collaboration agreement with TESARO and consisted of net income of $3.5 million in addition to an increase of $10.7 million in deferred revenues and non-cash interest expense of $1.3 million, partially offset by an increase in receivables from our collaborative partner of $1.5 million.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Cash used in investing activities during the nine months ended September 30, 2014 and 2015 and years ended December 31, 2013 and 2014, were due to our purchases of property and equipment. As of this time, we plan to focus on our growth strategies and do not plan on using a significant amount of our cash resources in investing activities.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9"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Cash provided by financing activities during the nine months ended September 30, 2014 and 2015 was zero and $40.3 million, respectively. The cash proceeds during 2015 primarily relate to the issuance of Series D Convertible Preferred Stock for net proceeds of $40.7 million in July 2015, offset by $0.5 million in payments related to deferred offering costs.</w:t>
      </w:r>
    </w:p>
    <w:p>
      <w:pPr>
        <w:spacing w:after="0" w:line="171" w:lineRule="exact"/>
        <w:rPr>
          <w:sz w:val="20"/>
          <w:szCs w:val="20"/>
          <w:color w:val="auto"/>
        </w:rPr>
      </w:pPr>
    </w:p>
    <w:p>
      <w:pPr>
        <w:jc w:val="both"/>
        <w:ind w:right="60" w:firstLine="457"/>
        <w:spacing w:after="0" w:line="273" w:lineRule="auto"/>
        <w:rPr>
          <w:sz w:val="20"/>
          <w:szCs w:val="20"/>
          <w:color w:val="auto"/>
        </w:rPr>
      </w:pPr>
      <w:r>
        <w:rPr>
          <w:rFonts w:ascii="Arial" w:cs="Arial" w:eastAsia="Arial" w:hAnsi="Arial"/>
          <w:sz w:val="17"/>
          <w:szCs w:val="17"/>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contractual obligations as of September 30,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6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color w:val="auto"/>
              </w:rPr>
              <w:t>in thousands)</w:t>
            </w: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1"/>
                <w:szCs w:val="11"/>
                <w:b w:val="1"/>
                <w:bCs w:val="1"/>
                <w:color w:val="auto"/>
              </w:rPr>
              <w:t>(1)</w:t>
            </w:r>
          </w:p>
        </w:tc>
        <w:tc>
          <w:tcPr>
            <w:tcW w:w="260" w:type="dxa"/>
            <w:vAlign w:val="bottom"/>
          </w:tcPr>
          <w:p>
            <w:pPr>
              <w:spacing w:after="0"/>
              <w:rPr>
                <w:sz w:val="9"/>
                <w:szCs w:val="9"/>
                <w:color w:val="auto"/>
              </w:rPr>
            </w:pPr>
          </w:p>
        </w:tc>
        <w:tc>
          <w:tcPr>
            <w:tcW w:w="8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Less Than</w:t>
            </w:r>
          </w:p>
        </w:tc>
        <w:tc>
          <w:tcPr>
            <w:tcW w:w="740" w:type="dxa"/>
            <w:vAlign w:val="bottom"/>
            <w:gridSpan w:val="2"/>
          </w:tcPr>
          <w:p>
            <w:pPr>
              <w:jc w:val="right"/>
              <w:ind w:right="84"/>
              <w:spacing w:after="0" w:line="115" w:lineRule="exact"/>
              <w:rPr>
                <w:sz w:val="20"/>
                <w:szCs w:val="20"/>
                <w:color w:val="auto"/>
              </w:rPr>
            </w:pPr>
            <w:r>
              <w:rPr>
                <w:rFonts w:ascii="Arial" w:cs="Arial" w:eastAsia="Arial" w:hAnsi="Arial"/>
                <w:sz w:val="13"/>
                <w:szCs w:val="13"/>
                <w:b w:val="1"/>
                <w:bCs w:val="1"/>
                <w:color w:val="auto"/>
              </w:rPr>
              <w:t>1-3</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ind w:right="79"/>
              <w:spacing w:after="0" w:line="115" w:lineRule="exact"/>
              <w:rPr>
                <w:sz w:val="20"/>
                <w:szCs w:val="20"/>
                <w:color w:val="auto"/>
              </w:rPr>
            </w:pPr>
            <w:r>
              <w:rPr>
                <w:rFonts w:ascii="Arial" w:cs="Arial" w:eastAsia="Arial" w:hAnsi="Arial"/>
                <w:sz w:val="13"/>
                <w:szCs w:val="13"/>
                <w:b w:val="1"/>
                <w:bCs w:val="1"/>
                <w:color w:val="auto"/>
              </w:rPr>
              <w:t>3-5</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6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1 Year</w:t>
            </w:r>
          </w:p>
        </w:tc>
        <w:tc>
          <w:tcPr>
            <w:tcW w:w="2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Notes payable, including interest and final payment fee</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$5,922</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1,351</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$3,704</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7"/>
                <w:szCs w:val="17"/>
                <w:color w:val="auto"/>
              </w:rPr>
              <w:t>Operating lease obligation</w:t>
            </w:r>
            <w:r>
              <w:rPr>
                <w:rFonts w:ascii="Arial" w:cs="Arial" w:eastAsia="Arial" w:hAnsi="Arial"/>
                <w:sz w:val="14"/>
                <w:szCs w:val="14"/>
                <w:color w:val="auto"/>
              </w:rPr>
              <w:t>(2)</w:t>
            </w:r>
          </w:p>
        </w:tc>
        <w:tc>
          <w:tcPr>
            <w:tcW w:w="480" w:type="dxa"/>
            <w:vAlign w:val="bottom"/>
          </w:tcPr>
          <w:p>
            <w:pPr>
              <w:jc w:val="right"/>
              <w:spacing w:after="0"/>
              <w:rPr>
                <w:sz w:val="20"/>
                <w:szCs w:val="20"/>
                <w:color w:val="auto"/>
              </w:rPr>
            </w:pPr>
            <w:r>
              <w:rPr>
                <w:rFonts w:ascii="Arial" w:cs="Arial" w:eastAsia="Arial" w:hAnsi="Arial"/>
                <w:sz w:val="17"/>
                <w:szCs w:val="17"/>
                <w:color w:val="auto"/>
              </w:rPr>
              <w:t>3,280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507</w:t>
            </w:r>
          </w:p>
        </w:tc>
        <w:tc>
          <w:tcPr>
            <w:tcW w:w="1220" w:type="dxa"/>
            <w:vAlign w:val="bottom"/>
            <w:gridSpan w:val="3"/>
          </w:tcPr>
          <w:p>
            <w:pPr>
              <w:jc w:val="right"/>
              <w:ind w:right="480"/>
              <w:spacing w:after="0"/>
              <w:rPr>
                <w:sz w:val="20"/>
                <w:szCs w:val="20"/>
                <w:color w:val="auto"/>
              </w:rPr>
            </w:pPr>
            <w:r>
              <w:rPr>
                <w:rFonts w:ascii="Arial" w:cs="Arial" w:eastAsia="Arial" w:hAnsi="Arial"/>
                <w:sz w:val="17"/>
                <w:szCs w:val="17"/>
                <w:color w:val="auto"/>
              </w:rPr>
              <w:t>1,072</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w w:val="89"/>
              </w:rPr>
              <w:t>1,148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9,202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1,858</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4,776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9"/>
              </w:rPr>
              <w:t>2,015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140" w:type="dxa"/>
            <w:vAlign w:val="bottom"/>
            <w:tcBorders>
              <w:bottom w:val="single" w:sz="8" w:color="auto"/>
            </w:tcBorders>
          </w:tcPr>
          <w:p>
            <w:pPr>
              <w:spacing w:after="0"/>
              <w:rPr>
                <w:sz w:val="10"/>
                <w:szCs w:val="10"/>
                <w:color w:val="auto"/>
              </w:rPr>
            </w:pPr>
          </w:p>
        </w:tc>
        <w:tc>
          <w:tcPr>
            <w:tcW w:w="5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60" w:right="120" w:hanging="455"/>
        <w:spacing w:after="0" w:line="262"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Future minimum guaranteed payment obligations for annual royalty payments under all collaborative in-license agreements at December 31, 2014 aggregated $0.2 million. These obligations are excluded from the table above as the annual minimum payments are payable through ten years from the first commercial sale, if any, or expiration of the last patent to expire, the dates of which are not determinable at this time.</w:t>
      </w:r>
    </w:p>
    <w:p>
      <w:pPr>
        <w:ind w:left="460" w:hanging="455"/>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Operating lease obligation includes future rent payments under an office lease, which was amended in October 2015, and expires on August 31, 2021.</w:t>
      </w:r>
    </w:p>
    <w:p>
      <w:pPr>
        <w:spacing w:after="0" w:line="223" w:lineRule="exact"/>
        <w:rPr>
          <w:sz w:val="20"/>
          <w:szCs w:val="20"/>
          <w:color w:val="auto"/>
        </w:rPr>
      </w:pPr>
    </w:p>
    <w:p>
      <w:pPr>
        <w:jc w:val="both"/>
        <w:ind w:right="520" w:firstLine="457"/>
        <w:spacing w:after="0" w:line="273" w:lineRule="auto"/>
        <w:rPr>
          <w:sz w:val="20"/>
          <w:szCs w:val="20"/>
          <w:color w:val="auto"/>
        </w:rPr>
      </w:pPr>
      <w:r>
        <w:rPr>
          <w:rFonts w:ascii="Arial" w:cs="Arial" w:eastAsia="Arial" w:hAnsi="Arial"/>
          <w:sz w:val="17"/>
          <w:szCs w:val="17"/>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5" w:lineRule="exact"/>
        <w:rPr>
          <w:sz w:val="20"/>
          <w:szCs w:val="20"/>
          <w:color w:val="auto"/>
        </w:rPr>
      </w:pPr>
    </w:p>
    <w:p>
      <w:pPr>
        <w:ind w:right="200" w:firstLine="457"/>
        <w:spacing w:after="0" w:line="289"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49"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71" w:lineRule="exact"/>
        <w:rPr>
          <w:sz w:val="20"/>
          <w:szCs w:val="20"/>
          <w:color w:val="auto"/>
        </w:rPr>
      </w:pPr>
    </w:p>
    <w:p>
      <w:pPr>
        <w:ind w:right="40" w:firstLine="457"/>
        <w:spacing w:after="0" w:line="297"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debt obligations bear interest at fixed rates and, therefore, have no exposure to changes in interest rates.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19"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($0.3) million during the nine months ended September 30, 2015. We do not expect the effects of changes in exchange rates to have a material impact on our financial statements.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360"/>
          </w:cols>
          <w:pgMar w:left="240" w:top="449" w:right="29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programs, ANB020 and ANB019, bind to therapeutic targets that are genetically associated with severe inflammatory disorders. ANB020 is an antibody that inhibits the activity of interleukin-33 for the treatment of severe adult asthma and severe adult peanut allergy. We submitted a Clinical Trial Notification, or CTN, in Australia for ANB020 in December 2015 and plan to initiate clinical trials in the first half of 2016. ANB019 is an antibody that inhibits the interleukin-36 receptor for the treatment of rare inflammatory diseases called generalized pustular psoriasis and palmo-plantar pustular psoriasis. We plan to submit a CTN and commence clinical trials for ANB019 by the end of 2016.</w:t>
      </w:r>
    </w:p>
    <w:p>
      <w:pPr>
        <w:spacing w:after="0" w:line="170"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Our company is led by a strong management team with a proven track record of successfully growing biotechnology companies with deep experience in antibody discovery and development, collaborations, operations and corporate finance. Through November 30, 2015, we have raised approximately $94.2 million from investors, including Biotechnology Value Fund, Cormorant Asset Management, Frazier Healthcare, HBM Partners, Longwood Capital Partners and Novo A/S.</w:t>
      </w:r>
    </w:p>
    <w:p>
      <w:pPr>
        <w:spacing w:after="0" w:line="178" w:lineRule="exact"/>
        <w:rPr>
          <w:sz w:val="20"/>
          <w:szCs w:val="20"/>
          <w:color w:val="auto"/>
        </w:rPr>
      </w:pPr>
    </w:p>
    <w:p>
      <w:pPr>
        <w:ind w:right="240" w:firstLine="457"/>
        <w:spacing w:after="0" w:line="273" w:lineRule="auto"/>
        <w:rPr>
          <w:sz w:val="20"/>
          <w:szCs w:val="20"/>
          <w:color w:val="auto"/>
        </w:rPr>
      </w:pPr>
      <w:r>
        <w:rPr>
          <w:rFonts w:ascii="Arial" w:cs="Arial" w:eastAsia="Arial" w:hAnsi="Arial"/>
          <w:sz w:val="17"/>
          <w:szCs w:val="17"/>
          <w:color w:val="auto"/>
        </w:rPr>
        <w:t>In addition to our wholly-owned antibody programs, we expect four programs will be advanced by our collaborators to the clinic by the end of 2016. Our collaborations include an immuno-oncology-focused collaboration with TESARO and an inflammation-focused collaboration with Celgene. Through November 30, 2015, we have received significant, non-dilutive funding of $51.6 million from our collaborators.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00"/>
          </w:cols>
          <w:pgMar w:left="240" w:top="449" w:right="2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Candidates</w:t>
      </w:r>
    </w:p>
    <w:p>
      <w:pPr>
        <w:spacing w:after="0" w:line="125" w:lineRule="exact"/>
        <w:rPr>
          <w:sz w:val="20"/>
          <w:szCs w:val="20"/>
          <w:color w:val="auto"/>
        </w:rPr>
      </w:pPr>
    </w:p>
    <w:p>
      <w:pPr>
        <w:ind w:right="240" w:firstLine="457"/>
        <w:spacing w:after="0" w:line="359" w:lineRule="auto"/>
        <w:rPr>
          <w:sz w:val="20"/>
          <w:szCs w:val="20"/>
          <w:color w:val="auto"/>
        </w:rPr>
      </w:pPr>
      <w:r>
        <w:rPr>
          <w:rFonts w:ascii="Arial" w:cs="Arial" w:eastAsia="Arial" w:hAnsi="Arial"/>
          <w:sz w:val="15"/>
          <w:szCs w:val="15"/>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95885</wp:posOffset>
            </wp:positionV>
            <wp:extent cx="5046980" cy="3159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46980" cy="315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hanging="335"/>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Proof-of-concept, or POC, indicates initial efficacy data in a patient population.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most advanced, wholly-owned product candidates are summarized below:</w:t>
      </w:r>
    </w:p>
    <w:p>
      <w:pPr>
        <w:spacing w:after="0" w:line="126" w:lineRule="exact"/>
        <w:rPr>
          <w:sz w:val="20"/>
          <w:szCs w:val="20"/>
          <w:color w:val="auto"/>
        </w:rPr>
      </w:pPr>
    </w:p>
    <w:p>
      <w:pPr>
        <w:ind w:left="900" w:hanging="332"/>
        <w:spacing w:after="0" w:line="260"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ANB020 </w:t>
      </w:r>
      <w:r>
        <w:rPr>
          <w:rFonts w:ascii="Arial" w:cs="Arial" w:eastAsia="Arial" w:hAnsi="Arial"/>
          <w:sz w:val="17"/>
          <w:szCs w:val="17"/>
          <w:color w:val="auto"/>
        </w:rPr>
        <w:t>is an antibody that inhibits the activity of interleukin-33, or IL-33, a pro-inflammatory cytokine that multiple studies have indicated is a</w:t>
      </w:r>
      <w:r>
        <w:rPr>
          <w:rFonts w:ascii="Arial" w:cs="Arial" w:eastAsia="Arial" w:hAnsi="Arial"/>
          <w:sz w:val="17"/>
          <w:szCs w:val="17"/>
          <w:b w:val="1"/>
          <w:bCs w:val="1"/>
          <w:color w:val="auto"/>
        </w:rPr>
        <w:t xml:space="preserve"> </w:t>
      </w:r>
      <w:r>
        <w:rPr>
          <w:rFonts w:ascii="Arial" w:cs="Arial" w:eastAsia="Arial" w:hAnsi="Arial"/>
          <w:sz w:val="17"/>
          <w:szCs w:val="17"/>
          <w:color w:val="auto"/>
        </w:rPr>
        <w:t>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We believe ANB020 is potentially the first-in-class therapy targeting IL-33. In December 2015, we submitted a CTN for ANB020, the approval of which will allow us to commence a Phase 1 healthy volunteer trial in Australia in the first half of 2016, followed by patient trials in severe adult asthma and severe adult peanut allergy in other countries, including the United States after submitting an IND to the FDA. We estimate, based on our analysis of publicly available data sources and interviews with physicians and key opinion leaders in the field, that asthma affects approximately 7.7% of the adult U.S. population, or approximately 19.0 million individuals, of which 19%, or approximately 3.6 million have severe, persistent occurrence of this respiratory disease. Peanut allergy is the most common cause of food-induced allergy in the United States. Based on our analysis of publicly available data sources and interviews with physicians and key opinion leaders in the field, we estimate approximately 1.7 million adults are affected by peanut allergy,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49" w:right="2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20"/>
        <w:spacing w:after="0" w:line="289" w:lineRule="auto"/>
        <w:rPr>
          <w:sz w:val="20"/>
          <w:szCs w:val="20"/>
          <w:color w:val="auto"/>
        </w:rPr>
      </w:pPr>
      <w:r>
        <w:rPr>
          <w:rFonts w:ascii="Arial" w:cs="Arial" w:eastAsia="Arial" w:hAnsi="Arial"/>
          <w:sz w:val="17"/>
          <w:szCs w:val="17"/>
          <w:color w:val="auto"/>
        </w:rPr>
        <w:t>of which approximately 600,000 are regularly treated by allergists and approximately 400,000 are at risk for severe reactions and therefore we believe are suitable for treatment with systemic biological therapies.</w:t>
      </w:r>
    </w:p>
    <w:p>
      <w:pPr>
        <w:spacing w:after="0" w:line="60" w:lineRule="exact"/>
        <w:rPr>
          <w:sz w:val="20"/>
          <w:szCs w:val="20"/>
          <w:color w:val="auto"/>
        </w:rPr>
      </w:pPr>
    </w:p>
    <w:p>
      <w:pPr>
        <w:ind w:left="900" w:hanging="332"/>
        <w:spacing w:after="0" w:line="280"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the interleukin-36-receptor, or IL-36R, which we are initially developing as a potential first-in-class therapy for GPP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We believe ANB019 is the most advanced therapeutic antibody targeting the IL-36R in development. We anticipate filing an Australian CTN for ANB019 by the end of 2016, the approval of which would allow us to initiate Phase 1 trials in Australia by the end of 2016.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Advantages of Our SHM-XEL Platform</w:t>
      </w:r>
    </w:p>
    <w:p>
      <w:pPr>
        <w:spacing w:after="0" w:line="125"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80" w:lineRule="exact"/>
        <w:rPr>
          <w:sz w:val="20"/>
          <w:szCs w:val="20"/>
          <w:color w:val="auto"/>
        </w:rPr>
      </w:pPr>
    </w:p>
    <w:p>
      <w:pPr>
        <w:ind w:left="900" w:right="300" w:hanging="332"/>
        <w:spacing w:after="0" w:line="27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Diversity against difficult targets. </w:t>
      </w:r>
      <w:r>
        <w:rPr>
          <w:rFonts w:ascii="Arial" w:cs="Arial" w:eastAsia="Arial" w:hAnsi="Arial"/>
          <w:sz w:val="17"/>
          <w:szCs w:val="17"/>
          <w:color w:val="auto"/>
        </w:rPr>
        <w:t>By applying SHM without the constraints of an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 we are able to generate an unprecedented</w:t>
      </w:r>
      <w:r>
        <w:rPr>
          <w:rFonts w:ascii="Arial" w:cs="Arial" w:eastAsia="Arial" w:hAnsi="Arial"/>
          <w:sz w:val="17"/>
          <w:szCs w:val="17"/>
          <w:b w:val="1"/>
          <w:bCs w:val="1"/>
          <w:color w:val="auto"/>
        </w:rPr>
        <w:t xml:space="preserve"> </w:t>
      </w:r>
      <w:r>
        <w:rPr>
          <w:rFonts w:ascii="Arial" w:cs="Arial" w:eastAsia="Arial" w:hAnsi="Arial"/>
          <w:sz w:val="17"/>
          <w:szCs w:val="17"/>
          <w:color w:val="auto"/>
        </w:rPr>
        <w:t>diversity of antibodies. This enables us to develop antibodies against human targets that we believe have not otherwise been accessible to other technologies.</w:t>
      </w:r>
    </w:p>
    <w:p>
      <w:pPr>
        <w:spacing w:after="0" w:line="72" w:lineRule="exact"/>
        <w:rPr>
          <w:rFonts w:ascii="Arial" w:cs="Arial" w:eastAsia="Arial" w:hAnsi="Arial"/>
          <w:sz w:val="17"/>
          <w:szCs w:val="17"/>
          <w:color w:val="auto"/>
        </w:rPr>
      </w:pPr>
    </w:p>
    <w:p>
      <w:pPr>
        <w:ind w:left="900" w:right="40" w:hanging="332"/>
        <w:spacing w:after="0" w:line="29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54" w:lineRule="exact"/>
        <w:rPr>
          <w:rFonts w:ascii="Arial" w:cs="Arial" w:eastAsia="Arial" w:hAnsi="Arial"/>
          <w:sz w:val="17"/>
          <w:szCs w:val="17"/>
          <w:color w:val="auto"/>
        </w:rPr>
      </w:pPr>
    </w:p>
    <w:p>
      <w:pPr>
        <w:ind w:left="900" w:right="260" w:hanging="332"/>
        <w:spacing w:after="0" w:line="27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Functional activity selection. </w:t>
      </w:r>
      <w:r>
        <w:rPr>
          <w:rFonts w:ascii="Arial" w:cs="Arial" w:eastAsia="Arial" w:hAnsi="Arial"/>
          <w:sz w:val="17"/>
          <w:szCs w:val="17"/>
          <w:color w:val="auto"/>
        </w:rPr>
        <w:t>Our mammalian cell system simultaneously displays and secretes antibodies during the antibody discovery process,</w:t>
      </w:r>
      <w:r>
        <w:rPr>
          <w:rFonts w:ascii="Arial" w:cs="Arial" w:eastAsia="Arial" w:hAnsi="Arial"/>
          <w:sz w:val="17"/>
          <w:szCs w:val="17"/>
          <w:b w:val="1"/>
          <w:bCs w:val="1"/>
          <w:color w:val="auto"/>
        </w:rPr>
        <w:t xml:space="preserve"> </w:t>
      </w:r>
      <w:r>
        <w:rPr>
          <w:rFonts w:ascii="Arial" w:cs="Arial" w:eastAsia="Arial" w:hAnsi="Arial"/>
          <w:sz w:val="17"/>
          <w:szCs w:val="17"/>
          <w:color w:val="auto"/>
        </w:rPr>
        <w:t>allowing us to incorporate functional assays throughout the process and focus on producing product candidates that are optimized for the desired therapeutic activity.</w:t>
      </w:r>
    </w:p>
    <w:p>
      <w:pPr>
        <w:spacing w:after="0" w:line="72" w:lineRule="exact"/>
        <w:rPr>
          <w:rFonts w:ascii="Arial" w:cs="Arial" w:eastAsia="Arial" w:hAnsi="Arial"/>
          <w:sz w:val="17"/>
          <w:szCs w:val="17"/>
          <w:color w:val="auto"/>
        </w:rPr>
      </w:pPr>
    </w:p>
    <w:p>
      <w:pPr>
        <w:ind w:left="900" w:right="60" w:hanging="332"/>
        <w:spacing w:after="0" w:line="27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Speed. </w:t>
      </w:r>
      <w:r>
        <w:rPr>
          <w:rFonts w:ascii="Arial" w:cs="Arial" w:eastAsia="Arial" w:hAnsi="Arial"/>
          <w:sz w:val="17"/>
          <w:szCs w:val="17"/>
          <w:color w:val="auto"/>
        </w:rPr>
        <w:t>Our platform technology enables us to generate therapeutic-grade antibodies and initiate subsequent preclinical manufacturing and toxicology</w:t>
      </w:r>
      <w:r>
        <w:rPr>
          <w:rFonts w:ascii="Arial" w:cs="Arial" w:eastAsia="Arial" w:hAnsi="Arial"/>
          <w:sz w:val="17"/>
          <w:szCs w:val="17"/>
          <w:b w:val="1"/>
          <w:bCs w:val="1"/>
          <w:color w:val="auto"/>
        </w:rPr>
        <w:t xml:space="preserve"> </w:t>
      </w:r>
      <w:r>
        <w:rPr>
          <w:rFonts w:ascii="Arial" w:cs="Arial" w:eastAsia="Arial" w:hAnsi="Arial"/>
          <w:sz w:val="17"/>
          <w:szCs w:val="17"/>
          <w:color w:val="auto"/>
        </w:rPr>
        <w:t>studies, typically in less than 12 months. We believe this timeline is significantly shorter than conventional approaches based upon mouse immunization and microbial display systems.</w:t>
      </w:r>
    </w:p>
    <w:p>
      <w:pPr>
        <w:spacing w:after="0" w:line="72" w:lineRule="exact"/>
        <w:rPr>
          <w:rFonts w:ascii="Arial" w:cs="Arial" w:eastAsia="Arial" w:hAnsi="Arial"/>
          <w:sz w:val="17"/>
          <w:szCs w:val="17"/>
          <w:color w:val="auto"/>
        </w:rPr>
      </w:pPr>
    </w:p>
    <w:p>
      <w:pPr>
        <w:ind w:left="900" w:right="120" w:hanging="332"/>
        <w:spacing w:after="0" w:line="29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Manufacturability. </w:t>
      </w:r>
      <w:r>
        <w:rPr>
          <w:rFonts w:ascii="Arial" w:cs="Arial" w:eastAsia="Arial" w:hAnsi="Arial"/>
          <w:sz w:val="17"/>
          <w:szCs w:val="17"/>
          <w:color w:val="auto"/>
        </w:rPr>
        <w:t>By using mammalian cell display to generate our therapeutic antibodies, we believe our platform mitigates risks associated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antibody expression, formulation and stability during the antibody generation process.</w:t>
      </w:r>
    </w:p>
    <w:p>
      <w:pPr>
        <w:spacing w:after="0" w:line="54" w:lineRule="exact"/>
        <w:rPr>
          <w:rFonts w:ascii="Arial" w:cs="Arial" w:eastAsia="Arial" w:hAnsi="Arial"/>
          <w:sz w:val="17"/>
          <w:szCs w:val="17"/>
          <w:color w:val="auto"/>
        </w:rPr>
      </w:pPr>
    </w:p>
    <w:p>
      <w:pPr>
        <w:ind w:left="900" w:right="120" w:hanging="332"/>
        <w:spacing w:after="0" w:line="310"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 xml:space="preserve">Bispecific antibodies. </w:t>
      </w:r>
      <w:r>
        <w:rPr>
          <w:rFonts w:ascii="Arial" w:cs="Arial" w:eastAsia="Arial" w:hAnsi="Arial"/>
          <w:sz w:val="15"/>
          <w:szCs w:val="15"/>
          <w:color w:val="auto"/>
        </w:rPr>
        <w:t>A bispecific antibody is a single therapeutic molecule designed to bind two different targets. Bispecific antibodies have the</w:t>
      </w:r>
      <w:r>
        <w:rPr>
          <w:rFonts w:ascii="Arial" w:cs="Arial" w:eastAsia="Arial" w:hAnsi="Arial"/>
          <w:sz w:val="15"/>
          <w:szCs w:val="15"/>
          <w:b w:val="1"/>
          <w:bCs w:val="1"/>
          <w:color w:val="auto"/>
        </w:rPr>
        <w:t xml:space="preserve"> </w:t>
      </w:r>
      <w:r>
        <w:rPr>
          <w:rFonts w:ascii="Arial" w:cs="Arial" w:eastAsia="Arial" w:hAnsi="Arial"/>
          <w:sz w:val="15"/>
          <w:szCs w:val="15"/>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00"/>
          </w:cols>
          <w:pgMar w:left="240" w:top="449" w:right="25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160"/>
        <w:spacing w:after="0" w:line="273" w:lineRule="auto"/>
        <w:rPr>
          <w:sz w:val="20"/>
          <w:szCs w:val="20"/>
          <w:color w:val="auto"/>
        </w:rPr>
      </w:pPr>
      <w:r>
        <w:rPr>
          <w:rFonts w:ascii="Arial" w:cs="Arial" w:eastAsia="Arial" w:hAnsi="Arial"/>
          <w:sz w:val="17"/>
          <w:szCs w:val="17"/>
          <w:color w:val="auto"/>
        </w:rPr>
        <w:t>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5" w:lineRule="exact"/>
        <w:rPr>
          <w:sz w:val="20"/>
          <w:szCs w:val="20"/>
          <w:color w:val="auto"/>
        </w:rPr>
      </w:pPr>
    </w:p>
    <w:p>
      <w:pPr>
        <w:ind w:right="740" w:firstLine="457"/>
        <w:spacing w:after="0" w:line="289" w:lineRule="auto"/>
        <w:rPr>
          <w:sz w:val="20"/>
          <w:szCs w:val="20"/>
          <w:color w:val="auto"/>
        </w:rPr>
      </w:pPr>
      <w:r>
        <w:rPr>
          <w:rFonts w:ascii="Arial" w:cs="Arial" w:eastAsia="Arial" w:hAnsi="Arial"/>
          <w:sz w:val="17"/>
          <w:szCs w:val="17"/>
          <w:color w:val="auto"/>
        </w:rPr>
        <w:t>We are a leading antibody development company with a pipeline of novel therapeutic antibodies, which is being further expanded by applying our technology platform to emerging biological targets.</w:t>
      </w:r>
    </w:p>
    <w:p>
      <w:pPr>
        <w:spacing w:after="0" w:line="60" w:lineRule="exact"/>
        <w:rPr>
          <w:sz w:val="20"/>
          <w:szCs w:val="20"/>
          <w:color w:val="auto"/>
        </w:rPr>
      </w:pPr>
    </w:p>
    <w:p>
      <w:pPr>
        <w:ind w:left="900" w:right="40" w:hanging="332"/>
        <w:spacing w:after="0" w:line="277"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lead product candidates into the clinic. </w:t>
      </w:r>
      <w:r>
        <w:rPr>
          <w:rFonts w:ascii="Arial" w:cs="Arial" w:eastAsia="Arial" w:hAnsi="Arial"/>
          <w:sz w:val="16"/>
          <w:szCs w:val="16"/>
          <w:color w:val="auto"/>
        </w:rPr>
        <w:t>We plan to initiate a Phase 1 healthy volunteer trial for ANB020 in the first half of 2016,</w:t>
      </w:r>
      <w:r>
        <w:rPr>
          <w:rFonts w:ascii="Arial" w:cs="Arial" w:eastAsia="Arial" w:hAnsi="Arial"/>
          <w:sz w:val="16"/>
          <w:szCs w:val="16"/>
          <w:b w:val="1"/>
          <w:bCs w:val="1"/>
          <w:color w:val="auto"/>
        </w:rPr>
        <w:t xml:space="preserve"> </w:t>
      </w:r>
      <w:r>
        <w:rPr>
          <w:rFonts w:ascii="Arial" w:cs="Arial" w:eastAsia="Arial" w:hAnsi="Arial"/>
          <w:sz w:val="16"/>
          <w:szCs w:val="16"/>
          <w:color w:val="auto"/>
        </w:rPr>
        <w:t>followed by trials in severe adult asthma and severe adult peanut allergy patients. We plan to initiate a Phase 1 healthy volunteer trial for ANB019 by the end of 2016, followed by a registration study in GPP patients. For both ANB020 and ANB019, we plan to conduct our initial clinical trials in Australia, and to then conduct further clinical development in the United States and other countries. We have elected to pursue this strategy in order to benefit from certain financial incentives that Australia makes available for biotechnology research and development, and because we believe</w:t>
      </w:r>
    </w:p>
    <w:p>
      <w:pPr>
        <w:spacing w:after="0" w:line="3" w:lineRule="exact"/>
        <w:rPr>
          <w:rFonts w:ascii="Arial" w:cs="Arial" w:eastAsia="Arial" w:hAnsi="Arial"/>
          <w:sz w:val="16"/>
          <w:szCs w:val="16"/>
          <w:color w:val="auto"/>
        </w:rPr>
      </w:pPr>
    </w:p>
    <w:p>
      <w:pPr>
        <w:ind w:left="900" w:right="160"/>
        <w:spacing w:after="0" w:line="274" w:lineRule="auto"/>
        <w:rPr>
          <w:rFonts w:ascii="Arial" w:cs="Arial" w:eastAsia="Arial" w:hAnsi="Arial"/>
          <w:sz w:val="16"/>
          <w:szCs w:val="16"/>
          <w:color w:val="auto"/>
        </w:rPr>
      </w:pPr>
      <w:r>
        <w:rPr>
          <w:rFonts w:ascii="Arial" w:cs="Arial" w:eastAsia="Arial" w:hAnsi="Arial"/>
          <w:sz w:val="17"/>
          <w:szCs w:val="17"/>
          <w:color w:val="auto"/>
        </w:rPr>
        <w:t>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72" w:lineRule="exact"/>
        <w:rPr>
          <w:rFonts w:ascii="Arial" w:cs="Arial" w:eastAsia="Arial" w:hAnsi="Arial"/>
          <w:sz w:val="16"/>
          <w:szCs w:val="16"/>
          <w:color w:val="auto"/>
        </w:rPr>
      </w:pPr>
    </w:p>
    <w:p>
      <w:pPr>
        <w:ind w:left="900" w:hanging="332"/>
        <w:spacing w:after="0" w:line="267"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 therapeutic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opportunities in inflammation and immuno-oncology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78" w:lineRule="exact"/>
        <w:rPr>
          <w:rFonts w:ascii="Arial" w:cs="Arial" w:eastAsia="Arial" w:hAnsi="Arial"/>
          <w:sz w:val="17"/>
          <w:szCs w:val="17"/>
          <w:color w:val="auto"/>
        </w:rPr>
      </w:pPr>
    </w:p>
    <w:p>
      <w:pPr>
        <w:ind w:left="900" w:right="280" w:hanging="332"/>
        <w:spacing w:after="0" w:line="30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54" w:lineRule="exact"/>
        <w:rPr>
          <w:rFonts w:ascii="Arial" w:cs="Arial" w:eastAsia="Arial" w:hAnsi="Arial"/>
          <w:sz w:val="16"/>
          <w:szCs w:val="16"/>
          <w:color w:val="auto"/>
        </w:rPr>
      </w:pPr>
    </w:p>
    <w:p>
      <w:pPr>
        <w:ind w:left="900" w:right="300" w:hanging="332"/>
        <w:spacing w:after="0" w:line="270"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Retaining rights to strategic products in key commercial markets. </w:t>
      </w:r>
      <w:r>
        <w:rPr>
          <w:rFonts w:ascii="Arial" w:cs="Arial" w:eastAsia="Arial" w:hAnsi="Arial"/>
          <w:sz w:val="17"/>
          <w:szCs w:val="17"/>
          <w:color w:val="auto"/>
        </w:rPr>
        <w:t>We intend to retain ownership and control of our pipeline programs to key</w:t>
      </w:r>
      <w:r>
        <w:rPr>
          <w:rFonts w:ascii="Arial" w:cs="Arial" w:eastAsia="Arial" w:hAnsi="Arial"/>
          <w:sz w:val="17"/>
          <w:szCs w:val="17"/>
          <w:b w:val="1"/>
          <w:bCs w:val="1"/>
          <w:color w:val="auto"/>
        </w:rPr>
        <w:t xml:space="preserve"> </w:t>
      </w:r>
      <w:r>
        <w:rPr>
          <w:rFonts w:ascii="Arial" w:cs="Arial" w:eastAsia="Arial" w:hAnsi="Arial"/>
          <w:sz w:val="17"/>
          <w:szCs w:val="17"/>
          <w:color w:val="auto"/>
        </w:rPr>
        <w:t>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Collaborations</w:t>
      </w:r>
    </w:p>
    <w:p>
      <w:pPr>
        <w:spacing w:after="0" w:line="125" w:lineRule="exact"/>
        <w:rPr>
          <w:sz w:val="20"/>
          <w:szCs w:val="20"/>
          <w:color w:val="auto"/>
        </w:rPr>
      </w:pPr>
    </w:p>
    <w:p>
      <w:pPr>
        <w:ind w:right="280" w:firstLine="457"/>
        <w:spacing w:after="0" w:line="273" w:lineRule="auto"/>
        <w:rPr>
          <w:sz w:val="20"/>
          <w:szCs w:val="20"/>
          <w:color w:val="auto"/>
        </w:rPr>
      </w:pPr>
      <w:r>
        <w:rPr>
          <w:rFonts w:ascii="Arial" w:cs="Arial" w:eastAsia="Arial" w:hAnsi="Arial"/>
          <w:sz w:val="17"/>
          <w:szCs w:val="17"/>
          <w:color w:val="auto"/>
        </w:rPr>
        <w:t>We have established collaborations with pharmaceutical and biotechnology companies that have provided us with $51.6 million in payments through November 30, 2015. Multiple antibodies, generated by us prior to or during a strategic collaboration, are currently being advanced through development by our collaborators. Our collaborations with TESARO and Celgene are described below:</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TESARO Programs</w:t>
      </w:r>
    </w:p>
    <w:p>
      <w:pPr>
        <w:spacing w:after="0" w:line="119" w:lineRule="exact"/>
        <w:rPr>
          <w:sz w:val="20"/>
          <w:szCs w:val="20"/>
          <w:color w:val="auto"/>
        </w:rPr>
      </w:pPr>
    </w:p>
    <w:p>
      <w:pPr>
        <w:ind w:right="700" w:firstLine="457"/>
        <w:spacing w:after="0" w:line="289" w:lineRule="auto"/>
        <w:rPr>
          <w:sz w:val="20"/>
          <w:szCs w:val="20"/>
          <w:color w:val="auto"/>
        </w:rPr>
      </w:pPr>
      <w:r>
        <w:rPr>
          <w:rFonts w:ascii="Arial" w:cs="Arial" w:eastAsia="Arial" w:hAnsi="Arial"/>
          <w:sz w:val="17"/>
          <w:szCs w:val="17"/>
          <w:color w:val="auto"/>
        </w:rPr>
        <w:t>Under our immuno-oncology collaboration with TESARO, we have granted exclusive rights to TESARO to develop and commercialize antibodies generated using our SHM-XEL platform consisting of the following antibody product candidates:</w:t>
      </w:r>
    </w:p>
    <w:p>
      <w:pPr>
        <w:spacing w:after="0" w:line="66" w:lineRule="exact"/>
        <w:rPr>
          <w:sz w:val="20"/>
          <w:szCs w:val="20"/>
          <w:color w:val="auto"/>
        </w:rPr>
      </w:pPr>
    </w:p>
    <w:p>
      <w:pPr>
        <w:ind w:left="900" w:right="480" w:hanging="332"/>
        <w:spacing w:after="0" w:line="289"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Anti-PD-1 Monospecific Antagonist Antibody (TSR-042)</w:t>
      </w:r>
      <w:r>
        <w:rPr>
          <w:rFonts w:ascii="Arial" w:cs="Arial" w:eastAsia="Arial" w:hAnsi="Arial"/>
          <w:sz w:val="17"/>
          <w:szCs w:val="17"/>
          <w:color w:val="auto"/>
        </w:rPr>
        <w:t>: currently in preclinical development with an IND submission anticipated in the fourth</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2015 and first-in-human dosing in early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9"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332"/>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Anti-TIM-3 Monospecific Antagonist Antibody</w:t>
      </w:r>
      <w:r>
        <w:rPr>
          <w:rFonts w:ascii="Arial" w:cs="Arial" w:eastAsia="Arial" w:hAnsi="Arial"/>
          <w:sz w:val="17"/>
          <w:szCs w:val="17"/>
          <w:color w:val="auto"/>
        </w:rPr>
        <w:t>: currently in preclinical development;</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Anti-LAG-3 Monospecific Antagonist Antibody</w:t>
      </w:r>
      <w:r>
        <w:rPr>
          <w:rFonts w:ascii="Arial" w:cs="Arial" w:eastAsia="Arial" w:hAnsi="Arial"/>
          <w:sz w:val="17"/>
          <w:szCs w:val="17"/>
          <w:color w:val="auto"/>
        </w:rPr>
        <w:t>: currently in preclinical development;</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Anti-PD-1/TIM-3 Bispecific Antagonist Antibody</w:t>
      </w:r>
      <w:r>
        <w:rPr>
          <w:rFonts w:ascii="Arial" w:cs="Arial" w:eastAsia="Arial" w:hAnsi="Arial"/>
          <w:sz w:val="17"/>
          <w:szCs w:val="17"/>
          <w:color w:val="auto"/>
        </w:rPr>
        <w:t>: currently in lead selection process;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Anti-PD-1/LAG-3 Bispecific Antagonist Antibody</w:t>
      </w:r>
      <w:r>
        <w:rPr>
          <w:rFonts w:ascii="Arial" w:cs="Arial" w:eastAsia="Arial" w:hAnsi="Arial"/>
          <w:sz w:val="17"/>
          <w:szCs w:val="17"/>
          <w:color w:val="auto"/>
        </w:rPr>
        <w:t>: currently in lead selection process;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Undisclosed Bispecific Antagonist Antibody</w:t>
      </w:r>
      <w:r>
        <w:rPr>
          <w:rFonts w:ascii="Arial" w:cs="Arial" w:eastAsia="Arial" w:hAnsi="Arial"/>
          <w:sz w:val="17"/>
          <w:szCs w:val="17"/>
          <w:color w:val="auto"/>
        </w:rPr>
        <w:t>: currently in lead selection process.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Celgene Programs</w:t>
      </w:r>
    </w:p>
    <w:p>
      <w:pPr>
        <w:spacing w:after="0" w:line="119"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Wholly-Owned Product Pipeline</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most advanced, wholly-owned pipeline programs, ANB020 and ANB019, are described below:</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ANB020: Anti-IL-33 Antibody</w:t>
      </w:r>
    </w:p>
    <w:p>
      <w:pPr>
        <w:spacing w:after="0" w:line="119"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ANB020 is an antibody that inhibits the activity of IL-33 and is being developed to treat atopic diseases, including severe adult asthma and severe adult peanut allergy.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In December 2015, we submitted an Australian CTN for ANB020 and plan to commence a Phase 1 trial in Australia in the first half of 2016.</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IL-33 Target Biology</w:t>
      </w:r>
    </w:p>
    <w:p>
      <w:pPr>
        <w:spacing w:after="0" w:line="119" w:lineRule="exact"/>
        <w:rPr>
          <w:sz w:val="20"/>
          <w:szCs w:val="20"/>
          <w:color w:val="auto"/>
        </w:rPr>
      </w:pPr>
    </w:p>
    <w:p>
      <w:pPr>
        <w:ind w:right="140" w:firstLine="457"/>
        <w:spacing w:after="0" w:line="262" w:lineRule="auto"/>
        <w:rPr>
          <w:sz w:val="20"/>
          <w:szCs w:val="20"/>
          <w:color w:val="auto"/>
        </w:rPr>
      </w:pPr>
      <w:r>
        <w:rPr>
          <w:rFonts w:ascii="Arial" w:cs="Arial" w:eastAsia="Arial" w:hAnsi="Arial"/>
          <w:sz w:val="17"/>
          <w:szCs w:val="17"/>
          <w:color w:val="auto"/>
        </w:rPr>
        <w:t>IL-33 is a pro-inflammatory cytokine that signals through the ST2 receptor, which multiple studies suggest serves as a central mediator of various immune responses leading to Th2-type inflammatory disorders, including asthma, food allergies, atopic dermatitis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associated with atopic diseases. IL-33 also acts on T helper 2, or Th2, effector cells and Innate Lymphoid Cell Type 2, or ILC2, two types of white blood cells that initiate and orchestrate atopic responses.</w:t>
      </w:r>
    </w:p>
    <w:p>
      <w:pPr>
        <w:spacing w:after="0" w:line="182"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00"/>
          </w:cols>
          <w:pgMar w:left="240" w:top="449" w:right="25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1937385</wp:posOffset>
            </wp:positionV>
            <wp:extent cx="7232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-15875</wp:posOffset>
            </wp:positionV>
            <wp:extent cx="2660650" cy="18707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60650" cy="187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264" w:lineRule="auto"/>
        <w:rPr>
          <w:sz w:val="20"/>
          <w:szCs w:val="20"/>
          <w:color w:val="auto"/>
        </w:rPr>
      </w:pPr>
      <w:r>
        <w:rPr>
          <w:rFonts w:ascii="Arial" w:cs="Arial" w:eastAsia="Arial" w:hAnsi="Arial"/>
          <w:sz w:val="12"/>
          <w:szCs w:val="12"/>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2487930</wp:posOffset>
            </wp:positionV>
            <wp:extent cx="7232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134620</wp:posOffset>
            </wp:positionV>
            <wp:extent cx="1920875" cy="22701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20875" cy="227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0"/>
        <w:spacing w:after="0" w:line="264" w:lineRule="auto"/>
        <w:rPr>
          <w:sz w:val="20"/>
          <w:szCs w:val="20"/>
          <w:color w:val="auto"/>
        </w:rPr>
      </w:pPr>
      <w:r>
        <w:rPr>
          <w:rFonts w:ascii="Arial" w:cs="Arial" w:eastAsia="Arial" w:hAnsi="Arial"/>
          <w:sz w:val="12"/>
          <w:szCs w:val="12"/>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74" w:lineRule="exact"/>
        <w:rPr>
          <w:sz w:val="20"/>
          <w:szCs w:val="20"/>
          <w:color w:val="auto"/>
        </w:rPr>
      </w:pPr>
    </w:p>
    <w:p>
      <w:pPr>
        <w:jc w:val="both"/>
        <w:ind w:right="40" w:firstLine="457"/>
        <w:spacing w:after="0" w:line="273" w:lineRule="auto"/>
        <w:rPr>
          <w:sz w:val="20"/>
          <w:szCs w:val="20"/>
          <w:color w:val="auto"/>
        </w:rPr>
      </w:pPr>
      <w:r>
        <w:rPr>
          <w:rFonts w:ascii="Arial" w:cs="Arial" w:eastAsia="Arial" w:hAnsi="Arial"/>
          <w:sz w:val="17"/>
          <w:szCs w:val="17"/>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ANB020 Description</w:t>
      </w:r>
    </w:p>
    <w:p>
      <w:pPr>
        <w:spacing w:after="0" w:line="119"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ANB020, which is potentially a first-in-class therapeutic antibody, is our wholly-owned anti-IL-33 antibody product candidate generated using our SHM-XEL technology platform.</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340"/>
          </w:cols>
          <w:pgMar w:left="240" w:top="449" w:right="31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0" w:firstLine="457"/>
        <w:spacing w:after="0" w:line="268" w:lineRule="auto"/>
        <w:rPr>
          <w:sz w:val="20"/>
          <w:szCs w:val="20"/>
          <w:color w:val="auto"/>
        </w:rPr>
      </w:pPr>
      <w:r>
        <w:rPr>
          <w:rFonts w:ascii="Arial" w:cs="Arial" w:eastAsia="Arial" w:hAnsi="Arial"/>
          <w:sz w:val="17"/>
          <w:szCs w:val="17"/>
          <w:color w:val="auto"/>
        </w:rPr>
        <w:t xml:space="preserve">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w:t>
      </w:r>
      <w:r>
        <w:rPr>
          <w:rFonts w:ascii="Arial" w:cs="Arial" w:eastAsia="Arial" w:hAnsi="Arial"/>
          <w:sz w:val="14"/>
          <w:szCs w:val="14"/>
          <w:color w:val="auto"/>
        </w:rPr>
        <w:t>D</w:t>
      </w:r>
      <w:r>
        <w:rPr>
          <w:rFonts w:ascii="Arial" w:cs="Arial" w:eastAsia="Arial" w:hAnsi="Arial"/>
          <w:sz w:val="17"/>
          <w:szCs w:val="17"/>
          <w:color w:val="auto"/>
        </w:rPr>
        <w:t>, and half-maximal inhibitory concentration values, or IC</w:t>
      </w:r>
      <w:r>
        <w:rPr>
          <w:rFonts w:ascii="Arial" w:cs="Arial" w:eastAsia="Arial" w:hAnsi="Arial"/>
          <w:sz w:val="14"/>
          <w:szCs w:val="14"/>
          <w:color w:val="auto"/>
        </w:rPr>
        <w:t>50</w:t>
      </w:r>
      <w:r>
        <w:rPr>
          <w:rFonts w:ascii="Arial" w:cs="Arial" w:eastAsia="Arial" w:hAnsi="Arial"/>
          <w:sz w:val="17"/>
          <w:szCs w:val="17"/>
          <w:color w:val="auto"/>
        </w:rPr>
        <w:t>. ANB020 demonstrated highly potent K</w:t>
      </w:r>
      <w:r>
        <w:rPr>
          <w:rFonts w:ascii="Arial" w:cs="Arial" w:eastAsia="Arial" w:hAnsi="Arial"/>
          <w:sz w:val="14"/>
          <w:szCs w:val="14"/>
          <w:color w:val="auto"/>
        </w:rPr>
        <w:t>D</w:t>
      </w:r>
      <w:r>
        <w:rPr>
          <w:rFonts w:ascii="Arial" w:cs="Arial" w:eastAsia="Arial" w:hAnsi="Arial"/>
          <w:sz w:val="17"/>
          <w:szCs w:val="17"/>
          <w:color w:val="auto"/>
        </w:rPr>
        <w:t xml:space="preserve"> values of approximately 1 pM and 37 pM for human and cynomolgus monkey IL-33, respectively. ANB020 inhibits secretion of IL-5 from primary basophils purified from peripheral blood of healthy subjects with an IC</w:t>
      </w:r>
      <w:r>
        <w:rPr>
          <w:rFonts w:ascii="Arial" w:cs="Arial" w:eastAsia="Arial" w:hAnsi="Arial"/>
          <w:sz w:val="14"/>
          <w:szCs w:val="14"/>
          <w:color w:val="auto"/>
        </w:rPr>
        <w:t>50</w:t>
      </w:r>
      <w:r>
        <w:rPr>
          <w:rFonts w:ascii="Arial" w:cs="Arial" w:eastAsia="Arial" w:hAnsi="Arial"/>
          <w:sz w:val="17"/>
          <w:szCs w:val="17"/>
          <w:color w:val="auto"/>
        </w:rPr>
        <w:t xml:space="preserve"> of approximately 1.5 nM, which is approximately 15-fold greater than that of the soluble ST2 antagonist, as shown in Figure 3 below. Lower K</w:t>
      </w:r>
      <w:r>
        <w:rPr>
          <w:rFonts w:ascii="Arial" w:cs="Arial" w:eastAsia="Arial" w:hAnsi="Arial"/>
          <w:sz w:val="14"/>
          <w:szCs w:val="14"/>
          <w:color w:val="auto"/>
        </w:rPr>
        <w:t>D</w:t>
      </w:r>
      <w:r>
        <w:rPr>
          <w:rFonts w:ascii="Arial" w:cs="Arial" w:eastAsia="Arial" w:hAnsi="Arial"/>
          <w:sz w:val="17"/>
          <w:szCs w:val="17"/>
          <w:color w:val="auto"/>
        </w:rPr>
        <w:t xml:space="preserve"> and IC</w:t>
      </w:r>
      <w:r>
        <w:rPr>
          <w:rFonts w:ascii="Arial" w:cs="Arial" w:eastAsia="Arial" w:hAnsi="Arial"/>
          <w:sz w:val="14"/>
          <w:szCs w:val="14"/>
          <w:color w:val="auto"/>
        </w:rPr>
        <w:t>50</w:t>
      </w:r>
      <w:r>
        <w:rPr>
          <w:rFonts w:ascii="Arial" w:cs="Arial" w:eastAsia="Arial" w:hAnsi="Arial"/>
          <w:sz w:val="17"/>
          <w:szCs w:val="17"/>
          <w:color w:val="auto"/>
        </w:rPr>
        <w:t xml:space="preserve"> values indicate higher potency and functional activity,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6053455" cy="1929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5345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Figure 3. Results from </w:t>
      </w:r>
      <w:r>
        <w:rPr>
          <w:rFonts w:ascii="Arial" w:cs="Arial" w:eastAsia="Arial" w:hAnsi="Arial"/>
          <w:sz w:val="12"/>
          <w:szCs w:val="12"/>
          <w:b w:val="1"/>
          <w:bCs w:val="1"/>
          <w:i w:val="1"/>
          <w:iCs w:val="1"/>
          <w:color w:val="auto"/>
        </w:rPr>
        <w:t>in vitro</w:t>
      </w:r>
      <w:r>
        <w:rPr>
          <w:rFonts w:ascii="Arial" w:cs="Arial" w:eastAsia="Arial" w:hAnsi="Arial"/>
          <w:sz w:val="12"/>
          <w:szCs w:val="12"/>
          <w:b w:val="1"/>
          <w:bCs w:val="1"/>
          <w:color w:val="auto"/>
        </w:rPr>
        <w:t xml:space="preserve"> assay comparing effectiveness of ANB020 and soluble ST2 in inhibiting IL-5 release.</w:t>
      </w:r>
    </w:p>
    <w:p>
      <w:pPr>
        <w:spacing w:after="0" w:line="208"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Using peripheral blood mononuclear cells, or PBMC, ANB020 inhibited human and cynomolgus monkey interferon-gamma release with an IC</w:t>
      </w:r>
      <w:r>
        <w:rPr>
          <w:rFonts w:ascii="Arial" w:cs="Arial" w:eastAsia="Arial" w:hAnsi="Arial"/>
          <w:sz w:val="14"/>
          <w:szCs w:val="14"/>
          <w:color w:val="auto"/>
        </w:rPr>
        <w:t>50</w:t>
      </w:r>
      <w:r>
        <w:rPr>
          <w:rFonts w:ascii="Arial" w:cs="Arial" w:eastAsia="Arial" w:hAnsi="Arial"/>
          <w:sz w:val="17"/>
          <w:szCs w:val="17"/>
          <w:color w:val="auto"/>
        </w:rPr>
        <w:t xml:space="preserve"> of approximately 1.1 nM and approximately 20.4 nM, respectively as shown in Figure 4 below. We have developed a whole blood version of the PBMC assay, which we plan to utilize to understand the pharmacodynamic activity of ANB020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6061710" cy="1671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6171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4. Activity read out of interferon-gamma release for PBMCs pretreated overnight with 100mg/ml IL-12, challenged with ten (human) or five (cynomolgus) nM IL-33 for 48 hours.</w:t>
      </w:r>
    </w:p>
    <w:p>
      <w:pPr>
        <w:spacing w:after="0" w:line="20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49"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40"/>
        <w:spacing w:after="0" w:line="359" w:lineRule="auto"/>
        <w:rPr>
          <w:sz w:val="20"/>
          <w:szCs w:val="20"/>
          <w:color w:val="auto"/>
        </w:rPr>
      </w:pPr>
      <w:r>
        <w:rPr>
          <w:rFonts w:ascii="Arial" w:cs="Arial" w:eastAsia="Arial" w:hAnsi="Arial"/>
          <w:sz w:val="15"/>
          <w:szCs w:val="15"/>
          <w:color w:val="auto"/>
        </w:rPr>
        <w:t>proved to be fully active in cynomolgus monkey sera two weeks after dosing. We have conducted preclinical toxicology studies under good laboratory practices for ANB020. In addition, we have conducted manufacturing under good manufacturing practice to produce ANB020 in quantities for initial clinical use.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 Plan</w:t>
      </w:r>
    </w:p>
    <w:p>
      <w:pPr>
        <w:spacing w:after="0" w:line="1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 xml:space="preserve">In December 2015, we submitted a CTN for ANB020 to obtain approval for initial clinical testing of ANB020 in Australia. Conducting early clinical trials in Australia permits us to benefit from Australia’s streamlined approval processes for the initiation of first-in-human studies. We subsequently plan to initiate a healthy volunteer Phase 1 trial, intended to assess, in single and multiple ascending doses, safety, tolerability and pharmacokinetic characteristics of ANB020. We will concurrently utilize a whole blood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assay to identify its pharmacodynamic activity range. These tests are also expected to take place in Australia, and following completion of these tests we plan to conduct further clinical trials in the United States under a U.S. IND.</w:t>
      </w:r>
    </w:p>
    <w:p>
      <w:pPr>
        <w:spacing w:after="0" w:line="165"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Once pharmacodynamic activity has been established in healthy volunteers, we plan to test the clinical activity of ANB020 in atopic dermatitis patients challenged with an allergen, after dosing with ANB020 or a placebo.</w:t>
      </w:r>
    </w:p>
    <w:p>
      <w:pPr>
        <w:spacing w:after="0" w:line="158" w:lineRule="exact"/>
        <w:rPr>
          <w:sz w:val="20"/>
          <w:szCs w:val="20"/>
          <w:color w:val="auto"/>
        </w:rPr>
      </w:pPr>
    </w:p>
    <w:p>
      <w:pPr>
        <w:ind w:right="60" w:firstLine="457"/>
        <w:spacing w:after="0" w:line="297" w:lineRule="auto"/>
        <w:rPr>
          <w:sz w:val="20"/>
          <w:szCs w:val="20"/>
          <w:color w:val="auto"/>
        </w:rPr>
      </w:pPr>
      <w:r>
        <w:rPr>
          <w:rFonts w:ascii="Arial" w:cs="Arial" w:eastAsia="Arial" w:hAnsi="Arial"/>
          <w:sz w:val="16"/>
          <w:szCs w:val="16"/>
          <w:color w:val="auto"/>
        </w:rPr>
        <w:t>After submitting a U.S. IND, we plan to test ANB020 in Phase 2 trials in patients with severe adult asthma and severe adult peanut allergy. Upon demonstrating proof-of-concept in Phase 2 trials, we intend to conduct Phase 3 registration trials for ANB020 in these indications. These later-stage trials may be conducted through collaboration with a leading pharmaceutical company with strong commercial infrastructure in respiratory and allergic therapeutic areas.</w:t>
      </w:r>
    </w:p>
    <w:p>
      <w:pPr>
        <w:spacing w:after="0" w:line="155" w:lineRule="exact"/>
        <w:rPr>
          <w:sz w:val="20"/>
          <w:szCs w:val="20"/>
          <w:color w:val="auto"/>
        </w:rPr>
      </w:pPr>
    </w:p>
    <w:p>
      <w:pPr>
        <w:ind w:right="260" w:firstLine="457"/>
        <w:spacing w:after="0" w:line="273" w:lineRule="auto"/>
        <w:rPr>
          <w:sz w:val="20"/>
          <w:szCs w:val="20"/>
          <w:color w:val="auto"/>
        </w:rPr>
      </w:pPr>
      <w:r>
        <w:rPr>
          <w:rFonts w:ascii="Arial" w:cs="Arial" w:eastAsia="Arial" w:hAnsi="Arial"/>
          <w:sz w:val="17"/>
          <w:szCs w:val="17"/>
          <w:color w:val="auto"/>
        </w:rPr>
        <w:t>In addition, we are exploring the potential to develop ANB020 as a treatment for myeloproliferative neoplasms where the survival, expansion or transformation of pathogenic precursor cells may be dependent upon IL-33, including myelofibrosis, which affects approximately 18,000 people in the United States.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320"/>
          </w:cols>
          <w:pgMar w:left="240" w:top="449" w:right="3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Figure 5 below describes our current anticipated clinical development strategy for ANB020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6120130" cy="31349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20130" cy="313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5. Anticipated ANB020 clinical development strategy.</w:t>
      </w:r>
    </w:p>
    <w:p>
      <w:pPr>
        <w:spacing w:after="0" w:line="208" w:lineRule="exact"/>
        <w:rPr>
          <w:sz w:val="20"/>
          <w:szCs w:val="20"/>
          <w:color w:val="auto"/>
        </w:rPr>
      </w:pPr>
    </w:p>
    <w:p>
      <w:pPr>
        <w:ind w:right="220" w:firstLine="457"/>
        <w:spacing w:after="0" w:line="279" w:lineRule="auto"/>
        <w:rPr>
          <w:sz w:val="20"/>
          <w:szCs w:val="20"/>
          <w:color w:val="auto"/>
        </w:rPr>
      </w:pPr>
      <w:r>
        <w:rPr>
          <w:rFonts w:ascii="Arial" w:cs="Arial" w:eastAsia="Arial" w:hAnsi="Arial"/>
          <w:sz w:val="16"/>
          <w:szCs w:val="16"/>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a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national regulatory agency in Australia, the Therapeutic Goods Administration, or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70"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addition, we believe that clinical data generated in Australia will subsequently be accepted by the FDA and its foreign equivalents outside of Australia, and therefore may enable us to commence Phase 2 clinical trials in the United States immediately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good clinical practice, or GCP, where the FDA is able to validate data through onsite inspection, if the FDA deems such inspection necessary. We expect that our Phase 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9"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clinical trials for ANB020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ANB020 Market Opportunity</w:t>
      </w:r>
    </w:p>
    <w:p>
      <w:pPr>
        <w:spacing w:after="0" w:line="119"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two indications: severe adult asthma and severe adult peanut allergy.</w:t>
      </w:r>
    </w:p>
    <w:p>
      <w:pPr>
        <w:spacing w:after="0" w:line="178"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Asthma. </w:t>
      </w:r>
      <w:r>
        <w:rPr>
          <w:rFonts w:ascii="Arial" w:cs="Arial" w:eastAsia="Arial" w:hAnsi="Arial"/>
          <w:sz w:val="16"/>
          <w:szCs w:val="16"/>
          <w:color w:val="auto"/>
        </w:rPr>
        <w:t>We estimate, based on our analysis of publicly available data sources and interviews with physicians and key opinion leaders in the field, that asthma</w:t>
      </w:r>
      <w:r>
        <w:rPr>
          <w:rFonts w:ascii="Arial" w:cs="Arial" w:eastAsia="Arial" w:hAnsi="Arial"/>
          <w:sz w:val="16"/>
          <w:szCs w:val="16"/>
          <w:i w:val="1"/>
          <w:iCs w:val="1"/>
          <w:color w:val="auto"/>
        </w:rPr>
        <w:t xml:space="preserve"> </w:t>
      </w:r>
      <w:r>
        <w:rPr>
          <w:rFonts w:ascii="Arial" w:cs="Arial" w:eastAsia="Arial" w:hAnsi="Arial"/>
          <w:sz w:val="16"/>
          <w:szCs w:val="16"/>
          <w:color w:val="auto"/>
        </w:rPr>
        <w:t>affects approximately 7.7% of the adult U.S. population, or 19.0 million individuals, of which 19%, or 3.6 million individuals, 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68"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and Nucala, which the FDA recently approved for the add-on maintenance treatment in patients aged 12 years or older with severe eosinophilic asthma. Other emerging therapies currently in development, such as lebrikizumab, have yet to be approved by the FDA for treatment of asthma while the FDA’s Pulmonary-Allergy Drugs Advisory Committee recommended that the FDA approve reslizumab in adult patients aged 18 years and older for the treatment of inadequately controlled asthma in patients with elevated eosinophils, despite an inhaled corticosteroids treatment regimen. Xolair is a difficult drug to prescribe due to complex dosing algorithms, frequent administration and risk of anaphylaxis, and we expect the indications for Nucala, reslizumab and lebrikizumab will be limited to subsets of the asthma market defined by biomarkers. We believe that ANB020 may have therapeutic benefit across a broad range of ICS-refractory severe adult asthma patients, and plan to utilize biomarkers during development to differentiate ANB020 relative to competitors.</w:t>
      </w:r>
    </w:p>
    <w:p>
      <w:pPr>
        <w:spacing w:after="0" w:line="170"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i w:val="1"/>
          <w:iCs w:val="1"/>
          <w:color w:val="auto"/>
        </w:rPr>
        <w:t xml:space="preserve">Peanut Allergy. </w:t>
      </w:r>
      <w:r>
        <w:rPr>
          <w:rFonts w:ascii="Arial" w:cs="Arial" w:eastAsia="Arial" w:hAnsi="Arial"/>
          <w:sz w:val="17"/>
          <w:szCs w:val="17"/>
          <w:color w:val="auto"/>
        </w:rPr>
        <w:t>Peanuts are the most common cause of food-induced allergy in the United States. We estimate, based on our analysis of publicly available data</w:t>
      </w:r>
      <w:r>
        <w:rPr>
          <w:rFonts w:ascii="Arial" w:cs="Arial" w:eastAsia="Arial" w:hAnsi="Arial"/>
          <w:sz w:val="17"/>
          <w:szCs w:val="17"/>
          <w:i w:val="1"/>
          <w:iCs w:val="1"/>
          <w:color w:val="auto"/>
        </w:rPr>
        <w:t xml:space="preserve"> </w:t>
      </w:r>
      <w:r>
        <w:rPr>
          <w:rFonts w:ascii="Arial" w:cs="Arial" w:eastAsia="Arial" w:hAnsi="Arial"/>
          <w:sz w:val="17"/>
          <w:szCs w:val="17"/>
          <w:color w:val="auto"/>
        </w:rPr>
        <w:t>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78"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Existing therapies have failed to prevent the occurrence of severe reactions due to accidental peanut exposure, which often results in systemic anaphylaxis and can lead to death. Immunotherapy approaches, such as oral or transdermal desensitization, currently being developed for this indication require patients to be dosed with increasing quantities of peanut antigens over time. If patients are able to overcome the toxicities of this allergen-based approach, therapeutic benefit, on an allergen-specific basis, may be observed after 12 to 24 months of oral or skin patch based delivery of peanut allergens. The long-term safety and efficacy of immunotherapy is still uncertain, and these desensitization treatments have not yet been approved by the FDA.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00"/>
          </w:cols>
          <w:pgMar w:left="240" w:top="449" w:right="25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ANB019: Anti-IL-36R Antibody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19"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ANB019 is an antibody that inhibits the function of IL-36R, which we are initially developing as a potential first-in-class therapy for genetically-defined GPP patients. GPP is a life-threatening, rare systemic inflammatory disorder reported to affect approximately 3,000 patients in the United States alone, with no currently approved therapies. Studies have shown that GPP is associated with mutations in the gene encoding the IL-36R antagonist, or IL-36RA, that lead to abnormally high signaling through the IL-36R and thereby cause the systemic inflammatory condition, GPP. We believe ANB019 is the most advanced antibody targeting the IL-36R in development.</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We anticipate filing an Australian CTN for ANB019 by the end of 2016 and initiating a Phase 1 trial in Australia by the end of 2016.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IL-36R Target Biology</w:t>
      </w:r>
    </w:p>
    <w:p>
      <w:pPr>
        <w:spacing w:after="0" w:line="119"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The IL-36 subfamily of proteins consists of the IL-36 receptor antagonist, or IL-36RA, as well as IL-36 alpha, IL-36 beta and IL-36 gamma, all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2162175</wp:posOffset>
            </wp:positionV>
            <wp:extent cx="7232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132715</wp:posOffset>
            </wp:positionV>
            <wp:extent cx="2644140" cy="1945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4414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4" w:lineRule="auto"/>
        <w:rPr>
          <w:sz w:val="20"/>
          <w:szCs w:val="20"/>
          <w:color w:val="auto"/>
        </w:rPr>
      </w:pPr>
      <w:r>
        <w:rPr>
          <w:rFonts w:ascii="Arial" w:cs="Arial" w:eastAsia="Arial" w:hAnsi="Arial"/>
          <w:sz w:val="12"/>
          <w:szCs w:val="12"/>
          <w:b w:val="1"/>
          <w:bCs w:val="1"/>
          <w:color w:val="auto"/>
        </w:rPr>
        <w:t>Figure 6. IL-36 Receptor Signaling. Signaling is maintained in balance by the receptor antagonist. Mutations render the receptor antagonist dysfunctional and lead to uncontrolled signaling causing GPP. PPP is caused by excess cytokine signaling that overcomes a normal receptor antagonist.</w:t>
      </w:r>
    </w:p>
    <w:p>
      <w:pPr>
        <w:spacing w:after="0" w:line="174"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380"/>
          </w:cols>
          <w:pgMar w:left="240" w:top="449" w:right="27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Recent human studies have demonstrated that mutations in the IL-36RA lead to the occurrence of GPP by rendering it non-functional and unable to dampen IL-36R signaling</w:t>
      </w:r>
      <w:r>
        <w:rPr>
          <w:rFonts w:ascii="Arial" w:cs="Arial" w:eastAsia="Arial" w:hAnsi="Arial"/>
          <w:sz w:val="17"/>
          <w:szCs w:val="17"/>
          <w:i w:val="1"/>
          <w:iCs w:val="1"/>
          <w:color w:val="auto"/>
        </w:rPr>
        <w:t>.</w:t>
      </w:r>
      <w:r>
        <w:rPr>
          <w:rFonts w:ascii="Arial" w:cs="Arial" w:eastAsia="Arial" w:hAnsi="Arial"/>
          <w:sz w:val="17"/>
          <w:szCs w:val="17"/>
          <w:color w:val="auto"/>
        </w:rPr>
        <w:t xml:space="preserve"> These findings support our hypothesis that IL-36 signaling plays a significant role in GPP.</w:t>
      </w:r>
    </w:p>
    <w:p>
      <w:pPr>
        <w:spacing w:after="0" w:line="158" w:lineRule="exact"/>
        <w:rPr>
          <w:sz w:val="20"/>
          <w:szCs w:val="20"/>
          <w:color w:val="auto"/>
        </w:rPr>
      </w:pPr>
    </w:p>
    <w:p>
      <w:pPr>
        <w:ind w:right="320" w:firstLine="457"/>
        <w:spacing w:after="0" w:line="289" w:lineRule="auto"/>
        <w:rPr>
          <w:sz w:val="20"/>
          <w:szCs w:val="20"/>
          <w:color w:val="auto"/>
        </w:rPr>
      </w:pPr>
      <w:r>
        <w:rPr>
          <w:rFonts w:ascii="Arial" w:cs="Arial" w:eastAsia="Arial" w:hAnsi="Arial"/>
          <w:sz w:val="17"/>
          <w:szCs w:val="17"/>
          <w:color w:val="auto"/>
        </w:rPr>
        <w:t>We believe that ANB019 has the potential to be the first-in-class therapeutic antibody targeting IL-36R, serving as a therapeutic opportunity for patients with IL-36 signaling mediated inflammatory disease, including GPP.</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ANB019 Description</w:t>
      </w:r>
    </w:p>
    <w:p>
      <w:pPr>
        <w:spacing w:after="0" w:line="119" w:lineRule="exact"/>
        <w:rPr>
          <w:sz w:val="20"/>
          <w:szCs w:val="20"/>
          <w:color w:val="auto"/>
        </w:rPr>
      </w:pPr>
    </w:p>
    <w:p>
      <w:pPr>
        <w:ind w:right="480" w:firstLine="457"/>
        <w:spacing w:after="0" w:line="289" w:lineRule="auto"/>
        <w:rPr>
          <w:sz w:val="20"/>
          <w:szCs w:val="20"/>
          <w:color w:val="auto"/>
        </w:rPr>
      </w:pPr>
      <w:r>
        <w:rPr>
          <w:rFonts w:ascii="Arial" w:cs="Arial" w:eastAsia="Arial" w:hAnsi="Arial"/>
          <w:sz w:val="17"/>
          <w:szCs w:val="17"/>
          <w:color w:val="auto"/>
        </w:rPr>
        <w:t>ANB019 was generated using our SHM-XEL technology platform and has demonstrated high functional potency in blocking human and cynomolgus monkey IL-36 signaling in preclinical studies.</w:t>
      </w:r>
    </w:p>
    <w:p>
      <w:pPr>
        <w:spacing w:after="0" w:line="158"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to determine K</w:t>
      </w:r>
      <w:r>
        <w:rPr>
          <w:rFonts w:ascii="Arial" w:cs="Arial" w:eastAsia="Arial" w:hAnsi="Arial"/>
          <w:sz w:val="13"/>
          <w:szCs w:val="13"/>
          <w:color w:val="auto"/>
        </w:rPr>
        <w:t>D</w:t>
      </w:r>
      <w:r>
        <w:rPr>
          <w:rFonts w:ascii="Arial" w:cs="Arial" w:eastAsia="Arial" w:hAnsi="Arial"/>
          <w:sz w:val="16"/>
          <w:szCs w:val="16"/>
          <w:color w:val="auto"/>
        </w:rPr>
        <w:t>, and IC</w:t>
      </w:r>
      <w:r>
        <w:rPr>
          <w:rFonts w:ascii="Arial" w:cs="Arial" w:eastAsia="Arial" w:hAnsi="Arial"/>
          <w:sz w:val="13"/>
          <w:szCs w:val="13"/>
          <w:color w:val="auto"/>
        </w:rPr>
        <w:t>50</w:t>
      </w:r>
      <w:r>
        <w:rPr>
          <w:rFonts w:ascii="Arial" w:cs="Arial" w:eastAsia="Arial" w:hAnsi="Arial"/>
          <w:sz w:val="16"/>
          <w:szCs w:val="16"/>
          <w:color w:val="auto"/>
        </w:rPr>
        <w:t xml:space="preserve"> values. ANB019 has demonstrated potent K</w:t>
      </w:r>
      <w:r>
        <w:rPr>
          <w:rFonts w:ascii="Arial" w:cs="Arial" w:eastAsia="Arial" w:hAnsi="Arial"/>
          <w:sz w:val="13"/>
          <w:szCs w:val="13"/>
          <w:color w:val="auto"/>
        </w:rPr>
        <w:t>D</w:t>
      </w:r>
      <w:r>
        <w:rPr>
          <w:rFonts w:ascii="Arial" w:cs="Arial" w:eastAsia="Arial" w:hAnsi="Arial"/>
          <w:sz w:val="16"/>
          <w:szCs w:val="16"/>
          <w:color w:val="auto"/>
        </w:rPr>
        <w:t xml:space="preserve"> values of approximately of 71 pM and 209 pM for human IL-36R and cynomolgus monkey IL-36R, respectively. The antibody exhibits high specificity for IL-36R, displaying no detectable binding to related proteins. As shown in Figure 7 below, functional potency of ANB019 is at least 100-fold greater than IL-36RA in both human and cynomolgus systems, which is measured as the IC</w:t>
      </w:r>
      <w:r>
        <w:rPr>
          <w:rFonts w:ascii="Arial" w:cs="Arial" w:eastAsia="Arial" w:hAnsi="Arial"/>
          <w:sz w:val="13"/>
          <w:szCs w:val="13"/>
          <w:color w:val="auto"/>
        </w:rPr>
        <w:t>50</w:t>
      </w:r>
      <w:r>
        <w:rPr>
          <w:rFonts w:ascii="Arial" w:cs="Arial" w:eastAsia="Arial" w:hAnsi="Arial"/>
          <w:sz w:val="16"/>
          <w:szCs w:val="16"/>
          <w:color w:val="auto"/>
        </w:rPr>
        <w:t xml:space="preserve"> of inhibition of interleukin-8, or IL-8, release from human and cynomolgus keratinocytes. ANB019 functional activity has been demonstrated through inhibition of IL-8 secretion from human and cynomolgus primary keratinocytes when stimulated by IL-36 gamma of approximately 0.15 nM and 1.2 nM, respectively. Lower K</w:t>
      </w:r>
      <w:r>
        <w:rPr>
          <w:rFonts w:ascii="Arial" w:cs="Arial" w:eastAsia="Arial" w:hAnsi="Arial"/>
          <w:sz w:val="13"/>
          <w:szCs w:val="13"/>
          <w:color w:val="auto"/>
        </w:rPr>
        <w:t>D</w:t>
      </w:r>
      <w:r>
        <w:rPr>
          <w:rFonts w:ascii="Arial" w:cs="Arial" w:eastAsia="Arial" w:hAnsi="Arial"/>
          <w:sz w:val="16"/>
          <w:szCs w:val="16"/>
          <w:color w:val="auto"/>
        </w:rPr>
        <w:t xml:space="preserve"> and IC</w:t>
      </w:r>
      <w:r>
        <w:rPr>
          <w:rFonts w:ascii="Arial" w:cs="Arial" w:eastAsia="Arial" w:hAnsi="Arial"/>
          <w:sz w:val="13"/>
          <w:szCs w:val="13"/>
          <w:color w:val="auto"/>
        </w:rPr>
        <w:t>50</w:t>
      </w:r>
      <w:r>
        <w:rPr>
          <w:rFonts w:ascii="Arial" w:cs="Arial" w:eastAsia="Arial" w:hAnsi="Arial"/>
          <w:sz w:val="16"/>
          <w:szCs w:val="16"/>
          <w:color w:val="auto"/>
        </w:rPr>
        <w:t xml:space="preserve"> values indicate higher potency and functional activity, respectively. Similar IC</w:t>
      </w:r>
      <w:r>
        <w:rPr>
          <w:rFonts w:ascii="Arial" w:cs="Arial" w:eastAsia="Arial" w:hAnsi="Arial"/>
          <w:sz w:val="13"/>
          <w:szCs w:val="13"/>
          <w:color w:val="auto"/>
        </w:rPr>
        <w:t>50</w:t>
      </w:r>
      <w:r>
        <w:rPr>
          <w:rFonts w:ascii="Arial" w:cs="Arial" w:eastAsia="Arial" w:hAnsi="Arial"/>
          <w:sz w:val="16"/>
          <w:szCs w:val="16"/>
          <w:color w:val="auto"/>
        </w:rPr>
        <w:t xml:space="preserve"> values were observed in those same preclinical studies when keratinocytes were stimulated with IL-36 alpha or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6128385" cy="17957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28385" cy="179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7. ANB019 demonstrated functional inhibition in our preclinical studies and inhibited functional activity of IL-36 cytokines with at least 100-fold greater potency than IL-36RA.</w:t>
      </w:r>
    </w:p>
    <w:p>
      <w:pPr>
        <w:spacing w:after="0" w:line="20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We have initiated manufacturing, pharmacokinetic and safety studies with ANB019, and plan to initiate clinical development by the end of 2016. 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 Plan</w:t>
      </w:r>
    </w:p>
    <w:p>
      <w:pPr>
        <w:spacing w:after="0" w:line="119" w:lineRule="exact"/>
        <w:rPr>
          <w:sz w:val="20"/>
          <w:szCs w:val="20"/>
          <w:color w:val="auto"/>
        </w:rPr>
      </w:pPr>
    </w:p>
    <w:p>
      <w:pPr>
        <w:ind w:right="340" w:firstLine="457"/>
        <w:spacing w:after="0" w:line="273" w:lineRule="auto"/>
        <w:rPr>
          <w:sz w:val="20"/>
          <w:szCs w:val="20"/>
          <w:color w:val="auto"/>
        </w:rPr>
      </w:pPr>
      <w:r>
        <w:rPr>
          <w:rFonts w:ascii="Arial" w:cs="Arial" w:eastAsia="Arial" w:hAnsi="Arial"/>
          <w:sz w:val="17"/>
          <w:szCs w:val="17"/>
          <w:color w:val="auto"/>
        </w:rPr>
        <w:t xml:space="preserve">We plan to initiate clinical development of ANB019 in Australia with a healthy volunteer, Phase 1 dose escalation trial involving single and multiple ascending dose protocols, while also utilizing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assays to determine the antibody’s pharmacodynamic activity range. Following completion of this initial Phase 1 trial, we plan to submit a U.S. IND and conduct further clinical testing in the United States.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00"/>
          </w:cols>
          <w:pgMar w:left="240" w:top="449" w:right="2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Our initial clinical testing of ANB019 will focus primarily on GPP patients. We currently plan to conduct a registration program in the United States with ANB019 in GPP patients, focusing on patients who have mutations that render their IL-36RA dysfunctional, starting with an initial signal study with five to ten patients. Based on the therapeutic effect we anticipate ANB019 will have in the treatment of patients with GPP who have the relevant genetic defect, we believe a small trial, potentially with fewer than 100 patients, may be sufficient to demonstrate substantial evidence of efficacy and safety. We intend to obtain input from FDA on clinical trial design before conducting a pivotal clinical trial in patients with GPP.</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Once the aforementioned GPP registration study has been initiated, we intend to develop ANB019 for PPP. We anticipate a dose-ranging placebo-controlled Phase 2 trial for PPP with United States and foreign testing sites,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78"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Human studies have shown that IL-36 cytokines are highly upregulated in psoriasis vulgaris, in conjunction with some upregulation of other inflammatory cytokines such as TNF-alpha, IL-17A, IL-6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61"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Figure 8 below describes our current anticipated clinical development strategy for ANB019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6094730" cy="32924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94730" cy="329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8. Anticipated ANB019 clinical development strategy.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360"/>
          </w:cols>
          <w:pgMar w:left="240" w:top="449" w:right="29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82"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addition, we believe that clinical data generated in Australia will subsequently be accepted by the FDA and its foreign equivalents outside of Australia, and therefore may enable us to commence Phase 2 and possibly registration clinical trials in the United States immediately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GCP where the FDA is able to validate data through onsite inspection, if the FDA deems such inspection necessary. We expect that our Phase 1 clinical trials for ANB019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ANB019 Market Opportunity</w:t>
      </w:r>
    </w:p>
    <w:p>
      <w:pPr>
        <w:spacing w:after="0" w:line="119"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IL-36R cytokine dysfunction is implicated in multiple inflammatory disorders including GPP, PPP, and potentially in severe, refractory cases of psoriasis vulgaris.</w:t>
      </w:r>
    </w:p>
    <w:p>
      <w:pPr>
        <w:spacing w:after="0" w:line="158"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Generalized Pustular Psoraisis. </w:t>
      </w:r>
      <w:r>
        <w:rPr>
          <w:rFonts w:ascii="Arial" w:cs="Arial" w:eastAsia="Arial" w:hAnsi="Arial"/>
          <w:sz w:val="17"/>
          <w:szCs w:val="17"/>
          <w:color w:val="auto"/>
        </w:rPr>
        <w:t>GPP is a chronic, life-threatening, rare disease with no currently approved therapies. GPP is a systemic inflammatory disease</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78"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genotyping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8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150,000 patients in the United States alone. Patients experience a chronic occurrence of sterile pustules on their hands and feet, while systemic levels of IL-36 cytokines and other inflammatory disease biomarkers are also elevated. Patients with severe symptoms may have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449"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7"/>
          <w:szCs w:val="17"/>
          <w:i w:val="1"/>
          <w:iCs w:val="1"/>
          <w:color w:val="auto"/>
        </w:rPr>
        <w:t xml:space="preserve">Refractory Psoriasis Vulgaris. </w:t>
      </w:r>
      <w:r>
        <w:rPr>
          <w:rFonts w:ascii="Arial" w:cs="Arial" w:eastAsia="Arial" w:hAnsi="Arial"/>
          <w:sz w:val="17"/>
          <w:szCs w:val="17"/>
          <w:color w:val="auto"/>
        </w:rPr>
        <w:t>Refractory psoriasis vulgaris is another potential market opportunity for the development of ANB019. While the approved biologics</w:t>
      </w:r>
      <w:r>
        <w:rPr>
          <w:rFonts w:ascii="Arial" w:cs="Arial" w:eastAsia="Arial" w:hAnsi="Arial"/>
          <w:sz w:val="17"/>
          <w:szCs w:val="17"/>
          <w:i w:val="1"/>
          <w:iCs w:val="1"/>
          <w:color w:val="auto"/>
        </w:rPr>
        <w:t xml:space="preserve"> </w:t>
      </w:r>
      <w:r>
        <w:rPr>
          <w:rFonts w:ascii="Arial" w:cs="Arial" w:eastAsia="Arial" w:hAnsi="Arial"/>
          <w:sz w:val="17"/>
          <w:szCs w:val="17"/>
          <w:color w:val="auto"/>
        </w:rPr>
        <w:t>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Discovery-Stage Programs</w:t>
      </w:r>
    </w:p>
    <w:p>
      <w:pPr>
        <w:spacing w:after="0" w:line="125"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Our strategy includes the discovery and development of therapeutic antibodies targeting emerging opportunities in inflammation and immuno-oncology. We are currently developing anti-inflammatory antibodies that agonize checkpoint receptors and amplify negative signaling into T cells, which may be useful for the treatment of severe inflammatory conditions. We are also developing potentially first-in-class checkpoint receptor antagonists that are designed to treat patients that may not benefit from currently approved checkpoint inhibitor antibody therapies. Each of these programs is in lead selection stages and we anticipate moving at least one new product to IND-enabling manufacturing and preclinical studies during 2016.</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SHM-XEL Antibody Discovery Platform</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Antibody Overview</w:t>
      </w:r>
    </w:p>
    <w:p>
      <w:pPr>
        <w:spacing w:after="0" w:line="119"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1313180</wp:posOffset>
            </wp:positionV>
            <wp:extent cx="7232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123825</wp:posOffset>
            </wp:positionV>
            <wp:extent cx="1338580" cy="11061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3858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b w:val="1"/>
          <w:bCs w:val="1"/>
          <w:color w:val="auto"/>
        </w:rPr>
        <w:t>Figure 9.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9"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80" w:lineRule="exact"/>
        <w:rPr>
          <w:sz w:val="20"/>
          <w:szCs w:val="20"/>
          <w:color w:val="auto"/>
        </w:rPr>
      </w:pPr>
    </w:p>
    <w:p>
      <w:pPr>
        <w:ind w:left="900" w:hanging="332"/>
        <w:spacing w:after="0" w:line="27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Target Specificity. </w:t>
      </w:r>
      <w:r>
        <w:rPr>
          <w:rFonts w:ascii="Arial" w:cs="Arial" w:eastAsia="Arial" w:hAnsi="Arial"/>
          <w:sz w:val="17"/>
          <w:szCs w:val="17"/>
          <w:color w:val="auto"/>
        </w:rPr>
        <w:t>Due to the large size and complex nature of the antibody Fab domain, antibodies generally bind with high specificity to the desired</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 and tend to exhibit less off-target binding to unrelated proteins, which lowers the risk of unintended biological side effects such as toxicity.</w:t>
      </w:r>
    </w:p>
    <w:p>
      <w:pPr>
        <w:spacing w:after="0" w:line="72" w:lineRule="exact"/>
        <w:rPr>
          <w:rFonts w:ascii="Arial" w:cs="Arial" w:eastAsia="Arial" w:hAnsi="Arial"/>
          <w:sz w:val="17"/>
          <w:szCs w:val="17"/>
          <w:color w:val="auto"/>
        </w:rPr>
      </w:pPr>
    </w:p>
    <w:p>
      <w:pPr>
        <w:ind w:left="900" w:right="240" w:hanging="332"/>
        <w:spacing w:after="0" w:line="27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Pharmacokinetics and Dosing Frequency</w:t>
      </w:r>
      <w:r>
        <w:rPr>
          <w:rFonts w:ascii="Arial" w:cs="Arial" w:eastAsia="Arial" w:hAnsi="Arial"/>
          <w:sz w:val="17"/>
          <w:szCs w:val="17"/>
          <w:color w:val="auto"/>
        </w:rPr>
        <w:t>. As complex proteins, antibodies are metabolized and distributed differently than small molecules. Full</w:t>
      </w:r>
      <w:r>
        <w:rPr>
          <w:rFonts w:ascii="Arial" w:cs="Arial" w:eastAsia="Arial" w:hAnsi="Arial"/>
          <w:sz w:val="17"/>
          <w:szCs w:val="17"/>
          <w:b w:val="1"/>
          <w:bCs w:val="1"/>
          <w:color w:val="auto"/>
        </w:rPr>
        <w:t xml:space="preserve"> </w:t>
      </w:r>
      <w:r>
        <w:rPr>
          <w:rFonts w:ascii="Arial" w:cs="Arial" w:eastAsia="Arial" w:hAnsi="Arial"/>
          <w:sz w:val="17"/>
          <w:szCs w:val="17"/>
          <w:color w:val="auto"/>
        </w:rPr>
        <w:t>length antibodies tend to exhibit serum half-lives of seven to 24 days in humans, leading to bi-weekly or monthly dosing as typical practice for therapeutic antibodies.</w:t>
      </w:r>
    </w:p>
    <w:p>
      <w:pPr>
        <w:spacing w:after="0" w:line="72" w:lineRule="exact"/>
        <w:rPr>
          <w:rFonts w:ascii="Arial" w:cs="Arial" w:eastAsia="Arial" w:hAnsi="Arial"/>
          <w:sz w:val="17"/>
          <w:szCs w:val="17"/>
          <w:color w:val="auto"/>
        </w:rPr>
      </w:pPr>
    </w:p>
    <w:p>
      <w:pPr>
        <w:ind w:left="900" w:right="80" w:hanging="332"/>
        <w:spacing w:after="0" w:line="330"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 low</w:t>
      </w:r>
      <w:r>
        <w:rPr>
          <w:rFonts w:ascii="Arial" w:cs="Arial" w:eastAsia="Arial" w:hAnsi="Arial"/>
          <w:sz w:val="16"/>
          <w:szCs w:val="16"/>
          <w:b w:val="1"/>
          <w:bCs w:val="1"/>
          <w:color w:val="auto"/>
        </w:rPr>
        <w:t xml:space="preserve"> </w:t>
      </w:r>
      <w:r>
        <w:rPr>
          <w:rFonts w:ascii="Arial" w:cs="Arial" w:eastAsia="Arial" w:hAnsi="Arial"/>
          <w:sz w:val="16"/>
          <w:szCs w:val="16"/>
          <w:color w:val="auto"/>
        </w:rPr>
        <w:t>nanomolar to picomolar range. Hence, antibodies tend to be dosed at low amounts (less than 1 gram quantities per course of therapy).</w:t>
      </w:r>
    </w:p>
    <w:p>
      <w:pPr>
        <w:spacing w:after="0" w:line="129"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We believe that therapeutic antibodies can be significantly de-risked pre-clinically for specificity, toxicology and pharmacokinetics, which is not generally true for small molecule drugs.</w:t>
      </w:r>
    </w:p>
    <w:p>
      <w:pPr>
        <w:spacing w:after="0" w:line="158"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Competing Antibody Technologies</w:t>
      </w:r>
    </w:p>
    <w:p>
      <w:pPr>
        <w:spacing w:after="0" w:line="119" w:lineRule="exact"/>
        <w:rPr>
          <w:sz w:val="20"/>
          <w:szCs w:val="20"/>
          <w:color w:val="auto"/>
        </w:rPr>
      </w:pPr>
    </w:p>
    <w:p>
      <w:pPr>
        <w:ind w:right="260" w:firstLine="457"/>
        <w:spacing w:after="0" w:line="267"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80" w:lineRule="exact"/>
        <w:rPr>
          <w:sz w:val="20"/>
          <w:szCs w:val="20"/>
          <w:color w:val="auto"/>
        </w:rPr>
      </w:pPr>
    </w:p>
    <w:p>
      <w:pPr>
        <w:ind w:left="900" w:right="40" w:hanging="332"/>
        <w:spacing w:after="0" w:line="27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72" w:lineRule="exact"/>
        <w:rPr>
          <w:rFonts w:ascii="Arial" w:cs="Arial" w:eastAsia="Arial" w:hAnsi="Arial"/>
          <w:sz w:val="17"/>
          <w:szCs w:val="17"/>
          <w:color w:val="auto"/>
        </w:rPr>
      </w:pPr>
    </w:p>
    <w:p>
      <w:pPr>
        <w:ind w:left="900" w:right="320" w:hanging="332"/>
        <w:spacing w:after="0" w:line="27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Lack of Functional Activity Selection. </w:t>
      </w:r>
      <w:r>
        <w:rPr>
          <w:rFonts w:ascii="Arial" w:cs="Arial" w:eastAsia="Arial" w:hAnsi="Arial"/>
          <w:sz w:val="17"/>
          <w:szCs w:val="17"/>
          <w:color w:val="auto"/>
        </w:rPr>
        <w:t>Competing technologies have not been able to drive antibody selection on the basis of functional activity.</w:t>
      </w:r>
      <w:r>
        <w:rPr>
          <w:rFonts w:ascii="Arial" w:cs="Arial" w:eastAsia="Arial" w:hAnsi="Arial"/>
          <w:sz w:val="17"/>
          <w:szCs w:val="17"/>
          <w:b w:val="1"/>
          <w:bCs w:val="1"/>
          <w:color w:val="auto"/>
        </w:rPr>
        <w:t xml:space="preserve"> </w:t>
      </w:r>
      <w:r>
        <w:rPr>
          <w:rFonts w:ascii="Arial" w:cs="Arial" w:eastAsia="Arial" w:hAnsi="Arial"/>
          <w:sz w:val="17"/>
          <w:szCs w:val="17"/>
          <w:color w:val="auto"/>
        </w:rPr>
        <w:t>Even if antibodies are available against a certain target, they may not bind the correct region or epitope of the protein to achieve the intended functional therapeutic effects;</w:t>
      </w:r>
    </w:p>
    <w:p>
      <w:pPr>
        <w:spacing w:after="0" w:line="72" w:lineRule="exact"/>
        <w:rPr>
          <w:rFonts w:ascii="Arial" w:cs="Arial" w:eastAsia="Arial" w:hAnsi="Arial"/>
          <w:sz w:val="17"/>
          <w:szCs w:val="17"/>
          <w:color w:val="auto"/>
        </w:rPr>
      </w:pPr>
    </w:p>
    <w:p>
      <w:pPr>
        <w:ind w:left="900" w:right="40" w:hanging="332"/>
        <w:spacing w:after="0" w:line="368" w:lineRule="auto"/>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b w:val="1"/>
          <w:bCs w:val="1"/>
          <w:color w:val="auto"/>
        </w:rPr>
        <w:t xml:space="preserve">Low Potency. </w:t>
      </w:r>
      <w:r>
        <w:rPr>
          <w:rFonts w:ascii="Arial" w:cs="Arial" w:eastAsia="Arial" w:hAnsi="Arial"/>
          <w:sz w:val="15"/>
          <w:szCs w:val="15"/>
          <w:color w:val="auto"/>
        </w:rPr>
        <w:t>Antibodies from competing technologies tend to demonstrate low binding potencies against their targets. Such incomplete binding may</w:t>
      </w:r>
      <w:r>
        <w:rPr>
          <w:rFonts w:ascii="Arial" w:cs="Arial" w:eastAsia="Arial" w:hAnsi="Arial"/>
          <w:sz w:val="15"/>
          <w:szCs w:val="15"/>
          <w:b w:val="1"/>
          <w:bCs w:val="1"/>
          <w:color w:val="auto"/>
        </w:rPr>
        <w:t xml:space="preserve"> </w:t>
      </w:r>
      <w:r>
        <w:rPr>
          <w:rFonts w:ascii="Arial" w:cs="Arial" w:eastAsia="Arial" w:hAnsi="Arial"/>
          <w:sz w:val="15"/>
          <w:szCs w:val="15"/>
          <w:color w:val="auto"/>
        </w:rPr>
        <w:t>not result in therapeutic effect that is sufficient to change disease outcomes, or require impractically high doses to convey therapeutic benefit; and</w:t>
      </w:r>
    </w:p>
    <w:p>
      <w:pPr>
        <w:spacing w:after="0" w:line="7" w:lineRule="exact"/>
        <w:rPr>
          <w:rFonts w:ascii="Arial" w:cs="Arial" w:eastAsia="Arial" w:hAnsi="Arial"/>
          <w:sz w:val="15"/>
          <w:szCs w:val="15"/>
          <w:color w:val="auto"/>
        </w:rPr>
      </w:pPr>
    </w:p>
    <w:p>
      <w:pPr>
        <w:ind w:left="900" w:right="180" w:hanging="332"/>
        <w:spacing w:after="0" w:line="27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Unpredictable Manufacturing Properties. </w:t>
      </w:r>
      <w:r>
        <w:rPr>
          <w:rFonts w:ascii="Arial" w:cs="Arial" w:eastAsia="Arial" w:hAnsi="Arial"/>
          <w:sz w:val="17"/>
          <w:szCs w:val="17"/>
          <w:color w:val="auto"/>
        </w:rPr>
        <w:t>Using microbial display systems such as phage and yeast display libraries has resulted in unpredictable</w:t>
      </w:r>
      <w:r>
        <w:rPr>
          <w:rFonts w:ascii="Arial" w:cs="Arial" w:eastAsia="Arial" w:hAnsi="Arial"/>
          <w:sz w:val="17"/>
          <w:szCs w:val="17"/>
          <w:b w:val="1"/>
          <w:bCs w:val="1"/>
          <w:color w:val="auto"/>
        </w:rPr>
        <w:t xml:space="preserve"> </w:t>
      </w:r>
      <w:r>
        <w:rPr>
          <w:rFonts w:ascii="Arial" w:cs="Arial" w:eastAsia="Arial" w:hAnsi="Arial"/>
          <w:sz w:val="17"/>
          <w:szCs w:val="17"/>
          <w:color w:val="auto"/>
        </w:rPr>
        <w:t>expression, stability and formulation when manufacturing is initiated using mammalian cells, thus leading to poor production yields and product stability.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49"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Mouse immunization methodologies</w:t>
      </w:r>
      <w:r>
        <w:rPr>
          <w:rFonts w:ascii="Arial" w:cs="Arial" w:eastAsia="Arial" w:hAnsi="Arial"/>
          <w:sz w:val="17"/>
          <w:szCs w:val="17"/>
          <w:color w:val="auto"/>
        </w:rPr>
        <w:t>. Mouse immunization methodologies involve the administration of human target antigen to mice with wild-type or engineered</w:t>
      </w:r>
      <w:r>
        <w:rPr>
          <w:rFonts w:ascii="Arial" w:cs="Arial" w:eastAsia="Arial" w:hAnsi="Arial"/>
          <w:sz w:val="17"/>
          <w:szCs w:val="17"/>
          <w:i w:val="1"/>
          <w:iCs w:val="1"/>
          <w:color w:val="auto"/>
        </w:rPr>
        <w:t xml:space="preserve"> </w:t>
      </w:r>
      <w:r>
        <w:rPr>
          <w:rFonts w:ascii="Arial" w:cs="Arial" w:eastAsia="Arial" w:hAnsi="Arial"/>
          <w:sz w:val="17"/>
          <w:szCs w:val="17"/>
          <w:color w:val="auto"/>
        </w:rPr>
        <w:t>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81"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i w:val="1"/>
          <w:iCs w:val="1"/>
          <w:color w:val="auto"/>
        </w:rPr>
        <w:t>Microbial antibody display systems</w:t>
      </w:r>
      <w:r>
        <w:rPr>
          <w:rFonts w:ascii="Arial" w:cs="Arial" w:eastAsia="Arial" w:hAnsi="Arial"/>
          <w:sz w:val="17"/>
          <w:szCs w:val="17"/>
          <w:color w:val="auto"/>
        </w:rPr>
        <w:t>. Microbial antibody display systems require screening of antibodies, typically formatted as antibody fragments, from a static</w:t>
      </w:r>
      <w:r>
        <w:rPr>
          <w:rFonts w:ascii="Arial" w:cs="Arial" w:eastAsia="Arial" w:hAnsi="Arial"/>
          <w:sz w:val="17"/>
          <w:szCs w:val="17"/>
          <w:i w:val="1"/>
          <w:iCs w:val="1"/>
          <w:color w:val="auto"/>
        </w:rPr>
        <w:t xml:space="preserve"> </w:t>
      </w:r>
      <w:r>
        <w:rPr>
          <w:rFonts w:ascii="Arial" w:cs="Arial" w:eastAsia="Arial" w:hAnsi="Arial"/>
          <w:sz w:val="17"/>
          <w:szCs w:val="17"/>
          <w:color w:val="auto"/>
        </w:rPr>
        <w:t>library diversity displayed on a bacterial or yeast microbial cell surface. The static nature of these libraries limits the range of antibody specificities to 10</w:t>
      </w:r>
      <w:r>
        <w:rPr>
          <w:rFonts w:ascii="Arial" w:cs="Arial" w:eastAsia="Arial" w:hAnsi="Arial"/>
          <w:sz w:val="14"/>
          <w:szCs w:val="14"/>
          <w:color w:val="auto"/>
        </w:rPr>
        <w:t>9</w:t>
      </w:r>
      <w:r>
        <w:rPr>
          <w:rFonts w:ascii="Arial" w:cs="Arial" w:eastAsia="Arial" w:hAnsi="Arial"/>
          <w:sz w:val="17"/>
          <w:szCs w:val="17"/>
          <w:color w:val="auto"/>
        </w:rPr>
        <w:t xml:space="preserve"> or 10</w:t>
      </w:r>
      <w:r>
        <w:rPr>
          <w:rFonts w:ascii="Arial" w:cs="Arial" w:eastAsia="Arial" w:hAnsi="Arial"/>
          <w:sz w:val="14"/>
          <w:szCs w:val="14"/>
          <w:color w:val="auto"/>
        </w:rPr>
        <w:t>10</w:t>
      </w:r>
      <w:r>
        <w:rPr>
          <w:rFonts w:ascii="Arial" w:cs="Arial" w:eastAsia="Arial" w:hAnsi="Arial"/>
          <w:sz w:val="17"/>
          <w:szCs w:val="17"/>
          <w:color w:val="auto"/>
        </w:rPr>
        <w:t xml:space="preserve">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85"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i w:val="1"/>
          <w:iCs w:val="1"/>
          <w:color w:val="auto"/>
        </w:rPr>
        <w:t>Human B cell screening methodologies</w:t>
      </w:r>
      <w:r>
        <w:rPr>
          <w:rFonts w:ascii="Arial" w:cs="Arial" w:eastAsia="Arial" w:hAnsi="Arial"/>
          <w:sz w:val="17"/>
          <w:szCs w:val="17"/>
          <w:color w:val="auto"/>
        </w:rPr>
        <w:t>. Human B cell screening methodologies involve the screening and isolation of antibodies from peripheral human blood</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Solution</w:t>
      </w:r>
    </w:p>
    <w:p>
      <w:pPr>
        <w:spacing w:after="0" w:line="119"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5205095" cy="18046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05095" cy="180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60"/>
        <w:spacing w:after="0" w:line="264" w:lineRule="auto"/>
        <w:rPr>
          <w:sz w:val="20"/>
          <w:szCs w:val="20"/>
          <w:color w:val="auto"/>
        </w:rPr>
      </w:pPr>
      <w:r>
        <w:rPr>
          <w:rFonts w:ascii="Arial" w:cs="Arial" w:eastAsia="Arial" w:hAnsi="Arial"/>
          <w:sz w:val="12"/>
          <w:szCs w:val="12"/>
          <w:b w:val="1"/>
          <w:bCs w:val="1"/>
          <w:color w:val="auto"/>
        </w:rPr>
        <w:t>Figure 10.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49"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environment, SHM does not generally progress to the creation of high potency antibodies or develop antibodies against the body’s own proteins.</w:t>
      </w:r>
    </w:p>
    <w:p>
      <w:pPr>
        <w:spacing w:after="0" w:line="178" w:lineRule="exact"/>
        <w:rPr>
          <w:sz w:val="20"/>
          <w:szCs w:val="20"/>
          <w:color w:val="auto"/>
        </w:rPr>
      </w:pPr>
    </w:p>
    <w:p>
      <w:pPr>
        <w:ind w:right="60" w:firstLine="457"/>
        <w:spacing w:after="0" w:line="28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SHM-XEL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jc w:val="both"/>
        <w:ind w:right="80" w:firstLine="457"/>
        <w:spacing w:after="0" w:line="289" w:lineRule="auto"/>
        <w:rPr>
          <w:sz w:val="20"/>
          <w:szCs w:val="20"/>
          <w:color w:val="auto"/>
        </w:rPr>
      </w:pPr>
      <w:r>
        <w:rPr>
          <w:rFonts w:ascii="Arial" w:cs="Arial" w:eastAsia="Arial" w:hAnsi="Arial"/>
          <w:sz w:val="16"/>
          <w:szCs w:val="16"/>
          <w:color w:val="auto"/>
        </w:rPr>
        <w:t>By selecting antibodies based on their antigen binding from the broad antibody library population SHM-XEL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1607185</wp:posOffset>
            </wp:positionV>
            <wp:extent cx="7232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127000</wp:posOffset>
            </wp:positionV>
            <wp:extent cx="2777490" cy="13970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7749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0"/>
        <w:spacing w:after="0" w:line="246" w:lineRule="auto"/>
        <w:rPr>
          <w:sz w:val="20"/>
          <w:szCs w:val="20"/>
          <w:color w:val="auto"/>
        </w:rPr>
      </w:pPr>
      <w:r>
        <w:rPr>
          <w:rFonts w:ascii="Arial" w:cs="Arial" w:eastAsia="Arial" w:hAnsi="Arial"/>
          <w:sz w:val="14"/>
          <w:szCs w:val="14"/>
          <w:b w:val="1"/>
          <w:bCs w:val="1"/>
          <w:color w:val="auto"/>
        </w:rPr>
        <w:t>Figure 11. SHM-XEL Antibody Generation Process. Our platform initiates antibody selection from starting libraries of human and non-human diversity, which is further optimized through iterative rounds of SHM and selection.</w:t>
      </w:r>
    </w:p>
    <w:p>
      <w:pPr>
        <w:spacing w:after="0" w:line="178"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our antibody discovery platform, as described above, has the following advantages over competing approaches:</w:t>
      </w:r>
    </w:p>
    <w:p>
      <w:pPr>
        <w:spacing w:after="0" w:line="126" w:lineRule="exact"/>
        <w:rPr>
          <w:sz w:val="20"/>
          <w:szCs w:val="20"/>
          <w:color w:val="auto"/>
        </w:rPr>
      </w:pPr>
    </w:p>
    <w:p>
      <w:pPr>
        <w:ind w:left="900" w:right="140" w:hanging="332"/>
        <w:spacing w:after="0" w:line="276"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Diversity against difficult targets. </w:t>
      </w:r>
      <w:r>
        <w:rPr>
          <w:rFonts w:ascii="Arial" w:cs="Arial" w:eastAsia="Arial" w:hAnsi="Arial"/>
          <w:sz w:val="17"/>
          <w:szCs w:val="17"/>
          <w:color w:val="auto"/>
        </w:rPr>
        <w:t>We are able to generate an unprecedented diversity of antibodies by applying SHM-based diversification outside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constraints of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environment. This enables us to develop antibodies against human targets that we believe have not otherwise been accessible to prior technologies.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49"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20" w:hanging="332"/>
        <w:spacing w:after="0" w:line="296"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54" w:lineRule="exact"/>
        <w:rPr>
          <w:rFonts w:ascii="Arial" w:cs="Arial" w:eastAsia="Arial" w:hAnsi="Arial"/>
          <w:sz w:val="17"/>
          <w:szCs w:val="17"/>
          <w:color w:val="auto"/>
        </w:rPr>
      </w:pPr>
    </w:p>
    <w:p>
      <w:pPr>
        <w:ind w:left="900" w:right="240" w:hanging="332"/>
        <w:spacing w:after="0" w:line="276"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Functional activity selection. </w:t>
      </w:r>
      <w:r>
        <w:rPr>
          <w:rFonts w:ascii="Arial" w:cs="Arial" w:eastAsia="Arial" w:hAnsi="Arial"/>
          <w:sz w:val="17"/>
          <w:szCs w:val="17"/>
          <w:color w:val="auto"/>
        </w:rPr>
        <w:t>Our mammalian cell system simultaneously displays and secretes antibodies during the antibody discovery process,</w:t>
      </w:r>
      <w:r>
        <w:rPr>
          <w:rFonts w:ascii="Arial" w:cs="Arial" w:eastAsia="Arial" w:hAnsi="Arial"/>
          <w:sz w:val="17"/>
          <w:szCs w:val="17"/>
          <w:b w:val="1"/>
          <w:bCs w:val="1"/>
          <w:color w:val="auto"/>
        </w:rPr>
        <w:t xml:space="preserve"> </w:t>
      </w:r>
      <w:r>
        <w:rPr>
          <w:rFonts w:ascii="Arial" w:cs="Arial" w:eastAsia="Arial" w:hAnsi="Arial"/>
          <w:sz w:val="17"/>
          <w:szCs w:val="17"/>
          <w:color w:val="auto"/>
        </w:rPr>
        <w:t>allowing us to incorporate functional assays throughout the process and focus on producing product candidates that are optimized for the desired therapeutic activity.</w:t>
      </w:r>
    </w:p>
    <w:p>
      <w:pPr>
        <w:spacing w:after="0" w:line="72" w:lineRule="exact"/>
        <w:rPr>
          <w:rFonts w:ascii="Arial" w:cs="Arial" w:eastAsia="Arial" w:hAnsi="Arial"/>
          <w:sz w:val="17"/>
          <w:szCs w:val="17"/>
          <w:color w:val="auto"/>
        </w:rPr>
      </w:pPr>
    </w:p>
    <w:p>
      <w:pPr>
        <w:ind w:left="900" w:right="40" w:hanging="332"/>
        <w:spacing w:after="0" w:line="276"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Speed. </w:t>
      </w:r>
      <w:r>
        <w:rPr>
          <w:rFonts w:ascii="Arial" w:cs="Arial" w:eastAsia="Arial" w:hAnsi="Arial"/>
          <w:sz w:val="17"/>
          <w:szCs w:val="17"/>
          <w:color w:val="auto"/>
        </w:rPr>
        <w:t>Our platform technology enables us to generate therapeutic-grade antibodies and initiate subsequent preclinical manufacturing and toxicology</w:t>
      </w:r>
      <w:r>
        <w:rPr>
          <w:rFonts w:ascii="Arial" w:cs="Arial" w:eastAsia="Arial" w:hAnsi="Arial"/>
          <w:sz w:val="17"/>
          <w:szCs w:val="17"/>
          <w:b w:val="1"/>
          <w:bCs w:val="1"/>
          <w:color w:val="auto"/>
        </w:rPr>
        <w:t xml:space="preserve"> </w:t>
      </w:r>
      <w:r>
        <w:rPr>
          <w:rFonts w:ascii="Arial" w:cs="Arial" w:eastAsia="Arial" w:hAnsi="Arial"/>
          <w:sz w:val="17"/>
          <w:szCs w:val="17"/>
          <w:color w:val="auto"/>
        </w:rPr>
        <w:t>studies, typically in less than 12 months. We believe this timeline is significantly shorter than conventional approaches based upon mouse immunization and microbial display systems.</w:t>
      </w:r>
    </w:p>
    <w:p>
      <w:pPr>
        <w:spacing w:after="0" w:line="72" w:lineRule="exact"/>
        <w:rPr>
          <w:rFonts w:ascii="Arial" w:cs="Arial" w:eastAsia="Arial" w:hAnsi="Arial"/>
          <w:sz w:val="17"/>
          <w:szCs w:val="17"/>
          <w:color w:val="auto"/>
        </w:rPr>
      </w:pPr>
    </w:p>
    <w:p>
      <w:pPr>
        <w:jc w:val="both"/>
        <w:ind w:left="900" w:right="100" w:hanging="332"/>
        <w:spacing w:after="0" w:line="368" w:lineRule="auto"/>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b w:val="1"/>
          <w:bCs w:val="1"/>
          <w:color w:val="auto"/>
        </w:rPr>
        <w:t xml:space="preserve">Manufacturability. </w:t>
      </w:r>
      <w:r>
        <w:rPr>
          <w:rFonts w:ascii="Arial" w:cs="Arial" w:eastAsia="Arial" w:hAnsi="Arial"/>
          <w:sz w:val="15"/>
          <w:szCs w:val="15"/>
          <w:color w:val="auto"/>
        </w:rPr>
        <w:t>By utilizing our mammalian cell display system, we believe our approach increases the probability of success in manufacturing</w:t>
      </w:r>
      <w:r>
        <w:rPr>
          <w:rFonts w:ascii="Arial" w:cs="Arial" w:eastAsia="Arial" w:hAnsi="Arial"/>
          <w:sz w:val="15"/>
          <w:szCs w:val="15"/>
          <w:b w:val="1"/>
          <w:bCs w:val="1"/>
          <w:color w:val="auto"/>
        </w:rPr>
        <w:t xml:space="preserve"> </w:t>
      </w:r>
      <w:r>
        <w:rPr>
          <w:rFonts w:ascii="Arial" w:cs="Arial" w:eastAsia="Arial" w:hAnsi="Arial"/>
          <w:sz w:val="15"/>
          <w:szCs w:val="15"/>
          <w:color w:val="auto"/>
        </w:rPr>
        <w:t>and commercialization by mitigating the risks associated with antibody expression, formulation and stability during the antibody generation process.</w:t>
      </w:r>
    </w:p>
    <w:p>
      <w:pPr>
        <w:spacing w:after="0" w:line="7" w:lineRule="exact"/>
        <w:rPr>
          <w:rFonts w:ascii="Arial" w:cs="Arial" w:eastAsia="Arial" w:hAnsi="Arial"/>
          <w:sz w:val="15"/>
          <w:szCs w:val="15"/>
          <w:color w:val="auto"/>
        </w:rPr>
      </w:pPr>
    </w:p>
    <w:p>
      <w:pPr>
        <w:ind w:left="900" w:right="100" w:hanging="332"/>
        <w:spacing w:after="0" w:line="281"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TESARO</w:t>
      </w:r>
    </w:p>
    <w:p>
      <w:pPr>
        <w:spacing w:after="0" w:line="1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LAG-3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70"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Under the terms of this agreement, TESARO made up-front, non-creditable and non-refundable cash payments aggregating $19.0 million to us during 2014. TESARO is also required to reimburse us on a quarterly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380"/>
          </w:cols>
          <w:pgMar w:left="240" w:top="449" w:right="2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and up to an additional $90.0 million of milestone payments if certain U.S. and non-U.S. regulatory submissions and approvals occur in initial and subsequent indications. TESARO will also be required to pay us tiered single-digit royalties, on a product-by-product basis, on worldwide annual net sales, and additional commercial milestone payments if specified levels of annual net sales of a product are attained.</w:t>
      </w:r>
    </w:p>
    <w:p>
      <w:pPr>
        <w:spacing w:after="0" w:line="178" w:lineRule="exact"/>
        <w:rPr>
          <w:sz w:val="20"/>
          <w:szCs w:val="20"/>
          <w:color w:val="auto"/>
        </w:rPr>
      </w:pPr>
    </w:p>
    <w:p>
      <w:pPr>
        <w:ind w:right="460" w:firstLine="457"/>
        <w:spacing w:after="0" w:line="322" w:lineRule="auto"/>
        <w:rPr>
          <w:sz w:val="20"/>
          <w:szCs w:val="20"/>
          <w:color w:val="auto"/>
        </w:rPr>
      </w:pPr>
      <w:r>
        <w:rPr>
          <w:rFonts w:ascii="Arial" w:cs="Arial" w:eastAsia="Arial" w:hAnsi="Arial"/>
          <w:sz w:val="16"/>
          <w:szCs w:val="16"/>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Celgene</w:t>
      </w:r>
    </w:p>
    <w:p>
      <w:pPr>
        <w:spacing w:after="0" w:line="11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anti-flammatory antibodies to the clinic.</w:t>
      </w:r>
    </w:p>
    <w:p>
      <w:pPr>
        <w:spacing w:after="0" w:line="178"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65"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In-Licensing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MRC</w:t>
      </w:r>
    </w:p>
    <w:p>
      <w:pPr>
        <w:spacing w:after="0" w:line="119"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49" w:right="25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308" w:lineRule="auto"/>
        <w:rPr>
          <w:sz w:val="20"/>
          <w:szCs w:val="20"/>
          <w:color w:val="auto"/>
        </w:rPr>
      </w:pPr>
      <w:r>
        <w:rPr>
          <w:rFonts w:ascii="Arial" w:cs="Arial" w:eastAsia="Arial" w:hAnsi="Arial"/>
          <w:sz w:val="15"/>
          <w:szCs w:val="15"/>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net sales for worldwide sales on a product-by-product at or below $750 million and 1% of net sales of products worldwide above $1 billion, payable on a country-by-country basis until the expiration of the last licensed patent covering such product in such country. Under this license agreement, we have rights to 16 patents and seven pending patent applications worldwide.</w:t>
      </w:r>
    </w:p>
    <w:p>
      <w:pPr>
        <w:spacing w:after="0" w:line="150"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Millipore</w:t>
      </w:r>
    </w:p>
    <w:p>
      <w:pPr>
        <w:spacing w:after="0" w:line="119"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2"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Australian Operations</w:t>
      </w:r>
    </w:p>
    <w:p>
      <w:pPr>
        <w:spacing w:after="0" w:line="125"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43.5%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 For the preclinical and clinical activities currently planned in Australia, we anticipate receiving between $1.0 million and $2.0 million in Australian refundable tax credits over the next 24 months, assuming our revenues do not exceed $20.0 million Australian dollars in any annual tax period and we comply with the other requirements described above.</w:t>
      </w:r>
    </w:p>
    <w:p>
      <w:pPr>
        <w:spacing w:after="0" w:line="187" w:lineRule="exact"/>
        <w:rPr>
          <w:sz w:val="20"/>
          <w:szCs w:val="20"/>
          <w:color w:val="auto"/>
        </w:rPr>
      </w:pPr>
    </w:p>
    <w:p>
      <w:pPr>
        <w:ind w:right="200" w:firstLine="457"/>
        <w:spacing w:after="0" w:line="308" w:lineRule="auto"/>
        <w:rPr>
          <w:sz w:val="20"/>
          <w:szCs w:val="20"/>
          <w:color w:val="auto"/>
        </w:rPr>
      </w:pPr>
      <w:r>
        <w:rPr>
          <w:rFonts w:ascii="Arial" w:cs="Arial" w:eastAsia="Arial" w:hAnsi="Arial"/>
          <w:sz w:val="15"/>
          <w:szCs w:val="15"/>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do not have any employees with experience advancing product candidates through the Australian regulatory review process. However, we have engaged Australian consultants with expertise in the regulatory requirements and clinical development of therapeutic products in Australia, and we plan to work with established manufacturing and clinical development support contractors located in Australia, who are also familiar with Australian regulatory and product development processes.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00"/>
          </w:cols>
          <w:pgMar w:left="240" w:top="449" w:right="25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5" w:lineRule="exact"/>
        <w:rPr>
          <w:sz w:val="20"/>
          <w:szCs w:val="20"/>
          <w:color w:val="auto"/>
        </w:rPr>
      </w:pPr>
    </w:p>
    <w:p>
      <w:pPr>
        <w:jc w:val="both"/>
        <w:ind w:right="120" w:firstLine="457"/>
        <w:spacing w:after="0" w:line="289" w:lineRule="auto"/>
        <w:rPr>
          <w:sz w:val="20"/>
          <w:szCs w:val="20"/>
          <w:color w:val="auto"/>
        </w:rPr>
      </w:pPr>
      <w:r>
        <w:rPr>
          <w:rFonts w:ascii="Arial" w:cs="Arial" w:eastAsia="Arial" w:hAnsi="Arial"/>
          <w:sz w:val="16"/>
          <w:szCs w:val="16"/>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current patent portfolio, including patents to our technology platform licensed from MRC and patents licensed from Kyoto University, consists of 29 issued patents and 41 pending patent applications as of December 21, 2015.</w:t>
      </w:r>
    </w:p>
    <w:p>
      <w:pPr>
        <w:spacing w:after="0" w:line="161" w:lineRule="exact"/>
        <w:rPr>
          <w:sz w:val="20"/>
          <w:szCs w:val="20"/>
          <w:color w:val="auto"/>
        </w:rPr>
      </w:pPr>
    </w:p>
    <w:p>
      <w:pPr>
        <w:ind w:right="60" w:firstLine="457"/>
        <w:spacing w:after="0" w:line="325" w:lineRule="auto"/>
        <w:rPr>
          <w:sz w:val="20"/>
          <w:szCs w:val="20"/>
          <w:color w:val="auto"/>
        </w:rPr>
      </w:pPr>
      <w:r>
        <w:rPr>
          <w:rFonts w:ascii="Arial" w:cs="Arial" w:eastAsia="Arial" w:hAnsi="Arial"/>
          <w:sz w:val="15"/>
          <w:szCs w:val="15"/>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patent portfolios for our two internal programs and platform technology are outlined below:</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ANB020</w:t>
      </w:r>
    </w:p>
    <w:p>
      <w:pPr>
        <w:spacing w:after="0" w:line="119"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As of November 30, 2015, we own one international patent application, filed under the Patent Cooperation Treaty, or PCT, which is directed to the antibody sequence of ANB020 and its variants, epitopes, methods of use and related matters. We intend to prosecute the pending international application and pursue patent issuance and protection in key commercial markets where significant product sales may occur. Patents that may issue from this pending international application would provide protection until January 2035.</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ANB019</w:t>
      </w:r>
    </w:p>
    <w:p>
      <w:pPr>
        <w:spacing w:after="0" w:line="119"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As of November 30, 2015, we own one U.S. provisional patent application, which is directed to the antibody sequence of ANB019 and its variants, epitopes, methods of use and related matters. We intend to pursue an international patent application, filed under the PCT in due course, based on the pending U.S. provisional patent application, and pursue patent issuance and protection in key commercial markets where significant product sales may occur. Patents that may issue from the expected international application would provide protection until April 2036.</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Technology</w:t>
      </w:r>
    </w:p>
    <w:p>
      <w:pPr>
        <w:spacing w:after="0" w:line="119"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Our platform technology is covered by U.S. and foreign issued patents and pending patent applications, emanating from our in-licensed portfolio and wholly owned portfolio, currently under prosecution in various jurisdictions.</w:t>
      </w:r>
    </w:p>
    <w:p>
      <w:pPr>
        <w:spacing w:after="0" w:line="158" w:lineRule="exact"/>
        <w:rPr>
          <w:sz w:val="20"/>
          <w:szCs w:val="20"/>
          <w:color w:val="auto"/>
        </w:rPr>
      </w:pPr>
    </w:p>
    <w:p>
      <w:pPr>
        <w:ind w:right="360" w:firstLine="457"/>
        <w:spacing w:after="0" w:line="297" w:lineRule="auto"/>
        <w:rPr>
          <w:sz w:val="20"/>
          <w:szCs w:val="20"/>
          <w:color w:val="auto"/>
        </w:rPr>
      </w:pPr>
      <w:r>
        <w:rPr>
          <w:rFonts w:ascii="Arial" w:cs="Arial" w:eastAsia="Arial" w:hAnsi="Arial"/>
          <w:sz w:val="16"/>
          <w:szCs w:val="16"/>
          <w:color w:val="auto"/>
        </w:rPr>
        <w:t>Our wholly 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5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449"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158" w:lineRule="exact"/>
        <w:rPr>
          <w:sz w:val="20"/>
          <w:szCs w:val="20"/>
          <w:color w:val="auto"/>
        </w:rPr>
      </w:pPr>
    </w:p>
    <w:p>
      <w:pPr>
        <w:ind w:right="40" w:firstLine="457"/>
        <w:spacing w:after="0" w:line="277"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75"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25"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 xml:space="preserve">Our internal manufacturing capabilities include non-cGMP antibody and reagent production using small scale quantities for characterization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in vivo </w:t>
      </w:r>
      <w:r>
        <w:rPr>
          <w:rFonts w:ascii="Arial" w:cs="Arial" w:eastAsia="Arial" w:hAnsi="Arial"/>
          <w:sz w:val="17"/>
          <w:szCs w:val="17"/>
          <w:color w:val="auto"/>
        </w:rPr>
        <w:t>preclinical assessment of product candidates. We do not have and we do not currently plan to acquire or develop the facilities or capabilities to manufacture</w:t>
      </w:r>
      <w:r>
        <w:rPr>
          <w:rFonts w:ascii="Arial" w:cs="Arial" w:eastAsia="Arial" w:hAnsi="Arial"/>
          <w:sz w:val="17"/>
          <w:szCs w:val="17"/>
          <w:i w:val="1"/>
          <w:iCs w:val="1"/>
          <w:color w:val="auto"/>
        </w:rPr>
        <w:t xml:space="preserve"> </w:t>
      </w:r>
      <w:r>
        <w:rPr>
          <w:rFonts w:ascii="Arial" w:cs="Arial" w:eastAsia="Arial" w:hAnsi="Arial"/>
          <w:sz w:val="17"/>
          <w:szCs w:val="17"/>
          <w:color w:val="auto"/>
        </w:rPr>
        <w:t>cGMP drug substance or filled drug product for use in human clinical trials.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9"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produced batches for other companies in compliance with cGMP and have been previously inspected by regulatory authorities for compliance with cGMP standards. Similarly, our personnel have had experience with cGMP at previous positions.</w:t>
      </w:r>
    </w:p>
    <w:p>
      <w:pPr>
        <w:spacing w:after="0" w:line="168"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5"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5" w:lineRule="exact"/>
        <w:rPr>
          <w:sz w:val="20"/>
          <w:szCs w:val="20"/>
          <w:color w:val="auto"/>
        </w:rPr>
      </w:pPr>
    </w:p>
    <w:p>
      <w:pPr>
        <w:ind w:right="400" w:firstLine="457"/>
        <w:spacing w:after="0" w:line="289" w:lineRule="auto"/>
        <w:rPr>
          <w:sz w:val="20"/>
          <w:szCs w:val="20"/>
          <w:color w:val="auto"/>
        </w:rPr>
      </w:pPr>
      <w:r>
        <w:rPr>
          <w:rFonts w:ascii="Arial" w:cs="Arial" w:eastAsia="Arial" w:hAnsi="Arial"/>
          <w:sz w:val="17"/>
          <w:szCs w:val="17"/>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58" w:lineRule="exact"/>
        <w:rPr>
          <w:sz w:val="20"/>
          <w:szCs w:val="20"/>
          <w:color w:val="auto"/>
        </w:rPr>
      </w:pPr>
    </w:p>
    <w:p>
      <w:pPr>
        <w:ind w:right="180" w:firstLine="457"/>
        <w:spacing w:after="0" w:line="285"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00"/>
          </w:cols>
          <w:pgMar w:left="240" w:top="449" w:right="2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(AstraZeneca) that bind the IL-5 receptor; antibodies that bind to IL-13 such as lebrikizumab (Roche), tralokinumab (AstraZeneca) and anrukinzumab (Pfizer) which are in clinical testing; antibodies that bind the IL-4 receptor alpha chain such as dupilumab (Regeneron) and AMG317 (Amgen) each in clinical testing; and antibodies that bind the ST2 receptor including AMG282 (Amgen), which is in clinical testing.</w:t>
      </w:r>
    </w:p>
    <w:p>
      <w:pPr>
        <w:spacing w:after="0" w:line="171"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Product Approval</w:t>
      </w:r>
    </w:p>
    <w:p>
      <w:pPr>
        <w:spacing w:after="0" w:line="125"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approval process</w:t>
      </w:r>
    </w:p>
    <w:p>
      <w:pPr>
        <w:spacing w:after="0" w:line="119"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5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 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78"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380"/>
          </w:cols>
          <w:pgMar w:left="240" w:top="449" w:right="27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82"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61"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00"/>
          </w:cols>
          <w:pgMar w:left="240" w:top="449" w:right="25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65"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87" w:lineRule="exact"/>
        <w:rPr>
          <w:sz w:val="20"/>
          <w:szCs w:val="20"/>
          <w:color w:val="auto"/>
        </w:rPr>
      </w:pPr>
    </w:p>
    <w:p>
      <w:pPr>
        <w:ind w:right="260" w:firstLine="457"/>
        <w:spacing w:after="0" w:line="265" w:lineRule="auto"/>
        <w:rPr>
          <w:sz w:val="20"/>
          <w:szCs w:val="20"/>
          <w:color w:val="auto"/>
        </w:rPr>
      </w:pPr>
      <w:r>
        <w:rPr>
          <w:rFonts w:ascii="Arial" w:cs="Arial" w:eastAsia="Arial" w:hAnsi="Arial"/>
          <w:sz w:val="17"/>
          <w:szCs w:val="17"/>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clinical studies to support an IND</w:t>
      </w:r>
    </w:p>
    <w:p>
      <w:pPr>
        <w:spacing w:after="0" w:line="119" w:lineRule="exact"/>
        <w:rPr>
          <w:sz w:val="20"/>
          <w:szCs w:val="20"/>
          <w:color w:val="auto"/>
        </w:rPr>
      </w:pPr>
    </w:p>
    <w:p>
      <w:pPr>
        <w:ind w:right="80" w:firstLine="457"/>
        <w:spacing w:after="0" w:line="297"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63" w:lineRule="exact"/>
        <w:rPr>
          <w:sz w:val="20"/>
          <w:szCs w:val="20"/>
          <w:color w:val="auto"/>
        </w:rPr>
      </w:pPr>
    </w:p>
    <w:p>
      <w:pPr>
        <w:ind w:left="900" w:hanging="332"/>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investigator’s qualifications;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description of the research facilities;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detailed summary of the protocol and study results and, if requested, case records or additional background data;</w:t>
      </w:r>
    </w:p>
    <w:p>
      <w:pPr>
        <w:spacing w:after="0" w:line="131" w:lineRule="exact"/>
        <w:rPr>
          <w:rFonts w:ascii="Arial" w:cs="Arial" w:eastAsia="Arial" w:hAnsi="Arial"/>
          <w:sz w:val="17"/>
          <w:szCs w:val="17"/>
          <w:color w:val="auto"/>
        </w:rPr>
      </w:pPr>
    </w:p>
    <w:p>
      <w:pPr>
        <w:ind w:left="900" w:hanging="332"/>
        <w:spacing w:after="0" w:line="289"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description of the drug substance and drug product, including the components, formulation, specifications, and, if available, the bioavailability of the drug product;</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information showing that the study is adequate and well controlled;</w:t>
      </w:r>
    </w:p>
    <w:p>
      <w:pPr>
        <w:spacing w:after="0" w:line="131" w:lineRule="exact"/>
        <w:rPr>
          <w:rFonts w:ascii="Arial" w:cs="Arial" w:eastAsia="Arial" w:hAnsi="Arial"/>
          <w:sz w:val="17"/>
          <w:szCs w:val="17"/>
          <w:color w:val="auto"/>
        </w:rPr>
      </w:pPr>
    </w:p>
    <w:p>
      <w:pPr>
        <w:ind w:left="900" w:right="260" w:hanging="332"/>
        <w:spacing w:after="0" w:line="289"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name and address of the independent ethics committee that reviewed the study and a statement that the independent ethics committee meets the required definition;</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449"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332"/>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description of how informed consent was obtained;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description of what incentives, if any, were provided to subjects to participate;</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description of how the sponsors monitored the study and ensured that the study was consistent with the protocol;</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statement on whether written commitments by investigators to comply with GCP and the protocol were obtained.</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119"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78"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of clinical trial information</w:t>
      </w:r>
    </w:p>
    <w:p>
      <w:pPr>
        <w:spacing w:after="0" w:line="119"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Pediatric information</w:t>
      </w:r>
    </w:p>
    <w:p>
      <w:pPr>
        <w:spacing w:after="0" w:line="119" w:lineRule="exact"/>
        <w:rPr>
          <w:sz w:val="20"/>
          <w:szCs w:val="20"/>
          <w:color w:val="auto"/>
        </w:rPr>
      </w:pPr>
    </w:p>
    <w:p>
      <w:pPr>
        <w:ind w:right="440" w:firstLine="457"/>
        <w:spacing w:after="0" w:line="289" w:lineRule="auto"/>
        <w:rPr>
          <w:sz w:val="20"/>
          <w:szCs w:val="20"/>
          <w:color w:val="auto"/>
        </w:rPr>
      </w:pPr>
      <w:r>
        <w:rPr>
          <w:rFonts w:ascii="Arial" w:cs="Arial" w:eastAsia="Arial" w:hAnsi="Arial"/>
          <w:sz w:val="16"/>
          <w:szCs w:val="16"/>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449" w:right="2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controls for biologics</w:t>
      </w:r>
    </w:p>
    <w:p>
      <w:pPr>
        <w:spacing w:after="0" w:line="119" w:lineRule="exact"/>
        <w:rPr>
          <w:sz w:val="20"/>
          <w:szCs w:val="20"/>
          <w:color w:val="auto"/>
        </w:rPr>
      </w:pPr>
    </w:p>
    <w:p>
      <w:pPr>
        <w:ind w:right="180" w:firstLine="457"/>
        <w:spacing w:after="0" w:line="289"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61"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8" w:lineRule="exact"/>
        <w:rPr>
          <w:sz w:val="20"/>
          <w:szCs w:val="20"/>
          <w:color w:val="auto"/>
        </w:rPr>
      </w:pPr>
    </w:p>
    <w:p>
      <w:pPr>
        <w:jc w:val="both"/>
        <w:ind w:right="60" w:firstLine="457"/>
        <w:spacing w:after="0" w:line="273" w:lineRule="auto"/>
        <w:rPr>
          <w:sz w:val="20"/>
          <w:szCs w:val="20"/>
          <w:color w:val="auto"/>
        </w:rPr>
      </w:pPr>
      <w:r>
        <w:rPr>
          <w:rFonts w:ascii="Arial" w:cs="Arial" w:eastAsia="Arial" w:hAnsi="Arial"/>
          <w:sz w:val="17"/>
          <w:szCs w:val="17"/>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 restoration</w:t>
      </w:r>
    </w:p>
    <w:p>
      <w:pPr>
        <w:spacing w:after="0" w:line="119" w:lineRule="exact"/>
        <w:rPr>
          <w:sz w:val="20"/>
          <w:szCs w:val="20"/>
          <w:color w:val="auto"/>
        </w:rPr>
      </w:pPr>
    </w:p>
    <w:p>
      <w:pPr>
        <w:ind w:right="240" w:firstLine="457"/>
        <w:spacing w:after="0" w:line="267"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8" w:lineRule="exact"/>
        <w:rPr>
          <w:sz w:val="20"/>
          <w:szCs w:val="20"/>
          <w:color w:val="auto"/>
        </w:rPr>
      </w:pPr>
    </w:p>
    <w:p>
      <w:pPr>
        <w:jc w:val="both"/>
        <w:ind w:right="80" w:firstLine="457"/>
        <w:spacing w:after="0" w:line="289" w:lineRule="auto"/>
        <w:rPr>
          <w:sz w:val="20"/>
          <w:szCs w:val="20"/>
          <w:color w:val="auto"/>
        </w:rPr>
      </w:pPr>
      <w:r>
        <w:rPr>
          <w:rFonts w:ascii="Arial" w:cs="Arial" w:eastAsia="Arial" w:hAnsi="Arial"/>
          <w:sz w:val="16"/>
          <w:szCs w:val="16"/>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Biosimilars</w:t>
      </w:r>
    </w:p>
    <w:p>
      <w:pPr>
        <w:spacing w:after="0" w:line="1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On March 6, 2015, the FDA approved the first biosimilar product under the BPCIA. Complexities associated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449"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with the larger, and often more complex, structures of biological products, as well as the process by which such products are manufactured, pose significant hurdles to implementation, which is still being evaluated by the FDA.</w:t>
      </w:r>
    </w:p>
    <w:p>
      <w:pPr>
        <w:spacing w:after="0" w:line="15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19"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78" w:lineRule="exact"/>
        <w:rPr>
          <w:sz w:val="20"/>
          <w:szCs w:val="20"/>
          <w:color w:val="auto"/>
        </w:rPr>
      </w:pPr>
    </w:p>
    <w:p>
      <w:pPr>
        <w:ind w:right="20" w:firstLine="457"/>
        <w:spacing w:after="0" w:line="301" w:lineRule="auto"/>
        <w:rPr>
          <w:sz w:val="20"/>
          <w:szCs w:val="20"/>
          <w:color w:val="auto"/>
        </w:rPr>
      </w:pPr>
      <w:r>
        <w:rPr>
          <w:rFonts w:ascii="Arial" w:cs="Arial" w:eastAsia="Arial" w:hAnsi="Arial"/>
          <w:sz w:val="15"/>
          <w:szCs w:val="15"/>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regulation of companion diagnostics</w:t>
      </w:r>
    </w:p>
    <w:p>
      <w:pPr>
        <w:spacing w:after="0" w:line="11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 xml:space="preserve">If use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00"/>
          </w:cols>
          <w:pgMar w:left="240" w:top="449" w:right="2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PMA review, the FDA will typically inspect the manufacturer’s facilities for compliance with the Quality System Regulation, or QSR, which imposes elaborate testing, control, documentation and other quality assurance requirements.</w:t>
      </w:r>
    </w:p>
    <w:p>
      <w:pPr>
        <w:spacing w:after="0" w:line="15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U.S. healthcare laws and compliance requirements</w:t>
      </w:r>
    </w:p>
    <w:p>
      <w:pPr>
        <w:spacing w:after="0" w:line="119"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81"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00"/>
          </w:cols>
          <w:pgMar w:left="240" w:top="449" w:right="2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78"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1"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5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82"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7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Additionally, the federal Physician Payments Sunshine Act within the ACA, and its implementing regulations, require that certain manufacturers of drugs, devices, biological and medical supplies for which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00"/>
          </w:cols>
          <w:pgMar w:left="240" w:top="449" w:right="25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81"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7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pricing and reimbursement</w:t>
      </w:r>
    </w:p>
    <w:p>
      <w:pPr>
        <w:spacing w:after="0" w:line="119"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49"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119"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58" w:lineRule="exact"/>
        <w:rPr>
          <w:sz w:val="20"/>
          <w:szCs w:val="20"/>
          <w:color w:val="auto"/>
        </w:rPr>
      </w:pPr>
    </w:p>
    <w:p>
      <w:pPr>
        <w:ind w:right="440" w:firstLine="457"/>
        <w:spacing w:after="0" w:line="289" w:lineRule="auto"/>
        <w:rPr>
          <w:sz w:val="20"/>
          <w:szCs w:val="20"/>
          <w:color w:val="auto"/>
        </w:rPr>
      </w:pPr>
      <w:r>
        <w:rPr>
          <w:rFonts w:ascii="Arial" w:cs="Arial" w:eastAsia="Arial" w:hAnsi="Arial"/>
          <w:sz w:val="17"/>
          <w:szCs w:val="17"/>
          <w:color w:val="auto"/>
        </w:rPr>
        <w:t>Among the ACA provisions of importance to the pharmaceutical and biotechnology industries, in addition to those otherwise described above, are the following:</w:t>
      </w:r>
    </w:p>
    <w:p>
      <w:pPr>
        <w:spacing w:after="0" w:line="66" w:lineRule="exact"/>
        <w:rPr>
          <w:sz w:val="20"/>
          <w:szCs w:val="20"/>
          <w:color w:val="auto"/>
        </w:rPr>
      </w:pPr>
    </w:p>
    <w:p>
      <w:pPr>
        <w:ind w:left="900" w:right="80" w:hanging="332"/>
        <w:spacing w:after="0" w:line="289"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66" w:lineRule="exact"/>
        <w:rPr>
          <w:rFonts w:ascii="Arial" w:cs="Arial" w:eastAsia="Arial" w:hAnsi="Arial"/>
          <w:sz w:val="17"/>
          <w:szCs w:val="17"/>
          <w:color w:val="auto"/>
        </w:rPr>
      </w:pPr>
    </w:p>
    <w:p>
      <w:pPr>
        <w:ind w:left="900" w:right="80" w:hanging="332"/>
        <w:spacing w:after="0" w:line="273"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79" w:lineRule="exact"/>
        <w:rPr>
          <w:rFonts w:ascii="Arial" w:cs="Arial" w:eastAsia="Arial" w:hAnsi="Arial"/>
          <w:sz w:val="17"/>
          <w:szCs w:val="17"/>
          <w:color w:val="auto"/>
        </w:rPr>
      </w:pPr>
    </w:p>
    <w:p>
      <w:pPr>
        <w:ind w:left="900" w:right="60" w:hanging="332"/>
        <w:spacing w:after="0" w:line="273"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79" w:lineRule="exact"/>
        <w:rPr>
          <w:rFonts w:ascii="Arial" w:cs="Arial" w:eastAsia="Arial" w:hAnsi="Arial"/>
          <w:sz w:val="17"/>
          <w:szCs w:val="17"/>
          <w:color w:val="auto"/>
        </w:rPr>
      </w:pPr>
    </w:p>
    <w:p>
      <w:pPr>
        <w:ind w:left="900" w:right="720" w:hanging="332"/>
        <w:spacing w:after="0" w:line="289"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66" w:lineRule="exact"/>
        <w:rPr>
          <w:rFonts w:ascii="Arial" w:cs="Arial" w:eastAsia="Arial" w:hAnsi="Arial"/>
          <w:sz w:val="17"/>
          <w:szCs w:val="17"/>
          <w:color w:val="auto"/>
        </w:rPr>
      </w:pPr>
    </w:p>
    <w:p>
      <w:pPr>
        <w:ind w:left="900" w:right="220" w:hanging="332"/>
        <w:spacing w:after="0" w:line="273"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79" w:lineRule="exact"/>
        <w:rPr>
          <w:rFonts w:ascii="Arial" w:cs="Arial" w:eastAsia="Arial" w:hAnsi="Arial"/>
          <w:sz w:val="17"/>
          <w:szCs w:val="17"/>
          <w:color w:val="auto"/>
        </w:rPr>
      </w:pPr>
    </w:p>
    <w:p>
      <w:pPr>
        <w:ind w:left="900" w:hanging="332"/>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131" w:lineRule="exact"/>
        <w:rPr>
          <w:rFonts w:ascii="Arial" w:cs="Arial" w:eastAsia="Arial" w:hAnsi="Arial"/>
          <w:sz w:val="17"/>
          <w:szCs w:val="17"/>
          <w:color w:val="auto"/>
        </w:rPr>
      </w:pPr>
    </w:p>
    <w:p>
      <w:pPr>
        <w:ind w:left="900" w:right="120" w:hanging="332"/>
        <w:spacing w:after="0" w:line="289"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66" w:lineRule="exact"/>
        <w:rPr>
          <w:rFonts w:ascii="Arial" w:cs="Arial" w:eastAsia="Arial" w:hAnsi="Arial"/>
          <w:sz w:val="17"/>
          <w:szCs w:val="17"/>
          <w:color w:val="auto"/>
        </w:rPr>
      </w:pPr>
    </w:p>
    <w:p>
      <w:pPr>
        <w:ind w:left="900" w:right="120" w:hanging="332"/>
        <w:spacing w:after="0" w:line="289"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new government investigative powers, and enhanced penalties for noncompliance;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380"/>
          </w:cols>
          <w:pgMar w:left="240" w:top="449" w:right="27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400" w:hanging="332"/>
        <w:spacing w:after="0" w:line="289"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requirements to report certain financial arrangements with physicians and teaching hospitals;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24"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6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Foreign Corrupt Practices Act</w:t>
      </w:r>
    </w:p>
    <w:p>
      <w:pPr>
        <w:spacing w:after="0" w:line="1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regulation</w:t>
      </w:r>
    </w:p>
    <w:p>
      <w:pPr>
        <w:spacing w:after="0" w:line="119" w:lineRule="exact"/>
        <w:rPr>
          <w:sz w:val="20"/>
          <w:szCs w:val="20"/>
          <w:color w:val="auto"/>
        </w:rPr>
      </w:pPr>
    </w:p>
    <w:p>
      <w:pPr>
        <w:ind w:right="160" w:firstLine="457"/>
        <w:spacing w:after="0" w:line="28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00"/>
          </w:cols>
          <w:pgMar w:left="240" w:top="449" w:right="25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 / rest of world government regulation</w:t>
      </w:r>
    </w:p>
    <w:p>
      <w:pPr>
        <w:spacing w:after="0" w:line="119"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55"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65" w:lineRule="exact"/>
        <w:rPr>
          <w:sz w:val="20"/>
          <w:szCs w:val="20"/>
          <w:color w:val="auto"/>
        </w:rPr>
      </w:pPr>
    </w:p>
    <w:p>
      <w:pPr>
        <w:ind w:right="660" w:firstLine="457"/>
        <w:spacing w:after="0" w:line="322" w:lineRule="auto"/>
        <w:rPr>
          <w:sz w:val="20"/>
          <w:szCs w:val="20"/>
          <w:color w:val="auto"/>
        </w:rPr>
      </w:pPr>
      <w:r>
        <w:rPr>
          <w:rFonts w:ascii="Arial" w:cs="Arial" w:eastAsia="Arial" w:hAnsi="Arial"/>
          <w:sz w:val="16"/>
          <w:szCs w:val="16"/>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119" w:lineRule="exact"/>
        <w:rPr>
          <w:sz w:val="20"/>
          <w:szCs w:val="20"/>
          <w:color w:val="auto"/>
        </w:rPr>
      </w:pPr>
    </w:p>
    <w:p>
      <w:pPr>
        <w:ind w:right="100" w:firstLine="457"/>
        <w:spacing w:after="0" w:line="32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35"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CTN process broadly involves:</w:t>
      </w:r>
    </w:p>
    <w:p>
      <w:pPr>
        <w:spacing w:after="0" w:line="132" w:lineRule="exact"/>
        <w:rPr>
          <w:sz w:val="20"/>
          <w:szCs w:val="20"/>
          <w:color w:val="auto"/>
        </w:rPr>
      </w:pPr>
    </w:p>
    <w:p>
      <w:pPr>
        <w:ind w:left="900" w:hanging="332"/>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completion of pre-clinical laboratory and animal testing;</w:t>
      </w:r>
    </w:p>
    <w:p>
      <w:pPr>
        <w:spacing w:after="0" w:line="131" w:lineRule="exact"/>
        <w:rPr>
          <w:rFonts w:ascii="Arial" w:cs="Arial" w:eastAsia="Arial" w:hAnsi="Arial"/>
          <w:sz w:val="17"/>
          <w:szCs w:val="17"/>
          <w:color w:val="auto"/>
        </w:rPr>
      </w:pPr>
    </w:p>
    <w:p>
      <w:pPr>
        <w:ind w:left="900" w:right="260" w:hanging="332"/>
        <w:spacing w:after="0" w:line="289"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submission to a Human Research Ethics Committee, or the HREC, of all material relating to the proposed clinical trial, including the trial protocol. The TGA does not review any data relating to the clinical trial;</w:t>
      </w:r>
    </w:p>
    <w:p>
      <w:pPr>
        <w:spacing w:after="0" w:line="66" w:lineRule="exact"/>
        <w:rPr>
          <w:rFonts w:ascii="Arial" w:cs="Arial" w:eastAsia="Arial" w:hAnsi="Arial"/>
          <w:sz w:val="17"/>
          <w:szCs w:val="17"/>
          <w:color w:val="auto"/>
        </w:rPr>
      </w:pPr>
    </w:p>
    <w:p>
      <w:pPr>
        <w:ind w:left="900" w:right="40" w:hanging="332"/>
        <w:spacing w:after="0" w:line="289"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CTN trials cannot commence until the trial has been notified to the TGA.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449"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CTX process:</w:t>
      </w:r>
    </w:p>
    <w:p>
      <w:pPr>
        <w:spacing w:after="0" w:line="132" w:lineRule="exact"/>
        <w:rPr>
          <w:sz w:val="20"/>
          <w:szCs w:val="20"/>
          <w:color w:val="auto"/>
        </w:rPr>
      </w:pPr>
    </w:p>
    <w:p>
      <w:pPr>
        <w:ind w:left="900" w:hanging="332"/>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sponsor submits an application to conduct a clinical trial to the TGA for evaluation and comment; and</w:t>
      </w:r>
    </w:p>
    <w:p>
      <w:pPr>
        <w:spacing w:after="0" w:line="131" w:lineRule="exact"/>
        <w:rPr>
          <w:rFonts w:ascii="Arial" w:cs="Arial" w:eastAsia="Arial" w:hAnsi="Arial"/>
          <w:sz w:val="17"/>
          <w:szCs w:val="17"/>
          <w:color w:val="auto"/>
        </w:rPr>
      </w:pPr>
    </w:p>
    <w:p>
      <w:pPr>
        <w:ind w:left="900" w:right="100" w:hanging="332"/>
        <w:spacing w:after="0" w:line="289"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each case, it is required that:</w:t>
      </w:r>
    </w:p>
    <w:p>
      <w:pPr>
        <w:spacing w:after="0" w:line="132" w:lineRule="exact"/>
        <w:rPr>
          <w:sz w:val="20"/>
          <w:szCs w:val="20"/>
          <w:color w:val="auto"/>
        </w:rPr>
      </w:pPr>
    </w:p>
    <w:p>
      <w:pPr>
        <w:ind w:left="900" w:hanging="332"/>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adequate and well-controlled clinical trials demonstrate the quality, safety and efficacy of the therapeutic product;</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evidence is compiled which demonstrates that the manufacture of the therapeutic drug product complies with the principles of cGMP;</w:t>
      </w:r>
    </w:p>
    <w:p>
      <w:pPr>
        <w:spacing w:after="0" w:line="131" w:lineRule="exact"/>
        <w:rPr>
          <w:rFonts w:ascii="Arial" w:cs="Arial" w:eastAsia="Arial" w:hAnsi="Arial"/>
          <w:sz w:val="17"/>
          <w:szCs w:val="17"/>
          <w:color w:val="auto"/>
        </w:rPr>
      </w:pPr>
    </w:p>
    <w:p>
      <w:pPr>
        <w:ind w:left="900" w:right="220" w:hanging="332"/>
        <w:spacing w:after="0" w:line="289"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ultimate decision is made by the TGA whether to include the therapeutic drug product in the ARTG.</w:t>
      </w:r>
    </w:p>
    <w:p>
      <w:pPr>
        <w:spacing w:after="0" w:line="224"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7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first-in-human study under ICH guidelines are applicable in Australia. Requirements related to adverse event reporting in Australia are similar to those required in other major jurisdictions.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regulations</w:t>
      </w:r>
    </w:p>
    <w:p>
      <w:pPr>
        <w:spacing w:after="0" w:line="119" w:lineRule="exact"/>
        <w:rPr>
          <w:sz w:val="20"/>
          <w:szCs w:val="20"/>
          <w:color w:val="auto"/>
        </w:rPr>
      </w:pPr>
    </w:p>
    <w:p>
      <w:pPr>
        <w:ind w:right="240" w:firstLine="457"/>
        <w:spacing w:after="0" w:line="273" w:lineRule="auto"/>
        <w:rPr>
          <w:sz w:val="20"/>
          <w:szCs w:val="20"/>
          <w:color w:val="auto"/>
        </w:rPr>
      </w:pPr>
      <w:r>
        <w:rPr>
          <w:rFonts w:ascii="Arial" w:cs="Arial" w:eastAsia="Arial" w:hAnsi="Arial"/>
          <w:sz w:val="17"/>
          <w:szCs w:val="17"/>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380"/>
          </w:cols>
          <w:pgMar w:left="240" w:top="449" w:right="27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5"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As of November 30, 2015, we had 49 full-time employees and one part-time employee. Of these employees, 40 were primarily engaged in research and development activities and 12 have an M.D. or a Ph.D. None of our employees are represented by a labor union or covered by collective bargaining agreements, and we believe our relationship with our employees is good.</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 and Facilities</w:t>
      </w:r>
    </w:p>
    <w:p>
      <w:pPr>
        <w:spacing w:after="0" w:line="125" w:lineRule="exact"/>
        <w:rPr>
          <w:sz w:val="20"/>
          <w:szCs w:val="20"/>
          <w:color w:val="auto"/>
        </w:rPr>
      </w:pPr>
    </w:p>
    <w:p>
      <w:pPr>
        <w:ind w:right="80" w:firstLine="457"/>
        <w:spacing w:after="0" w:line="32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that our facilities are adequate to meet our needs for the foreseeable future.</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5" w:lineRule="exact"/>
        <w:rPr>
          <w:sz w:val="20"/>
          <w:szCs w:val="20"/>
          <w:color w:val="auto"/>
        </w:rPr>
      </w:pPr>
    </w:p>
    <w:p>
      <w:pPr>
        <w:ind w:right="240" w:firstLine="457"/>
        <w:spacing w:after="0" w:line="325" w:lineRule="auto"/>
        <w:rPr>
          <w:sz w:val="20"/>
          <w:szCs w:val="20"/>
          <w:color w:val="auto"/>
        </w:rPr>
      </w:pPr>
      <w:r>
        <w:rPr>
          <w:rFonts w:ascii="Arial" w:cs="Arial" w:eastAsia="Arial" w:hAnsi="Arial"/>
          <w:sz w:val="15"/>
          <w:szCs w:val="15"/>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00"/>
          </w:cols>
          <w:pgMar w:left="240" w:top="449" w:right="4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information regarding our executive officers and directors as of November 30,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45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160" w:type="dxa"/>
            <w:vAlign w:val="bottom"/>
          </w:tcPr>
          <w:p>
            <w:pPr>
              <w:spacing w:after="0"/>
              <w:rPr>
                <w:sz w:val="15"/>
                <w:szCs w:val="15"/>
                <w:color w:val="auto"/>
              </w:rPr>
            </w:pPr>
          </w:p>
        </w:tc>
        <w:tc>
          <w:tcPr>
            <w:tcW w:w="3480" w:type="dxa"/>
            <w:vAlign w:val="bottom"/>
            <w:gridSpan w:val="3"/>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77"/>
        </w:trPr>
        <w:tc>
          <w:tcPr>
            <w:tcW w:w="4860" w:type="dxa"/>
            <w:vAlign w:val="bottom"/>
            <w:gridSpan w:val="2"/>
          </w:tcPr>
          <w:p>
            <w:pPr>
              <w:spacing w:after="0" w:line="177" w:lineRule="exact"/>
              <w:rPr>
                <w:sz w:val="20"/>
                <w:szCs w:val="20"/>
                <w:color w:val="auto"/>
              </w:rPr>
            </w:pPr>
            <w:r>
              <w:rPr>
                <w:rFonts w:ascii="Arial" w:cs="Arial" w:eastAsia="Arial" w:hAnsi="Arial"/>
                <w:sz w:val="17"/>
                <w:szCs w:val="17"/>
                <w:b w:val="1"/>
                <w:bCs w:val="1"/>
                <w:color w:val="auto"/>
              </w:rPr>
              <w:t>Executive Officers: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210"/>
        </w:trPr>
        <w:tc>
          <w:tcPr>
            <w:tcW w:w="4860" w:type="dxa"/>
            <w:vAlign w:val="bottom"/>
            <w:gridSpan w:val="2"/>
          </w:tcPr>
          <w:p>
            <w:pPr>
              <w:ind w:left="360"/>
              <w:spacing w:after="0"/>
              <w:rPr>
                <w:sz w:val="20"/>
                <w:szCs w:val="20"/>
                <w:color w:val="auto"/>
              </w:rPr>
            </w:pPr>
            <w:r>
              <w:rPr>
                <w:rFonts w:ascii="Arial" w:cs="Arial" w:eastAsia="Arial" w:hAnsi="Arial"/>
                <w:sz w:val="17"/>
                <w:szCs w:val="17"/>
                <w:color w:val="auto"/>
              </w:rPr>
              <w:t>Hamza Suria.</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3480" w:type="dxa"/>
            <w:vAlign w:val="bottom"/>
            <w:gridSpan w:val="3"/>
          </w:tcPr>
          <w:p>
            <w:pPr>
              <w:ind w:left="160"/>
              <w:spacing w:after="0"/>
              <w:rPr>
                <w:sz w:val="20"/>
                <w:szCs w:val="20"/>
                <w:color w:val="auto"/>
              </w:rPr>
            </w:pPr>
            <w:r>
              <w:rPr>
                <w:rFonts w:ascii="Arial" w:cs="Arial" w:eastAsia="Arial" w:hAnsi="Arial"/>
                <w:sz w:val="17"/>
                <w:szCs w:val="17"/>
                <w:color w:val="auto"/>
                <w:w w:val="93"/>
              </w:rPr>
              <w:t>President, Chief Executive Officer and Director</w:t>
            </w:r>
          </w:p>
        </w:tc>
      </w:tr>
      <w:tr>
        <w:trPr>
          <w:trHeight w:val="210"/>
        </w:trPr>
        <w:tc>
          <w:tcPr>
            <w:tcW w:w="4860" w:type="dxa"/>
            <w:vAlign w:val="bottom"/>
            <w:gridSpan w:val="2"/>
          </w:tcPr>
          <w:p>
            <w:pPr>
              <w:ind w:left="360"/>
              <w:spacing w:after="0"/>
              <w:rPr>
                <w:sz w:val="20"/>
                <w:szCs w:val="20"/>
                <w:color w:val="auto"/>
              </w:rPr>
            </w:pPr>
            <w:r>
              <w:rPr>
                <w:rFonts w:ascii="Arial" w:cs="Arial" w:eastAsia="Arial" w:hAnsi="Arial"/>
                <w:sz w:val="17"/>
                <w:szCs w:val="17"/>
                <w:color w:val="auto"/>
              </w:rPr>
              <w:t>Marco Londei, M.D.</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59</w:t>
            </w:r>
          </w:p>
        </w:tc>
        <w:tc>
          <w:tcPr>
            <w:tcW w:w="3480" w:type="dxa"/>
            <w:vAlign w:val="bottom"/>
            <w:gridSpan w:val="3"/>
          </w:tcPr>
          <w:p>
            <w:pPr>
              <w:ind w:left="160"/>
              <w:spacing w:after="0"/>
              <w:rPr>
                <w:sz w:val="20"/>
                <w:szCs w:val="20"/>
                <w:color w:val="auto"/>
              </w:rPr>
            </w:pPr>
            <w:r>
              <w:rPr>
                <w:rFonts w:ascii="Arial" w:cs="Arial" w:eastAsia="Arial" w:hAnsi="Arial"/>
                <w:sz w:val="17"/>
                <w:szCs w:val="17"/>
                <w:color w:val="auto"/>
              </w:rPr>
              <w:t>Chief Development Officer</w:t>
            </w:r>
          </w:p>
        </w:tc>
      </w:tr>
      <w:tr>
        <w:trPr>
          <w:trHeight w:val="222"/>
        </w:trPr>
        <w:tc>
          <w:tcPr>
            <w:tcW w:w="4860" w:type="dxa"/>
            <w:vAlign w:val="bottom"/>
            <w:gridSpan w:val="2"/>
          </w:tcPr>
          <w:p>
            <w:pPr>
              <w:ind w:left="360"/>
              <w:spacing w:after="0"/>
              <w:rPr>
                <w:sz w:val="20"/>
                <w:szCs w:val="20"/>
                <w:color w:val="auto"/>
              </w:rPr>
            </w:pPr>
            <w:r>
              <w:rPr>
                <w:rFonts w:ascii="Arial" w:cs="Arial" w:eastAsia="Arial" w:hAnsi="Arial"/>
                <w:sz w:val="17"/>
                <w:szCs w:val="17"/>
                <w:color w:val="auto"/>
              </w:rPr>
              <w:t>Robert E. Hoffman</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50</w:t>
            </w:r>
          </w:p>
        </w:tc>
        <w:tc>
          <w:tcPr>
            <w:tcW w:w="3480" w:type="dxa"/>
            <w:vAlign w:val="bottom"/>
            <w:gridSpan w:val="3"/>
          </w:tcPr>
          <w:p>
            <w:pPr>
              <w:ind w:left="160"/>
              <w:spacing w:after="0"/>
              <w:rPr>
                <w:sz w:val="20"/>
                <w:szCs w:val="20"/>
                <w:color w:val="auto"/>
              </w:rPr>
            </w:pPr>
            <w:r>
              <w:rPr>
                <w:rFonts w:ascii="Arial" w:cs="Arial" w:eastAsia="Arial" w:hAnsi="Arial"/>
                <w:sz w:val="17"/>
                <w:szCs w:val="17"/>
                <w:color w:val="auto"/>
              </w:rPr>
              <w:t>Chief Financial Officer</w:t>
            </w:r>
          </w:p>
        </w:tc>
      </w:tr>
      <w:tr>
        <w:trPr>
          <w:trHeight w:val="302"/>
        </w:trPr>
        <w:tc>
          <w:tcPr>
            <w:tcW w:w="4860" w:type="dxa"/>
            <w:vAlign w:val="bottom"/>
            <w:gridSpan w:val="2"/>
          </w:tcPr>
          <w:p>
            <w:pPr>
              <w:spacing w:after="0"/>
              <w:rPr>
                <w:sz w:val="20"/>
                <w:szCs w:val="20"/>
                <w:color w:val="auto"/>
              </w:rPr>
            </w:pPr>
            <w:r>
              <w:rPr>
                <w:rFonts w:ascii="Arial" w:cs="Arial" w:eastAsia="Arial" w:hAnsi="Arial"/>
                <w:sz w:val="17"/>
                <w:szCs w:val="17"/>
                <w:b w:val="1"/>
                <w:bCs w:val="1"/>
                <w:color w:val="auto"/>
              </w:rPr>
              <w:t>Non-Employee Directors: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9"/>
        </w:trPr>
        <w:tc>
          <w:tcPr>
            <w:tcW w:w="4860" w:type="dxa"/>
            <w:vAlign w:val="bottom"/>
            <w:gridSpan w:val="2"/>
          </w:tcPr>
          <w:p>
            <w:pPr>
              <w:ind w:left="360"/>
              <w:spacing w:after="0"/>
              <w:rPr>
                <w:sz w:val="20"/>
                <w:szCs w:val="20"/>
                <w:color w:val="auto"/>
              </w:rPr>
            </w:pPr>
            <w:r>
              <w:rPr>
                <w:rFonts w:ascii="Arial" w:cs="Arial" w:eastAsia="Arial" w:hAnsi="Arial"/>
                <w:sz w:val="17"/>
                <w:szCs w:val="17"/>
                <w:color w:val="auto"/>
              </w:rPr>
              <w:t>Tiba Aynechi, Ph.D.*</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40</w:t>
            </w:r>
          </w:p>
        </w:tc>
        <w:tc>
          <w:tcPr>
            <w:tcW w:w="348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10"/>
        </w:trPr>
        <w:tc>
          <w:tcPr>
            <w:tcW w:w="4860" w:type="dxa"/>
            <w:vAlign w:val="bottom"/>
            <w:gridSpan w:val="2"/>
          </w:tcPr>
          <w:p>
            <w:pPr>
              <w:ind w:left="360"/>
              <w:spacing w:after="0"/>
              <w:rPr>
                <w:sz w:val="20"/>
                <w:szCs w:val="20"/>
                <w:color w:val="auto"/>
              </w:rPr>
            </w:pPr>
            <w:r>
              <w:rPr>
                <w:rFonts w:ascii="Arial" w:cs="Arial" w:eastAsia="Arial" w:hAnsi="Arial"/>
                <w:sz w:val="17"/>
                <w:szCs w:val="17"/>
                <w:color w:val="auto"/>
              </w:rPr>
              <w:t>Carol G. Gallagher, Pharm.D.</w:t>
            </w:r>
            <w:r>
              <w:rPr>
                <w:rFonts w:ascii="Arial" w:cs="Arial" w:eastAsia="Arial" w:hAnsi="Arial"/>
                <w:sz w:val="14"/>
                <w:szCs w:val="14"/>
                <w:color w:val="auto"/>
              </w:rPr>
              <w:t>(1)(2)(3)</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348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10"/>
        </w:trPr>
        <w:tc>
          <w:tcPr>
            <w:tcW w:w="4860" w:type="dxa"/>
            <w:vAlign w:val="bottom"/>
            <w:gridSpan w:val="2"/>
          </w:tcPr>
          <w:p>
            <w:pPr>
              <w:ind w:left="360"/>
              <w:spacing w:after="0"/>
              <w:rPr>
                <w:sz w:val="20"/>
                <w:szCs w:val="20"/>
                <w:color w:val="auto"/>
              </w:rPr>
            </w:pPr>
            <w:r>
              <w:rPr>
                <w:rFonts w:ascii="Arial" w:cs="Arial" w:eastAsia="Arial" w:hAnsi="Arial"/>
                <w:sz w:val="17"/>
                <w:szCs w:val="17"/>
                <w:color w:val="auto"/>
              </w:rPr>
              <w:t>Nicholas B. Lydon, Ph.D., FRS</w:t>
            </w:r>
            <w:r>
              <w:rPr>
                <w:rFonts w:ascii="Arial" w:cs="Arial" w:eastAsia="Arial" w:hAnsi="Arial"/>
                <w:sz w:val="14"/>
                <w:szCs w:val="14"/>
                <w:color w:val="auto"/>
              </w:rPr>
              <w:t>(2)</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348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10"/>
        </w:trPr>
        <w:tc>
          <w:tcPr>
            <w:tcW w:w="4860" w:type="dxa"/>
            <w:vAlign w:val="bottom"/>
            <w:gridSpan w:val="2"/>
          </w:tcPr>
          <w:p>
            <w:pPr>
              <w:ind w:left="360"/>
              <w:spacing w:after="0"/>
              <w:rPr>
                <w:sz w:val="20"/>
                <w:szCs w:val="20"/>
                <w:color w:val="auto"/>
              </w:rPr>
            </w:pPr>
            <w:r>
              <w:rPr>
                <w:rFonts w:ascii="Arial" w:cs="Arial" w:eastAsia="Arial" w:hAnsi="Arial"/>
                <w:sz w:val="17"/>
                <w:szCs w:val="17"/>
                <w:color w:val="auto"/>
              </w:rPr>
              <w:t>Hollings Renton</w:t>
            </w:r>
            <w:r>
              <w:rPr>
                <w:rFonts w:ascii="Arial" w:cs="Arial" w:eastAsia="Arial" w:hAnsi="Arial"/>
                <w:sz w:val="14"/>
                <w:szCs w:val="14"/>
                <w:color w:val="auto"/>
              </w:rPr>
              <w:t>(3)(4)</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69</w:t>
            </w:r>
          </w:p>
        </w:tc>
        <w:tc>
          <w:tcPr>
            <w:tcW w:w="348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10"/>
        </w:trPr>
        <w:tc>
          <w:tcPr>
            <w:tcW w:w="4860" w:type="dxa"/>
            <w:vAlign w:val="bottom"/>
            <w:gridSpan w:val="2"/>
          </w:tcPr>
          <w:p>
            <w:pPr>
              <w:ind w:left="360"/>
              <w:spacing w:after="0"/>
              <w:rPr>
                <w:sz w:val="20"/>
                <w:szCs w:val="20"/>
                <w:color w:val="auto"/>
              </w:rPr>
            </w:pPr>
            <w:r>
              <w:rPr>
                <w:rFonts w:ascii="Arial" w:cs="Arial" w:eastAsia="Arial" w:hAnsi="Arial"/>
                <w:sz w:val="17"/>
                <w:szCs w:val="17"/>
                <w:color w:val="auto"/>
              </w:rPr>
              <w:t>John P. Schmid</w:t>
            </w:r>
            <w:r>
              <w:rPr>
                <w:rFonts w:ascii="Arial" w:cs="Arial" w:eastAsia="Arial" w:hAnsi="Arial"/>
                <w:sz w:val="14"/>
                <w:szCs w:val="14"/>
                <w:color w:val="auto"/>
              </w:rPr>
              <w:t>(1)</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52</w:t>
            </w:r>
          </w:p>
        </w:tc>
        <w:tc>
          <w:tcPr>
            <w:tcW w:w="348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23"/>
        </w:trPr>
        <w:tc>
          <w:tcPr>
            <w:tcW w:w="4860" w:type="dxa"/>
            <w:vAlign w:val="bottom"/>
            <w:gridSpan w:val="2"/>
          </w:tcPr>
          <w:p>
            <w:pPr>
              <w:ind w:left="360"/>
              <w:spacing w:after="0"/>
              <w:rPr>
                <w:sz w:val="20"/>
                <w:szCs w:val="20"/>
                <w:color w:val="auto"/>
              </w:rPr>
            </w:pPr>
            <w:r>
              <w:rPr>
                <w:rFonts w:ascii="Arial" w:cs="Arial" w:eastAsia="Arial" w:hAnsi="Arial"/>
                <w:sz w:val="17"/>
                <w:szCs w:val="17"/>
                <w:color w:val="auto"/>
              </w:rPr>
              <w:t>James A. Schoeneck</w:t>
            </w:r>
            <w:r>
              <w:rPr>
                <w:rFonts w:ascii="Arial" w:cs="Arial" w:eastAsia="Arial" w:hAnsi="Arial"/>
                <w:sz w:val="14"/>
                <w:szCs w:val="14"/>
                <w:color w:val="auto"/>
              </w:rPr>
              <w:t>(1)(2)</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348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r>
        <w:trPr>
          <w:trHeight w:val="222"/>
        </w:trPr>
        <w:tc>
          <w:tcPr>
            <w:tcW w:w="4860" w:type="dxa"/>
            <w:vAlign w:val="bottom"/>
            <w:gridSpan w:val="2"/>
          </w:tcPr>
          <w:p>
            <w:pPr>
              <w:ind w:left="360"/>
              <w:spacing w:after="0"/>
              <w:rPr>
                <w:sz w:val="20"/>
                <w:szCs w:val="20"/>
                <w:color w:val="auto"/>
              </w:rPr>
            </w:pPr>
            <w:r>
              <w:rPr>
                <w:rFonts w:ascii="Arial" w:cs="Arial" w:eastAsia="Arial" w:hAnsi="Arial"/>
                <w:sz w:val="17"/>
                <w:szCs w:val="17"/>
                <w:color w:val="auto"/>
              </w:rPr>
              <w:t>James N. Topper, M.D., Ph.D.</w:t>
            </w:r>
            <w:r>
              <w:rPr>
                <w:rFonts w:ascii="Arial" w:cs="Arial" w:eastAsia="Arial" w:hAnsi="Arial"/>
                <w:sz w:val="14"/>
                <w:szCs w:val="14"/>
                <w:color w:val="auto"/>
              </w:rPr>
              <w:t>(3)(5)</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53</w:t>
            </w:r>
          </w:p>
        </w:tc>
        <w:tc>
          <w:tcPr>
            <w:tcW w:w="3480" w:type="dxa"/>
            <w:vAlign w:val="bottom"/>
            <w:gridSpan w:val="3"/>
          </w:tcPr>
          <w:p>
            <w:pPr>
              <w:ind w:left="16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32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51" w:lineRule="exact"/>
        <w:rPr>
          <w:sz w:val="20"/>
          <w:szCs w:val="20"/>
          <w:color w:val="auto"/>
        </w:rPr>
      </w:pPr>
    </w:p>
    <w:p>
      <w:pPr>
        <w:ind w:left="460" w:right="500" w:hanging="455"/>
        <w:spacing w:after="0" w:line="264" w:lineRule="auto"/>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Dr. Aynechi has notified us that she will resign from our board of directors contingent upon and effective immediately prior to the effectiveness of the registration statement of which this prospectus forms a part.</w:t>
      </w:r>
    </w:p>
    <w:p>
      <w:pPr>
        <w:spacing w:after="0" w:line="1" w:lineRule="exact"/>
        <w:rPr>
          <w:sz w:val="20"/>
          <w:szCs w:val="20"/>
          <w:color w:val="auto"/>
        </w:rPr>
      </w:pPr>
    </w:p>
    <w:p>
      <w:pPr>
        <w:ind w:left="460" w:hanging="455"/>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Lead Independent Director.</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Chairman of the Board of Directors.</w:t>
      </w:r>
    </w:p>
    <w:p>
      <w:pPr>
        <w:spacing w:after="0" w:line="31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Executive Officers</w:t>
      </w:r>
    </w:p>
    <w:p>
      <w:pPr>
        <w:spacing w:after="0" w:line="119" w:lineRule="exact"/>
        <w:rPr>
          <w:sz w:val="20"/>
          <w:szCs w:val="20"/>
          <w:color w:val="auto"/>
        </w:rPr>
      </w:pPr>
    </w:p>
    <w:p>
      <w:pPr>
        <w:ind w:right="180" w:firstLine="457"/>
        <w:spacing w:after="0" w:line="283" w:lineRule="auto"/>
        <w:rPr>
          <w:sz w:val="20"/>
          <w:szCs w:val="20"/>
          <w:color w:val="auto"/>
        </w:rPr>
      </w:pPr>
      <w:r>
        <w:rPr>
          <w:rFonts w:ascii="Arial" w:cs="Arial" w:eastAsia="Arial" w:hAnsi="Arial"/>
          <w:sz w:val="16"/>
          <w:szCs w:val="16"/>
          <w:i w:val="1"/>
          <w:iCs w:val="1"/>
          <w:color w:val="auto"/>
        </w:rPr>
        <w:t xml:space="preserve">Hamza Suria </w:t>
      </w:r>
      <w:r>
        <w:rPr>
          <w:rFonts w:ascii="Arial" w:cs="Arial" w:eastAsia="Arial" w:hAnsi="Arial"/>
          <w:sz w:val="16"/>
          <w:szCs w:val="16"/>
          <w:color w:val="auto"/>
        </w:rPr>
        <w:t>has served as our President and Chief Executive Officer and a member of our board of directors since July 2011. From January 2009 to June</w:t>
      </w:r>
      <w:r>
        <w:rPr>
          <w:rFonts w:ascii="Arial" w:cs="Arial" w:eastAsia="Arial" w:hAnsi="Arial"/>
          <w:sz w:val="16"/>
          <w:szCs w:val="16"/>
          <w:i w:val="1"/>
          <w:iCs w:val="1"/>
          <w:color w:val="auto"/>
        </w:rPr>
        <w:t xml:space="preserve"> </w:t>
      </w:r>
      <w:r>
        <w:rPr>
          <w:rFonts w:ascii="Arial" w:cs="Arial" w:eastAsia="Arial" w:hAnsi="Arial"/>
          <w:sz w:val="16"/>
          <w:szCs w:val="16"/>
          <w:color w:val="auto"/>
        </w:rPr>
        <w:t>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65" w:lineRule="exact"/>
        <w:rPr>
          <w:sz w:val="20"/>
          <w:szCs w:val="20"/>
          <w:color w:val="auto"/>
        </w:rPr>
      </w:pPr>
    </w:p>
    <w:p>
      <w:pPr>
        <w:ind w:right="760" w:firstLine="457"/>
        <w:spacing w:after="0" w:line="264" w:lineRule="auto"/>
        <w:rPr>
          <w:sz w:val="20"/>
          <w:szCs w:val="20"/>
          <w:color w:val="auto"/>
        </w:rPr>
      </w:pPr>
      <w:r>
        <w:rPr>
          <w:rFonts w:ascii="Arial" w:cs="Arial" w:eastAsia="Arial" w:hAnsi="Arial"/>
          <w:sz w:val="17"/>
          <w:szCs w:val="17"/>
          <w:color w:val="auto"/>
        </w:rPr>
        <w:t>We believe that Mr. Suria’s thorough knowledge of our company and technology, and his scientific and business experience, provide him with the qualifications and skills to serve on our board of directors.</w:t>
      </w:r>
    </w:p>
    <w:p>
      <w:pPr>
        <w:spacing w:after="0" w:line="1"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i w:val="1"/>
          <w:iCs w:val="1"/>
          <w:color w:val="auto"/>
        </w:rPr>
        <w:t xml:space="preserve">Marco Londei, M.D. </w:t>
      </w:r>
      <w:r>
        <w:rPr>
          <w:rFonts w:ascii="Arial" w:cs="Arial" w:eastAsia="Arial" w:hAnsi="Arial"/>
          <w:sz w:val="15"/>
          <w:szCs w:val="15"/>
          <w:color w:val="auto"/>
        </w:rPr>
        <w:t>has served as our Chief Development Officer since October 2014. Before joining our company, Dr. Londei worked as Therapeutic Area</w:t>
      </w:r>
      <w:r>
        <w:rPr>
          <w:rFonts w:ascii="Arial" w:cs="Arial" w:eastAsia="Arial" w:hAnsi="Arial"/>
          <w:sz w:val="15"/>
          <w:szCs w:val="15"/>
          <w:i w:val="1"/>
          <w:iCs w:val="1"/>
          <w:color w:val="auto"/>
        </w:rPr>
        <w:t xml:space="preserve"> </w:t>
      </w:r>
      <w:r>
        <w:rPr>
          <w:rFonts w:ascii="Arial" w:cs="Arial" w:eastAsia="Arial" w:hAnsi="Arial"/>
          <w:sz w:val="15"/>
          <w:szCs w:val="15"/>
          <w:color w:val="auto"/>
        </w:rPr>
        <w:t>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00"/>
          </w:cols>
          <w:pgMar w:left="240" w:top="449" w:right="25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i w:val="1"/>
          <w:iCs w:val="1"/>
          <w:color w:val="auto"/>
        </w:rPr>
        <w:t xml:space="preserve">Robert E. Hoffman </w:t>
      </w:r>
      <w:r>
        <w:rPr>
          <w:rFonts w:ascii="Arial" w:cs="Arial" w:eastAsia="Arial" w:hAnsi="Arial"/>
          <w:sz w:val="16"/>
          <w:szCs w:val="16"/>
          <w:color w:val="auto"/>
        </w:rPr>
        <w:t>has served as our Chief Financial Officer since July 2015. Before joining our company, Mr. Hoffman served as Senior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and Chief Financial Officer of Arena Pharmaceuticals, Inc., a biopharmaceutical company, from June 2012 to July 2015, as Vice President, Finance and Chief Financial Officer from August 2011 to June 2012 and December 2005 to March 2011. From March 2011 to August 2011, Mr. Hoffman served as Chief Financial Officer for Polaris Group, a biopharmaceutical drug company. Mr. Hoffman is a member of the board of directors of CombiMatrix Corporation, a molecular diagnostics company, Kura Oncology, Inc., a biotechnology company, and MabVax Therapeutics Holdings, Inc., a biopharmaceutical company. He also serves as a member of the Financial Accounting Standards Board’s Small Business Advisory Committee and the steering committee of the Association of Bioscience Financial Officers. Mr. Hoffman received his B.B.A. from St. Bonaventure University, and is licensed as a C.P.A. (inactive) in the State of California.</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1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i w:val="1"/>
          <w:iCs w:val="1"/>
          <w:color w:val="auto"/>
        </w:rPr>
        <w:t xml:space="preserve">Tiba Aynechi, Ph.D. </w:t>
      </w:r>
      <w:r>
        <w:rPr>
          <w:rFonts w:ascii="Arial" w:cs="Arial" w:eastAsia="Arial" w:hAnsi="Arial"/>
          <w:sz w:val="17"/>
          <w:szCs w:val="17"/>
          <w:color w:val="auto"/>
        </w:rPr>
        <w:t>has served as a member of our board of directors since April 2015. Dr. Aynechi is employed as a Partner at Novo Ventures (US) Inc.,</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85" w:lineRule="exact"/>
        <w:rPr>
          <w:sz w:val="20"/>
          <w:szCs w:val="20"/>
          <w:color w:val="auto"/>
        </w:rPr>
      </w:pPr>
    </w:p>
    <w:p>
      <w:pPr>
        <w:ind w:right="260" w:firstLine="457"/>
        <w:spacing w:after="0" w:line="289" w:lineRule="auto"/>
        <w:rPr>
          <w:sz w:val="20"/>
          <w:szCs w:val="20"/>
          <w:color w:val="auto"/>
        </w:rPr>
      </w:pPr>
      <w:r>
        <w:rPr>
          <w:rFonts w:ascii="Arial" w:cs="Arial" w:eastAsia="Arial" w:hAnsi="Arial"/>
          <w:sz w:val="17"/>
          <w:szCs w:val="17"/>
          <w:color w:val="auto"/>
        </w:rPr>
        <w:t>We believe that Dr. Aynechi’s extensive experience in the biotechnology and pharmaceutical industries, makes her qualified to serve on our own board of directors.</w:t>
      </w:r>
    </w:p>
    <w:p>
      <w:pPr>
        <w:spacing w:after="0" w:line="158"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i w:val="1"/>
          <w:iCs w:val="1"/>
          <w:color w:val="auto"/>
        </w:rPr>
        <w:t xml:space="preserve">Carol G. Gallagher, Pharm.D. </w:t>
      </w:r>
      <w:r>
        <w:rPr>
          <w:rFonts w:ascii="Arial" w:cs="Arial" w:eastAsia="Arial" w:hAnsi="Arial"/>
          <w:sz w:val="15"/>
          <w:szCs w:val="15"/>
          <w:color w:val="auto"/>
        </w:rPr>
        <w:t>has served as a member of our board of directors since October 2011. Dr. Gallagher has been a partner at New Enterprise</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Associates, a venture-capital firm, since October 2014. She 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w:t>
      </w:r>
    </w:p>
    <w:p>
      <w:pPr>
        <w:spacing w:after="0" w:line="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Dr. Gallagher was a venture partner with Frazier Healthcare, a venture-capital firm, from November 2013 to July 2014. 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attended Vanderbilt University and received her B.S. and Pharm.D. degrees from the University of Kentucky.</w:t>
      </w:r>
    </w:p>
    <w:p>
      <w:pPr>
        <w:spacing w:after="0" w:line="165"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We believe that Dr. Gallagher’s extensive experience in the life sciences industry and as a chief executive officer provide her with the qualifications and skills to serve on our board of directors.</w:t>
      </w:r>
    </w:p>
    <w:p>
      <w:pPr>
        <w:spacing w:after="0" w:line="158"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i w:val="1"/>
          <w:iCs w:val="1"/>
          <w:color w:val="auto"/>
        </w:rPr>
        <w:t xml:space="preserve">Nicholas B. Lydon, Ph.D., FRS </w:t>
      </w:r>
      <w:r>
        <w:rPr>
          <w:rFonts w:ascii="Arial" w:cs="Arial" w:eastAsia="Arial" w:hAnsi="Arial"/>
          <w:sz w:val="17"/>
          <w:szCs w:val="17"/>
          <w:color w:val="auto"/>
        </w:rPr>
        <w:t>is a co-founder of our company and has served on our board of directors since our company was founded in November</w:t>
      </w:r>
      <w:r>
        <w:rPr>
          <w:rFonts w:ascii="Arial" w:cs="Arial" w:eastAsia="Arial" w:hAnsi="Arial"/>
          <w:sz w:val="17"/>
          <w:szCs w:val="17"/>
          <w:i w:val="1"/>
          <w:iCs w:val="1"/>
          <w:color w:val="auto"/>
        </w:rPr>
        <w:t xml:space="preserve"> </w:t>
      </w:r>
      <w:r>
        <w:rPr>
          <w:rFonts w:ascii="Arial" w:cs="Arial" w:eastAsia="Arial" w:hAnsi="Arial"/>
          <w:sz w:val="17"/>
          <w:szCs w:val="17"/>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 Amgen in 2000. Prior to joining Kinetix, Dr. Lydon worked at CIBA-GEIGY, AG (Novartis) in Basel, Switzerland from 1985 to 1997, where he was responsible for the protein kinase inhibitor program, including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449" w:right="2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w:t>
      </w:r>
    </w:p>
    <w:p>
      <w:pPr>
        <w:spacing w:after="0" w:line="1"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70" w:lineRule="exact"/>
        <w:rPr>
          <w:sz w:val="20"/>
          <w:szCs w:val="20"/>
          <w:color w:val="auto"/>
        </w:rPr>
      </w:pPr>
    </w:p>
    <w:p>
      <w:pPr>
        <w:ind w:right="200" w:firstLine="457"/>
        <w:spacing w:after="0" w:line="289" w:lineRule="auto"/>
        <w:rPr>
          <w:sz w:val="20"/>
          <w:szCs w:val="20"/>
          <w:color w:val="auto"/>
        </w:rPr>
      </w:pPr>
      <w:r>
        <w:rPr>
          <w:rFonts w:ascii="Arial" w:cs="Arial" w:eastAsia="Arial" w:hAnsi="Arial"/>
          <w:sz w:val="17"/>
          <w:szCs w:val="17"/>
          <w:color w:val="auto"/>
        </w:rPr>
        <w:t>We believe that Dr. Lydon’s extensive industry experience and significant knowledge of scientific matters provide him with the qualifications and skills to serve on our board of directors.</w:t>
      </w:r>
    </w:p>
    <w:p>
      <w:pPr>
        <w:spacing w:after="0" w:line="15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i w:val="1"/>
          <w:iCs w:val="1"/>
          <w:color w:val="auto"/>
        </w:rPr>
        <w:t xml:space="preserve">Hollings Renton </w:t>
      </w:r>
      <w:r>
        <w:rPr>
          <w:rFonts w:ascii="Arial" w:cs="Arial" w:eastAsia="Arial" w:hAnsi="Arial"/>
          <w:sz w:val="17"/>
          <w:szCs w:val="17"/>
          <w:color w:val="auto"/>
        </w:rPr>
        <w:t>has served as a member of our board of directors since June 2015. Mr. Renton previously served as the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Onyx Pharmaceuticals, Inc. from 1993 to 2008 and as the chairperson of the board of directors from 2000 to 2008. Before joining Onyx Pharmaceuticals, Mr. Renton worked for Chiron Corporation, a pharmaceutical company, as President and Chief Operating Officer from 1991 to 1993, following its acquisition of Cetus Corporation. Before joining Onyx Pharmaceuticals, Mr. Renton worked for Cetus Corporation as President from 1990 to 1991, as Chief Operating Officer from 1987 to 1990, and as Chief Financial Officer from 1983 to 1987. Mr. Renton currently serves as a director of multiple life sciences companies, including as chairperson of the board of directors of Portola Pharmaceuticals, Inc., and is a member of the board of directors of Cepheid Inc. and Kythera Biopharmaceuticals, Inc. He previously served on the boards of directors of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82"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We believe that Mr. Renton’s extensive industry experience and board memberships provide him with the qualifications and skills to serve on our board of directors.</w:t>
      </w:r>
    </w:p>
    <w:p>
      <w:pPr>
        <w:spacing w:after="0" w:line="158"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i w:val="1"/>
          <w:iCs w:val="1"/>
          <w:color w:val="auto"/>
        </w:rPr>
        <w:t xml:space="preserve">John P. Schmid </w:t>
      </w:r>
      <w:r>
        <w:rPr>
          <w:rFonts w:ascii="Arial" w:cs="Arial" w:eastAsia="Arial" w:hAnsi="Arial"/>
          <w:sz w:val="16"/>
          <w:szCs w:val="16"/>
          <w:color w:val="auto"/>
        </w:rPr>
        <w:t>has served as a member of our board of directors since June 2015. Mr. Schmid served as Chief Financial Officer of Auspex Pharmaceuticals,</w:t>
      </w:r>
      <w:r>
        <w:rPr>
          <w:rFonts w:ascii="Arial" w:cs="Arial" w:eastAsia="Arial" w:hAnsi="Arial"/>
          <w:sz w:val="16"/>
          <w:szCs w:val="16"/>
          <w:i w:val="1"/>
          <w:iCs w:val="1"/>
          <w:color w:val="auto"/>
        </w:rPr>
        <w:t xml:space="preserve"> </w:t>
      </w:r>
      <w:r>
        <w:rPr>
          <w:rFonts w:ascii="Arial" w:cs="Arial" w:eastAsia="Arial" w:hAnsi="Arial"/>
          <w:sz w:val="16"/>
          <w:szCs w:val="16"/>
          <w:color w:val="auto"/>
        </w:rPr>
        <w:t>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 member of the board of directors of Neos Therapeutics, Inc., a pharmaceutical company, and as the chairman of the board of directors of Speak, Inc., a speakers bureau, which he helped found in 1989. Mr. Schmid received his M.B.A. from the University of San Diego and his B.A. from Wesleyan University.</w:t>
      </w:r>
    </w:p>
    <w:p>
      <w:pPr>
        <w:spacing w:after="0" w:line="168"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We believe that Mr. Schmid’s extensive industry experience and executive positions at multiple biopharmaceutical companies qualify him to serve on our board of directors.</w:t>
      </w:r>
    </w:p>
    <w:p>
      <w:pPr>
        <w:spacing w:after="0" w:line="158" w:lineRule="exact"/>
        <w:rPr>
          <w:sz w:val="20"/>
          <w:szCs w:val="20"/>
          <w:color w:val="auto"/>
        </w:rPr>
      </w:pPr>
    </w:p>
    <w:p>
      <w:pPr>
        <w:ind w:firstLine="457"/>
        <w:spacing w:after="0" w:line="314" w:lineRule="auto"/>
        <w:rPr>
          <w:sz w:val="20"/>
          <w:szCs w:val="20"/>
          <w:color w:val="auto"/>
        </w:rPr>
      </w:pPr>
      <w:r>
        <w:rPr>
          <w:rFonts w:ascii="Arial" w:cs="Arial" w:eastAsia="Arial" w:hAnsi="Arial"/>
          <w:sz w:val="15"/>
          <w:szCs w:val="15"/>
          <w:i w:val="1"/>
          <w:iCs w:val="1"/>
          <w:color w:val="auto"/>
        </w:rPr>
        <w:t xml:space="preserve">James A. Schoeneck </w:t>
      </w:r>
      <w:r>
        <w:rPr>
          <w:rFonts w:ascii="Arial" w:cs="Arial" w:eastAsia="Arial" w:hAnsi="Arial"/>
          <w:sz w:val="15"/>
          <w:szCs w:val="15"/>
          <w:color w:val="auto"/>
        </w:rPr>
        <w:t>has served as a member of our board of directors since November 2015. Mr. Schoeneck has served as the President and Chief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of Depomed, Inc. since April 2011 and as a director of Depomed since December 2007. Before joining Depomed, Mr. Schoeneck served as Chief Executive Officer of BrainCells Inc., a private biopharmaceutical company in San Diego, from September 2005 to April 2011. Mr. Schoeneck has served as a director of FibroGen, Inc., a public biopharmaceutical company since June 2010. Mr. Schoeneck received his B.S. in Education from Jacksonville State University.</w:t>
      </w:r>
    </w:p>
    <w:p>
      <w:pPr>
        <w:spacing w:after="0" w:line="145" w:lineRule="exact"/>
        <w:rPr>
          <w:sz w:val="20"/>
          <w:szCs w:val="20"/>
          <w:color w:val="auto"/>
        </w:rPr>
      </w:pPr>
    </w:p>
    <w:p>
      <w:pPr>
        <w:ind w:right="580" w:firstLine="457"/>
        <w:spacing w:after="0" w:line="289" w:lineRule="auto"/>
        <w:rPr>
          <w:sz w:val="20"/>
          <w:szCs w:val="20"/>
          <w:color w:val="auto"/>
        </w:rPr>
      </w:pPr>
      <w:r>
        <w:rPr>
          <w:rFonts w:ascii="Arial" w:cs="Arial" w:eastAsia="Arial" w:hAnsi="Arial"/>
          <w:sz w:val="17"/>
          <w:szCs w:val="17"/>
          <w:color w:val="auto"/>
        </w:rPr>
        <w:t>We believe that Mr. Schoeneck’s extensive industry and leadership experience provide him with the qualifications and skills to serve on our board of directors.</w:t>
      </w:r>
    </w:p>
    <w:p>
      <w:pPr>
        <w:spacing w:after="0" w:line="158"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i w:val="1"/>
          <w:iCs w:val="1"/>
          <w:color w:val="auto"/>
        </w:rPr>
        <w:t xml:space="preserve">James N. Topper, M.D., Ph.D. </w:t>
      </w:r>
      <w:r>
        <w:rPr>
          <w:rFonts w:ascii="Arial" w:cs="Arial" w:eastAsia="Arial" w:hAnsi="Arial"/>
          <w:sz w:val="17"/>
          <w:szCs w:val="17"/>
          <w:color w:val="auto"/>
        </w:rPr>
        <w:t>has served as a member of our board of directors since November 2007. Dr. Topper has been a partner with Frazier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since August 2003, serving as General Partner since 2005.</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49"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78"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of Officers</w:t>
      </w:r>
    </w:p>
    <w:p>
      <w:pPr>
        <w:spacing w:after="0" w:line="125"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Our executive officers are appointed by, and serve at the discretion of, our board of directors. There are no family relationships among any of our directors or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12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Our board of directors has adopted a code of business conduct and ethics that applies to all of our employees, officers and directors, including our Chief Executive Officer, Chief Financial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12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eight members. Our current certificate of incorporation and a voting agreement by and among us and certain of our investors provide for up to eight directors, of which (i) up to two directors are designated by holders of our Series B, Series B-1 and Series B-2 Preferred Stock, voting together as a single class on an as-converted basis, (ii) one director is designed by holders of our common stock, voting as a separate class and (iii) all remaining directors are designated by the holders of our common stock and convertible preferred stock, voting together as a single class on an as-converted basis. Drs. Aynechi and Topper are the current designees of holders of our Series B, Series B-1 and Series B-2 convertible preferred stock, voting together as a single class on an as-converted basis. Mr. Suria is the current designee of holders of our common stock. Dr. Gallagher, Dr. Lydon, Mr. Renton and Mr. Schmid are the current designees of holders of our common stock and convertible preferred stock, voting together as a single class on an as-converted basis.</w:t>
      </w:r>
    </w:p>
    <w:p>
      <w:pPr>
        <w:spacing w:after="0" w:line="185" w:lineRule="exact"/>
        <w:rPr>
          <w:sz w:val="20"/>
          <w:szCs w:val="20"/>
          <w:color w:val="auto"/>
        </w:rPr>
      </w:pPr>
    </w:p>
    <w:p>
      <w:pPr>
        <w:ind w:right="420" w:firstLine="457"/>
        <w:spacing w:after="0" w:line="297" w:lineRule="auto"/>
        <w:rPr>
          <w:sz w:val="20"/>
          <w:szCs w:val="20"/>
          <w:color w:val="auto"/>
        </w:rPr>
      </w:pPr>
      <w:r>
        <w:rPr>
          <w:rFonts w:ascii="Arial" w:cs="Arial" w:eastAsia="Arial" w:hAnsi="Arial"/>
          <w:sz w:val="16"/>
          <w:szCs w:val="16"/>
          <w:color w:val="auto"/>
        </w:rPr>
        <w:t>The voting agreement and the provisions of our certificate of incorporation that govern the election and designation of our directors will terminate in connection with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Classified Board of Directors</w:t>
      </w:r>
    </w:p>
    <w:p>
      <w:pPr>
        <w:spacing w:after="0" w:line="125"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Upon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86" w:lineRule="exact"/>
        <w:rPr>
          <w:sz w:val="20"/>
          <w:szCs w:val="20"/>
          <w:color w:val="auto"/>
        </w:rPr>
      </w:pPr>
    </w:p>
    <w:p>
      <w:pPr>
        <w:jc w:val="center"/>
        <w:ind w:left="5580" w:right="600" w:hanging="5012"/>
        <w:spacing w:after="0" w:line="466" w:lineRule="auto"/>
        <w:tabs>
          <w:tab w:leader="none" w:pos="88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Class I directors will be Dr. Gallagher and Dr. Topper and their terms will expire at the annual meeting of stockholders to be held in 2017; 116</w:t>
      </w:r>
    </w:p>
    <w:p>
      <w:pPr>
        <w:sectPr>
          <w:pgSz w:w="11900" w:h="16838" w:orient="portrait"/>
          <w:cols w:equalWidth="0" w:num="1">
            <w:col w:w="11380"/>
          </w:cols>
          <w:pgMar w:left="240" w:top="449" w:right="27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332"/>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Class II directors will be Mr. Suria and Dr. Lydon and their terms will expire at the annual meeting of stockholders to be held in 2018; and</w:t>
      </w:r>
    </w:p>
    <w:p>
      <w:pPr>
        <w:spacing w:after="0" w:line="143" w:lineRule="exact"/>
        <w:rPr>
          <w:rFonts w:ascii="Arial" w:cs="Arial" w:eastAsia="Arial" w:hAnsi="Arial"/>
          <w:sz w:val="16"/>
          <w:szCs w:val="16"/>
          <w:color w:val="auto"/>
        </w:rPr>
      </w:pPr>
    </w:p>
    <w:p>
      <w:pPr>
        <w:ind w:left="900" w:right="80" w:hanging="332"/>
        <w:spacing w:after="0" w:line="289"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Class III directors will be Mr. Renton, Mr. Schmid and Mr. Schoeneck and their terms will expire at the annual meeting of stockholders to be held in 2019.</w:t>
      </w:r>
    </w:p>
    <w:p>
      <w:pPr>
        <w:spacing w:after="0" w:line="158"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25"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In connection with this offering, our common stock has been approved for listing on the NASDAQ Global Select Market. Under the rules of the NASDAQ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1"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2"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25" w:lineRule="exact"/>
        <w:rPr>
          <w:sz w:val="20"/>
          <w:szCs w:val="20"/>
          <w:color w:val="auto"/>
        </w:rPr>
      </w:pPr>
    </w:p>
    <w:p>
      <w:pPr>
        <w:jc w:val="both"/>
        <w:ind w:right="160" w:firstLine="457"/>
        <w:spacing w:after="0" w:line="273" w:lineRule="auto"/>
        <w:rPr>
          <w:sz w:val="20"/>
          <w:szCs w:val="20"/>
          <w:color w:val="auto"/>
        </w:rPr>
      </w:pPr>
      <w:r>
        <w:rPr>
          <w:rFonts w:ascii="Arial" w:cs="Arial" w:eastAsia="Arial" w:hAnsi="Arial"/>
          <w:sz w:val="17"/>
          <w:szCs w:val="17"/>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9" w:lineRule="exact"/>
        <w:rPr>
          <w:sz w:val="20"/>
          <w:szCs w:val="20"/>
          <w:color w:val="auto"/>
        </w:rPr>
      </w:pPr>
    </w:p>
    <w:p>
      <w:pPr>
        <w:jc w:val="both"/>
        <w:ind w:right="140" w:firstLine="457"/>
        <w:spacing w:after="0" w:line="289" w:lineRule="auto"/>
        <w:rPr>
          <w:sz w:val="20"/>
          <w:szCs w:val="20"/>
          <w:color w:val="auto"/>
        </w:rPr>
      </w:pPr>
      <w:r>
        <w:rPr>
          <w:rFonts w:ascii="Arial" w:cs="Arial" w:eastAsia="Arial" w:hAnsi="Arial"/>
          <w:sz w:val="17"/>
          <w:szCs w:val="17"/>
          <w:color w:val="auto"/>
        </w:rPr>
        <w:t>Effective as of January 1, 2016, our audit committee will comprise Dr. Gallagher, Mr. Schoeneck and Mr. Schmid, with Mr. Schmid as the chairman of our audit committee. The composition of our audit committee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20"/>
          </w:cols>
          <w:pgMar w:left="240" w:top="449" w:right="2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meets the requirements for independence under the current NASDAQ and SEC rules and regulations. In addition, our board of directors has determined that Mr. Schmid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86" w:lineRule="exact"/>
        <w:rPr>
          <w:sz w:val="20"/>
          <w:szCs w:val="20"/>
          <w:color w:val="auto"/>
        </w:rPr>
      </w:pPr>
    </w:p>
    <w:p>
      <w:pPr>
        <w:ind w:left="900" w:hanging="332"/>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selecting a firm to serve as the independent registered public accounting firm to audit our financial statements;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ensuring the independence of the independent registered public accounting firm;</w:t>
      </w:r>
    </w:p>
    <w:p>
      <w:pPr>
        <w:spacing w:after="0" w:line="131" w:lineRule="exact"/>
        <w:rPr>
          <w:rFonts w:ascii="Arial" w:cs="Arial" w:eastAsia="Arial" w:hAnsi="Arial"/>
          <w:sz w:val="17"/>
          <w:szCs w:val="17"/>
          <w:color w:val="auto"/>
        </w:rPr>
      </w:pPr>
    </w:p>
    <w:p>
      <w:pPr>
        <w:ind w:left="900" w:right="120" w:hanging="332"/>
        <w:spacing w:after="0" w:line="289"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that firm, our interim and year-end operating results;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establishing procedures for employees to anonymously submit concerns about questionable accounting or audit matters;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considering the adequacy of our internal controls;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material related party transactions or those that require disclosure;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9" w:lineRule="exact"/>
        <w:rPr>
          <w:sz w:val="20"/>
          <w:szCs w:val="20"/>
          <w:color w:val="auto"/>
        </w:rPr>
      </w:pPr>
    </w:p>
    <w:p>
      <w:pPr>
        <w:ind w:right="400" w:firstLine="457"/>
        <w:spacing w:after="0" w:line="265" w:lineRule="auto"/>
        <w:rPr>
          <w:sz w:val="20"/>
          <w:szCs w:val="20"/>
          <w:color w:val="auto"/>
        </w:rPr>
      </w:pPr>
      <w:r>
        <w:rPr>
          <w:rFonts w:ascii="Arial" w:cs="Arial" w:eastAsia="Arial" w:hAnsi="Arial"/>
          <w:sz w:val="17"/>
          <w:szCs w:val="17"/>
          <w:color w:val="auto"/>
        </w:rPr>
        <w:t>Effective as of January 1, 2016, our compensation committee will comprise Dr. Gallagher, Dr. Lydon and Mr. Schoeneck, with Dr. Gallagher as the chairperson of our compensation committee. Each member of this committee is a non-employee director, as defined by Rule 16b-3 promulgated under the Exchange Act, and an outside director, as defined pursuant to Section 162(m) of the Internal Revenue Code of 1984, as amended, or the Code, and meets the requirements for independence under the current NASDAQ listing standards and SEC rules and regulations. Our compensation committee is responsible for, among other things:</w:t>
      </w:r>
    </w:p>
    <w:p>
      <w:pPr>
        <w:spacing w:after="0" w:line="86" w:lineRule="exact"/>
        <w:rPr>
          <w:sz w:val="20"/>
          <w:szCs w:val="20"/>
          <w:color w:val="auto"/>
        </w:rPr>
      </w:pPr>
    </w:p>
    <w:p>
      <w:pPr>
        <w:ind w:left="900" w:hanging="332"/>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approving, or recommending that our board of directors approve, the compensation of our executive officers;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compensation of our directors;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terms of any compensatory agreements with our executive officers;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administering our stock and equity incentive plans;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 and</w:t>
      </w:r>
    </w:p>
    <w:p>
      <w:pPr>
        <w:spacing w:after="0" w:line="143" w:lineRule="exact"/>
        <w:rPr>
          <w:rFonts w:ascii="Arial" w:cs="Arial" w:eastAsia="Arial" w:hAnsi="Arial"/>
          <w:sz w:val="16"/>
          <w:szCs w:val="16"/>
          <w:color w:val="auto"/>
        </w:rPr>
      </w:pPr>
    </w:p>
    <w:p>
      <w:pPr>
        <w:ind w:left="900" w:hanging="332"/>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our overall compensation philosophy.</w:t>
      </w:r>
    </w:p>
    <w:p>
      <w:pPr>
        <w:spacing w:after="0" w:line="32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Governance Committee</w:t>
      </w:r>
    </w:p>
    <w:p>
      <w:pPr>
        <w:spacing w:after="0" w:line="11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Effective as of January 1, 2016, our nominating and governance committee will comprise Dr. Gallagher, Mr. Renton and Dr. Topper, with Mr. Renton as the chairman of our nominating and governance committee. Each member of the Committee meets the requirements for independence under the current NASDAQ listing standards. Our nominating and governance committee is responsible for, among other things:</w:t>
      </w:r>
    </w:p>
    <w:p>
      <w:pPr>
        <w:spacing w:after="0" w:line="79" w:lineRule="exact"/>
        <w:rPr>
          <w:sz w:val="20"/>
          <w:szCs w:val="20"/>
          <w:color w:val="auto"/>
        </w:rPr>
      </w:pPr>
    </w:p>
    <w:p>
      <w:pPr>
        <w:ind w:left="900" w:hanging="332"/>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identifying and recommending candidates for membership on our board of directors;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recommending directors to serve on board committees;</w:t>
      </w:r>
    </w:p>
    <w:p>
      <w:pPr>
        <w:spacing w:after="0" w:line="131" w:lineRule="exact"/>
        <w:rPr>
          <w:rFonts w:ascii="Arial" w:cs="Arial" w:eastAsia="Arial" w:hAnsi="Arial"/>
          <w:sz w:val="17"/>
          <w:szCs w:val="17"/>
          <w:color w:val="auto"/>
        </w:rPr>
      </w:pPr>
    </w:p>
    <w:p>
      <w:pPr>
        <w:ind w:left="5580" w:right="4840" w:hanging="5012"/>
        <w:spacing w:after="0" w:line="510" w:lineRule="auto"/>
        <w:tabs>
          <w:tab w:leader="none" w:pos="889"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reviewing and recommending our corporate governance guidelines and policies; 118</w:t>
      </w:r>
    </w:p>
    <w:p>
      <w:pPr>
        <w:sectPr>
          <w:pgSz w:w="11900" w:h="16838" w:orient="portrait"/>
          <w:cols w:equalWidth="0" w:num="1">
            <w:col w:w="11340"/>
          </w:cols>
          <w:pgMar w:left="240" w:top="449" w:right="31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332"/>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evaluating, and overseeing the process of evaluating, the performance of our board of directors and individual directors;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assisting our board of directors on corporate governance matters.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25" w:lineRule="exact"/>
        <w:rPr>
          <w:sz w:val="20"/>
          <w:szCs w:val="20"/>
          <w:color w:val="auto"/>
        </w:rPr>
      </w:pPr>
    </w:p>
    <w:p>
      <w:pPr>
        <w:ind w:right="100" w:firstLine="457"/>
        <w:spacing w:after="0" w:line="314" w:lineRule="auto"/>
        <w:rPr>
          <w:sz w:val="20"/>
          <w:szCs w:val="20"/>
          <w:color w:val="auto"/>
        </w:rPr>
      </w:pPr>
      <w:r>
        <w:rPr>
          <w:rFonts w:ascii="Arial" w:cs="Arial" w:eastAsia="Arial" w:hAnsi="Arial"/>
          <w:sz w:val="15"/>
          <w:szCs w:val="15"/>
          <w:color w:val="auto"/>
        </w:rPr>
        <w:t>None of our executive officers has served as a member of our board of directors, or as a member of our compensation or similar committee, of any entity that has one or more executive officers who served on our board of directors or compensation committee during the year ended December 31, 2014.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125" w:lineRule="exact"/>
        <w:rPr>
          <w:sz w:val="20"/>
          <w:szCs w:val="20"/>
          <w:color w:val="auto"/>
        </w:rPr>
      </w:pPr>
    </w:p>
    <w:p>
      <w:pPr>
        <w:ind w:right="140" w:firstLine="457"/>
        <w:spacing w:after="0" w:line="289" w:lineRule="auto"/>
        <w:rPr>
          <w:sz w:val="20"/>
          <w:szCs w:val="20"/>
          <w:color w:val="auto"/>
        </w:rPr>
      </w:pPr>
      <w:r>
        <w:rPr>
          <w:rFonts w:ascii="Arial" w:cs="Arial" w:eastAsia="Arial" w:hAnsi="Arial"/>
          <w:sz w:val="16"/>
          <w:szCs w:val="16"/>
          <w:color w:val="auto"/>
        </w:rPr>
        <w:t>The following table presents the total compensation earned or paid in the years ended December 31, 2014 and 2015, for each member of our board of directors, except for our President and Chief Executive Officer, Mr. Suria, who receives no additional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years ended December 31, 2014 and 2015.</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6"/>
              </w:rPr>
              <w:t>Fees Earned</w:t>
            </w:r>
          </w:p>
        </w:tc>
        <w:tc>
          <w:tcPr>
            <w:tcW w:w="32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3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ind w:right="700"/>
              <w:spacing w:after="0" w:line="141"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11"/>
                <w:szCs w:val="11"/>
                <w:b w:val="1"/>
                <w:bCs w:val="1"/>
                <w:color w:val="auto"/>
                <w:w w:val="96"/>
              </w:rPr>
              <w:t>(2)</w:t>
            </w:r>
          </w:p>
        </w:tc>
        <w:tc>
          <w:tcPr>
            <w:tcW w:w="14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980" w:type="dxa"/>
            <w:vAlign w:val="bottom"/>
            <w:vMerge w:val="restart"/>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or Paid in</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2"/>
                <w:szCs w:val="12"/>
                <w:b w:val="1"/>
                <w:bCs w:val="1"/>
                <w:color w:val="auto"/>
              </w:rPr>
              <w:t>(3)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60" w:type="dxa"/>
            <w:vAlign w:val="bottom"/>
            <w:tcBorders>
              <w:bottom w:val="single" w:sz="8" w:color="auto"/>
            </w:tcBorders>
            <w:vMerge w:val="continue"/>
          </w:tcPr>
          <w:p>
            <w:pPr>
              <w:spacing w:after="0"/>
              <w:rPr>
                <w:sz w:val="15"/>
                <w:szCs w:val="15"/>
                <w:color w:val="auto"/>
              </w:rPr>
            </w:pPr>
          </w:p>
        </w:tc>
        <w:tc>
          <w:tcPr>
            <w:tcW w:w="3980" w:type="dxa"/>
            <w:vAlign w:val="bottom"/>
            <w:vMerge w:val="continue"/>
          </w:tcPr>
          <w:p>
            <w:pPr>
              <w:spacing w:after="0"/>
              <w:rPr>
                <w:sz w:val="15"/>
                <w:szCs w:val="15"/>
                <w:color w:val="auto"/>
              </w:rPr>
            </w:pPr>
          </w:p>
        </w:tc>
        <w:tc>
          <w:tcPr>
            <w:tcW w:w="7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5"/>
                <w:szCs w:val="15"/>
                <w:color w:val="auto"/>
              </w:rPr>
            </w:pPr>
          </w:p>
        </w:tc>
        <w:tc>
          <w:tcPr>
            <w:tcW w:w="106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Cash</w:t>
            </w:r>
            <w:r>
              <w:rPr>
                <w:rFonts w:ascii="Arial" w:cs="Arial" w:eastAsia="Arial" w:hAnsi="Arial"/>
                <w:sz w:val="11"/>
                <w:szCs w:val="11"/>
                <w:b w:val="1"/>
                <w:bCs w:val="1"/>
                <w:color w:val="auto"/>
                <w:w w:val="93"/>
              </w:rPr>
              <w:t>(1)</w:t>
            </w:r>
            <w:r>
              <w:rPr>
                <w:rFonts w:ascii="Arial" w:cs="Arial" w:eastAsia="Arial" w:hAnsi="Arial"/>
                <w:sz w:val="14"/>
                <w:szCs w:val="14"/>
                <w:b w:val="1"/>
                <w:bCs w:val="1"/>
                <w:color w:val="auto"/>
                <w:w w:val="93"/>
              </w:rPr>
              <w:t xml:space="preserve"> ($)</w:t>
            </w:r>
          </w:p>
        </w:tc>
        <w:tc>
          <w:tcPr>
            <w:tcW w:w="980" w:type="dxa"/>
            <w:vAlign w:val="bottom"/>
            <w:gridSpan w:val="2"/>
          </w:tcPr>
          <w:p>
            <w:pPr>
              <w:jc w:val="right"/>
              <w:ind w:right="160"/>
              <w:spacing w:after="0" w:line="153"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13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1"/>
                <w:szCs w:val="11"/>
                <w:b w:val="1"/>
                <w:bCs w:val="1"/>
                <w:color w:val="auto"/>
              </w:rPr>
              <w:t>(4)</w:t>
            </w:r>
          </w:p>
        </w:tc>
        <w:tc>
          <w:tcPr>
            <w:tcW w:w="3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40" w:type="dxa"/>
            <w:vAlign w:val="bottom"/>
            <w:tcBorders>
              <w:top w:val="single" w:sz="8" w:color="CCEEFF"/>
            </w:tcBorders>
            <w:gridSpan w:val="2"/>
            <w:shd w:val="clear" w:color="auto" w:fill="CCEEFF"/>
          </w:tcPr>
          <w:p>
            <w:pPr>
              <w:spacing w:after="0" w:line="184" w:lineRule="exact"/>
              <w:rPr>
                <w:sz w:val="20"/>
                <w:szCs w:val="20"/>
                <w:color w:val="auto"/>
              </w:rPr>
            </w:pPr>
            <w:r>
              <w:rPr>
                <w:rFonts w:ascii="Arial" w:cs="Arial" w:eastAsia="Arial" w:hAnsi="Arial"/>
                <w:sz w:val="17"/>
                <w:szCs w:val="17"/>
                <w:color w:val="auto"/>
              </w:rPr>
              <w:t>Carol G. Gallagher, Pharm.D</w:t>
            </w:r>
          </w:p>
        </w:tc>
        <w:tc>
          <w:tcPr>
            <w:tcW w:w="400" w:type="dxa"/>
            <w:vAlign w:val="bottom"/>
            <w:tcBorders>
              <w:top w:val="single" w:sz="8" w:color="auto"/>
            </w:tcBorders>
            <w:shd w:val="clear" w:color="auto" w:fill="CCEEFF"/>
          </w:tcPr>
          <w:p>
            <w:pPr>
              <w:ind w:left="60"/>
              <w:spacing w:after="0" w:line="184" w:lineRule="exact"/>
              <w:rPr>
                <w:sz w:val="20"/>
                <w:szCs w:val="20"/>
                <w:color w:val="auto"/>
              </w:rPr>
            </w:pPr>
            <w:r>
              <w:rPr>
                <w:rFonts w:ascii="Arial" w:cs="Arial" w:eastAsia="Arial" w:hAnsi="Arial"/>
                <w:sz w:val="17"/>
                <w:szCs w:val="17"/>
                <w:color w:val="auto"/>
                <w:w w:val="84"/>
              </w:rPr>
              <w:t>2015</w:t>
            </w: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50,000</w:t>
            </w: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400"/>
              <w:spacing w:after="0" w:line="184"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ind w:left="600"/>
              <w:spacing w:after="0" w:line="184" w:lineRule="exact"/>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line="184" w:lineRule="exact"/>
              <w:rPr>
                <w:sz w:val="20"/>
                <w:szCs w:val="20"/>
                <w:color w:val="auto"/>
              </w:rPr>
            </w:pPr>
            <w:r>
              <w:rPr>
                <w:rFonts w:ascii="Arial" w:cs="Arial" w:eastAsia="Arial" w:hAnsi="Arial"/>
                <w:sz w:val="17"/>
                <w:szCs w:val="17"/>
                <w:color w:val="auto"/>
              </w:rPr>
              <w:t>50,000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6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2014</w:t>
            </w: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50,000</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196"/>
        </w:trPr>
        <w:tc>
          <w:tcPr>
            <w:tcW w:w="4340" w:type="dxa"/>
            <w:vAlign w:val="bottom"/>
            <w:gridSpan w:val="2"/>
          </w:tcPr>
          <w:p>
            <w:pPr>
              <w:spacing w:after="0"/>
              <w:rPr>
                <w:sz w:val="20"/>
                <w:szCs w:val="20"/>
                <w:color w:val="auto"/>
              </w:rPr>
            </w:pPr>
            <w:r>
              <w:rPr>
                <w:rFonts w:ascii="Arial" w:cs="Arial" w:eastAsia="Arial" w:hAnsi="Arial"/>
                <w:sz w:val="17"/>
                <w:szCs w:val="17"/>
                <w:color w:val="auto"/>
              </w:rPr>
              <w:t>Nicholas B. Lydon, Ph.D., FRS</w:t>
            </w: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2015</w:t>
            </w:r>
          </w:p>
        </w:tc>
        <w:tc>
          <w:tcPr>
            <w:tcW w:w="480" w:type="dxa"/>
            <w:vAlign w:val="bottom"/>
            <w:gridSpan w:val="2"/>
          </w:tcPr>
          <w:p>
            <w:pPr>
              <w:jc w:val="right"/>
              <w:ind w:right="9"/>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37,500</w:t>
            </w:r>
          </w:p>
        </w:tc>
        <w:tc>
          <w:tcPr>
            <w:tcW w:w="320" w:type="dxa"/>
            <w:vAlign w:val="bottom"/>
          </w:tcPr>
          <w:p>
            <w:pPr>
              <w:spacing w:after="0"/>
              <w:rPr>
                <w:sz w:val="17"/>
                <w:szCs w:val="17"/>
                <w:color w:val="auto"/>
              </w:rPr>
            </w:pPr>
          </w:p>
        </w:tc>
        <w:tc>
          <w:tcPr>
            <w:tcW w:w="13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37,500</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2014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660" w:type="dxa"/>
            <w:vAlign w:val="bottom"/>
            <w:gridSpan w:val="3"/>
          </w:tcPr>
          <w:p>
            <w:pPr>
              <w:jc w:val="right"/>
              <w:ind w:right="500"/>
              <w:spacing w:after="0"/>
              <w:rPr>
                <w:sz w:val="20"/>
                <w:szCs w:val="20"/>
                <w:color w:val="auto"/>
              </w:rPr>
            </w:pPr>
            <w:r>
              <w:rPr>
                <w:rFonts w:ascii="Arial" w:cs="Arial" w:eastAsia="Arial" w:hAnsi="Arial"/>
                <w:sz w:val="17"/>
                <w:szCs w:val="17"/>
                <w:color w:val="auto"/>
              </w:rPr>
              <w:t>$ 35,454</w:t>
            </w:r>
            <w:r>
              <w:rPr>
                <w:rFonts w:ascii="Arial" w:cs="Arial" w:eastAsia="Arial" w:hAnsi="Arial"/>
                <w:sz w:val="14"/>
                <w:szCs w:val="14"/>
                <w:color w:val="auto"/>
              </w:rPr>
              <w:t>(5)</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180" w:type="dxa"/>
            <w:vAlign w:val="bottom"/>
            <w:gridSpan w:val="2"/>
          </w:tcPr>
          <w:p>
            <w:pPr>
              <w:ind w:left="380"/>
              <w:spacing w:after="0"/>
              <w:rPr>
                <w:sz w:val="20"/>
                <w:szCs w:val="20"/>
                <w:color w:val="auto"/>
              </w:rPr>
            </w:pPr>
            <w:r>
              <w:rPr>
                <w:rFonts w:ascii="Arial" w:cs="Arial" w:eastAsia="Arial" w:hAnsi="Arial"/>
                <w:sz w:val="17"/>
                <w:szCs w:val="17"/>
                <w:color w:val="auto"/>
              </w:rPr>
              <w:t>50,000</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85,454</w:t>
            </w:r>
          </w:p>
        </w:tc>
        <w:tc>
          <w:tcPr>
            <w:tcW w:w="0" w:type="dxa"/>
            <w:vAlign w:val="bottom"/>
          </w:tcPr>
          <w:p>
            <w:pPr>
              <w:spacing w:after="0"/>
              <w:rPr>
                <w:sz w:val="1"/>
                <w:szCs w:val="1"/>
                <w:color w:val="auto"/>
              </w:rPr>
            </w:pPr>
          </w:p>
        </w:tc>
      </w:tr>
      <w:tr>
        <w:trPr>
          <w:trHeight w:val="223"/>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Hollings Renton</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2015</w:t>
            </w: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25,000</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$225,235</w:t>
            </w:r>
            <w:r>
              <w:rPr>
                <w:rFonts w:ascii="Arial" w:cs="Arial" w:eastAsia="Arial" w:hAnsi="Arial"/>
                <w:sz w:val="14"/>
                <w:szCs w:val="14"/>
                <w:color w:val="auto"/>
              </w:rPr>
              <w:t>(6)</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250,235</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7"/>
                <w:szCs w:val="17"/>
                <w:color w:val="auto"/>
              </w:rPr>
              <w:t>John P. Schmid</w:t>
            </w: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2015</w:t>
            </w:r>
          </w:p>
        </w:tc>
        <w:tc>
          <w:tcPr>
            <w:tcW w:w="480" w:type="dxa"/>
            <w:vAlign w:val="bottom"/>
            <w:gridSpan w:val="2"/>
          </w:tcPr>
          <w:p>
            <w:pPr>
              <w:jc w:val="right"/>
              <w:ind w:right="9"/>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23,333</w:t>
            </w:r>
          </w:p>
        </w:tc>
        <w:tc>
          <w:tcPr>
            <w:tcW w:w="1660" w:type="dxa"/>
            <w:vAlign w:val="bottom"/>
            <w:gridSpan w:val="3"/>
          </w:tcPr>
          <w:p>
            <w:pPr>
              <w:jc w:val="right"/>
              <w:ind w:right="500"/>
              <w:spacing w:after="0"/>
              <w:rPr>
                <w:sz w:val="20"/>
                <w:szCs w:val="20"/>
                <w:color w:val="auto"/>
              </w:rPr>
            </w:pPr>
            <w:r>
              <w:rPr>
                <w:rFonts w:ascii="Arial" w:cs="Arial" w:eastAsia="Arial" w:hAnsi="Arial"/>
                <w:sz w:val="17"/>
                <w:szCs w:val="17"/>
                <w:color w:val="auto"/>
              </w:rPr>
              <w:t>$174,888</w:t>
            </w:r>
            <w:r>
              <w:rPr>
                <w:rFonts w:ascii="Arial" w:cs="Arial" w:eastAsia="Arial" w:hAnsi="Arial"/>
                <w:sz w:val="14"/>
                <w:szCs w:val="14"/>
                <w:color w:val="auto"/>
              </w:rPr>
              <w:t>(7)</w:t>
            </w:r>
          </w:p>
        </w:tc>
        <w:tc>
          <w:tcPr>
            <w:tcW w:w="14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198,221</w:t>
            </w: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A. Schoeneck</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$232,861</w:t>
            </w:r>
            <w:r>
              <w:rPr>
                <w:rFonts w:ascii="Arial" w:cs="Arial" w:eastAsia="Arial" w:hAnsi="Arial"/>
                <w:sz w:val="14"/>
                <w:szCs w:val="14"/>
                <w:color w:val="auto"/>
              </w:rPr>
              <w:t>(8)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232,861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32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38" w:lineRule="exact"/>
        <w:rPr>
          <w:sz w:val="20"/>
          <w:szCs w:val="20"/>
          <w:color w:val="auto"/>
        </w:rPr>
      </w:pPr>
    </w:p>
    <w:p>
      <w:pPr>
        <w:ind w:left="460" w:right="200" w:hanging="455"/>
        <w:spacing w:after="0" w:line="262"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Dr. Gallagher was paid a $50,000 annual retainer fee in connection with her service on our board of directors. Dr. Lydon and Mr. Renton were each paid a prorated annual retainer fee of $50,000 in connection with their service on our board of directors. Mr. Schmid was paid a prorated annual retainer fee of $35,000 and $5,000 in connection with his service on our board of directors and audit committee, respectively.</w:t>
      </w:r>
    </w:p>
    <w:p>
      <w:pPr>
        <w:ind w:left="460" w:right="180" w:hanging="455"/>
        <w:spacing w:after="0" w:line="257"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amount reported in this column represents the aggregate grant date fair value of stock options as computed in accordance with FASB ASC Topic 718. The amounts reported in this column reflect the accounting cost for these stock options, and do not correspond to the actual economic value that may be received by the non-employee directors from the awards. The assumptions used in calculating the grant date fair value of the stock options reported in this column are set forth in Note 8 to our financial statements.</w:t>
      </w:r>
    </w:p>
    <w:p>
      <w:pPr>
        <w:ind w:left="460" w:hanging="455"/>
        <w:spacing w:after="0" w:line="306"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following table sets forth information on stock options granted to non-employee directors in 2014 and 2015 as well as the expected aggregate number of shares of our common stock subject to outstanding stock options held by our non-employee directors as of December 31, 2015:</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6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89"/>
              </w:rPr>
              <w:t>Number of Shares</w:t>
            </w:r>
          </w:p>
        </w:tc>
        <w:tc>
          <w:tcPr>
            <w:tcW w:w="204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w w:val="87"/>
              </w:rPr>
              <w:t>Number of Shares</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180" w:type="dxa"/>
            <w:vAlign w:val="bottom"/>
            <w:gridSpan w:val="2"/>
          </w:tcPr>
          <w:p>
            <w:pPr>
              <w:jc w:val="right"/>
              <w:ind w:right="100"/>
              <w:spacing w:after="0" w:line="144" w:lineRule="exact"/>
              <w:rPr>
                <w:sz w:val="20"/>
                <w:szCs w:val="20"/>
                <w:color w:val="auto"/>
              </w:rPr>
            </w:pPr>
            <w:r>
              <w:rPr>
                <w:rFonts w:ascii="Arial" w:cs="Arial" w:eastAsia="Arial" w:hAnsi="Arial"/>
                <w:sz w:val="14"/>
                <w:szCs w:val="14"/>
                <w:b w:val="1"/>
                <w:bCs w:val="1"/>
                <w:color w:val="auto"/>
                <w:w w:val="92"/>
              </w:rPr>
              <w:t>Underlying Stock</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60" w:type="dxa"/>
            <w:vAlign w:val="bottom"/>
            <w:gridSpan w:val="2"/>
          </w:tcPr>
          <w:p>
            <w:pPr>
              <w:jc w:val="center"/>
              <w:ind w:right="980"/>
              <w:spacing w:after="0" w:line="144" w:lineRule="exact"/>
              <w:rPr>
                <w:sz w:val="20"/>
                <w:szCs w:val="20"/>
                <w:color w:val="auto"/>
              </w:rPr>
            </w:pPr>
            <w:r>
              <w:rPr>
                <w:rFonts w:ascii="Arial" w:cs="Arial" w:eastAsia="Arial" w:hAnsi="Arial"/>
                <w:sz w:val="14"/>
                <w:szCs w:val="14"/>
                <w:b w:val="1"/>
                <w:bCs w:val="1"/>
                <w:color w:val="auto"/>
                <w:w w:val="90"/>
              </w:rPr>
              <w:t>Underlying Stock</w:t>
            </w:r>
          </w:p>
        </w:tc>
        <w:tc>
          <w:tcPr>
            <w:tcW w:w="2040" w:type="dxa"/>
            <w:vAlign w:val="bottom"/>
            <w:gridSpan w:val="2"/>
          </w:tcPr>
          <w:p>
            <w:pPr>
              <w:jc w:val="right"/>
              <w:ind w:right="980"/>
              <w:spacing w:after="0" w:line="144" w:lineRule="exact"/>
              <w:rPr>
                <w:sz w:val="20"/>
                <w:szCs w:val="20"/>
                <w:color w:val="auto"/>
              </w:rPr>
            </w:pPr>
            <w:r>
              <w:rPr>
                <w:rFonts w:ascii="Arial" w:cs="Arial" w:eastAsia="Arial" w:hAnsi="Arial"/>
                <w:sz w:val="14"/>
                <w:szCs w:val="14"/>
                <w:b w:val="1"/>
                <w:bCs w:val="1"/>
                <w:color w:val="auto"/>
                <w:w w:val="90"/>
              </w:rPr>
              <w:t>Underlying Stock</w:t>
            </w:r>
          </w:p>
        </w:tc>
        <w:tc>
          <w:tcPr>
            <w:tcW w:w="118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88"/>
              </w:rPr>
              <w:t>Options Held as</w:t>
            </w:r>
          </w:p>
        </w:tc>
        <w:tc>
          <w:tcPr>
            <w:tcW w:w="0" w:type="dxa"/>
            <w:vAlign w:val="bottom"/>
          </w:tcPr>
          <w:p>
            <w:pPr>
              <w:spacing w:after="0"/>
              <w:rPr>
                <w:sz w:val="1"/>
                <w:szCs w:val="1"/>
                <w:color w:val="auto"/>
              </w:rPr>
            </w:pPr>
          </w:p>
        </w:tc>
      </w:tr>
      <w:tr>
        <w:trPr>
          <w:trHeight w:val="144"/>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1"/>
              </w:rPr>
              <w:t>Director Name</w:t>
            </w:r>
          </w:p>
        </w:tc>
        <w:tc>
          <w:tcPr>
            <w:tcW w:w="4320" w:type="dxa"/>
            <w:vAlign w:val="bottom"/>
            <w:vMerge w:val="restart"/>
          </w:tcPr>
          <w:p>
            <w:pPr>
              <w:spacing w:after="0"/>
              <w:rPr>
                <w:sz w:val="12"/>
                <w:szCs w:val="12"/>
                <w:color w:val="auto"/>
              </w:rPr>
            </w:pPr>
          </w:p>
        </w:tc>
        <w:tc>
          <w:tcPr>
            <w:tcW w:w="2060" w:type="dxa"/>
            <w:vAlign w:val="bottom"/>
            <w:gridSpan w:val="2"/>
          </w:tcPr>
          <w:p>
            <w:pPr>
              <w:jc w:val="center"/>
              <w:ind w:right="980"/>
              <w:spacing w:after="0" w:line="144" w:lineRule="exact"/>
              <w:rPr>
                <w:sz w:val="20"/>
                <w:szCs w:val="20"/>
                <w:color w:val="auto"/>
              </w:rPr>
            </w:pPr>
            <w:r>
              <w:rPr>
                <w:rFonts w:ascii="Arial" w:cs="Arial" w:eastAsia="Arial" w:hAnsi="Arial"/>
                <w:sz w:val="14"/>
                <w:szCs w:val="14"/>
                <w:b w:val="1"/>
                <w:bCs w:val="1"/>
                <w:color w:val="auto"/>
                <w:w w:val="90"/>
              </w:rPr>
              <w:t>Options Granted</w:t>
            </w:r>
          </w:p>
        </w:tc>
        <w:tc>
          <w:tcPr>
            <w:tcW w:w="204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auto"/>
              </w:rPr>
              <w:t>Options Granted</w:t>
            </w:r>
          </w:p>
        </w:tc>
        <w:tc>
          <w:tcPr>
            <w:tcW w:w="118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90"/>
              </w:rPr>
              <w:t>of December 31,</w:t>
            </w:r>
          </w:p>
        </w:tc>
        <w:tc>
          <w:tcPr>
            <w:tcW w:w="0" w:type="dxa"/>
            <w:vAlign w:val="bottom"/>
          </w:tcPr>
          <w:p>
            <w:pPr>
              <w:spacing w:after="0"/>
              <w:rPr>
                <w:sz w:val="1"/>
                <w:szCs w:val="1"/>
                <w:color w:val="auto"/>
              </w:rPr>
            </w:pPr>
          </w:p>
        </w:tc>
      </w:tr>
      <w:tr>
        <w:trPr>
          <w:trHeight w:val="167"/>
        </w:trPr>
        <w:tc>
          <w:tcPr>
            <w:tcW w:w="900" w:type="dxa"/>
            <w:vAlign w:val="bottom"/>
            <w:tcBorders>
              <w:bottom w:val="single" w:sz="8" w:color="auto"/>
            </w:tcBorders>
            <w:vMerge w:val="continue"/>
          </w:tcPr>
          <w:p>
            <w:pPr>
              <w:spacing w:after="0"/>
              <w:rPr>
                <w:sz w:val="14"/>
                <w:szCs w:val="14"/>
                <w:color w:val="auto"/>
              </w:rPr>
            </w:pPr>
          </w:p>
        </w:tc>
        <w:tc>
          <w:tcPr>
            <w:tcW w:w="432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2014</w:t>
            </w:r>
          </w:p>
        </w:tc>
        <w:tc>
          <w:tcPr>
            <w:tcW w:w="9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in 2015</w:t>
            </w:r>
          </w:p>
        </w:tc>
        <w:tc>
          <w:tcPr>
            <w:tcW w:w="9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2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Carol G. Gallagher, Pharm.D.</w:t>
            </w:r>
          </w:p>
        </w:tc>
        <w:tc>
          <w:tcPr>
            <w:tcW w:w="1080" w:type="dxa"/>
            <w:vAlign w:val="bottom"/>
            <w:shd w:val="clear" w:color="auto" w:fill="CCEEFF"/>
          </w:tcPr>
          <w:p>
            <w:pPr>
              <w:ind w:left="840"/>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684,057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20" w:type="dxa"/>
            <w:vAlign w:val="bottom"/>
            <w:gridSpan w:val="2"/>
          </w:tcPr>
          <w:p>
            <w:pPr>
              <w:spacing w:after="0"/>
              <w:rPr>
                <w:sz w:val="20"/>
                <w:szCs w:val="20"/>
                <w:color w:val="auto"/>
              </w:rPr>
            </w:pPr>
            <w:r>
              <w:rPr>
                <w:rFonts w:ascii="Arial" w:cs="Arial" w:eastAsia="Arial" w:hAnsi="Arial"/>
                <w:sz w:val="17"/>
                <w:szCs w:val="17"/>
                <w:color w:val="auto"/>
              </w:rPr>
              <w:t>Nicholas B. Lydon, Ph.D., FRS</w:t>
            </w:r>
          </w:p>
        </w:tc>
        <w:tc>
          <w:tcPr>
            <w:tcW w:w="2060" w:type="dxa"/>
            <w:vAlign w:val="bottom"/>
            <w:gridSpan w:val="2"/>
          </w:tcPr>
          <w:p>
            <w:pPr>
              <w:ind w:left="540"/>
              <w:spacing w:after="0"/>
              <w:rPr>
                <w:sz w:val="20"/>
                <w:szCs w:val="20"/>
                <w:color w:val="auto"/>
              </w:rPr>
            </w:pPr>
            <w:r>
              <w:rPr>
                <w:rFonts w:ascii="Arial" w:cs="Arial" w:eastAsia="Arial" w:hAnsi="Arial"/>
                <w:sz w:val="17"/>
                <w:szCs w:val="17"/>
                <w:color w:val="auto"/>
              </w:rPr>
              <w:t>239,000</w:t>
            </w:r>
          </w:p>
        </w:tc>
        <w:tc>
          <w:tcPr>
            <w:tcW w:w="2040" w:type="dxa"/>
            <w:vAlign w:val="bottom"/>
            <w:gridSpan w:val="2"/>
          </w:tcPr>
          <w:p>
            <w:pPr>
              <w:jc w:val="right"/>
              <w:ind w:right="10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217,088</w:t>
            </w:r>
          </w:p>
        </w:tc>
        <w:tc>
          <w:tcPr>
            <w:tcW w:w="0" w:type="dxa"/>
            <w:vAlign w:val="bottom"/>
          </w:tcPr>
          <w:p>
            <w:pPr>
              <w:spacing w:after="0"/>
              <w:rPr>
                <w:sz w:val="1"/>
                <w:szCs w:val="1"/>
                <w:color w:val="auto"/>
              </w:rPr>
            </w:pPr>
          </w:p>
        </w:tc>
      </w:tr>
      <w:tr>
        <w:trPr>
          <w:trHeight w:val="196"/>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Hollings Renton</w:t>
            </w:r>
          </w:p>
        </w:tc>
        <w:tc>
          <w:tcPr>
            <w:tcW w:w="206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358,098</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358,098</w:t>
            </w:r>
          </w:p>
        </w:tc>
        <w:tc>
          <w:tcPr>
            <w:tcW w:w="0" w:type="dxa"/>
            <w:vAlign w:val="bottom"/>
          </w:tcPr>
          <w:p>
            <w:pPr>
              <w:spacing w:after="0"/>
              <w:rPr>
                <w:sz w:val="1"/>
                <w:szCs w:val="1"/>
                <w:color w:val="auto"/>
              </w:rPr>
            </w:pPr>
          </w:p>
        </w:tc>
      </w:tr>
      <w:tr>
        <w:trPr>
          <w:trHeight w:val="196"/>
        </w:trPr>
        <w:tc>
          <w:tcPr>
            <w:tcW w:w="5220" w:type="dxa"/>
            <w:vAlign w:val="bottom"/>
            <w:gridSpan w:val="2"/>
          </w:tcPr>
          <w:p>
            <w:pPr>
              <w:spacing w:after="0"/>
              <w:rPr>
                <w:sz w:val="20"/>
                <w:szCs w:val="20"/>
                <w:color w:val="auto"/>
              </w:rPr>
            </w:pPr>
            <w:r>
              <w:rPr>
                <w:rFonts w:ascii="Arial" w:cs="Arial" w:eastAsia="Arial" w:hAnsi="Arial"/>
                <w:sz w:val="17"/>
                <w:szCs w:val="17"/>
                <w:color w:val="auto"/>
              </w:rPr>
              <w:t>John P. Schmid</w:t>
            </w:r>
          </w:p>
        </w:tc>
        <w:tc>
          <w:tcPr>
            <w:tcW w:w="206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2040" w:type="dxa"/>
            <w:vAlign w:val="bottom"/>
            <w:gridSpan w:val="2"/>
          </w:tcPr>
          <w:p>
            <w:pPr>
              <w:jc w:val="right"/>
              <w:ind w:right="960"/>
              <w:spacing w:after="0"/>
              <w:rPr>
                <w:sz w:val="20"/>
                <w:szCs w:val="20"/>
                <w:color w:val="auto"/>
              </w:rPr>
            </w:pPr>
            <w:r>
              <w:rPr>
                <w:rFonts w:ascii="Arial" w:cs="Arial" w:eastAsia="Arial" w:hAnsi="Arial"/>
                <w:sz w:val="17"/>
                <w:szCs w:val="17"/>
                <w:color w:val="auto"/>
              </w:rPr>
              <w:t>296,370</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296,370</w:t>
            </w:r>
          </w:p>
        </w:tc>
        <w:tc>
          <w:tcPr>
            <w:tcW w:w="0" w:type="dxa"/>
            <w:vAlign w:val="bottom"/>
          </w:tcPr>
          <w:p>
            <w:pPr>
              <w:spacing w:after="0"/>
              <w:rPr>
                <w:sz w:val="1"/>
                <w:szCs w:val="1"/>
                <w:color w:val="auto"/>
              </w:rPr>
            </w:pPr>
          </w:p>
        </w:tc>
      </w:tr>
      <w:tr>
        <w:trPr>
          <w:trHeight w:val="196"/>
        </w:trPr>
        <w:tc>
          <w:tcPr>
            <w:tcW w:w="5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A. Schoeneck</w:t>
            </w:r>
          </w:p>
        </w:tc>
        <w:tc>
          <w:tcPr>
            <w:tcW w:w="206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296,365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296,365</w:t>
            </w: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00"/>
          </w:cols>
          <w:pgMar w:left="240" w:top="449" w:right="2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right="100" w:hanging="455"/>
        <w:spacing w:after="0" w:line="264"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Granite Biopharma, LLC was paid $50,000 pursuant to a Therapeutic Advisory Agreement entered into on April 1, 2014 between Granite Biopharma, LLC and us. Dr. Lydon is the sole member of Granite Biopharma, LLC.</w:t>
      </w:r>
    </w:p>
    <w:p>
      <w:pPr>
        <w:ind w:left="460" w:right="160" w:hanging="455"/>
        <w:spacing w:after="0" w:line="257"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Dr. Lydon was granted an early-exercisable stock-option award on July 11, 2014 under our 2006 Equity Incentive Plan to purchase up to 239,000 shares of our common stock at a per-share price of $0.10. 1/4 of the shares underlying the option vested on January 1, 2015, and, thereafter, 1/48 of the underlying shares vest on the first day of each succeeding calendar month, starting February 1, 2015.</w:t>
      </w:r>
    </w:p>
    <w:p>
      <w:pPr>
        <w:ind w:left="460" w:right="40" w:hanging="455"/>
        <w:spacing w:after="0" w:line="257"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Mr. Renton was granted (i) an early-exercisable stock-option award on July 6, 2015 under our 2006 Equity Incentive Plan to purchase up to 286,478 shares of our common stock at a per-share price of $0.99. 1/36 of the shares underlying the option vested on July 23, 2015, and, thereafter, 1/36 of the underlying shares vest on the twenty-third day of each succeeding calendar month, starting August 23, 2015; and (ii) an early-exercisable stock-option award on August 14, 2015 under our 2006 Equity Incentive Plan to purchase up to 71,620 shares of our common stock at a per-share price of $0.99. 1/36 of the shares underlying the option vested on August 6, 2015, and, thereafter, 1/36 of the underlying shares vest on the sixth day of each succeeding calendar month, starting September 6, 2015.</w:t>
      </w:r>
    </w:p>
    <w:p>
      <w:pPr>
        <w:spacing w:after="0" w:line="1" w:lineRule="exact"/>
        <w:rPr>
          <w:rFonts w:ascii="Arial" w:cs="Arial" w:eastAsia="Arial" w:hAnsi="Arial"/>
          <w:sz w:val="17"/>
          <w:szCs w:val="17"/>
          <w:color w:val="auto"/>
        </w:rPr>
      </w:pPr>
    </w:p>
    <w:p>
      <w:pPr>
        <w:ind w:left="460" w:hanging="455"/>
        <w:spacing w:after="0" w:line="291"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Mr. Schmid was granted (i) a stock-option award on June 10, 2015 under our 2006 Equity Incentive Plan to purchase up to 151,849 shares of our common stock at a per-share price of $0.65. 1/36 of the shares underlying the option vested on July 10, 2015, and, thereafter, 1/36 of the underlying shares vest on the tenth day of each succeeding calendar month, starting August 10, 2015; and (ii) an early-exercisable stock-option award on November 16, 2015 under our 2006 Equity Incentive Plan to purchase up to 144,521 shares of our common stock at a per-share price of $1.22. 1/36 of the shares underlying the option vest on December 16, 2015, and, thereafter, 1/36 of the underlying shares vest on the sixteenth day of each succeeding calendar month, starting January 16, 2016.</w:t>
      </w:r>
    </w:p>
    <w:p>
      <w:pPr>
        <w:spacing w:after="0" w:line="1" w:lineRule="exact"/>
        <w:rPr>
          <w:rFonts w:ascii="Arial" w:cs="Arial" w:eastAsia="Arial" w:hAnsi="Arial"/>
          <w:sz w:val="15"/>
          <w:szCs w:val="15"/>
          <w:color w:val="auto"/>
        </w:rPr>
      </w:pPr>
    </w:p>
    <w:p>
      <w:pPr>
        <w:ind w:left="460" w:right="40" w:hanging="455"/>
        <w:spacing w:after="0" w:line="265"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Mr. Schoeneck was granted an early-exercisable stock-option award on November 16, 2015 under our 2006 Equity Incentive Plan to purchase up to 296,365 shares of our common stock at a per-share price of $1.22. 1/36 of the shares underlying the option vest on December 16, 2015, and, thereafter, 1/36 of the underlying shares vest on the sixteenth day of each succeeding calendar month, starting January 16, 2016.</w:t>
      </w:r>
    </w:p>
    <w:p>
      <w:pPr>
        <w:spacing w:after="0" w:line="179" w:lineRule="exact"/>
        <w:rPr>
          <w:sz w:val="20"/>
          <w:szCs w:val="20"/>
          <w:color w:val="auto"/>
        </w:rPr>
      </w:pPr>
    </w:p>
    <w:p>
      <w:pPr>
        <w:ind w:right="200" w:firstLine="457"/>
        <w:spacing w:after="0" w:line="283" w:lineRule="auto"/>
        <w:rPr>
          <w:sz w:val="20"/>
          <w:szCs w:val="20"/>
          <w:color w:val="auto"/>
        </w:rPr>
      </w:pPr>
      <w:r>
        <w:rPr>
          <w:rFonts w:ascii="Arial" w:cs="Arial" w:eastAsia="Arial" w:hAnsi="Arial"/>
          <w:sz w:val="16"/>
          <w:szCs w:val="16"/>
          <w:color w:val="auto"/>
        </w:rPr>
        <w:t>In September 2015, our board of directors approved a non-employee director compensation policy, which will take effect following the completion of this offering. Pursuant to this policy, each of our non-employee directors will receive an annual retainer of $40,000. Additionally, a lead independent director will receive an additional annual payment of $20,000; the chairperson of our board of directors will receive an additional annual payment of $15,000 when a lead independent director is also serving and $30,000 when no lead independent director is serving; the chairpersons of our audit, compensation and nominating and corporate governance committees will receive an additional annual payment of $15,000, $10,000 and $7,500, respectively; and the members of our audit, compensation and nominating and corporate governance committees will receive an additional annual payment of $7,500, $5,000 and $3,750, respectively.</w:t>
      </w:r>
    </w:p>
    <w:p>
      <w:pPr>
        <w:spacing w:after="0" w:line="165"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Beginning in 2016, each of our non-employee directors will also receive an annual option to purchase 100,000 shares of common stock, which will vest in a single installment 12 months after the grant date, subject to the applicable director’s continuous service through such date. Additionally, new non-employee directors will receive upon election to our board of directors, an option to purchase 200,000 shares of common stock, which will vest in 36 equal monthly installments after the grant date, subject to the applicable director’s continuous service through such date. The exercise price of such grants will be the fair market value as of the grant date.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20"/>
          </w:cols>
          <w:pgMar w:left="240" w:top="449" w:right="2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30" w:lineRule="exact"/>
        <w:rPr>
          <w:sz w:val="20"/>
          <w:szCs w:val="20"/>
          <w:color w:val="auto"/>
        </w:rPr>
      </w:pPr>
    </w:p>
    <w:p>
      <w:pPr>
        <w:jc w:val="both"/>
        <w:ind w:right="320" w:firstLine="457"/>
        <w:spacing w:after="0" w:line="297" w:lineRule="auto"/>
        <w:rPr>
          <w:sz w:val="20"/>
          <w:szCs w:val="20"/>
          <w:color w:val="auto"/>
        </w:rPr>
      </w:pPr>
      <w:r>
        <w:rPr>
          <w:rFonts w:ascii="Arial" w:cs="Arial" w:eastAsia="Arial" w:hAnsi="Arial"/>
          <w:sz w:val="16"/>
          <w:szCs w:val="16"/>
          <w:color w:val="auto"/>
        </w:rPr>
        <w:t>The following tables and accompanying narrative disclosure set forth information about the compensation provided to our executive officers during the years ended December 31, 2014 and 2015. These executive officers, who include our principal executive officer and who we expect to be the two most highly-compensated executive officers (other than our principal executive officer) serving as executive officers as of December 31, 2015, were:</w:t>
      </w:r>
    </w:p>
    <w:p>
      <w:pPr>
        <w:spacing w:after="0" w:line="63" w:lineRule="exact"/>
        <w:rPr>
          <w:sz w:val="20"/>
          <w:szCs w:val="20"/>
          <w:color w:val="auto"/>
        </w:rPr>
      </w:pPr>
    </w:p>
    <w:p>
      <w:pPr>
        <w:ind w:left="900" w:hanging="332"/>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Hamza Suria, President, Chief Executive Officer and Director;</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Robert E. Hoffman, our Chief Financial Officer;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Marco Londei, Chief Development Officer.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refer to these individuals in this section as our “named executive officers.”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25" w:lineRule="exact"/>
        <w:rPr>
          <w:sz w:val="20"/>
          <w:szCs w:val="20"/>
          <w:color w:val="auto"/>
        </w:rPr>
      </w:pPr>
    </w:p>
    <w:p>
      <w:pPr>
        <w:ind w:right="200" w:firstLine="457"/>
        <w:spacing w:after="0" w:line="289" w:lineRule="auto"/>
        <w:rPr>
          <w:sz w:val="20"/>
          <w:szCs w:val="20"/>
          <w:color w:val="auto"/>
        </w:rPr>
      </w:pPr>
      <w:r>
        <w:rPr>
          <w:rFonts w:ascii="Arial" w:cs="Arial" w:eastAsia="Arial" w:hAnsi="Arial"/>
          <w:sz w:val="17"/>
          <w:szCs w:val="17"/>
          <w:color w:val="auto"/>
        </w:rPr>
        <w:t>The following table presents summary information regarding the total compensation for services rendered in all capacities that was awarded to and earned by our named executive officers during the years ended December 31, 2014 and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14"/>
                <w:szCs w:val="14"/>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Salary</w:t>
            </w:r>
          </w:p>
        </w:tc>
        <w:tc>
          <w:tcPr>
            <w:tcW w:w="140" w:type="dxa"/>
            <w:vAlign w:val="bottom"/>
          </w:tcPr>
          <w:p>
            <w:pPr>
              <w:spacing w:after="0"/>
              <w:rPr>
                <w:sz w:val="14"/>
                <w:szCs w:val="14"/>
                <w:color w:val="auto"/>
              </w:rPr>
            </w:pPr>
          </w:p>
        </w:tc>
        <w:tc>
          <w:tcPr>
            <w:tcW w:w="9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8"/>
              </w:rPr>
              <w:t>Bonus</w:t>
            </w:r>
            <w:r>
              <w:rPr>
                <w:rFonts w:ascii="Arial" w:cs="Arial" w:eastAsia="Arial" w:hAnsi="Arial"/>
                <w:sz w:val="11"/>
                <w:szCs w:val="11"/>
                <w:b w:val="1"/>
                <w:bCs w:val="1"/>
                <w:color w:val="auto"/>
                <w:w w:val="98"/>
              </w:rPr>
              <w:t>(1)</w:t>
            </w: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2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7"/>
                <w:szCs w:val="17"/>
                <w:color w:val="auto"/>
              </w:rPr>
              <w:t>Hamza Suria</w:t>
            </w:r>
          </w:p>
        </w:tc>
        <w:tc>
          <w:tcPr>
            <w:tcW w:w="400" w:type="dxa"/>
            <w:vAlign w:val="bottom"/>
            <w:tcBorders>
              <w:top w:val="single" w:sz="8" w:color="auto"/>
            </w:tcBorders>
            <w:shd w:val="clear" w:color="auto" w:fill="CCEEFF"/>
          </w:tcPr>
          <w:p>
            <w:pPr>
              <w:ind w:left="60"/>
              <w:spacing w:after="0" w:line="177" w:lineRule="exact"/>
              <w:rPr>
                <w:sz w:val="20"/>
                <w:szCs w:val="20"/>
                <w:color w:val="auto"/>
              </w:rPr>
            </w:pPr>
            <w:r>
              <w:rPr>
                <w:rFonts w:ascii="Arial" w:cs="Arial" w:eastAsia="Arial" w:hAnsi="Arial"/>
                <w:sz w:val="17"/>
                <w:szCs w:val="17"/>
                <w:color w:val="auto"/>
                <w:w w:val="84"/>
              </w:rPr>
              <w:t>2015</w:t>
            </w: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w w:val="91"/>
              </w:rPr>
              <w:t>382,083</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20"/>
              <w:spacing w:after="0" w:line="177" w:lineRule="exact"/>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7"/>
                <w:szCs w:val="17"/>
                <w:color w:val="auto"/>
                <w:w w:val="87"/>
              </w:rPr>
              <w:t>1,170,840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center"/>
              <w:ind w:left="336"/>
              <w:spacing w:after="0" w:line="177" w:lineRule="exact"/>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w w:val="92"/>
              </w:rPr>
              <w:t>1,552,923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2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President and Chief Executive Officer</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2014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326,759</w:t>
            </w:r>
          </w:p>
        </w:tc>
        <w:tc>
          <w:tcPr>
            <w:tcW w:w="3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1"/>
              </w:rPr>
              <w:t>166,000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53,831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center"/>
              <w:ind w:left="16"/>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546,590</w:t>
            </w:r>
          </w:p>
        </w:tc>
        <w:tc>
          <w:tcPr>
            <w:tcW w:w="0" w:type="dxa"/>
            <w:vAlign w:val="bottom"/>
          </w:tcPr>
          <w:p>
            <w:pPr>
              <w:spacing w:after="0"/>
              <w:rPr>
                <w:sz w:val="1"/>
                <w:szCs w:val="1"/>
                <w:color w:val="auto"/>
              </w:rPr>
            </w:pPr>
          </w:p>
        </w:tc>
      </w:tr>
      <w:tr>
        <w:trPr>
          <w:trHeight w:val="197"/>
        </w:trPr>
        <w:tc>
          <w:tcPr>
            <w:tcW w:w="5240" w:type="dxa"/>
            <w:vAlign w:val="bottom"/>
          </w:tcPr>
          <w:p>
            <w:pPr>
              <w:spacing w:after="0"/>
              <w:rPr>
                <w:sz w:val="20"/>
                <w:szCs w:val="20"/>
                <w:color w:val="auto"/>
              </w:rPr>
            </w:pPr>
            <w:r>
              <w:rPr>
                <w:rFonts w:ascii="Arial" w:cs="Arial" w:eastAsia="Arial" w:hAnsi="Arial"/>
                <w:sz w:val="17"/>
                <w:szCs w:val="17"/>
                <w:color w:val="auto"/>
              </w:rPr>
              <w:t>Robert E. Hoffman</w:t>
            </w: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2015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152,708</w:t>
            </w:r>
            <w:r>
              <w:rPr>
                <w:rFonts w:ascii="Arial" w:cs="Arial" w:eastAsia="Arial" w:hAnsi="Arial"/>
                <w:sz w:val="14"/>
                <w:szCs w:val="14"/>
                <w:color w:val="auto"/>
                <w:w w:val="91"/>
              </w:rPr>
              <w:t>(3)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746,021</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center"/>
              <w:ind w:left="16"/>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898,729</w:t>
            </w:r>
          </w:p>
        </w:tc>
        <w:tc>
          <w:tcPr>
            <w:tcW w:w="0" w:type="dxa"/>
            <w:vAlign w:val="bottom"/>
          </w:tcPr>
          <w:p>
            <w:pPr>
              <w:spacing w:after="0"/>
              <w:rPr>
                <w:sz w:val="1"/>
                <w:szCs w:val="1"/>
                <w:color w:val="auto"/>
              </w:rPr>
            </w:pPr>
          </w:p>
        </w:tc>
      </w:tr>
      <w:tr>
        <w:trPr>
          <w:trHeight w:val="228"/>
        </w:trPr>
        <w:tc>
          <w:tcPr>
            <w:tcW w:w="5240" w:type="dxa"/>
            <w:vAlign w:val="bottom"/>
          </w:tcPr>
          <w:p>
            <w:pPr>
              <w:ind w:left="180"/>
              <w:spacing w:after="0"/>
              <w:rPr>
                <w:sz w:val="20"/>
                <w:szCs w:val="20"/>
                <w:color w:val="auto"/>
              </w:rPr>
            </w:pPr>
            <w:r>
              <w:rPr>
                <w:rFonts w:ascii="Arial" w:cs="Arial" w:eastAsia="Arial" w:hAnsi="Arial"/>
                <w:sz w:val="17"/>
                <w:szCs w:val="17"/>
                <w:i w:val="1"/>
                <w:iCs w:val="1"/>
                <w:color w:val="auto"/>
              </w:rPr>
              <w:t>Chief Financial Officer</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Marco Londei, M.D.</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363,333</w:t>
            </w:r>
          </w:p>
        </w:tc>
        <w:tc>
          <w:tcPr>
            <w:tcW w:w="3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406,049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center"/>
              <w:ind w:left="56"/>
              <w:spacing w:after="0"/>
              <w:rPr>
                <w:sz w:val="20"/>
                <w:szCs w:val="20"/>
                <w:color w:val="auto"/>
              </w:rPr>
            </w:pPr>
            <w:r>
              <w:rPr>
                <w:rFonts w:ascii="Arial" w:cs="Arial" w:eastAsia="Arial" w:hAnsi="Arial"/>
                <w:sz w:val="17"/>
                <w:szCs w:val="17"/>
                <w:color w:val="auto"/>
                <w:w w:val="95"/>
              </w:rPr>
              <w:t>39,462</w:t>
            </w:r>
            <w:r>
              <w:rPr>
                <w:rFonts w:ascii="Arial" w:cs="Arial" w:eastAsia="Arial" w:hAnsi="Arial"/>
                <w:sz w:val="14"/>
                <w:szCs w:val="14"/>
                <w:color w:val="auto"/>
                <w:w w:val="95"/>
              </w:rPr>
              <w:t>(5)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808,844</w:t>
            </w: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Chief Development Officer</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2014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66,410</w:t>
            </w:r>
            <w:r>
              <w:rPr>
                <w:rFonts w:ascii="Arial" w:cs="Arial" w:eastAsia="Arial" w:hAnsi="Arial"/>
                <w:sz w:val="14"/>
                <w:szCs w:val="14"/>
                <w:color w:val="auto"/>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16,541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167,147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center"/>
              <w:ind w:left="56"/>
              <w:spacing w:after="0"/>
              <w:rPr>
                <w:sz w:val="20"/>
                <w:szCs w:val="20"/>
                <w:color w:val="auto"/>
              </w:rPr>
            </w:pPr>
            <w:r>
              <w:rPr>
                <w:rFonts w:ascii="Arial" w:cs="Arial" w:eastAsia="Arial" w:hAnsi="Arial"/>
                <w:sz w:val="17"/>
                <w:szCs w:val="17"/>
                <w:color w:val="auto"/>
                <w:w w:val="95"/>
              </w:rPr>
              <w:t>28,657</w:t>
            </w:r>
            <w:r>
              <w:rPr>
                <w:rFonts w:ascii="Arial" w:cs="Arial" w:eastAsia="Arial" w:hAnsi="Arial"/>
                <w:sz w:val="14"/>
                <w:szCs w:val="14"/>
                <w:color w:val="auto"/>
                <w:w w:val="95"/>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32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51" w:lineRule="exact"/>
        <w:rPr>
          <w:sz w:val="20"/>
          <w:szCs w:val="20"/>
          <w:color w:val="auto"/>
        </w:rPr>
      </w:pPr>
    </w:p>
    <w:p>
      <w:pPr>
        <w:jc w:val="both"/>
        <w:ind w:left="460" w:hanging="455"/>
        <w:spacing w:after="0" w:line="262"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amounts reported in this column represent bonuses awarded at the discretion of our board of directors. Our board of directors has not yet determined the amounts of cash bonuses payable to our named executive officers earned in 2015. We anticipate that cash bonuses, if any, for 2015 will be determined by our board of directors by March 2016.</w:t>
      </w:r>
    </w:p>
    <w:p>
      <w:pPr>
        <w:ind w:left="460" w:right="100" w:hanging="455"/>
        <w:spacing w:after="0" w:line="257"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amounts reported in this column represent the aggregate grant-date fair value of the awards granted under our 2006 Equity Incentive Plan to our named executive officers during the years ended December 31, 2014 and 2015, as computed in accordance with FASB ASC Topic 718. The assumptions used in calculating the grant date fair value of the awards reported in the Stock Option Awards column are set forth in Note 8 to our consolidated financial statements. Note that the amounts reported in this column reflect the aggregate accounting cost for these awards, and do not necessarily correspond to the actual economic value that may be received by the named executive officers from the awards.</w:t>
      </w:r>
    </w:p>
    <w:p>
      <w:pPr>
        <w:ind w:left="460" w:hanging="455"/>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Reflects Mr. Hoffman’s salary from the commencement of his employment on July 13, 2015, through December 31, 2015.</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Reflects Dr. Londei’s salary from the commencement of his employment on September 26, 2014, through December 31, 2014.</w:t>
      </w:r>
    </w:p>
    <w:p>
      <w:pPr>
        <w:spacing w:after="0" w:line="14" w:lineRule="exact"/>
        <w:rPr>
          <w:rFonts w:ascii="Arial" w:cs="Arial" w:eastAsia="Arial" w:hAnsi="Arial"/>
          <w:sz w:val="17"/>
          <w:szCs w:val="17"/>
          <w:color w:val="auto"/>
        </w:rPr>
      </w:pPr>
    </w:p>
    <w:p>
      <w:pPr>
        <w:ind w:left="460" w:right="280" w:hanging="455"/>
        <w:spacing w:after="0" w:line="257"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Reflects reimbursements paid to, or on behalf of, Dr. Londei during the year ended December 31, 2015, consisting of $39,462 for temporary housing and moving expenses, including tax gross-up with respect to temporary housing payments.</w:t>
      </w:r>
    </w:p>
    <w:p>
      <w:pPr>
        <w:ind w:left="460" w:right="60" w:hanging="455"/>
        <w:spacing w:after="0" w:line="274"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Reflects reimbursements paid to, or on behalf of, Dr. Londei during the year ended December 31, 2014, consisting of (a) $28,011 for temporary housing and moving expenses, including tax gross-up with respect to temporary housing payments and (b) $646 for travel expenses.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20"/>
          </w:cols>
          <w:pgMar w:left="240" w:top="449" w:right="2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125" w:lineRule="exact"/>
        <w:rPr>
          <w:sz w:val="20"/>
          <w:szCs w:val="20"/>
          <w:color w:val="auto"/>
        </w:rPr>
      </w:pPr>
    </w:p>
    <w:p>
      <w:pPr>
        <w:ind w:right="180" w:firstLine="457"/>
        <w:spacing w:after="0" w:line="297" w:lineRule="auto"/>
        <w:rPr>
          <w:sz w:val="20"/>
          <w:szCs w:val="20"/>
          <w:color w:val="auto"/>
        </w:rPr>
      </w:pPr>
      <w:r>
        <w:rPr>
          <w:rFonts w:ascii="Arial" w:cs="Arial" w:eastAsia="Arial" w:hAnsi="Arial"/>
          <w:sz w:val="16"/>
          <w:szCs w:val="16"/>
          <w:color w:val="auto"/>
        </w:rPr>
        <w:t>The initial terms and conditions of employment of each of Mr. Suria, Mr. Hoffman and Dr. Londei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Mr. Suria’s Employment Agreement</w:t>
      </w:r>
    </w:p>
    <w:p>
      <w:pPr>
        <w:spacing w:after="0" w:line="119"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Pursuant to an employment agreement effective as of January 1, 2012 and amended October 9, 2012 and September 16, 2014, or collectively the Suria Employment Agreement, Mr. Suria serves as our President and Chief Executive Officer. The Suria Employment Agreement sets forth the principal terms and conditions of his employment, including his initial annual base salary of $285,000 and an annual target cash bonus opportunity of 25% of his base salary, subject to pro rata adjustment for any partial years worked, which bonus is earned based on our achievement of specified milestones and performance objectives, as well as Mr. Suria’s performance relative to one or more performance objectives established by Mr. Suria, our compensation committee and our board of directors, the achievement of which is evaluated by us. On August 14, 2015, our board of directors increased Mr. Suria’s annual base salary to $420,000, effective as of August 1, 2015. The Suria Employment Agreement provided for the grant of a time-based stock option to purchase up to 1,499,684 shares of our common stock under our 2006 Equity Incentive Plan. The Suria Employment Agreement also provided for the grant of a performance-based stock option to purchase up to 684,056 shares of our common stock under our 2006 Equity Incentive Plan, all of which would vest immediately in the event of a change of control or qualified initial public offering. These options were granted with an exercise price equal to the fair value of our common stock on the date of grant and vest over four years as described in more detail in “—Outstanding Equity Awards at Fiscal Year-End Table” below. Mr. Suria’s employment is at will and may be terminated at any time, with or without cause. However, pursuant to the terms of the Suria Employment Agreement, Mr. Suria will be entitled to severance benefits upon a qualifying termination of employment as described in “—Potential Payments upon IPO, Termination or Change in Control” below.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Mr. Hoffman’s Employment Agreement</w:t>
      </w:r>
    </w:p>
    <w:p>
      <w:pPr>
        <w:spacing w:after="0" w:line="119" w:lineRule="exact"/>
        <w:rPr>
          <w:sz w:val="20"/>
          <w:szCs w:val="20"/>
          <w:color w:val="auto"/>
        </w:rPr>
      </w:pPr>
    </w:p>
    <w:p>
      <w:pPr>
        <w:ind w:right="640" w:firstLine="457"/>
        <w:spacing w:after="0" w:line="295" w:lineRule="auto"/>
        <w:rPr>
          <w:sz w:val="20"/>
          <w:szCs w:val="20"/>
          <w:color w:val="auto"/>
        </w:rPr>
      </w:pPr>
      <w:r>
        <w:rPr>
          <w:rFonts w:ascii="Arial" w:cs="Arial" w:eastAsia="Arial" w:hAnsi="Arial"/>
          <w:sz w:val="15"/>
          <w:szCs w:val="15"/>
          <w:color w:val="auto"/>
        </w:rPr>
        <w:t>Pursuant to an Employment Agreement effective as of July 13, 2015 and amended December 14, 2015, or collectively the Hoffman Employment Agreement, Mr. Hoffman serves as our Chief Financial Officer. The Hoffman Employment Agreement sets forth the principal terms and conditions of his employment, including his initial annual base salary of $325,000 and an annual target cash bonus opportunity of 25% of his base salary, subject to pro rata adjustment for any partial years worked, which bonus is earned based on our achievement of specified milestones and performance objectives, as well as</w:t>
      </w:r>
    </w:p>
    <w:p>
      <w:pPr>
        <w:spacing w:after="0" w:line="2"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Mr. Hoffman’s performance relative to one or more performance objectives established by Mr. Hoffman, our compensation committee and our board of directors, the achievement of which is evaluated by us. The Hoffman Employment Agreement provided for the grant of a time-based stock option to purchase up to 754,055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Mr. Hoffman’s employment is at will and may be terminated at any time, with or without cause. However, pursuant to the terms of the Hoffman Employment Agreement,</w:t>
      </w:r>
    </w:p>
    <w:p>
      <w:pPr>
        <w:spacing w:after="0" w:line="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Mr. Hoffman will be entitled to severance benefits upon a qualifying termination of employment as described in “—Potential Payments upon IPO, Termination or Change in Control” below.</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 Londei’s Employment Agreement</w:t>
      </w:r>
    </w:p>
    <w:p>
      <w:pPr>
        <w:spacing w:after="0" w:line="119"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Pursuant to an employment agreement effective as of October 20, 2014, or the Londei Employment Agreement, Dr. Londei serves as our Chief Development Officer. The Londei Employment Agreement sets forth the principal terms and conditions of his employment, including his initial annual base salary of $350,000 and an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449" w:right="2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annual target cash bonus opportunity of 25% of his base salary, which bonus is earned based on our achievement of specified milestones and performance objectives, as well as Dr. Londei’s performance relative to one or more performance objectives established by Dr. Londei, our compensation committee and our board of directors, the achievement of which is evaluated by us. On August 14, 2015, our board of directors increased Mr. Londei’s annual base salary to $375,000, effective as of August 1, 2015. Likewise, the Londei Employment Agreement provides for additional discretionary performance-based bonuses. The Londei Employment Agreement provides for the grant of a time-based stock option to purchase 1,126,756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Dr. Londei’s employment is at will and may be terminated at any time, with or without cause. However, pursuant to the terms of the Londei Employment Agreement, Dr. Londei will be entitled to severance benefits upon a qualifying termination of employment as described in “—Potential Payments upon IPO, Termination or Change in Control” below.</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for each of the named executive officers, information regarding expected outstanding stock options held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2015.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Option Awards</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6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80" w:type="dxa"/>
            <w:vAlign w:val="bottom"/>
            <w:gridSpan w:val="2"/>
          </w:tcPr>
          <w:p>
            <w:pPr>
              <w:jc w:val="center"/>
              <w:ind w:right="440"/>
              <w:spacing w:after="0" w:line="115" w:lineRule="exact"/>
              <w:rPr>
                <w:sz w:val="20"/>
                <w:szCs w:val="20"/>
                <w:color w:val="auto"/>
              </w:rPr>
            </w:pPr>
            <w:r>
              <w:rPr>
                <w:rFonts w:ascii="Arial" w:cs="Arial" w:eastAsia="Arial" w:hAnsi="Arial"/>
                <w:sz w:val="13"/>
                <w:szCs w:val="13"/>
                <w:b w:val="1"/>
                <w:bCs w:val="1"/>
                <w:color w:val="auto"/>
                <w:w w:val="98"/>
              </w:rPr>
              <w:t>Number of</w:t>
            </w:r>
          </w:p>
        </w:tc>
        <w:tc>
          <w:tcPr>
            <w:tcW w:w="11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8"/>
              </w:rPr>
              <w:t>Number of</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420"/>
              <w:spacing w:after="0" w:line="144" w:lineRule="exact"/>
              <w:rPr>
                <w:sz w:val="20"/>
                <w:szCs w:val="20"/>
                <w:color w:val="auto"/>
              </w:rPr>
            </w:pPr>
            <w:r>
              <w:rPr>
                <w:rFonts w:ascii="Arial" w:cs="Arial" w:eastAsia="Arial" w:hAnsi="Arial"/>
                <w:sz w:val="14"/>
                <w:szCs w:val="14"/>
                <w:b w:val="1"/>
                <w:bCs w:val="1"/>
                <w:color w:val="auto"/>
                <w:w w:val="86"/>
              </w:rPr>
              <w:t>Securities</w:t>
            </w:r>
          </w:p>
        </w:tc>
        <w:tc>
          <w:tcPr>
            <w:tcW w:w="114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02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92"/>
              </w:rPr>
              <w:t>Underlying</w:t>
            </w:r>
          </w:p>
        </w:tc>
        <w:tc>
          <w:tcPr>
            <w:tcW w:w="114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86"/>
              </w:rPr>
              <w:t>Unexercised</w:t>
            </w:r>
          </w:p>
        </w:tc>
        <w:tc>
          <w:tcPr>
            <w:tcW w:w="114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6"/>
              </w:rPr>
              <w:t>Unexercised</w:t>
            </w:r>
          </w:p>
        </w:tc>
        <w:tc>
          <w:tcPr>
            <w:tcW w:w="220" w:type="dxa"/>
            <w:vAlign w:val="bottom"/>
          </w:tcPr>
          <w:p>
            <w:pPr>
              <w:spacing w:after="0"/>
              <w:rPr>
                <w:sz w:val="12"/>
                <w:szCs w:val="12"/>
                <w:color w:val="auto"/>
              </w:rPr>
            </w:pPr>
          </w:p>
        </w:tc>
        <w:tc>
          <w:tcPr>
            <w:tcW w:w="1020" w:type="dxa"/>
            <w:vAlign w:val="bottom"/>
            <w:gridSpan w:val="3"/>
          </w:tcPr>
          <w:p>
            <w:pPr>
              <w:jc w:val="center"/>
              <w:ind w:right="440"/>
              <w:spacing w:after="0" w:line="144" w:lineRule="exact"/>
              <w:rPr>
                <w:sz w:val="20"/>
                <w:szCs w:val="20"/>
                <w:color w:val="auto"/>
              </w:rPr>
            </w:pPr>
            <w:r>
              <w:rPr>
                <w:rFonts w:ascii="Arial" w:cs="Arial" w:eastAsia="Arial" w:hAnsi="Arial"/>
                <w:sz w:val="14"/>
                <w:szCs w:val="14"/>
                <w:b w:val="1"/>
                <w:bCs w:val="1"/>
                <w:color w:val="auto"/>
                <w:w w:val="86"/>
              </w:rPr>
              <w:t>Exercise</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780" w:type="dxa"/>
            <w:vAlign w:val="bottom"/>
            <w:vMerge w:val="restart"/>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Grant Date</w:t>
            </w:r>
            <w:r>
              <w:rPr>
                <w:rFonts w:ascii="Arial" w:cs="Arial" w:eastAsia="Arial" w:hAnsi="Arial"/>
                <w:sz w:val="11"/>
                <w:szCs w:val="11"/>
                <w:b w:val="1"/>
                <w:bCs w:val="1"/>
                <w:color w:val="auto"/>
                <w:w w:val="94"/>
              </w:rPr>
              <w:t>(1)</w:t>
            </w:r>
          </w:p>
        </w:tc>
        <w:tc>
          <w:tcPr>
            <w:tcW w:w="340" w:type="dxa"/>
            <w:vAlign w:val="bottom"/>
            <w:vMerge w:val="restart"/>
          </w:tcPr>
          <w:p>
            <w:pPr>
              <w:spacing w:after="0"/>
              <w:rPr>
                <w:sz w:val="12"/>
                <w:szCs w:val="12"/>
                <w:color w:val="auto"/>
              </w:rPr>
            </w:pPr>
          </w:p>
        </w:tc>
        <w:tc>
          <w:tcPr>
            <w:tcW w:w="128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91"/>
              </w:rPr>
              <w:t>Options (#)</w:t>
            </w:r>
          </w:p>
        </w:tc>
        <w:tc>
          <w:tcPr>
            <w:tcW w:w="114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560"/>
              <w:spacing w:after="0" w:line="144" w:lineRule="exact"/>
              <w:rPr>
                <w:sz w:val="20"/>
                <w:szCs w:val="20"/>
                <w:color w:val="auto"/>
              </w:rPr>
            </w:pPr>
            <w:r>
              <w:rPr>
                <w:rFonts w:ascii="Arial" w:cs="Arial" w:eastAsia="Arial" w:hAnsi="Arial"/>
                <w:sz w:val="14"/>
                <w:szCs w:val="14"/>
                <w:b w:val="1"/>
                <w:bCs w:val="1"/>
                <w:color w:val="auto"/>
                <w:w w:val="93"/>
              </w:rPr>
              <w:t>Price</w:t>
            </w: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478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4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Unexercisable</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Hamza Suria</w:t>
            </w:r>
            <w:r>
              <w:rPr>
                <w:rFonts w:ascii="Arial" w:cs="Arial" w:eastAsia="Arial" w:hAnsi="Arial"/>
                <w:sz w:val="14"/>
                <w:szCs w:val="14"/>
                <w:color w:val="auto"/>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Dec. 9, 2008</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157,000</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Dec. 8, 2018</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Feb. 10, 2010</w:t>
            </w: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10,000</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0.32</w:t>
            </w:r>
          </w:p>
        </w:tc>
        <w:tc>
          <w:tcPr>
            <w:tcW w:w="1160" w:type="dxa"/>
            <w:vAlign w:val="bottom"/>
          </w:tcPr>
          <w:p>
            <w:pPr>
              <w:jc w:val="center"/>
              <w:spacing w:after="0"/>
              <w:rPr>
                <w:sz w:val="20"/>
                <w:szCs w:val="20"/>
                <w:color w:val="auto"/>
              </w:rPr>
            </w:pPr>
            <w:r>
              <w:rPr>
                <w:rFonts w:ascii="Arial" w:cs="Arial" w:eastAsia="Arial" w:hAnsi="Arial"/>
                <w:sz w:val="17"/>
                <w:szCs w:val="17"/>
                <w:color w:val="auto"/>
                <w:w w:val="92"/>
              </w:rPr>
              <w:t>Feb. 9, 2020</w:t>
            </w: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w w:val="91"/>
              </w:rPr>
              <w:t>Feb. 24, 2011</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43,457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0.23</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Feb. 23, 2021</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Dec. 9, 2011</w:t>
            </w: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986,642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0.16</w:t>
            </w: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Dec. 8, 2021</w:t>
            </w: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w w:val="92"/>
              </w:rPr>
              <w:t>Feb. 1, 2012</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684,056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0.16</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Jan. 31, 2022</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color w:val="auto"/>
                <w:w w:val="92"/>
              </w:rPr>
              <w:t>Feb. 1, 2012</w:t>
            </w: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513,042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0.16</w:t>
            </w:r>
          </w:p>
        </w:tc>
        <w:tc>
          <w:tcPr>
            <w:tcW w:w="1160" w:type="dxa"/>
            <w:vAlign w:val="bottom"/>
          </w:tcPr>
          <w:p>
            <w:pPr>
              <w:jc w:val="center"/>
              <w:spacing w:after="0"/>
              <w:rPr>
                <w:sz w:val="20"/>
                <w:szCs w:val="20"/>
                <w:color w:val="auto"/>
              </w:rPr>
            </w:pPr>
            <w:r>
              <w:rPr>
                <w:rFonts w:ascii="Arial" w:cs="Arial" w:eastAsia="Arial" w:hAnsi="Arial"/>
                <w:sz w:val="17"/>
                <w:szCs w:val="17"/>
                <w:color w:val="auto"/>
                <w:w w:val="89"/>
              </w:rPr>
              <w:t>Jan. 31, 2022</w:t>
            </w: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92"/>
              </w:rPr>
              <w:t>Dec. 17, 2012</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135,978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0.13</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Dec. 16, 2022</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color w:val="auto"/>
                <w:w w:val="90"/>
              </w:rPr>
              <w:t>Sep. 16, 2014</w:t>
            </w: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362,880</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0.10</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Sep. 15, 2024</w:t>
            </w: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w w:val="94"/>
              </w:rPr>
              <w:t>Aug. 14, 2015</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1,861,499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0.99</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Aug. 13, 2025</w:t>
            </w:r>
          </w:p>
        </w:tc>
        <w:tc>
          <w:tcPr>
            <w:tcW w:w="0" w:type="dxa"/>
            <w:vAlign w:val="bottom"/>
          </w:tcPr>
          <w:p>
            <w:pPr>
              <w:spacing w:after="0"/>
              <w:rPr>
                <w:sz w:val="1"/>
                <w:szCs w:val="1"/>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7"/>
                <w:szCs w:val="17"/>
                <w:color w:val="auto"/>
              </w:rPr>
              <w:t>Robert E. Hoffman</w:t>
            </w:r>
            <w:r>
              <w:rPr>
                <w:rFonts w:ascii="Arial" w:cs="Arial" w:eastAsia="Arial" w:hAnsi="Arial"/>
                <w:sz w:val="14"/>
                <w:szCs w:val="14"/>
                <w:color w:val="auto"/>
              </w:rPr>
              <w:t>(3)</w:t>
            </w: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color w:val="auto"/>
                <w:w w:val="94"/>
              </w:rPr>
              <w:t>Aug. 14, 2015</w:t>
            </w: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432,032</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0.99</w:t>
            </w:r>
          </w:p>
        </w:tc>
        <w:tc>
          <w:tcPr>
            <w:tcW w:w="1160" w:type="dxa"/>
            <w:vAlign w:val="bottom"/>
          </w:tcPr>
          <w:p>
            <w:pPr>
              <w:jc w:val="center"/>
              <w:spacing w:after="0"/>
              <w:rPr>
                <w:sz w:val="20"/>
                <w:szCs w:val="20"/>
                <w:color w:val="auto"/>
              </w:rPr>
            </w:pPr>
            <w:r>
              <w:rPr>
                <w:rFonts w:ascii="Arial" w:cs="Arial" w:eastAsia="Arial" w:hAnsi="Arial"/>
                <w:sz w:val="17"/>
                <w:szCs w:val="17"/>
                <w:color w:val="auto"/>
                <w:w w:val="94"/>
              </w:rPr>
              <w:t>Aug. 13, 2025</w:t>
            </w: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w w:val="94"/>
              </w:rPr>
              <w:t>Aug. 14, 2015</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754,055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0.99</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Aug. 13, 2025</w:t>
            </w:r>
          </w:p>
        </w:tc>
        <w:tc>
          <w:tcPr>
            <w:tcW w:w="0" w:type="dxa"/>
            <w:vAlign w:val="bottom"/>
          </w:tcPr>
          <w:p>
            <w:pPr>
              <w:spacing w:after="0"/>
              <w:rPr>
                <w:sz w:val="1"/>
                <w:szCs w:val="1"/>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7"/>
                <w:szCs w:val="17"/>
                <w:color w:val="auto"/>
              </w:rPr>
              <w:t>Marco Londei, M.D.</w:t>
            </w:r>
            <w:r>
              <w:rPr>
                <w:rFonts w:ascii="Arial" w:cs="Arial" w:eastAsia="Arial" w:hAnsi="Arial"/>
                <w:sz w:val="14"/>
                <w:szCs w:val="14"/>
                <w:color w:val="auto"/>
              </w:rPr>
              <w:t>(4)</w:t>
            </w: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color w:val="auto"/>
                <w:w w:val="94"/>
              </w:rPr>
              <w:t>Oct. 28, 2014</w:t>
            </w:r>
          </w:p>
        </w:tc>
        <w:tc>
          <w:tcPr>
            <w:tcW w:w="840" w:type="dxa"/>
            <w:vAlign w:val="bottom"/>
          </w:tcPr>
          <w:p>
            <w:pPr>
              <w:jc w:val="right"/>
              <w:spacing w:after="0"/>
              <w:rPr>
                <w:sz w:val="20"/>
                <w:szCs w:val="20"/>
                <w:color w:val="auto"/>
              </w:rPr>
            </w:pPr>
            <w:r>
              <w:rPr>
                <w:rFonts w:ascii="Arial" w:cs="Arial" w:eastAsia="Arial" w:hAnsi="Arial"/>
                <w:sz w:val="17"/>
                <w:szCs w:val="17"/>
                <w:color w:val="auto"/>
              </w:rPr>
              <w:t>1,126,756</w:t>
            </w:r>
          </w:p>
        </w:tc>
        <w:tc>
          <w:tcPr>
            <w:tcW w:w="4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0.10</w:t>
            </w:r>
          </w:p>
        </w:tc>
        <w:tc>
          <w:tcPr>
            <w:tcW w:w="1160" w:type="dxa"/>
            <w:vAlign w:val="bottom"/>
          </w:tcPr>
          <w:p>
            <w:pPr>
              <w:jc w:val="center"/>
              <w:spacing w:after="0"/>
              <w:rPr>
                <w:sz w:val="20"/>
                <w:szCs w:val="20"/>
                <w:color w:val="auto"/>
              </w:rPr>
            </w:pPr>
            <w:r>
              <w:rPr>
                <w:rFonts w:ascii="Arial" w:cs="Arial" w:eastAsia="Arial" w:hAnsi="Arial"/>
                <w:sz w:val="17"/>
                <w:szCs w:val="17"/>
                <w:color w:val="auto"/>
                <w:w w:val="94"/>
              </w:rPr>
              <w:t>Oct. 27, 2024</w:t>
            </w: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w w:val="94"/>
              </w:rPr>
              <w:t>Aug. 14, 2015</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645,570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0.99</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Aug. 13,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32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51" w:lineRule="exact"/>
        <w:rPr>
          <w:sz w:val="20"/>
          <w:szCs w:val="20"/>
          <w:color w:val="auto"/>
        </w:rPr>
      </w:pPr>
    </w:p>
    <w:p>
      <w:pPr>
        <w:ind w:left="460" w:hanging="455"/>
        <w:spacing w:after="0" w:line="260"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ind w:left="460" w:right="60" w:hanging="455"/>
        <w:spacing w:after="0" w:line="260"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These options are early-exercisable, except for the options granted on August 14, 2015. The options vest as to their underlying shares as follows: (i) the shares underlying the options granted on December 9, 2008, February 10, 2010, and February 24, 2011 have fully vested; (ii) of the 986,642 shares underlying the option granted on December 9, 2011, 1/4 vested on December 9, 2012, and thereafter, 1/48 vest on the ninth day of each succeeding calendar month, starting January 9, 2013,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 (iii) of the 684,056 shares underlying an option granted on February 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449" w:right="23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line="294" w:lineRule="auto"/>
        <w:rPr>
          <w:sz w:val="20"/>
          <w:szCs w:val="20"/>
          <w:color w:val="auto"/>
        </w:rPr>
      </w:pPr>
      <w:r>
        <w:rPr>
          <w:rFonts w:ascii="Arial" w:cs="Arial" w:eastAsia="Arial" w:hAnsi="Arial"/>
          <w:sz w:val="15"/>
          <w:szCs w:val="15"/>
          <w:color w:val="auto"/>
        </w:rPr>
        <w:t>2012, all vest only upon a Change in Control (as defined in the 2006 Equity Incentive Plan) or Qualified IPO (as defined in our restated certificate of incorporation) that is approved by our board of directors, subject to Mr. Suria’s employment on such date; (iv) of the 513,042 shares underlying the option granted on February 1, 2012, 1/4 vested on January 1, 2013, and thereafter, 1/48 vest on the first day of each succeeding calendar month, starting February 1, 2013,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 (v) of the</w:t>
      </w:r>
    </w:p>
    <w:p>
      <w:pPr>
        <w:spacing w:after="0" w:line="3" w:lineRule="exact"/>
        <w:rPr>
          <w:sz w:val="20"/>
          <w:szCs w:val="20"/>
          <w:color w:val="auto"/>
        </w:rPr>
      </w:pPr>
    </w:p>
    <w:p>
      <w:pPr>
        <w:jc w:val="both"/>
        <w:ind w:left="460" w:right="140"/>
        <w:spacing w:after="0" w:line="291" w:lineRule="auto"/>
        <w:rPr>
          <w:sz w:val="20"/>
          <w:szCs w:val="20"/>
          <w:color w:val="auto"/>
        </w:rPr>
      </w:pPr>
      <w:r>
        <w:rPr>
          <w:rFonts w:ascii="Arial" w:cs="Arial" w:eastAsia="Arial" w:hAnsi="Arial"/>
          <w:sz w:val="15"/>
          <w:szCs w:val="15"/>
          <w:color w:val="auto"/>
        </w:rPr>
        <w:t>135,978 shares underlying the option granted on December 17, 2012, 1/4 vested on December 17, 2013, and thereafter, 1/48 vest on the seventeenth day of each succeeding calendar month, starting January 17, 2014; (vi) of the 362,880 shares underlying the option granted on September 16, 2014, 1/4 vested on September 16, 2015, and thereafter 1/48 vest on the sixteenth day of each succeeding calendar month, starting October 16 2015; and (vii) of the</w:t>
      </w:r>
    </w:p>
    <w:p>
      <w:pPr>
        <w:spacing w:after="0" w:line="1" w:lineRule="exact"/>
        <w:rPr>
          <w:sz w:val="20"/>
          <w:szCs w:val="20"/>
          <w:color w:val="auto"/>
        </w:rPr>
      </w:pPr>
    </w:p>
    <w:p>
      <w:pPr>
        <w:ind w:left="460" w:right="140"/>
        <w:spacing w:after="0" w:line="257" w:lineRule="auto"/>
        <w:rPr>
          <w:sz w:val="20"/>
          <w:szCs w:val="20"/>
          <w:color w:val="auto"/>
        </w:rPr>
      </w:pPr>
      <w:r>
        <w:rPr>
          <w:rFonts w:ascii="Arial" w:cs="Arial" w:eastAsia="Arial" w:hAnsi="Arial"/>
          <w:sz w:val="17"/>
          <w:szCs w:val="17"/>
          <w:color w:val="auto"/>
        </w:rPr>
        <w:t>1,861,499 shares underlying the option granted on August 14, 2015, 1/4 vest on August 13, 2016, and 1/48 vest on the thirteenth day of each succeeding calendar month, starting September 13, 2016,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1" w:lineRule="exact"/>
        <w:rPr>
          <w:sz w:val="20"/>
          <w:szCs w:val="20"/>
          <w:color w:val="auto"/>
        </w:rPr>
      </w:pPr>
    </w:p>
    <w:p>
      <w:pPr>
        <w:ind w:left="460" w:right="60" w:hanging="455"/>
        <w:spacing w:after="0" w:line="257"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These options are not early-exercisable. The options vest as to their underlying shares as follows: (i) of the 432,032 shares underlying the option granted on August 14, 2015, 1/4 vest on August 13, 2016, and 1/48 vest on the thirteenth day of each succeeding calendar month, starting September 13, 2016; (ii) of the 754,055 shares underlying the option granted on August 14, 2015, 1/4 vest on July 13, 2016, and 1/48 vest on the thirteenth day of each succeeding calendar month, starting August 13, 2016, provided that if Mr. Hoffman is terminated without Cause or resigns for Good Reason (as each is defined in his employment agreement) in connection with a Change in Control (as defined in the 2006 Equity Incentive Plan), then all of the shares underlying the options shall vest at that time.</w:t>
      </w:r>
    </w:p>
    <w:p>
      <w:pPr>
        <w:spacing w:after="0" w:line="1" w:lineRule="exact"/>
        <w:rPr>
          <w:rFonts w:ascii="Arial" w:cs="Arial" w:eastAsia="Arial" w:hAnsi="Arial"/>
          <w:sz w:val="17"/>
          <w:szCs w:val="17"/>
          <w:color w:val="auto"/>
        </w:rPr>
      </w:pPr>
    </w:p>
    <w:p>
      <w:pPr>
        <w:ind w:left="460" w:right="20" w:hanging="455"/>
        <w:spacing w:after="0" w:line="278"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 (i) of the 1,126,756 shares underlying the option granted on October 28, 2014, 1/4 of the shares vested on October 24, 2015, and thereafter, 1/48 vest on the 24th day of each succeeding calendar month, starting November 24, 2015, provided that if Dr. Londei is terminated without Cause or resigns for Good Reason (as each is defined in his employment agreement) in connection with a Change in Control (as defined in the 2006 Equity Incentive Plan), then all of the shares underlying the option shall vest at that time; and (ii) of the 645,570 shares underlying the option granted on August 14, 2015, 1/4 vest on August 13, 2016, and 1/48 vest on the thirteenth day of each succeeding calendar month, starting September 13, 2016, provided that if Mr. Londei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IPO, Termination or Change in Control</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IPO</w:t>
      </w:r>
    </w:p>
    <w:p>
      <w:pPr>
        <w:spacing w:after="0" w:line="119" w:lineRule="exact"/>
        <w:rPr>
          <w:sz w:val="20"/>
          <w:szCs w:val="20"/>
          <w:color w:val="auto"/>
        </w:rPr>
      </w:pPr>
    </w:p>
    <w:p>
      <w:pPr>
        <w:jc w:val="both"/>
        <w:ind w:right="280" w:firstLine="457"/>
        <w:spacing w:after="0" w:line="273" w:lineRule="auto"/>
        <w:rPr>
          <w:sz w:val="20"/>
          <w:szCs w:val="20"/>
          <w:color w:val="auto"/>
        </w:rPr>
      </w:pPr>
      <w:r>
        <w:rPr>
          <w:rFonts w:ascii="Arial" w:cs="Arial" w:eastAsia="Arial" w:hAnsi="Arial"/>
          <w:sz w:val="17"/>
          <w:szCs w:val="17"/>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w:t>
      </w:r>
    </w:p>
    <w:p>
      <w:pPr>
        <w:spacing w:after="0" w:line="119"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Pursuant to the Suria Employment Agreement, the Hoffman Employment Agreement and the Londei Employment Agreement, in the event that Mr. Suria, Mr. Hoffman or Dr. Londei is terminated without “Cause” or resigns for “Good Reason” (each as defined in the applicable employment agreement), provided that each delivers a signed settlement and general release in favor of us and satisfies all conditions to make such release effective, (i) each will receive continued severance payments for 12 months, nine months and nine months,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20"/>
          </w:cols>
          <w:pgMar w:left="240" w:top="449" w:right="23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respectively and (ii) and if each elects continuation coverage under the Consolidated Omnibus Budget Reconciliation Act of 1985, or COBRA, we will pay directly to the insurance provider of our group health plans, the monthly premium for such continuation coverage, for 12 months, nine months and nine months, respectively, or such earlier date on which coverage with a new employer is obtained.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Control</w:t>
      </w:r>
    </w:p>
    <w:p>
      <w:pPr>
        <w:spacing w:after="0" w:line="119"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 control, and provided that Mr. Suria delivers a signed settlement and general release in favor of us and satisfies all conditions to make such release effective, (i) Mr. Suria will receive the continued severance payments and COBRA premiums described above for 12 months and (ii) certain of his currently outstanding stock options will vest in full as described in more detail in “—Outstanding Equity Awards at Fiscal Year-End Table” above.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Mr. Suria’s option granted on February 1, 2012, will vest in full upon a change in control, subject to Mr. Suria’s employment on such date.</w:t>
      </w:r>
    </w:p>
    <w:p>
      <w:pPr>
        <w:spacing w:after="0" w:line="235"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Pursuant to the Hoffman Employment Agreement, if we experience a change in control and Mr. Hoffman is terminated without “cause” or resigns for “good reason” (each as defined in the employment agreement or applicable option agreement) upon the occurrence of, or within 13 months following, such change in control, and provided that Mr. Hoffman delivers a signed settlement and general release in favor of us and satisfies all conditions to make such release effective,</w:t>
      </w:r>
    </w:p>
    <w:p>
      <w:pPr>
        <w:spacing w:after="0" w:line="1" w:lineRule="exact"/>
        <w:rPr>
          <w:sz w:val="20"/>
          <w:szCs w:val="20"/>
          <w:color w:val="auto"/>
        </w:rPr>
      </w:pPr>
    </w:p>
    <w:p>
      <w:pPr>
        <w:ind w:right="420" w:firstLine="5"/>
        <w:spacing w:after="0" w:line="274" w:lineRule="auto"/>
        <w:tabs>
          <w:tab w:leader="none" w:pos="208" w:val="left"/>
        </w:tabs>
        <w:numPr>
          <w:ilvl w:val="0"/>
          <w:numId w:val="93"/>
        </w:numPr>
        <w:rPr>
          <w:rFonts w:ascii="Arial" w:cs="Arial" w:eastAsia="Arial" w:hAnsi="Arial"/>
          <w:sz w:val="17"/>
          <w:szCs w:val="17"/>
          <w:color w:val="auto"/>
        </w:rPr>
      </w:pPr>
      <w:r>
        <w:rPr>
          <w:rFonts w:ascii="Arial" w:cs="Arial" w:eastAsia="Arial" w:hAnsi="Arial"/>
          <w:sz w:val="17"/>
          <w:szCs w:val="17"/>
          <w:color w:val="auto"/>
        </w:rPr>
        <w:t>Mr. Hoffman will receive the severance payments and COBRA premiums described above for nine months and (ii) each of his currently outstanding stock options will vest in full.</w:t>
      </w:r>
    </w:p>
    <w:p>
      <w:pPr>
        <w:spacing w:after="0" w:line="170" w:lineRule="exact"/>
        <w:rPr>
          <w:sz w:val="20"/>
          <w:szCs w:val="20"/>
          <w:color w:val="auto"/>
        </w:rPr>
      </w:pPr>
    </w:p>
    <w:p>
      <w:pPr>
        <w:jc w:val="both"/>
        <w:ind w:right="340" w:firstLine="457"/>
        <w:spacing w:after="0" w:line="297" w:lineRule="auto"/>
        <w:rPr>
          <w:sz w:val="20"/>
          <w:szCs w:val="20"/>
          <w:color w:val="auto"/>
        </w:rPr>
      </w:pPr>
      <w:r>
        <w:rPr>
          <w:rFonts w:ascii="Arial" w:cs="Arial" w:eastAsia="Arial" w:hAnsi="Arial"/>
          <w:sz w:val="15"/>
          <w:szCs w:val="15"/>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w:t>
      </w:r>
    </w:p>
    <w:p>
      <w:pPr>
        <w:ind w:right="40" w:firstLine="5"/>
        <w:spacing w:after="0" w:line="274" w:lineRule="auto"/>
        <w:tabs>
          <w:tab w:leader="none" w:pos="208" w:val="left"/>
        </w:tabs>
        <w:numPr>
          <w:ilvl w:val="0"/>
          <w:numId w:val="94"/>
        </w:numPr>
        <w:rPr>
          <w:rFonts w:ascii="Arial" w:cs="Arial" w:eastAsia="Arial" w:hAnsi="Arial"/>
          <w:sz w:val="17"/>
          <w:szCs w:val="17"/>
          <w:color w:val="auto"/>
        </w:rPr>
      </w:pPr>
      <w:r>
        <w:rPr>
          <w:rFonts w:ascii="Arial" w:cs="Arial" w:eastAsia="Arial" w:hAnsi="Arial"/>
          <w:sz w:val="17"/>
          <w:szCs w:val="17"/>
          <w:color w:val="auto"/>
        </w:rPr>
        <w:t>Dr. Londei will receive the severance payments and COBRA premiums described above for nine months and (ii) each of his currently outstanding stock options will vest in full.</w:t>
      </w:r>
    </w:p>
    <w:p>
      <w:pPr>
        <w:spacing w:after="0" w:line="17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Each employment agreement contains a “better after-tax” provision, which provides that if any of the payments to Mr. Suria, Mr. Hoffman or Dr. Londei,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and Stock Plans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2006 Equity Incentive Plan</w:t>
      </w:r>
    </w:p>
    <w:p>
      <w:pPr>
        <w:spacing w:after="0" w:line="119"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Our 2006 Equity Incentive Plan was adopted by our board of directors on April 24, 2006 and approved by our stockholders on May 26, 2006, and was most recently amended by our board of directors on July 11, 2014 and approved by our stockholders on April 29, 2015.</w:t>
      </w:r>
    </w:p>
    <w:p>
      <w:pPr>
        <w:spacing w:after="0" w:line="158" w:lineRule="exact"/>
        <w:rPr>
          <w:sz w:val="20"/>
          <w:szCs w:val="20"/>
          <w:color w:val="auto"/>
        </w:rPr>
      </w:pPr>
    </w:p>
    <w:p>
      <w:pPr>
        <w:ind w:right="320" w:firstLine="457"/>
        <w:spacing w:after="0" w:line="289" w:lineRule="auto"/>
        <w:rPr>
          <w:sz w:val="20"/>
          <w:szCs w:val="20"/>
          <w:color w:val="auto"/>
        </w:rPr>
      </w:pPr>
      <w:r>
        <w:rPr>
          <w:rFonts w:ascii="Arial" w:cs="Arial" w:eastAsia="Arial" w:hAnsi="Arial"/>
          <w:sz w:val="16"/>
          <w:szCs w:val="16"/>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20"/>
          </w:cols>
          <w:pgMar w:left="240" w:top="449" w:right="2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0" w:firstLine="457"/>
        <w:spacing w:after="0" w:line="308" w:lineRule="auto"/>
        <w:rPr>
          <w:sz w:val="20"/>
          <w:szCs w:val="20"/>
          <w:color w:val="auto"/>
        </w:rPr>
      </w:pPr>
      <w:r>
        <w:rPr>
          <w:rFonts w:ascii="Arial" w:cs="Arial" w:eastAsia="Arial" w:hAnsi="Arial"/>
          <w:sz w:val="15"/>
          <w:szCs w:val="15"/>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50"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78" w:lineRule="exact"/>
        <w:rPr>
          <w:sz w:val="20"/>
          <w:szCs w:val="20"/>
          <w:color w:val="auto"/>
        </w:rPr>
      </w:pPr>
    </w:p>
    <w:p>
      <w:pPr>
        <w:ind w:right="100" w:firstLine="457"/>
        <w:spacing w:after="0" w:line="283" w:lineRule="auto"/>
        <w:rPr>
          <w:sz w:val="20"/>
          <w:szCs w:val="20"/>
          <w:color w:val="auto"/>
        </w:rPr>
      </w:pPr>
      <w:r>
        <w:rPr>
          <w:rFonts w:ascii="Arial" w:cs="Arial" w:eastAsia="Arial" w:hAnsi="Arial"/>
          <w:sz w:val="16"/>
          <w:szCs w:val="16"/>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65" w:lineRule="exact"/>
        <w:rPr>
          <w:sz w:val="20"/>
          <w:szCs w:val="20"/>
          <w:color w:val="auto"/>
        </w:rPr>
      </w:pPr>
    </w:p>
    <w:p>
      <w:pPr>
        <w:ind w:right="80" w:firstLine="457"/>
        <w:spacing w:after="0" w:line="283" w:lineRule="auto"/>
        <w:rPr>
          <w:sz w:val="20"/>
          <w:szCs w:val="20"/>
          <w:color w:val="auto"/>
        </w:rPr>
      </w:pPr>
      <w:r>
        <w:rPr>
          <w:rFonts w:ascii="Arial" w:cs="Arial" w:eastAsia="Arial" w:hAnsi="Arial"/>
          <w:sz w:val="16"/>
          <w:szCs w:val="16"/>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6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As of September 30, 2015, we had reserved 18,871,272 shares of our common stock for issuance under our 2006 Equity Incentive Plan. As of September 30, 2015, options to purchase 2,366,273 of these shares had been exercised, options to purchase 13,563,272 of these shares remained outstanding and 3,191,727 of these shares remained available for grant. The options outstanding as of September 30, 2015 had a weighted-average exercise price of $0.51 per share. We will cease issuing awards under our 2006 Equity Incentive Plan upon the effective date of our 2016 Equity Incentive Plan. Our 2016 Equity Incentive Plan will be effective on the date immediately prior to the date of this prospectus. As a result, we will not grant any additional options under the 2006 Equity Incentive Plan following that date, and the 2006 Equity Incentive Plan will be terminated at that time.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Equity Incentive Plan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a 2016 Equity Incentive Plan that will become effective on the date immediately prior to the date of this prospectus and will serve as the</w:t>
      </w:r>
    </w:p>
    <w:p>
      <w:pPr>
        <w:spacing w:after="0" w:line="38"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successor to our 2006 Equity Incentive Plan. We reserved shares of our common stock to be issued under our 2016 Equity Incentive Plan. The number of shares reserved for issuance under our 2016 Equity Incentive Plan will increase automatically on January 1 of each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449" w:right="23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2017 through 2026 by the number of shares equal to %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2016 Equity Incentive Plan:</w:t>
      </w:r>
    </w:p>
    <w:p>
      <w:pPr>
        <w:spacing w:after="0" w:line="79" w:lineRule="exact"/>
        <w:rPr>
          <w:sz w:val="20"/>
          <w:szCs w:val="20"/>
          <w:color w:val="auto"/>
        </w:rPr>
      </w:pPr>
    </w:p>
    <w:p>
      <w:pPr>
        <w:ind w:left="900" w:right="460" w:hanging="332"/>
        <w:spacing w:after="0" w:line="289"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shares subject to options or stock appreciation rights granted under our 2016 Equity Incentive Plan that cease to be subject to the option or stock appreciation right for any reason other than exercise of the option or stock appreciation right;</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shares subject to awards granted under our 2016 Equity Incentive Plan that are subsequently forfeited or repurchased by us at the original issue price;</w:t>
      </w:r>
    </w:p>
    <w:p>
      <w:pPr>
        <w:spacing w:after="0" w:line="154" w:lineRule="exact"/>
        <w:rPr>
          <w:rFonts w:ascii="Arial" w:cs="Arial" w:eastAsia="Arial" w:hAnsi="Arial"/>
          <w:sz w:val="15"/>
          <w:szCs w:val="15"/>
          <w:color w:val="auto"/>
        </w:rPr>
      </w:pPr>
    </w:p>
    <w:p>
      <w:pPr>
        <w:ind w:left="900" w:hanging="332"/>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shares subject to awards granted under our 2016 Equity Incentive Plan that otherwise terminate without shares being issued;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shares surrendered, cancelled or exchanged for cash or a different award (or combination thereof);</w:t>
      </w:r>
    </w:p>
    <w:p>
      <w:pPr>
        <w:spacing w:after="0" w:line="131" w:lineRule="exact"/>
        <w:rPr>
          <w:rFonts w:ascii="Arial" w:cs="Arial" w:eastAsia="Arial" w:hAnsi="Arial"/>
          <w:sz w:val="17"/>
          <w:szCs w:val="17"/>
          <w:color w:val="auto"/>
        </w:rPr>
      </w:pPr>
    </w:p>
    <w:p>
      <w:pPr>
        <w:ind w:left="900" w:right="200" w:hanging="332"/>
        <w:spacing w:after="0" w:line="289"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shares of common stock reserved but not issued or subject to outstanding grants under our 2006 Equity Incentive Plan on the date of this prospectus will be available for grant and issuance under our 2016 Equity Incentive Plan;</w:t>
      </w:r>
    </w:p>
    <w:p>
      <w:pPr>
        <w:spacing w:after="0" w:line="66" w:lineRule="exact"/>
        <w:rPr>
          <w:rFonts w:ascii="Arial" w:cs="Arial" w:eastAsia="Arial" w:hAnsi="Arial"/>
          <w:sz w:val="17"/>
          <w:szCs w:val="17"/>
          <w:color w:val="auto"/>
        </w:rPr>
      </w:pPr>
    </w:p>
    <w:p>
      <w:pPr>
        <w:ind w:left="900" w:right="60" w:hanging="332"/>
        <w:spacing w:after="0" w:line="273"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2016 Equity Incentive Plan;</w:t>
      </w:r>
    </w:p>
    <w:p>
      <w:pPr>
        <w:spacing w:after="0" w:line="79" w:lineRule="exact"/>
        <w:rPr>
          <w:rFonts w:ascii="Arial" w:cs="Arial" w:eastAsia="Arial" w:hAnsi="Arial"/>
          <w:sz w:val="17"/>
          <w:szCs w:val="17"/>
          <w:color w:val="auto"/>
        </w:rPr>
      </w:pPr>
    </w:p>
    <w:p>
      <w:pPr>
        <w:ind w:left="900" w:right="240" w:hanging="332"/>
        <w:spacing w:after="0" w:line="289"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shares of common stock issued under our 2006 Equity Incentive Plan that are forfeited or repurchased by us after the date of this prospectus will be available for grant and issuance under our 2016 Equity Incentive Plan; and</w:t>
      </w:r>
    </w:p>
    <w:p>
      <w:pPr>
        <w:spacing w:after="0" w:line="66" w:lineRule="exact"/>
        <w:rPr>
          <w:rFonts w:ascii="Arial" w:cs="Arial" w:eastAsia="Arial" w:hAnsi="Arial"/>
          <w:sz w:val="17"/>
          <w:szCs w:val="17"/>
          <w:color w:val="auto"/>
        </w:rPr>
      </w:pPr>
    </w:p>
    <w:p>
      <w:pPr>
        <w:ind w:left="900" w:right="340" w:hanging="332"/>
        <w:spacing w:after="0" w:line="32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2016 Equity Incentive Plan.</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2016 Equity Incentive Plan authorizes the award of stock options, restricted stock awards, or RSAs, stock appreciation rights, or SARs, restricted stock</w:t>
      </w:r>
    </w:p>
    <w:p>
      <w:pPr>
        <w:spacing w:after="0" w:line="49"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units, or RSUs, performance awards and stock bonuses. No person will be eligible to receive more than shares in any calendar year under our 2016 Equity Incentive Plan other than a new employee of ours, who will be eligible to receive no more than shares under the plan in the calendar year in which the employee commences employment. No more than shares will be issued pursuant to the exercise of incentive stock options.</w:t>
      </w:r>
    </w:p>
    <w:p>
      <w:pPr>
        <w:spacing w:after="0" w:line="179"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Our 2016 Equity Incentive Plan will be administered by our compensation committee, all of the members of which are outside directors as defined under applicable federal tax laws, or by our board of directors acting in place of our compensation committee. The compensation committee will have the authority to construe and interpret our 2016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61" w:lineRule="exact"/>
        <w:rPr>
          <w:sz w:val="20"/>
          <w:szCs w:val="20"/>
          <w:color w:val="auto"/>
        </w:rPr>
      </w:pPr>
    </w:p>
    <w:p>
      <w:pPr>
        <w:ind w:firstLine="457"/>
        <w:spacing w:after="0" w:line="325" w:lineRule="auto"/>
        <w:rPr>
          <w:sz w:val="20"/>
          <w:szCs w:val="20"/>
          <w:color w:val="auto"/>
        </w:rPr>
      </w:pPr>
      <w:r>
        <w:rPr>
          <w:rFonts w:ascii="Arial" w:cs="Arial" w:eastAsia="Arial" w:hAnsi="Arial"/>
          <w:sz w:val="15"/>
          <w:szCs w:val="15"/>
          <w:color w:val="auto"/>
        </w:rPr>
        <w:t>Our 2016 Equity Incentive Plan will provide for the grant of awards to our employees, directors, consultants, independent contractors and advisors, provided the consultants, independent contractors, directors and advisors are natural persons that render services not in connection with the offer and sale of securities in a capital-raising transaction. The exercise price of stock options must be at least equal to the fair market value of our common stock on the date of grant.</w:t>
      </w:r>
    </w:p>
    <w:p>
      <w:pPr>
        <w:spacing w:after="0" w:line="137" w:lineRule="exact"/>
        <w:rPr>
          <w:sz w:val="20"/>
          <w:szCs w:val="20"/>
          <w:color w:val="auto"/>
        </w:rPr>
      </w:pPr>
    </w:p>
    <w:p>
      <w:pPr>
        <w:ind w:right="400" w:firstLine="457"/>
        <w:spacing w:after="0" w:line="289" w:lineRule="auto"/>
        <w:rPr>
          <w:sz w:val="20"/>
          <w:szCs w:val="20"/>
          <w:color w:val="auto"/>
        </w:rPr>
      </w:pPr>
      <w:r>
        <w:rPr>
          <w:rFonts w:ascii="Arial" w:cs="Arial" w:eastAsia="Arial" w:hAnsi="Arial"/>
          <w:sz w:val="17"/>
          <w:szCs w:val="17"/>
          <w:color w:val="auto"/>
        </w:rPr>
        <w:t>We anticipate that in general, options will vest over a four-year period. Options may vest based on time or achievement of performance conditions. Our compensation committee may provide for options to be exercised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20"/>
          </w:cols>
          <w:pgMar w:left="240" w:top="449" w:right="23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only as they vest or to be immediately exercisable with any shares issued on exercise being subject to our right of repurchase that lapses as the shares vest. The maximum term of options granted under our 2016 Equity Incentive Plan is ten years.</w:t>
      </w:r>
    </w:p>
    <w:p>
      <w:pPr>
        <w:spacing w:after="0" w:line="158" w:lineRule="exact"/>
        <w:rPr>
          <w:sz w:val="20"/>
          <w:szCs w:val="20"/>
          <w:color w:val="auto"/>
        </w:rPr>
      </w:pPr>
    </w:p>
    <w:p>
      <w:pPr>
        <w:ind w:right="160" w:firstLine="457"/>
        <w:spacing w:after="0" w:line="297" w:lineRule="auto"/>
        <w:rPr>
          <w:sz w:val="20"/>
          <w:szCs w:val="20"/>
          <w:color w:val="auto"/>
        </w:rPr>
      </w:pPr>
      <w:r>
        <w:rPr>
          <w:rFonts w:ascii="Arial" w:cs="Arial" w:eastAsia="Arial" w:hAnsi="Arial"/>
          <w:sz w:val="16"/>
          <w:szCs w:val="16"/>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55"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71"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78"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 termination of</w:t>
      </w:r>
    </w:p>
    <w:p>
      <w:pPr>
        <w:spacing w:after="0" w:line="1"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employment or failure to achieve the performance conditions. No participant will be eligible to receive more than $ in performance awards in any calendar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bonuses may be granted as additional compensation for service or performance and, therefore, will not be issued in exchange for cash.</w:t>
      </w:r>
    </w:p>
    <w:p>
      <w:pPr>
        <w:spacing w:after="0" w:line="224"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In the event there is a specified type of change in our capital structure without our receipt of consideration, such as a stock split, appropriate adjustments will be made to the number of shares reserved under our 2016 Equity Incentive Plan, the maximum number of shares that can be granted in a calendar year and the number of shares and exercise price, if applicable, of all outstanding awards under our 2016 Equity Incentive Plan.</w:t>
      </w:r>
    </w:p>
    <w:p>
      <w:pPr>
        <w:spacing w:after="0" w:line="171"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Awards granted under our 2016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2016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81"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In the event of a merger or consolidation, any and all outstanding awards may be assumed or replaced by the successor corporation. In the alternative, the successor corporation may substitute equivalent awards or provide substantially similar consideration to participants as was provided to stockholders. If the outstanding awards are not assumed, substituted or cashed out, the awards will expire upon the closing of the merger or consolidation; and our compensation committee may accelerate the vesting and exercisability (as applicable) of the awards in connection with the transaction. In the event of a merger or consolidation, the vesting of all awards granted to non-employee directors shall accelerate and such awards shall become exercisable (as applicable) in full.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449" w:right="23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Our 2016 Equity Incentive Plan will terminate ten years from the date our board of directors adopts the plan, unless it is terminated earlier by our board of directors. Our board of directors may amend or terminate our 2016 Equity Incentive Plan at any time. Our board of directors generally may amend our 2016 Equity Incentive Plan, without stockholder approval unless required by applicable law.</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Employee Stock Purchase Plan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have adopted a 2016 Employee Stock Purchase Plan that will become effective on the date of this prospectus and will enable eligible employees to</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purchase shares of our common stock at a discount beginning on a date determined by our board of directors. Purchases will be accomplished through participation</w:t>
      </w:r>
    </w:p>
    <w:p>
      <w:pPr>
        <w:spacing w:after="0" w:line="37"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in discrete offering periods. We initially reserved shares of our common stock for issuance under our 2016 Employee Stock Purchase Plan. The number of shares reserved for issuance under our 2016 Employee Stock Purchase Plan will increase automatically on January 1st of each of the first calendar years</w:t>
      </w:r>
    </w:p>
    <w:p>
      <w:pPr>
        <w:ind w:right="140"/>
        <w:spacing w:after="0" w:line="291" w:lineRule="auto"/>
        <w:rPr>
          <w:sz w:val="20"/>
          <w:szCs w:val="20"/>
          <w:color w:val="auto"/>
        </w:rPr>
      </w:pPr>
      <w:r>
        <w:rPr>
          <w:rFonts w:ascii="Arial" w:cs="Arial" w:eastAsia="Arial" w:hAnsi="Arial"/>
          <w:sz w:val="15"/>
          <w:szCs w:val="15"/>
          <w:color w:val="auto"/>
        </w:rPr>
        <w:t>following the first offering date by the number of shares equal to the greater of % of the total outstanding shares of our common stock as of the immediately preceding December 31 (rounded to the nearest whole share) or the actual number of shares purchased under the 2016 Employee Stock Purchase Plan in the immediately preceding fiscal year. However, our board of directors or compensation committee may reduce the amount of the increase in any particular year. The</w:t>
      </w:r>
    </w:p>
    <w:p>
      <w:pPr>
        <w:spacing w:after="0" w:line="1"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aggregate number of shares issued over the term of our 2016 Employee Stock Purchase Plan will not exceed shares of our common stock. Our 2016 Employee Stock Purchase Plan is intended to qualify as an employee stock purchase plan under Section 423 of the Code.</w:t>
      </w:r>
    </w:p>
    <w:p>
      <w:pPr>
        <w:spacing w:after="0" w:line="170"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Our compensation committee will administer our 2016 Employee Stock Purchase Plan. While our employees generally are eligible to participate in our 2016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2016 Employee Stock Purchase Plan, are ineligible to participate in our 2016 Employee Stock Purchase Plan. We may impose additional restrictions on eligibility. Under our 2016 Employee Stock Purchase Plan, eligible employees will be able to acquire shares of our common stock by accumulating funds through payroll deductions. Our eligible employees will be able to select a rate of payroll deduction between % and % of their base cash compensation. The purchase price of the shares will be 85% of the lower of the fair market value of our common stock on the first day of an offering or on the date of purchase.</w:t>
      </w:r>
    </w:p>
    <w:p>
      <w:pPr>
        <w:spacing w:after="0" w:line="168"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When an initial first purchase period commences, our employees who meet the eligibility requirements for participation in that purchase period will be eligible to enroll. For subsequent purchase periods, new participants will be required to enroll in a timely manner. Once an employee is enrolled, participation will</w:t>
      </w:r>
    </w:p>
    <w:p>
      <w:pPr>
        <w:ind w:right="20"/>
        <w:spacing w:after="0" w:line="274" w:lineRule="auto"/>
        <w:rPr>
          <w:sz w:val="20"/>
          <w:szCs w:val="20"/>
          <w:color w:val="auto"/>
        </w:rPr>
      </w:pPr>
      <w:r>
        <w:rPr>
          <w:rFonts w:ascii="Arial" w:cs="Arial" w:eastAsia="Arial" w:hAnsi="Arial"/>
          <w:sz w:val="17"/>
          <w:szCs w:val="17"/>
          <w:color w:val="auto"/>
        </w:rPr>
        <w:t>be automatic in subsequent purchase periods. Each purchase period will run for no more than months. An employee’s participation automatically ends upon termination of employment for any reason.</w:t>
      </w:r>
    </w:p>
    <w:p>
      <w:pPr>
        <w:spacing w:after="0" w:line="170" w:lineRule="exact"/>
        <w:rPr>
          <w:sz w:val="20"/>
          <w:szCs w:val="20"/>
          <w:color w:val="auto"/>
        </w:rPr>
      </w:pPr>
    </w:p>
    <w:p>
      <w:pPr>
        <w:ind w:right="480" w:firstLine="457"/>
        <w:spacing w:after="0" w:line="289" w:lineRule="auto"/>
        <w:rPr>
          <w:sz w:val="20"/>
          <w:szCs w:val="20"/>
          <w:color w:val="auto"/>
        </w:rPr>
      </w:pPr>
      <w:r>
        <w:rPr>
          <w:rFonts w:ascii="Arial" w:cs="Arial" w:eastAsia="Arial" w:hAnsi="Arial"/>
          <w:sz w:val="17"/>
          <w:szCs w:val="17"/>
          <w:color w:val="auto"/>
        </w:rPr>
        <w:t>The first purchase period will begin on a future date to be designated by our board of directors or compensation committee. Each subsequent purchase period will be for six months.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participant will have the right to purchase our shares in an amount, when aggregated with purchase rights under all our employee stock purchase plans</w:t>
      </w:r>
    </w:p>
    <w:p>
      <w:pPr>
        <w:spacing w:after="0" w:line="38"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that are also in effect in the same calendar years, that has a fair market value of more than $ , determined as of the first day of the applicable purchase period, for each calendar year in which that right is outstanding. In addition, no participant will be permitted to purchase more than shares during any one purchase</w:t>
      </w:r>
    </w:p>
    <w:p>
      <w:pPr>
        <w:spacing w:after="0" w:line="265" w:lineRule="auto"/>
        <w:rPr>
          <w:sz w:val="20"/>
          <w:szCs w:val="20"/>
          <w:color w:val="auto"/>
        </w:rPr>
      </w:pPr>
      <w:r>
        <w:rPr>
          <w:rFonts w:ascii="Arial" w:cs="Arial" w:eastAsia="Arial" w:hAnsi="Arial"/>
          <w:sz w:val="17"/>
          <w:szCs w:val="17"/>
          <w:color w:val="auto"/>
        </w:rPr>
        <w:t>period or such lesser amount determined by our compensation committee. The purchase price for shares of our common stock purchased under our 2016 Employee Stock Purchase Plan will be % of the lesser of the fair market value of our common stock on (i) the first trading day of the applicable offering period or (ii) the last trading day of each purchase period in the applicable offering period.</w:t>
      </w:r>
    </w:p>
    <w:p>
      <w:pPr>
        <w:spacing w:after="0" w:line="179"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If we experience a change in control transaction, each outstanding right to purchase shares under our 2016 Employee Stock Purchase Plan may be assumed or an equivalent option substituted by the successor corporation.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20"/>
          </w:cols>
          <w:pgMar w:left="240" w:top="449" w:right="23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In the event that the successor corporation refuses to assume or substitute the outstanding purchase rights, any offering period that commenced prior to the closing of the proposed change in control transaction will be shortened and terminated on a new purchase date. The new purchase date will occur prior to the closing of the proposed change in control transaction and our 2016 Employee Stock Purchase Plan will then terminate on the closing of the proposed change in control.</w:t>
      </w:r>
    </w:p>
    <w:p>
      <w:pPr>
        <w:spacing w:after="0" w:line="137" w:lineRule="exact"/>
        <w:rPr>
          <w:sz w:val="20"/>
          <w:szCs w:val="20"/>
          <w:color w:val="auto"/>
        </w:rPr>
      </w:pPr>
    </w:p>
    <w:p>
      <w:pPr>
        <w:ind w:right="500" w:firstLine="457"/>
        <w:spacing w:after="0" w:line="322" w:lineRule="auto"/>
        <w:rPr>
          <w:sz w:val="20"/>
          <w:szCs w:val="20"/>
          <w:color w:val="auto"/>
        </w:rPr>
      </w:pPr>
      <w:r>
        <w:rPr>
          <w:rFonts w:ascii="Arial" w:cs="Arial" w:eastAsia="Arial" w:hAnsi="Arial"/>
          <w:sz w:val="16"/>
          <w:szCs w:val="16"/>
          <w:color w:val="auto"/>
        </w:rPr>
        <w:t>We will also have the right to amend or terminate our 2016 Employee Stock Purchase Plan at any time. Our 2016 Employee Stock Purchase Plan will terminate on the tenth anniversary of the last day of the first purchase period, unless it is terminated earlier by our board of directors.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119"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Benefits</w:t>
      </w:r>
    </w:p>
    <w:p>
      <w:pPr>
        <w:spacing w:after="0" w:line="119" w:lineRule="exact"/>
        <w:rPr>
          <w:sz w:val="20"/>
          <w:szCs w:val="20"/>
          <w:color w:val="auto"/>
        </w:rPr>
      </w:pPr>
    </w:p>
    <w:p>
      <w:pPr>
        <w:ind w:right="260" w:firstLine="457"/>
        <w:spacing w:after="0" w:line="289" w:lineRule="auto"/>
        <w:rPr>
          <w:sz w:val="20"/>
          <w:szCs w:val="20"/>
          <w:color w:val="auto"/>
        </w:rPr>
      </w:pPr>
      <w:r>
        <w:rPr>
          <w:rFonts w:ascii="Arial" w:cs="Arial" w:eastAsia="Arial" w:hAnsi="Arial"/>
          <w:sz w:val="17"/>
          <w:szCs w:val="17"/>
          <w:color w:val="auto"/>
        </w:rPr>
        <w:t>Our named executive officers are eligible to participate in our employee benefit plans on the same basis as our other employees, including our health and welfare plans.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125"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79" w:lineRule="exact"/>
        <w:rPr>
          <w:sz w:val="20"/>
          <w:szCs w:val="20"/>
          <w:color w:val="auto"/>
        </w:rPr>
      </w:pPr>
    </w:p>
    <w:p>
      <w:pPr>
        <w:ind w:left="900" w:hanging="332"/>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31" w:lineRule="exact"/>
        <w:rPr>
          <w:rFonts w:ascii="Arial" w:cs="Arial" w:eastAsia="Arial" w:hAnsi="Arial"/>
          <w:sz w:val="17"/>
          <w:szCs w:val="17"/>
          <w:color w:val="auto"/>
        </w:rPr>
      </w:pPr>
    </w:p>
    <w:p>
      <w:pPr>
        <w:ind w:left="900" w:right="80" w:hanging="332"/>
        <w:spacing w:after="0" w:line="289" w:lineRule="auto"/>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Delaware General Corporation Law; or</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w:t>
      </w:r>
    </w:p>
    <w:p>
      <w:pPr>
        <w:spacing w:after="0" w:line="171"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00"/>
          </w:cols>
          <w:pgMar w:left="240" w:top="449" w:right="25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71"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We believe that these indemnification provisions and agreements are necessary to attract and retain qualified directors, officers and key employees. We also maintain directors’ and officers’ liability insurance.</w:t>
      </w:r>
    </w:p>
    <w:p>
      <w:pPr>
        <w:spacing w:after="0" w:line="158"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1" w:lineRule="exact"/>
        <w:rPr>
          <w:sz w:val="20"/>
          <w:szCs w:val="20"/>
          <w:color w:val="auto"/>
        </w:rPr>
      </w:pPr>
    </w:p>
    <w:p>
      <w:pPr>
        <w:ind w:right="560" w:firstLine="457"/>
        <w:spacing w:after="0" w:line="289" w:lineRule="auto"/>
        <w:rPr>
          <w:sz w:val="20"/>
          <w:szCs w:val="20"/>
          <w:color w:val="auto"/>
        </w:rPr>
      </w:pPr>
      <w:r>
        <w:rPr>
          <w:rFonts w:ascii="Arial" w:cs="Arial" w:eastAsia="Arial" w:hAnsi="Arial"/>
          <w:sz w:val="17"/>
          <w:szCs w:val="17"/>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58" w:lineRule="exact"/>
        <w:rPr>
          <w:sz w:val="20"/>
          <w:szCs w:val="20"/>
          <w:color w:val="auto"/>
        </w:rPr>
      </w:pPr>
    </w:p>
    <w:p>
      <w:pPr>
        <w:ind w:right="60" w:firstLine="457"/>
        <w:spacing w:after="0" w:line="322"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00"/>
          </w:cols>
          <w:pgMar w:left="240" w:top="449" w:right="25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2012 to which we were a party or will be a party, in which:</w:t>
      </w:r>
    </w:p>
    <w:p>
      <w:pPr>
        <w:spacing w:after="0" w:line="132" w:lineRule="exact"/>
        <w:rPr>
          <w:sz w:val="20"/>
          <w:szCs w:val="20"/>
          <w:color w:val="auto"/>
        </w:rPr>
      </w:pPr>
    </w:p>
    <w:p>
      <w:pPr>
        <w:ind w:left="900" w:hanging="332"/>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31" w:lineRule="exact"/>
        <w:rPr>
          <w:rFonts w:ascii="Arial" w:cs="Arial" w:eastAsia="Arial" w:hAnsi="Arial"/>
          <w:sz w:val="17"/>
          <w:szCs w:val="17"/>
          <w:color w:val="auto"/>
        </w:rPr>
      </w:pPr>
    </w:p>
    <w:p>
      <w:pPr>
        <w:ind w:left="900" w:right="20" w:hanging="332"/>
        <w:spacing w:after="0" w:line="289"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58"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Financings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C-1 Preferred Stock Financing</w:t>
      </w:r>
    </w:p>
    <w:p>
      <w:pPr>
        <w:spacing w:after="0" w:line="119" w:lineRule="exact"/>
        <w:rPr>
          <w:sz w:val="20"/>
          <w:szCs w:val="20"/>
          <w:color w:val="auto"/>
        </w:rPr>
      </w:pPr>
    </w:p>
    <w:p>
      <w:pPr>
        <w:jc w:val="both"/>
        <w:ind w:right="160" w:firstLine="457"/>
        <w:spacing w:after="0" w:line="273" w:lineRule="auto"/>
        <w:rPr>
          <w:sz w:val="20"/>
          <w:szCs w:val="20"/>
          <w:color w:val="auto"/>
        </w:rPr>
      </w:pPr>
      <w:r>
        <w:rPr>
          <w:rFonts w:ascii="Arial" w:cs="Arial" w:eastAsia="Arial" w:hAnsi="Arial"/>
          <w:sz w:val="17"/>
          <w:szCs w:val="17"/>
          <w:color w:val="auto"/>
        </w:rPr>
        <w:t>In April 2014, we issued an aggregate of 3,318,054 shares of our Series C-1 convertible preferred stock at a purchase price of $0.65 per share, in exchange for the cancellation of secured convertible promissory notes originally issued in July 2013, which as of April 2014 had an aggregate principal and unpaid interest of $2.2 million.</w:t>
      </w:r>
    </w:p>
    <w:p>
      <w:pPr>
        <w:spacing w:after="0" w:line="171"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The following table summarizes the Series C-1 convertible preferred stock issued to our executive officers, members of our board of directors and persons who hold more than 5% of our outstanding capital stock:</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Shares of</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80" w:type="dxa"/>
            <w:vAlign w:val="bottom"/>
            <w:gridSpan w:val="2"/>
          </w:tcPr>
          <w:p>
            <w:pPr>
              <w:jc w:val="center"/>
              <w:ind w:right="460"/>
              <w:spacing w:after="0" w:line="144" w:lineRule="exact"/>
              <w:rPr>
                <w:sz w:val="20"/>
                <w:szCs w:val="20"/>
                <w:color w:val="auto"/>
              </w:rPr>
            </w:pPr>
            <w:r>
              <w:rPr>
                <w:rFonts w:ascii="Arial" w:cs="Arial" w:eastAsia="Arial" w:hAnsi="Arial"/>
                <w:sz w:val="14"/>
                <w:szCs w:val="14"/>
                <w:b w:val="1"/>
                <w:bCs w:val="1"/>
                <w:color w:val="auto"/>
                <w:w w:val="90"/>
              </w:rPr>
              <w:t>Series C-1</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80" w:type="dxa"/>
            <w:vAlign w:val="bottom"/>
            <w:gridSpan w:val="2"/>
          </w:tcPr>
          <w:p>
            <w:pPr>
              <w:jc w:val="center"/>
              <w:ind w:right="460"/>
              <w:spacing w:after="0" w:line="144" w:lineRule="exact"/>
              <w:rPr>
                <w:sz w:val="20"/>
                <w:szCs w:val="20"/>
                <w:color w:val="auto"/>
              </w:rPr>
            </w:pPr>
            <w:r>
              <w:rPr>
                <w:rFonts w:ascii="Arial" w:cs="Arial" w:eastAsia="Arial" w:hAnsi="Arial"/>
                <w:sz w:val="14"/>
                <w:szCs w:val="14"/>
                <w:b w:val="1"/>
                <w:bCs w:val="1"/>
                <w:color w:val="auto"/>
                <w:w w:val="90"/>
              </w:rPr>
              <w:t>Convertible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280" w:type="dxa"/>
            <w:vAlign w:val="bottom"/>
            <w:gridSpan w:val="2"/>
          </w:tcPr>
          <w:p>
            <w:pPr>
              <w:jc w:val="center"/>
              <w:ind w:right="460"/>
              <w:spacing w:after="0" w:line="144" w:lineRule="exact"/>
              <w:rPr>
                <w:sz w:val="20"/>
                <w:szCs w:val="20"/>
                <w:color w:val="auto"/>
              </w:rPr>
            </w:pPr>
            <w:r>
              <w:rPr>
                <w:rFonts w:ascii="Arial" w:cs="Arial" w:eastAsia="Arial" w:hAnsi="Arial"/>
                <w:sz w:val="14"/>
                <w:szCs w:val="14"/>
                <w:b w:val="1"/>
                <w:bCs w:val="1"/>
                <w:color w:val="auto"/>
                <w:w w:val="93"/>
              </w:rPr>
              <w:t>Preferred</w:t>
            </w:r>
          </w:p>
        </w:tc>
        <w:tc>
          <w:tcPr>
            <w:tcW w:w="84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7"/>
        </w:trPr>
        <w:tc>
          <w:tcPr>
            <w:tcW w:w="7460" w:type="dxa"/>
            <w:vAlign w:val="bottom"/>
            <w:gridSpan w:val="2"/>
            <w:vMerge w:val="continue"/>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Entities affiliated</w:t>
            </w: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with Frazier Healthcare</w:t>
            </w:r>
            <w:r>
              <w:rPr>
                <w:rFonts w:ascii="Arial" w:cs="Arial" w:eastAsia="Arial" w:hAnsi="Arial"/>
                <w:sz w:val="14"/>
                <w:szCs w:val="14"/>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1,370,261</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$ 890,670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Arial" w:cs="Arial" w:eastAsia="Arial" w:hAnsi="Arial"/>
                <w:sz w:val="17"/>
                <w:szCs w:val="17"/>
                <w:color w:val="auto"/>
              </w:rPr>
              <w:t>Novo A/S</w:t>
            </w:r>
            <w:r>
              <w:rPr>
                <w:rFonts w:ascii="Arial" w:cs="Arial" w:eastAsia="Arial" w:hAnsi="Arial"/>
                <w:sz w:val="14"/>
                <w:szCs w:val="14"/>
                <w:color w:val="auto"/>
              </w:rPr>
              <w:t>(2)</w:t>
            </w: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1,370,261</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890,670</w:t>
            </w:r>
          </w:p>
        </w:tc>
        <w:tc>
          <w:tcPr>
            <w:tcW w:w="0" w:type="dxa"/>
            <w:vAlign w:val="bottom"/>
          </w:tcPr>
          <w:p>
            <w:pPr>
              <w:spacing w:after="0"/>
              <w:rPr>
                <w:sz w:val="1"/>
                <w:szCs w:val="1"/>
                <w:color w:val="auto"/>
              </w:rPr>
            </w:pPr>
          </w:p>
        </w:tc>
      </w:tr>
      <w:tr>
        <w:trPr>
          <w:trHeight w:val="210"/>
        </w:trPr>
        <w:tc>
          <w:tcPr>
            <w:tcW w:w="7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Alloy Ventures 2005, L.P.</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541,246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351,810</w:t>
            </w: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7"/>
                <w:szCs w:val="17"/>
                <w:color w:val="auto"/>
              </w:rPr>
              <w:t>Hamza Suria</w:t>
            </w:r>
            <w:r>
              <w:rPr>
                <w:rFonts w:ascii="Arial" w:cs="Arial" w:eastAsia="Arial" w:hAnsi="Arial"/>
                <w:sz w:val="14"/>
                <w:szCs w:val="14"/>
                <w:color w:val="auto"/>
              </w:rPr>
              <w:t>(3)</w:t>
            </w: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5,469</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32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39" w:lineRule="exact"/>
        <w:rPr>
          <w:sz w:val="20"/>
          <w:szCs w:val="20"/>
          <w:color w:val="auto"/>
        </w:rPr>
      </w:pPr>
    </w:p>
    <w:p>
      <w:pPr>
        <w:ind w:left="460" w:right="560" w:hanging="455"/>
        <w:spacing w:after="0" w:line="281"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00" w:hanging="455"/>
        <w:spacing w:after="0" w:line="257"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5"/>
        <w:spacing w:after="0"/>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Mr. Suria is our President and Chief Executive Officer and is a member of our Board of Directors.</w:t>
      </w:r>
    </w:p>
    <w:p>
      <w:pPr>
        <w:spacing w:after="0" w:line="212"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 Registration Rights.”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D Preferred Stock Financing</w:t>
      </w:r>
    </w:p>
    <w:p>
      <w:pPr>
        <w:spacing w:after="0" w:line="119"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In July 2015, we sold an aggregate of 38,436,851 shares of our Series D convertible preferred stock at a purchase price of $1.06 per share, for an aggregate cash purchase price of $40.8 million.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449" w:right="2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The following table summarizes the Series D convertible preferred stock purchased by our executive officers, members of our board of directors and persons who hold more than 5% of our outstanding capital stock:</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Shares of</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30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color w:val="auto"/>
                <w:w w:val="89"/>
              </w:rPr>
              <w:t>Series D</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30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color w:val="auto"/>
                <w:w w:val="90"/>
              </w:rPr>
              <w:t>Convertible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30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67"/>
        </w:trPr>
        <w:tc>
          <w:tcPr>
            <w:tcW w:w="7280" w:type="dxa"/>
            <w:vAlign w:val="bottom"/>
            <w:gridSpan w:val="2"/>
            <w:vMerge w:val="continue"/>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Entities affiliated</w:t>
            </w: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with Frazier Healthcare</w:t>
            </w:r>
            <w:r>
              <w:rPr>
                <w:rFonts w:ascii="Arial" w:cs="Arial" w:eastAsia="Arial" w:hAnsi="Arial"/>
                <w:sz w:val="14"/>
                <w:szCs w:val="14"/>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6,599,850</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6,999,999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7"/>
                <w:szCs w:val="17"/>
                <w:color w:val="auto"/>
              </w:rPr>
              <w:t>Novo A/S</w:t>
            </w:r>
            <w:r>
              <w:rPr>
                <w:rFonts w:ascii="Arial" w:cs="Arial" w:eastAsia="Arial" w:hAnsi="Arial"/>
                <w:sz w:val="14"/>
                <w:szCs w:val="14"/>
                <w:color w:val="auto"/>
              </w:rPr>
              <w:t>(2)</w:t>
            </w:r>
          </w:p>
        </w:tc>
        <w:tc>
          <w:tcPr>
            <w:tcW w:w="1300" w:type="dxa"/>
            <w:vAlign w:val="bottom"/>
            <w:gridSpan w:val="2"/>
          </w:tcPr>
          <w:p>
            <w:pPr>
              <w:jc w:val="right"/>
              <w:ind w:right="480"/>
              <w:spacing w:after="0"/>
              <w:rPr>
                <w:sz w:val="20"/>
                <w:szCs w:val="20"/>
                <w:color w:val="auto"/>
              </w:rPr>
            </w:pPr>
            <w:r>
              <w:rPr>
                <w:rFonts w:ascii="Arial" w:cs="Arial" w:eastAsia="Arial" w:hAnsi="Arial"/>
                <w:sz w:val="17"/>
                <w:szCs w:val="17"/>
                <w:color w:val="auto"/>
              </w:rPr>
              <w:t>4,714,179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5,000,000</w:t>
            </w: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Nicholas B. Lydon, Ph.D., FRS</w:t>
            </w:r>
            <w:r>
              <w:rPr>
                <w:rFonts w:ascii="Arial" w:cs="Arial" w:eastAsia="Arial" w:hAnsi="Arial"/>
                <w:sz w:val="14"/>
                <w:szCs w:val="14"/>
                <w:color w:val="auto"/>
              </w:rPr>
              <w:t>(3)</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471,417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499,999</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7"/>
                <w:szCs w:val="17"/>
                <w:color w:val="auto"/>
              </w:rPr>
              <w:t>Carol G. Gallagher, Pharm.D.</w:t>
            </w:r>
            <w:r>
              <w:rPr>
                <w:rFonts w:ascii="Arial" w:cs="Arial" w:eastAsia="Arial" w:hAnsi="Arial"/>
                <w:sz w:val="14"/>
                <w:szCs w:val="14"/>
                <w:color w:val="auto"/>
              </w:rPr>
              <w:t>(4)</w:t>
            </w:r>
          </w:p>
        </w:tc>
        <w:tc>
          <w:tcPr>
            <w:tcW w:w="1300" w:type="dxa"/>
            <w:vAlign w:val="bottom"/>
            <w:gridSpan w:val="2"/>
          </w:tcPr>
          <w:p>
            <w:pPr>
              <w:jc w:val="right"/>
              <w:ind w:right="480"/>
              <w:spacing w:after="0"/>
              <w:rPr>
                <w:sz w:val="20"/>
                <w:szCs w:val="20"/>
                <w:color w:val="auto"/>
              </w:rPr>
            </w:pPr>
            <w:r>
              <w:rPr>
                <w:rFonts w:ascii="Arial" w:cs="Arial" w:eastAsia="Arial" w:hAnsi="Arial"/>
                <w:sz w:val="17"/>
                <w:szCs w:val="17"/>
                <w:color w:val="auto"/>
              </w:rPr>
              <w:t>150,075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159,174</w:t>
            </w: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E. Hoffman</w:t>
            </w:r>
            <w:r>
              <w:rPr>
                <w:rFonts w:ascii="Arial" w:cs="Arial" w:eastAsia="Arial" w:hAnsi="Arial"/>
                <w:sz w:val="14"/>
                <w:szCs w:val="14"/>
                <w:color w:val="auto"/>
              </w:rPr>
              <w:t>(5)</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47,141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49,999</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7"/>
                <w:szCs w:val="17"/>
                <w:color w:val="auto"/>
              </w:rPr>
              <w:t>Hamza Suria</w:t>
            </w:r>
            <w:r>
              <w:rPr>
                <w:rFonts w:ascii="Arial" w:cs="Arial" w:eastAsia="Arial" w:hAnsi="Arial"/>
                <w:sz w:val="14"/>
                <w:szCs w:val="14"/>
                <w:color w:val="auto"/>
              </w:rPr>
              <w:t>(6)</w:t>
            </w:r>
          </w:p>
        </w:tc>
        <w:tc>
          <w:tcPr>
            <w:tcW w:w="1300" w:type="dxa"/>
            <w:vAlign w:val="bottom"/>
            <w:gridSpan w:val="2"/>
          </w:tcPr>
          <w:p>
            <w:pPr>
              <w:jc w:val="right"/>
              <w:ind w:right="480"/>
              <w:spacing w:after="0"/>
              <w:rPr>
                <w:sz w:val="20"/>
                <w:szCs w:val="20"/>
                <w:color w:val="auto"/>
              </w:rPr>
            </w:pPr>
            <w:r>
              <w:rPr>
                <w:rFonts w:ascii="Arial" w:cs="Arial" w:eastAsia="Arial" w:hAnsi="Arial"/>
                <w:sz w:val="17"/>
                <w:szCs w:val="17"/>
                <w:color w:val="auto"/>
              </w:rPr>
              <w:t>14,142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14,999</w:t>
            </w:r>
          </w:p>
        </w:tc>
        <w:tc>
          <w:tcPr>
            <w:tcW w:w="0" w:type="dxa"/>
            <w:vAlign w:val="bottom"/>
          </w:tcPr>
          <w:p>
            <w:pPr>
              <w:spacing w:after="0"/>
              <w:rPr>
                <w:sz w:val="1"/>
                <w:szCs w:val="1"/>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Marco Londei, M.D.</w:t>
            </w:r>
            <w:r>
              <w:rPr>
                <w:rFonts w:ascii="Arial" w:cs="Arial" w:eastAsia="Arial" w:hAnsi="Arial"/>
                <w:sz w:val="14"/>
                <w:szCs w:val="14"/>
                <w:color w:val="auto"/>
              </w:rPr>
              <w:t>(7)</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14,142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32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51" w:lineRule="exact"/>
        <w:rPr>
          <w:sz w:val="20"/>
          <w:szCs w:val="20"/>
          <w:color w:val="auto"/>
        </w:rPr>
      </w:pPr>
    </w:p>
    <w:p>
      <w:pPr>
        <w:ind w:left="460" w:right="60" w:hanging="455"/>
        <w:spacing w:after="0" w:line="281"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100" w:hanging="455"/>
        <w:spacing w:after="0" w:line="257"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5"/>
        <w:spacing w:after="0"/>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Dr. Lydon is a member of our Board of Directors.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Dr. Gallagher is a member of our Board of Directors.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Mr. Hoffman is our Chief Financial Officer.</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Mr. Suria is our President and Chief Executive Officer and is a member of our Board of Directors.</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Dr. Londei is our Chief Development Officer.</w:t>
      </w:r>
    </w:p>
    <w:p>
      <w:pPr>
        <w:spacing w:after="0" w:line="212"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Investors’ Rights Agreement</w:t>
      </w:r>
    </w:p>
    <w:p>
      <w:pPr>
        <w:spacing w:after="0" w:line="125" w:lineRule="exact"/>
        <w:rPr>
          <w:sz w:val="20"/>
          <w:szCs w:val="20"/>
          <w:color w:val="auto"/>
        </w:rPr>
      </w:pPr>
    </w:p>
    <w:p>
      <w:pPr>
        <w:ind w:right="320" w:firstLine="457"/>
        <w:spacing w:after="0" w:line="297"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25"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125"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We intend to adopt a written related person transactions policy that our executive officers, directors, nominees for election as a director, beneficial owners of more than 5% of our common stock, and any members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20"/>
          </w:cols>
          <w:pgMar w:left="240" w:top="449"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340"/>
          </w:cols>
          <w:pgMar w:left="240" w:top="449" w:right="31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230" w:lineRule="exact"/>
        <w:rPr>
          <w:sz w:val="20"/>
          <w:szCs w:val="20"/>
          <w:color w:val="auto"/>
        </w:rPr>
      </w:pPr>
    </w:p>
    <w:p>
      <w:pPr>
        <w:ind w:right="200" w:firstLine="457"/>
        <w:spacing w:after="0" w:line="289"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at November 30, 2015, and as adjusted to reflect the sale of common stock in this offering, for:</w:t>
      </w:r>
    </w:p>
    <w:p>
      <w:pPr>
        <w:spacing w:after="0" w:line="66" w:lineRule="exact"/>
        <w:rPr>
          <w:sz w:val="20"/>
          <w:szCs w:val="20"/>
          <w:color w:val="auto"/>
        </w:rPr>
      </w:pPr>
    </w:p>
    <w:p>
      <w:pPr>
        <w:ind w:left="900" w:hanging="332"/>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person, or group of affiliated persons, who beneficially owned more than 5% of our common stock.</w:t>
      </w:r>
    </w:p>
    <w:p>
      <w:pPr>
        <w:spacing w:after="0" w:line="224"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78" w:lineRule="exact"/>
        <w:rPr>
          <w:sz w:val="20"/>
          <w:szCs w:val="20"/>
          <w:color w:val="auto"/>
        </w:rPr>
      </w:pPr>
    </w:p>
    <w:p>
      <w:pPr>
        <w:ind w:right="460" w:firstLine="457"/>
        <w:spacing w:after="0" w:line="299" w:lineRule="auto"/>
        <w:rPr>
          <w:sz w:val="20"/>
          <w:szCs w:val="20"/>
          <w:color w:val="auto"/>
        </w:rPr>
      </w:pPr>
      <w:r>
        <w:rPr>
          <w:rFonts w:ascii="Arial" w:cs="Arial" w:eastAsia="Arial" w:hAnsi="Arial"/>
          <w:sz w:val="15"/>
          <w:szCs w:val="15"/>
          <w:color w:val="auto"/>
        </w:rPr>
        <w:t>Applicable percentage ownership is based on 99,002,517 shares of common stock outstanding as of November 30, 2015 and assumes (i) the automatic conversion of all outstanding shares of our convertible preferred stock into 80,645,051 shares of common stock as of immediately prior to the closing of this</w:t>
      </w:r>
    </w:p>
    <w:p>
      <w:pPr>
        <w:spacing w:after="0" w:line="1"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offering. For purposes of the table below, we have assumed that shares of common stock will be issued by us in our initial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November 30, 2015.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4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Beneficial Ownership</w:t>
            </w: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Beneficial Ownership</w:t>
            </w:r>
          </w:p>
        </w:tc>
        <w:tc>
          <w:tcPr>
            <w:tcW w:w="0" w:type="dxa"/>
            <w:vAlign w:val="bottom"/>
          </w:tcPr>
          <w:p>
            <w:pPr>
              <w:spacing w:after="0"/>
              <w:rPr>
                <w:sz w:val="1"/>
                <w:szCs w:val="1"/>
                <w:color w:val="auto"/>
              </w:rPr>
            </w:pPr>
          </w:p>
        </w:tc>
      </w:tr>
      <w:tr>
        <w:trPr>
          <w:trHeight w:val="167"/>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980" w:type="dxa"/>
            <w:vAlign w:val="bottom"/>
          </w:tcPr>
          <w:p>
            <w:pPr>
              <w:spacing w:after="0"/>
              <w:rPr>
                <w:sz w:val="14"/>
                <w:szCs w:val="14"/>
                <w:color w:val="auto"/>
              </w:rPr>
            </w:pPr>
          </w:p>
        </w:tc>
        <w:tc>
          <w:tcPr>
            <w:tcW w:w="254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Prior to this Offering</w:t>
            </w: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After this Offering</w:t>
            </w:r>
          </w:p>
        </w:tc>
        <w:tc>
          <w:tcPr>
            <w:tcW w:w="0" w:type="dxa"/>
            <w:vAlign w:val="bottom"/>
          </w:tcPr>
          <w:p>
            <w:pPr>
              <w:spacing w:after="0"/>
              <w:rPr>
                <w:sz w:val="1"/>
                <w:szCs w:val="1"/>
                <w:color w:val="auto"/>
              </w:rPr>
            </w:pPr>
          </w:p>
        </w:tc>
      </w:tr>
      <w:tr>
        <w:trPr>
          <w:trHeight w:val="137"/>
        </w:trPr>
        <w:tc>
          <w:tcPr>
            <w:tcW w:w="5040" w:type="dxa"/>
            <w:vAlign w:val="bottom"/>
            <w:gridSpan w:val="2"/>
            <w:vMerge w:val="continue"/>
          </w:tcPr>
          <w:p>
            <w:pPr>
              <w:spacing w:after="0"/>
              <w:rPr>
                <w:sz w:val="11"/>
                <w:szCs w:val="11"/>
                <w:color w:val="auto"/>
              </w:rPr>
            </w:pPr>
          </w:p>
        </w:tc>
        <w:tc>
          <w:tcPr>
            <w:tcW w:w="1980" w:type="dxa"/>
            <w:vAlign w:val="bottom"/>
          </w:tcPr>
          <w:p>
            <w:pPr>
              <w:spacing w:after="0"/>
              <w:rPr>
                <w:sz w:val="11"/>
                <w:szCs w:val="11"/>
                <w:color w:val="auto"/>
              </w:rPr>
            </w:pPr>
          </w:p>
        </w:tc>
        <w:tc>
          <w:tcPr>
            <w:tcW w:w="1420" w:type="dxa"/>
            <w:vAlign w:val="bottom"/>
            <w:tcBorders>
              <w:top w:val="single" w:sz="8" w:color="auto"/>
            </w:tcBorders>
            <w:gridSpan w:val="2"/>
          </w:tcPr>
          <w:p>
            <w:pPr>
              <w:jc w:val="right"/>
              <w:ind w:right="740"/>
              <w:spacing w:after="0" w:line="137"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5"/>
              </w:rPr>
              <w:t>Percent</w:t>
            </w:r>
          </w:p>
        </w:tc>
        <w:tc>
          <w:tcPr>
            <w:tcW w:w="660" w:type="dxa"/>
            <w:vAlign w:val="bottom"/>
          </w:tcPr>
          <w:p>
            <w:pPr>
              <w:spacing w:after="0"/>
              <w:rPr>
                <w:sz w:val="11"/>
                <w:szCs w:val="11"/>
                <w:color w:val="auto"/>
              </w:rPr>
            </w:pPr>
          </w:p>
        </w:tc>
        <w:tc>
          <w:tcPr>
            <w:tcW w:w="1100" w:type="dxa"/>
            <w:vAlign w:val="bottom"/>
            <w:tcBorders>
              <w:top w:val="single" w:sz="8" w:color="auto"/>
            </w:tcBorders>
            <w:gridSpan w:val="2"/>
          </w:tcPr>
          <w:p>
            <w:pPr>
              <w:ind w:left="60"/>
              <w:spacing w:after="0" w:line="137" w:lineRule="exact"/>
              <w:rPr>
                <w:sz w:val="20"/>
                <w:szCs w:val="20"/>
                <w:color w:val="auto"/>
              </w:rPr>
            </w:pPr>
            <w:r>
              <w:rPr>
                <w:rFonts w:ascii="Arial" w:cs="Arial" w:eastAsia="Arial" w:hAnsi="Arial"/>
                <w:sz w:val="14"/>
                <w:szCs w:val="14"/>
                <w:b w:val="1"/>
                <w:bCs w:val="1"/>
                <w:color w:val="auto"/>
              </w:rPr>
              <w:t>Number</w:t>
            </w:r>
          </w:p>
        </w:tc>
        <w:tc>
          <w:tcPr>
            <w:tcW w:w="560" w:type="dxa"/>
            <w:vAlign w:val="bottom"/>
            <w:tcBorders>
              <w:top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w w:val="93"/>
              </w:rPr>
              <w:t>Percent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5% Stockholders</w:t>
            </w:r>
            <w:r>
              <w:rPr>
                <w:rFonts w:ascii="Arial" w:cs="Arial" w:eastAsia="Arial" w:hAnsi="Arial"/>
                <w:sz w:val="17"/>
                <w:szCs w:val="17"/>
                <w:i w:val="1"/>
                <w:iCs w:val="1"/>
                <w:color w:val="auto"/>
              </w:rPr>
              <w:t>:</w:t>
            </w:r>
          </w:p>
        </w:tc>
        <w:tc>
          <w:tcPr>
            <w:tcW w:w="346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7"/>
                <w:szCs w:val="17"/>
                <w:color w:val="auto"/>
              </w:rPr>
              <w:t>Entities affiliated with Frazier Healthcare</w:t>
            </w:r>
            <w:r>
              <w:rPr>
                <w:rFonts w:ascii="Arial" w:cs="Arial" w:eastAsia="Arial" w:hAnsi="Arial"/>
                <w:sz w:val="14"/>
                <w:szCs w:val="14"/>
                <w:color w:val="auto"/>
              </w:rPr>
              <w:t>(1)</w:t>
            </w:r>
          </w:p>
        </w:tc>
        <w:tc>
          <w:tcPr>
            <w:tcW w:w="3400" w:type="dxa"/>
            <w:vAlign w:val="bottom"/>
            <w:gridSpan w:val="3"/>
          </w:tcPr>
          <w:p>
            <w:pPr>
              <w:jc w:val="right"/>
              <w:ind w:right="580"/>
              <w:spacing w:after="0"/>
              <w:rPr>
                <w:sz w:val="20"/>
                <w:szCs w:val="20"/>
                <w:color w:val="auto"/>
              </w:rPr>
            </w:pPr>
            <w:r>
              <w:rPr>
                <w:rFonts w:ascii="Arial" w:cs="Arial" w:eastAsia="Arial" w:hAnsi="Arial"/>
                <w:sz w:val="17"/>
                <w:szCs w:val="17"/>
                <w:color w:val="auto"/>
              </w:rPr>
              <w:t>23,019,148</w:t>
            </w:r>
          </w:p>
        </w:tc>
        <w:tc>
          <w:tcPr>
            <w:tcW w:w="1120" w:type="dxa"/>
            <w:vAlign w:val="bottom"/>
            <w:gridSpan w:val="2"/>
          </w:tcPr>
          <w:p>
            <w:pPr>
              <w:jc w:val="right"/>
              <w:ind w:right="520"/>
              <w:spacing w:after="0"/>
              <w:rPr>
                <w:sz w:val="20"/>
                <w:szCs w:val="20"/>
                <w:color w:val="auto"/>
              </w:rPr>
            </w:pPr>
            <w:r>
              <w:rPr>
                <w:rFonts w:ascii="Arial" w:cs="Arial" w:eastAsia="Arial" w:hAnsi="Arial"/>
                <w:sz w:val="17"/>
                <w:szCs w:val="17"/>
                <w:color w:val="auto"/>
              </w:rPr>
              <w:t>23.1%</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Novo A/S</w:t>
            </w:r>
            <w:r>
              <w:rPr>
                <w:rFonts w:ascii="Arial" w:cs="Arial" w:eastAsia="Arial" w:hAnsi="Arial"/>
                <w:sz w:val="14"/>
                <w:szCs w:val="14"/>
                <w:color w:val="auto"/>
              </w:rPr>
              <w:t>(2)</w:t>
            </w:r>
          </w:p>
        </w:tc>
        <w:tc>
          <w:tcPr>
            <w:tcW w:w="340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21,133,477</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21.2</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7"/>
                <w:szCs w:val="17"/>
                <w:color w:val="auto"/>
              </w:rPr>
              <w:t>Avalon Ventures VII, L.P.</w:t>
            </w:r>
            <w:r>
              <w:rPr>
                <w:rFonts w:ascii="Arial" w:cs="Arial" w:eastAsia="Arial" w:hAnsi="Arial"/>
                <w:sz w:val="14"/>
                <w:szCs w:val="14"/>
                <w:color w:val="auto"/>
              </w:rPr>
              <w:t>(3)</w:t>
            </w:r>
          </w:p>
        </w:tc>
        <w:tc>
          <w:tcPr>
            <w:tcW w:w="3400" w:type="dxa"/>
            <w:vAlign w:val="bottom"/>
            <w:gridSpan w:val="3"/>
          </w:tcPr>
          <w:p>
            <w:pPr>
              <w:jc w:val="right"/>
              <w:ind w:right="580"/>
              <w:spacing w:after="0"/>
              <w:rPr>
                <w:sz w:val="20"/>
                <w:szCs w:val="20"/>
                <w:color w:val="auto"/>
              </w:rPr>
            </w:pPr>
            <w:r>
              <w:rPr>
                <w:rFonts w:ascii="Arial" w:cs="Arial" w:eastAsia="Arial" w:hAnsi="Arial"/>
                <w:sz w:val="17"/>
                <w:szCs w:val="17"/>
                <w:color w:val="auto"/>
              </w:rPr>
              <w:t>15,080,916</w:t>
            </w:r>
          </w:p>
        </w:tc>
        <w:tc>
          <w:tcPr>
            <w:tcW w:w="1120" w:type="dxa"/>
            <w:vAlign w:val="bottom"/>
            <w:gridSpan w:val="2"/>
          </w:tcPr>
          <w:p>
            <w:pPr>
              <w:jc w:val="right"/>
              <w:ind w:right="660"/>
              <w:spacing w:after="0"/>
              <w:rPr>
                <w:sz w:val="20"/>
                <w:szCs w:val="20"/>
                <w:color w:val="auto"/>
              </w:rPr>
            </w:pPr>
            <w:r>
              <w:rPr>
                <w:rFonts w:ascii="Arial" w:cs="Arial" w:eastAsia="Arial" w:hAnsi="Arial"/>
                <w:sz w:val="17"/>
                <w:szCs w:val="17"/>
                <w:color w:val="auto"/>
              </w:rPr>
              <w:t>15.1</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Alloy Ventures 2005, L.P.</w:t>
            </w:r>
            <w:r>
              <w:rPr>
                <w:rFonts w:ascii="Arial" w:cs="Arial" w:eastAsia="Arial" w:hAnsi="Arial"/>
                <w:sz w:val="14"/>
                <w:szCs w:val="14"/>
                <w:color w:val="auto"/>
              </w:rPr>
              <w:t>(4)</w:t>
            </w:r>
          </w:p>
        </w:tc>
        <w:tc>
          <w:tcPr>
            <w:tcW w:w="340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8,977,414</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9.1</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7"/>
                <w:szCs w:val="17"/>
                <w:color w:val="auto"/>
              </w:rPr>
              <w:t>Entities affiliated with Biotechnology Value Fund, L.P.</w:t>
            </w:r>
            <w:r>
              <w:rPr>
                <w:rFonts w:ascii="Arial" w:cs="Arial" w:eastAsia="Arial" w:hAnsi="Arial"/>
                <w:sz w:val="14"/>
                <w:szCs w:val="14"/>
                <w:color w:val="auto"/>
              </w:rPr>
              <w:t>(5)</w:t>
            </w:r>
          </w:p>
        </w:tc>
        <w:tc>
          <w:tcPr>
            <w:tcW w:w="3400" w:type="dxa"/>
            <w:vAlign w:val="bottom"/>
            <w:gridSpan w:val="3"/>
          </w:tcPr>
          <w:p>
            <w:pPr>
              <w:jc w:val="right"/>
              <w:ind w:right="580"/>
              <w:spacing w:after="0"/>
              <w:rPr>
                <w:sz w:val="20"/>
                <w:szCs w:val="20"/>
                <w:color w:val="auto"/>
              </w:rPr>
            </w:pPr>
            <w:r>
              <w:rPr>
                <w:rFonts w:ascii="Arial" w:cs="Arial" w:eastAsia="Arial" w:hAnsi="Arial"/>
                <w:sz w:val="17"/>
                <w:szCs w:val="17"/>
                <w:color w:val="auto"/>
              </w:rPr>
              <w:t>7,074,203</w:t>
            </w:r>
          </w:p>
        </w:tc>
        <w:tc>
          <w:tcPr>
            <w:tcW w:w="1120" w:type="dxa"/>
            <w:vAlign w:val="bottom"/>
            <w:gridSpan w:val="2"/>
          </w:tcPr>
          <w:p>
            <w:pPr>
              <w:jc w:val="right"/>
              <w:ind w:right="660"/>
              <w:spacing w:after="0"/>
              <w:rPr>
                <w:sz w:val="20"/>
                <w:szCs w:val="20"/>
                <w:color w:val="auto"/>
              </w:rPr>
            </w:pPr>
            <w:r>
              <w:rPr>
                <w:rFonts w:ascii="Arial" w:cs="Arial" w:eastAsia="Arial" w:hAnsi="Arial"/>
                <w:sz w:val="17"/>
                <w:szCs w:val="17"/>
                <w:color w:val="auto"/>
              </w:rPr>
              <w:t>7.1</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HBM Healthcare Investments (Cayman) Ltd.</w:t>
            </w:r>
            <w:r>
              <w:rPr>
                <w:rFonts w:ascii="Arial" w:cs="Arial" w:eastAsia="Arial" w:hAnsi="Arial"/>
                <w:sz w:val="14"/>
                <w:szCs w:val="14"/>
                <w:color w:val="auto"/>
              </w:rPr>
              <w:t>(6)</w:t>
            </w:r>
          </w:p>
        </w:tc>
        <w:tc>
          <w:tcPr>
            <w:tcW w:w="340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6,599,851</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6.7</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50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Directors and Named Executive Officers</w:t>
            </w:r>
            <w:r>
              <w:rPr>
                <w:rFonts w:ascii="Arial" w:cs="Arial" w:eastAsia="Arial" w:hAnsi="Arial"/>
                <w:sz w:val="17"/>
                <w:szCs w:val="17"/>
                <w:i w:val="1"/>
                <w:iCs w:val="1"/>
                <w:color w:val="auto"/>
              </w:rPr>
              <w:t>:</w:t>
            </w: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Hamza Suria</w:t>
            </w:r>
            <w:r>
              <w:rPr>
                <w:rFonts w:ascii="Arial" w:cs="Arial" w:eastAsia="Arial" w:hAnsi="Arial"/>
                <w:sz w:val="14"/>
                <w:szCs w:val="14"/>
                <w:color w:val="auto"/>
              </w:rPr>
              <w:t>(7)</w:t>
            </w:r>
          </w:p>
        </w:tc>
        <w:tc>
          <w:tcPr>
            <w:tcW w:w="340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2,928,051</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2.9</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7"/>
                <w:szCs w:val="17"/>
                <w:color w:val="auto"/>
              </w:rPr>
              <w:t>Marco Londei, M.D.</w:t>
            </w:r>
            <w:r>
              <w:rPr>
                <w:rFonts w:ascii="Arial" w:cs="Arial" w:eastAsia="Arial" w:hAnsi="Arial"/>
                <w:sz w:val="14"/>
                <w:szCs w:val="14"/>
                <w:color w:val="auto"/>
              </w:rPr>
              <w:t>(8)</w:t>
            </w:r>
          </w:p>
        </w:tc>
        <w:tc>
          <w:tcPr>
            <w:tcW w:w="3400" w:type="dxa"/>
            <w:vAlign w:val="bottom"/>
            <w:gridSpan w:val="3"/>
          </w:tcPr>
          <w:p>
            <w:pPr>
              <w:jc w:val="right"/>
              <w:ind w:right="580"/>
              <w:spacing w:after="0"/>
              <w:rPr>
                <w:sz w:val="20"/>
                <w:szCs w:val="20"/>
                <w:color w:val="auto"/>
              </w:rPr>
            </w:pPr>
            <w:r>
              <w:rPr>
                <w:rFonts w:ascii="Arial" w:cs="Arial" w:eastAsia="Arial" w:hAnsi="Arial"/>
                <w:sz w:val="17"/>
                <w:szCs w:val="17"/>
                <w:color w:val="auto"/>
              </w:rPr>
              <w:t>1,140,898</w:t>
            </w:r>
          </w:p>
        </w:tc>
        <w:tc>
          <w:tcPr>
            <w:tcW w:w="1120" w:type="dxa"/>
            <w:vAlign w:val="bottom"/>
            <w:gridSpan w:val="2"/>
          </w:tcPr>
          <w:p>
            <w:pPr>
              <w:jc w:val="right"/>
              <w:ind w:right="660"/>
              <w:spacing w:after="0"/>
              <w:rPr>
                <w:sz w:val="20"/>
                <w:szCs w:val="20"/>
                <w:color w:val="auto"/>
              </w:rPr>
            </w:pPr>
            <w:r>
              <w:rPr>
                <w:rFonts w:ascii="Arial" w:cs="Arial" w:eastAsia="Arial" w:hAnsi="Arial"/>
                <w:sz w:val="17"/>
                <w:szCs w:val="17"/>
                <w:color w:val="auto"/>
              </w:rPr>
              <w:t>1.1</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E. Hoffman</w:t>
            </w:r>
            <w:r>
              <w:rPr>
                <w:rFonts w:ascii="Arial" w:cs="Arial" w:eastAsia="Arial" w:hAnsi="Arial"/>
                <w:sz w:val="14"/>
                <w:szCs w:val="14"/>
                <w:color w:val="auto"/>
              </w:rPr>
              <w:t>(9)</w:t>
            </w:r>
          </w:p>
        </w:tc>
        <w:tc>
          <w:tcPr>
            <w:tcW w:w="340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47,141</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7"/>
                <w:szCs w:val="17"/>
                <w:color w:val="auto"/>
              </w:rPr>
              <w:t>Tiba Aynechi, Ph.D.</w:t>
            </w:r>
          </w:p>
        </w:tc>
        <w:tc>
          <w:tcPr>
            <w:tcW w:w="198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Carol G. Gallagher, Pharm.D.</w:t>
            </w:r>
            <w:r>
              <w:rPr>
                <w:rFonts w:ascii="Arial" w:cs="Arial" w:eastAsia="Arial" w:hAnsi="Arial"/>
                <w:sz w:val="14"/>
                <w:szCs w:val="14"/>
                <w:color w:val="auto"/>
              </w:rPr>
              <w:t>(10)</w:t>
            </w:r>
          </w:p>
        </w:tc>
        <w:tc>
          <w:tcPr>
            <w:tcW w:w="340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1,134,132</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1.1</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7"/>
                <w:szCs w:val="17"/>
                <w:color w:val="auto"/>
              </w:rPr>
              <w:t>Nicholas B. Lydon, Ph.D., FRS</w:t>
            </w:r>
            <w:r>
              <w:rPr>
                <w:rFonts w:ascii="Arial" w:cs="Arial" w:eastAsia="Arial" w:hAnsi="Arial"/>
                <w:sz w:val="14"/>
                <w:szCs w:val="14"/>
                <w:color w:val="auto"/>
              </w:rPr>
              <w:t>(11)</w:t>
            </w:r>
          </w:p>
        </w:tc>
        <w:tc>
          <w:tcPr>
            <w:tcW w:w="3400" w:type="dxa"/>
            <w:vAlign w:val="bottom"/>
            <w:gridSpan w:val="3"/>
          </w:tcPr>
          <w:p>
            <w:pPr>
              <w:jc w:val="right"/>
              <w:ind w:right="580"/>
              <w:spacing w:after="0"/>
              <w:rPr>
                <w:sz w:val="20"/>
                <w:szCs w:val="20"/>
                <w:color w:val="auto"/>
              </w:rPr>
            </w:pPr>
            <w:r>
              <w:rPr>
                <w:rFonts w:ascii="Arial" w:cs="Arial" w:eastAsia="Arial" w:hAnsi="Arial"/>
                <w:sz w:val="17"/>
                <w:szCs w:val="17"/>
                <w:color w:val="auto"/>
              </w:rPr>
              <w:t>2,229,189</w:t>
            </w:r>
          </w:p>
        </w:tc>
        <w:tc>
          <w:tcPr>
            <w:tcW w:w="1120" w:type="dxa"/>
            <w:vAlign w:val="bottom"/>
            <w:gridSpan w:val="2"/>
          </w:tcPr>
          <w:p>
            <w:pPr>
              <w:jc w:val="right"/>
              <w:ind w:right="660"/>
              <w:spacing w:after="0"/>
              <w:rPr>
                <w:sz w:val="20"/>
                <w:szCs w:val="20"/>
                <w:color w:val="auto"/>
              </w:rPr>
            </w:pPr>
            <w:r>
              <w:rPr>
                <w:rFonts w:ascii="Arial" w:cs="Arial" w:eastAsia="Arial" w:hAnsi="Arial"/>
                <w:sz w:val="17"/>
                <w:szCs w:val="17"/>
                <w:color w:val="auto"/>
              </w:rPr>
              <w:t>2.2</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Hollings Renton</w:t>
            </w:r>
            <w:r>
              <w:rPr>
                <w:rFonts w:ascii="Arial" w:cs="Arial" w:eastAsia="Arial" w:hAnsi="Arial"/>
                <w:sz w:val="14"/>
                <w:szCs w:val="14"/>
                <w:color w:val="auto"/>
              </w:rPr>
              <w:t>(12)</w:t>
            </w:r>
          </w:p>
        </w:tc>
        <w:tc>
          <w:tcPr>
            <w:tcW w:w="340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358,098</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7"/>
                <w:szCs w:val="17"/>
                <w:color w:val="auto"/>
              </w:rPr>
              <w:t>John Schmid</w:t>
            </w:r>
            <w:r>
              <w:rPr>
                <w:rFonts w:ascii="Arial" w:cs="Arial" w:eastAsia="Arial" w:hAnsi="Arial"/>
                <w:sz w:val="14"/>
                <w:szCs w:val="14"/>
                <w:color w:val="auto"/>
              </w:rPr>
              <w:t>(13)</w:t>
            </w:r>
          </w:p>
        </w:tc>
        <w:tc>
          <w:tcPr>
            <w:tcW w:w="3400" w:type="dxa"/>
            <w:vAlign w:val="bottom"/>
            <w:gridSpan w:val="3"/>
          </w:tcPr>
          <w:p>
            <w:pPr>
              <w:jc w:val="right"/>
              <w:ind w:right="580"/>
              <w:spacing w:after="0"/>
              <w:rPr>
                <w:sz w:val="20"/>
                <w:szCs w:val="20"/>
                <w:color w:val="auto"/>
              </w:rPr>
            </w:pPr>
            <w:r>
              <w:rPr>
                <w:rFonts w:ascii="Arial" w:cs="Arial" w:eastAsia="Arial" w:hAnsi="Arial"/>
                <w:sz w:val="17"/>
                <w:szCs w:val="17"/>
                <w:color w:val="auto"/>
              </w:rPr>
              <w:t>296,370</w:t>
            </w:r>
          </w:p>
        </w:tc>
        <w:tc>
          <w:tcPr>
            <w:tcW w:w="112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A. Schoeneck</w:t>
            </w:r>
            <w:r>
              <w:rPr>
                <w:rFonts w:ascii="Arial" w:cs="Arial" w:eastAsia="Arial" w:hAnsi="Arial"/>
                <w:sz w:val="14"/>
                <w:szCs w:val="14"/>
                <w:color w:val="auto"/>
              </w:rPr>
              <w:t>(14)</w:t>
            </w:r>
          </w:p>
        </w:tc>
        <w:tc>
          <w:tcPr>
            <w:tcW w:w="340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296,365</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7"/>
                <w:szCs w:val="17"/>
                <w:color w:val="auto"/>
              </w:rPr>
              <w:t>James N. Topper, M.D., Ph.D.</w:t>
            </w:r>
            <w:r>
              <w:rPr>
                <w:rFonts w:ascii="Arial" w:cs="Arial" w:eastAsia="Arial" w:hAnsi="Arial"/>
                <w:sz w:val="14"/>
                <w:szCs w:val="14"/>
                <w:color w:val="auto"/>
              </w:rPr>
              <w:t>(1)</w:t>
            </w:r>
          </w:p>
        </w:tc>
        <w:tc>
          <w:tcPr>
            <w:tcW w:w="3400" w:type="dxa"/>
            <w:vAlign w:val="bottom"/>
            <w:gridSpan w:val="3"/>
          </w:tcPr>
          <w:p>
            <w:pPr>
              <w:jc w:val="right"/>
              <w:ind w:right="580"/>
              <w:spacing w:after="0"/>
              <w:rPr>
                <w:sz w:val="20"/>
                <w:szCs w:val="20"/>
                <w:color w:val="auto"/>
              </w:rPr>
            </w:pPr>
            <w:r>
              <w:rPr>
                <w:rFonts w:ascii="Arial" w:cs="Arial" w:eastAsia="Arial" w:hAnsi="Arial"/>
                <w:sz w:val="17"/>
                <w:szCs w:val="17"/>
                <w:color w:val="auto"/>
              </w:rPr>
              <w:t>23,019,148</w:t>
            </w:r>
          </w:p>
        </w:tc>
        <w:tc>
          <w:tcPr>
            <w:tcW w:w="1120" w:type="dxa"/>
            <w:vAlign w:val="bottom"/>
            <w:gridSpan w:val="2"/>
          </w:tcPr>
          <w:p>
            <w:pPr>
              <w:jc w:val="right"/>
              <w:ind w:right="660"/>
              <w:spacing w:after="0"/>
              <w:rPr>
                <w:sz w:val="20"/>
                <w:szCs w:val="20"/>
                <w:color w:val="auto"/>
              </w:rPr>
            </w:pPr>
            <w:r>
              <w:rPr>
                <w:rFonts w:ascii="Arial" w:cs="Arial" w:eastAsia="Arial" w:hAnsi="Arial"/>
                <w:sz w:val="17"/>
                <w:szCs w:val="17"/>
                <w:color w:val="auto"/>
              </w:rPr>
              <w:t>23.1</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executive officers and directors as a group (nine persons)</w:t>
            </w:r>
            <w:r>
              <w:rPr>
                <w:rFonts w:ascii="Arial" w:cs="Arial" w:eastAsia="Arial" w:hAnsi="Arial"/>
                <w:sz w:val="14"/>
                <w:szCs w:val="14"/>
                <w:color w:val="auto"/>
              </w:rPr>
              <w:t>(15)</w:t>
            </w:r>
          </w:p>
        </w:tc>
        <w:tc>
          <w:tcPr>
            <w:tcW w:w="340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31,449,392</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29.7</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1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80" w:type="dxa"/>
            <w:vAlign w:val="bottom"/>
          </w:tcPr>
          <w:p>
            <w:pPr>
              <w:jc w:val="right"/>
              <w:ind w:right="1093"/>
              <w:spacing w:after="0"/>
              <w:rPr>
                <w:sz w:val="20"/>
                <w:szCs w:val="20"/>
                <w:color w:val="auto"/>
              </w:rPr>
            </w:pPr>
            <w:r>
              <w:rPr>
                <w:rFonts w:ascii="Arial" w:cs="Arial" w:eastAsia="Arial" w:hAnsi="Arial"/>
                <w:sz w:val="17"/>
                <w:szCs w:val="17"/>
                <w:color w:val="auto"/>
              </w:rPr>
              <w:t>135</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286385</wp:posOffset>
            </wp:positionV>
            <wp:extent cx="7232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60" w:hanging="455"/>
        <w:spacing w:after="0"/>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w:t>
      </w:r>
    </w:p>
    <w:p>
      <w:pPr>
        <w:spacing w:after="0" w:line="26" w:lineRule="exact"/>
        <w:rPr>
          <w:sz w:val="20"/>
          <w:szCs w:val="20"/>
          <w:color w:val="auto"/>
        </w:rPr>
      </w:pPr>
    </w:p>
    <w:p>
      <w:pPr>
        <w:ind w:left="460" w:hanging="455"/>
        <w:spacing w:after="0"/>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Consists of (a) 15,598,651 shares of common stock following conversion of convertible preferred stock held directly by Frazier Healthcare V, L.P.,</w:t>
      </w:r>
    </w:p>
    <w:p>
      <w:pPr>
        <w:spacing w:after="0" w:line="14" w:lineRule="exact"/>
        <w:rPr>
          <w:rFonts w:ascii="Arial" w:cs="Arial" w:eastAsia="Arial" w:hAnsi="Arial"/>
          <w:sz w:val="17"/>
          <w:szCs w:val="17"/>
          <w:color w:val="auto"/>
        </w:rPr>
      </w:pPr>
    </w:p>
    <w:p>
      <w:pPr>
        <w:ind w:left="460" w:right="20" w:hanging="10"/>
        <w:spacing w:after="0" w:line="273" w:lineRule="auto"/>
        <w:tabs>
          <w:tab w:leader="none" w:pos="70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5,136,185 shares of common stock following conversion of convertible preferred stock held directly by Frazier Healthcare VII, L.P., (c) 1,463,665 shares of common stock following conversion of convertible preferred stock held directly by Frazier Healthcare VII-A, L.P. and (d) 820,647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is a member of FHM V, LLC and FHM VII, LLC and may be deemed to have voting and investment power with respect to the shares held by FHM V, LLC and FHM VII, LLC.</w:t>
      </w:r>
    </w:p>
    <w:p>
      <w:pPr>
        <w:spacing w:after="0" w:line="1" w:lineRule="exact"/>
        <w:rPr>
          <w:rFonts w:ascii="Arial" w:cs="Arial" w:eastAsia="Arial" w:hAnsi="Arial"/>
          <w:sz w:val="16"/>
          <w:szCs w:val="16"/>
          <w:color w:val="auto"/>
        </w:rPr>
      </w:pPr>
    </w:p>
    <w:p>
      <w:pPr>
        <w:ind w:left="460" w:hanging="455"/>
        <w:spacing w:after="0" w:line="257"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Consists of (a) 20,312,830 shares of common stock following conversion of convertible preferred stock held directly by Novo A/S and (b) 820,647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1" w:lineRule="exact"/>
        <w:rPr>
          <w:rFonts w:ascii="Arial" w:cs="Arial" w:eastAsia="Arial" w:hAnsi="Arial"/>
          <w:sz w:val="17"/>
          <w:szCs w:val="17"/>
          <w:color w:val="auto"/>
        </w:rPr>
      </w:pPr>
    </w:p>
    <w:p>
      <w:pPr>
        <w:ind w:left="460" w:right="260" w:hanging="455"/>
        <w:spacing w:after="0" w:line="257"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Consists of (a) 14,258,530 shares of common stock held directly by Avalon Ventures VII, L.P. and (b) 822,386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ind w:left="460" w:right="60" w:hanging="455"/>
        <w:spacing w:after="0" w:line="257"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Consists of 8,977,414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ind w:left="460" w:hanging="455"/>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(a) 3,449,203 shares of common stock following conversion of convertible preferred stock held directly by Biotechnology Value Fund, L.P.,</w:t>
      </w:r>
    </w:p>
    <w:p>
      <w:pPr>
        <w:spacing w:after="0" w:line="25" w:lineRule="exact"/>
        <w:rPr>
          <w:rFonts w:ascii="Arial" w:cs="Arial" w:eastAsia="Arial" w:hAnsi="Arial"/>
          <w:sz w:val="16"/>
          <w:szCs w:val="16"/>
          <w:color w:val="auto"/>
        </w:rPr>
      </w:pPr>
    </w:p>
    <w:p>
      <w:pPr>
        <w:ind w:left="460" w:right="180" w:hanging="10"/>
        <w:spacing w:after="0" w:line="257" w:lineRule="auto"/>
        <w:tabs>
          <w:tab w:leader="none" w:pos="70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1,974,000 shares of common stock following conversion of convertible preferred stock held directly by Biotechnology Value Fund II, L.P., (c) 637,000 shares of common stock following conversion of convertible preferred stock held directly by Investment 10, L.L.C. and (d) 1,014,000 shares of common stock following conversion of convertible preferred stock held directly by MSI BVF SPV, L.L.C.</w:t>
      </w:r>
    </w:p>
    <w:p>
      <w:pPr>
        <w:ind w:left="460" w:right="80" w:hanging="455"/>
        <w:spacing w:after="0" w:line="257"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Represents 6,599,851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ind w:left="460" w:right="160" w:hanging="455"/>
        <w:spacing w:after="0" w:line="257"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Consists of (a) 34,996 shares of common stock following conversion of convertible preferred stock held directly by Mr. Suria and (b) 2,893,055 shares of common stock issuable to Mr. Suria upon the exercise of stock options that are exercisable within 60 days of November 30, 2015, of which 957,138 shares were unvested but were early exercisable, as of 60 days after November 30, 2015.</w:t>
      </w:r>
    </w:p>
    <w:p>
      <w:pPr>
        <w:ind w:left="460" w:right="60" w:hanging="455"/>
        <w:spacing w:after="0" w:line="265"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Consists of (a) 14,142 shares of common stock following conversion of convertible preferred stock held directly by Dr. Londei and (b) 1,126,756 shares of common stock issuable to Dr. Londei upon the exercise of stock options that are exercisable within 60 days of November 30, 2015, of which 774,645 shares were unvested but were early exercisable, as of 60 days after November 30, 2015.</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20"/>
          </w:cols>
          <w:pgMar w:left="240" w:top="449"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hanging="455"/>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Consists of 47,141 shares of common stock following conversion of convertible preferred stock held directly by Mr. Hoffman.</w:t>
      </w:r>
    </w:p>
    <w:p>
      <w:pPr>
        <w:spacing w:after="0" w:line="26" w:lineRule="exact"/>
        <w:rPr>
          <w:rFonts w:ascii="Arial" w:cs="Arial" w:eastAsia="Arial" w:hAnsi="Arial"/>
          <w:sz w:val="17"/>
          <w:szCs w:val="17"/>
          <w:color w:val="auto"/>
        </w:rPr>
      </w:pPr>
    </w:p>
    <w:p>
      <w:pPr>
        <w:ind w:left="460" w:hanging="455"/>
        <w:spacing w:after="0" w:line="257"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Consists of (a) 450,075 shares of common stock following conversion of convertible preferred stock held directly by Dr. Gallagher and (b) 684,057 shares of common stock issuable to Dr. Gallagher upon the exercise of stock options that are exercisable within 60 days of November 30, 2015.</w:t>
      </w:r>
    </w:p>
    <w:p>
      <w:pPr>
        <w:ind w:left="460" w:right="400" w:hanging="455"/>
        <w:spacing w:after="0" w:line="291" w:lineRule="auto"/>
        <w:tabs>
          <w:tab w:leader="none" w:pos="4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Consists of (a) 471,332 shares of common stock held directly by Dr. Lydon, (b) 1,425,385 shares of common stock following conversion of convertible preferred stock held directly by Dr. Lydon, (c) 115,384 shares of common stock issuable upon the exercise of a warrant held directly by Dr. Lydon and</w:t>
      </w:r>
    </w:p>
    <w:p>
      <w:pPr>
        <w:ind w:left="460" w:right="140" w:hanging="10"/>
        <w:spacing w:after="0" w:line="257" w:lineRule="auto"/>
        <w:tabs>
          <w:tab w:leader="none" w:pos="707" w:val="left"/>
        </w:tabs>
        <w:numPr>
          <w:ilvl w:val="1"/>
          <w:numId w:val="103"/>
        </w:numPr>
        <w:rPr>
          <w:rFonts w:ascii="Arial" w:cs="Arial" w:eastAsia="Arial" w:hAnsi="Arial"/>
          <w:sz w:val="17"/>
          <w:szCs w:val="17"/>
          <w:color w:val="auto"/>
        </w:rPr>
      </w:pPr>
      <w:r>
        <w:rPr>
          <w:rFonts w:ascii="Arial" w:cs="Arial" w:eastAsia="Arial" w:hAnsi="Arial"/>
          <w:sz w:val="17"/>
          <w:szCs w:val="17"/>
          <w:color w:val="auto"/>
        </w:rPr>
        <w:t>217,088 shares of common stock issuable to Dr. Lydon upon the exercise of stock options that are exercisable within 60 days of November 30, 2015, of which 119,500 shares were unvested but were early exercisable, as of 60 days after November 30, 2015.</w:t>
      </w:r>
    </w:p>
    <w:p>
      <w:pPr>
        <w:ind w:left="460" w:right="120" w:hanging="455"/>
        <w:spacing w:after="0" w:line="257"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Represents 358,098 shares of common stock issuable to Mr. Renton upon the exercise of stock options that are exercisable within 60 days of November 30, 2015, of which 290,458 shares were unvested but were early exercisable, as of 60 days after November 30, 2015.</w:t>
      </w:r>
    </w:p>
    <w:p>
      <w:pPr>
        <w:ind w:left="460" w:right="80" w:hanging="455"/>
        <w:spacing w:after="0" w:line="257"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Represents 296,370 shares of common stock issuable to Mr. Schmid upon the exercise of stock options that are exercisable within 60 days of November 30, 2015, of which 258,816 shares were unvested but were early exercisable, as of 60 days after November 30, 2015.</w:t>
      </w:r>
    </w:p>
    <w:p>
      <w:pPr>
        <w:ind w:left="460" w:right="120" w:hanging="455"/>
        <w:spacing w:after="0" w:line="257"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Represents 296,365 shares of common stock issuable to Mr. Schoeneck upon the exercise of stock options that are exercisable within 60 days of November 30, 2015, of which 279,901 shares were unvested but were early exercisable, as of 60 days after November 30, 2015.</w:t>
      </w:r>
    </w:p>
    <w:p>
      <w:pPr>
        <w:ind w:left="460" w:right="20" w:hanging="455"/>
        <w:spacing w:after="0" w:line="273"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Includes shares beneficially owned by our current executive officers and directors. Consists of (a) 471,332 shares of common stock, (b) 24,170,240 shares of common stock following conversion of convertible preferred stock, (c) 936,031 shares of common stock issuable upon the exercise of warrants and</w:t>
      </w:r>
    </w:p>
    <w:p>
      <w:pPr>
        <w:ind w:left="460" w:right="480" w:hanging="10"/>
        <w:spacing w:after="0" w:line="274" w:lineRule="auto"/>
        <w:tabs>
          <w:tab w:leader="none" w:pos="707" w:val="left"/>
        </w:tabs>
        <w:numPr>
          <w:ilvl w:val="1"/>
          <w:numId w:val="103"/>
        </w:numPr>
        <w:rPr>
          <w:rFonts w:ascii="Arial" w:cs="Arial" w:eastAsia="Arial" w:hAnsi="Arial"/>
          <w:sz w:val="17"/>
          <w:szCs w:val="17"/>
          <w:color w:val="auto"/>
        </w:rPr>
      </w:pPr>
      <w:r>
        <w:rPr>
          <w:rFonts w:ascii="Arial" w:cs="Arial" w:eastAsia="Arial" w:hAnsi="Arial"/>
          <w:sz w:val="17"/>
          <w:szCs w:val="17"/>
          <w:color w:val="auto"/>
        </w:rPr>
        <w:t>5,871,789 shares of common stock issuable upon the exercise of stock options that are exercisable within 60 days of November 30, 2015, of which 2,680,458 shares were unvested but early exercisable, as of 60 days after November 30, 2015.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420"/>
          </w:cols>
          <w:pgMar w:left="240" w:top="449" w:right="2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DESCRIPTION OF CAPITAL STOCK</w:t>
      </w:r>
    </w:p>
    <w:p>
      <w:pPr>
        <w:spacing w:after="0" w:line="230"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Upon the closing of this offering, our authorized capital stock will consist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78"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September 30, 2015, there were 98,951,685 shares of our common stock issued, held by approximately 71 stockholders of record, and no shares of our preferred stock outstanding. Our board of directors is authorized, without stockholder approval, to issue additional shares of our capital stock.</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Dividend Rights</w:t>
      </w:r>
    </w:p>
    <w:p>
      <w:pPr>
        <w:spacing w:after="0" w:line="119"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 Rights</w:t>
      </w:r>
    </w:p>
    <w:p>
      <w:pPr>
        <w:spacing w:after="0" w:line="1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 Preemptive or Similar Rights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stock is not entitled to preemptive rights, and is not subject to conversion, redemption or sinking fund provisions.</w:t>
      </w:r>
    </w:p>
    <w:p>
      <w:pPr>
        <w:spacing w:after="0" w:line="32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Right to Receive Liquidation Distributions</w:t>
      </w:r>
    </w:p>
    <w:p>
      <w:pPr>
        <w:spacing w:after="0" w:line="119" w:lineRule="exact"/>
        <w:rPr>
          <w:sz w:val="20"/>
          <w:szCs w:val="20"/>
          <w:color w:val="auto"/>
        </w:rPr>
      </w:pPr>
    </w:p>
    <w:p>
      <w:pPr>
        <w:jc w:val="both"/>
        <w:ind w:right="160" w:firstLine="457"/>
        <w:spacing w:after="0" w:line="273"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5"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380"/>
          </w:cols>
          <w:pgMar w:left="240" w:top="449" w:right="27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5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2015, we had outstanding the following warrants to purchase shares of our capital stock:</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Total Number</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40" w:type="dxa"/>
            <w:vAlign w:val="bottom"/>
            <w:gridSpan w:val="2"/>
          </w:tcPr>
          <w:p>
            <w:pPr>
              <w:jc w:val="center"/>
              <w:ind w:right="560"/>
              <w:spacing w:after="0" w:line="144"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000" w:type="dxa"/>
            <w:vAlign w:val="bottom"/>
            <w:gridSpan w:val="2"/>
          </w:tcPr>
          <w:p>
            <w:pPr>
              <w:jc w:val="center"/>
              <w:ind w:right="660"/>
              <w:spacing w:after="0" w:line="144" w:lineRule="exact"/>
              <w:rPr>
                <w:sz w:val="20"/>
                <w:szCs w:val="20"/>
                <w:color w:val="auto"/>
              </w:rPr>
            </w:pPr>
            <w:r>
              <w:rPr>
                <w:rFonts w:ascii="Arial" w:cs="Arial" w:eastAsia="Arial" w:hAnsi="Arial"/>
                <w:sz w:val="14"/>
                <w:szCs w:val="14"/>
                <w:b w:val="1"/>
                <w:bCs w:val="1"/>
                <w:color w:val="auto"/>
                <w:w w:val="87"/>
              </w:rPr>
              <w:t>Price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Capital Stock</w:t>
            </w:r>
          </w:p>
        </w:tc>
        <w:tc>
          <w:tcPr>
            <w:tcW w:w="1440" w:type="dxa"/>
            <w:vAlign w:val="bottom"/>
            <w:gridSpan w:val="2"/>
          </w:tcPr>
          <w:p>
            <w:pPr>
              <w:jc w:val="center"/>
              <w:ind w:right="560"/>
              <w:spacing w:after="0" w:line="144" w:lineRule="exact"/>
              <w:rPr>
                <w:sz w:val="20"/>
                <w:szCs w:val="20"/>
                <w:color w:val="auto"/>
              </w:rPr>
            </w:pPr>
            <w:r>
              <w:rPr>
                <w:rFonts w:ascii="Arial" w:cs="Arial" w:eastAsia="Arial" w:hAnsi="Arial"/>
                <w:sz w:val="14"/>
                <w:szCs w:val="14"/>
                <w:b w:val="1"/>
                <w:bCs w:val="1"/>
                <w:color w:val="auto"/>
                <w:w w:val="88"/>
              </w:rPr>
              <w:t>Subject to</w:t>
            </w:r>
          </w:p>
        </w:tc>
        <w:tc>
          <w:tcPr>
            <w:tcW w:w="100" w:type="dxa"/>
            <w:vAlign w:val="bottom"/>
          </w:tcPr>
          <w:p>
            <w:pPr>
              <w:spacing w:after="0"/>
              <w:rPr>
                <w:sz w:val="12"/>
                <w:szCs w:val="12"/>
                <w:color w:val="auto"/>
              </w:rPr>
            </w:pPr>
          </w:p>
        </w:tc>
        <w:tc>
          <w:tcPr>
            <w:tcW w:w="1000" w:type="dxa"/>
            <w:vAlign w:val="bottom"/>
            <w:gridSpan w:val="2"/>
          </w:tcPr>
          <w:p>
            <w:pPr>
              <w:jc w:val="center"/>
              <w:ind w:right="660"/>
              <w:spacing w:after="0" w:line="144" w:lineRule="exact"/>
              <w:rPr>
                <w:sz w:val="20"/>
                <w:szCs w:val="20"/>
                <w:color w:val="auto"/>
              </w:rPr>
            </w:pPr>
            <w:r>
              <w:rPr>
                <w:rFonts w:ascii="Arial" w:cs="Arial" w:eastAsia="Arial" w:hAnsi="Arial"/>
                <w:sz w:val="14"/>
                <w:szCs w:val="14"/>
                <w:b w:val="1"/>
                <w:bCs w:val="1"/>
                <w:color w:val="auto"/>
                <w:w w:val="97"/>
              </w:rPr>
              <w:t>Per</w:t>
            </w: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Expiration Dates</w:t>
            </w:r>
          </w:p>
        </w:tc>
        <w:tc>
          <w:tcPr>
            <w:tcW w:w="0" w:type="dxa"/>
            <w:vAlign w:val="bottom"/>
          </w:tcPr>
          <w:p>
            <w:pPr>
              <w:spacing w:after="0"/>
              <w:rPr>
                <w:sz w:val="1"/>
                <w:szCs w:val="1"/>
                <w:color w:val="auto"/>
              </w:rPr>
            </w:pPr>
          </w:p>
        </w:tc>
      </w:tr>
      <w:tr>
        <w:trPr>
          <w:trHeight w:val="167"/>
        </w:trPr>
        <w:tc>
          <w:tcPr>
            <w:tcW w:w="5640" w:type="dxa"/>
            <w:vAlign w:val="bottom"/>
            <w:gridSpan w:val="2"/>
            <w:vMerge w:val="continue"/>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Share</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Common Stock</w:t>
            </w:r>
          </w:p>
        </w:tc>
        <w:tc>
          <w:tcPr>
            <w:tcW w:w="4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822,386</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5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November 2018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7"/>
                <w:szCs w:val="17"/>
                <w:color w:val="auto"/>
              </w:rPr>
              <w:t>Series C Preferred Stock</w:t>
            </w:r>
          </w:p>
        </w:tc>
        <w:tc>
          <w:tcPr>
            <w:tcW w:w="880" w:type="dxa"/>
            <w:vAlign w:val="bottom"/>
          </w:tcPr>
          <w:p>
            <w:pPr>
              <w:jc w:val="right"/>
              <w:spacing w:after="0"/>
              <w:rPr>
                <w:sz w:val="20"/>
                <w:szCs w:val="20"/>
                <w:color w:val="auto"/>
              </w:rPr>
            </w:pPr>
            <w:r>
              <w:rPr>
                <w:rFonts w:ascii="Arial" w:cs="Arial" w:eastAsia="Arial" w:hAnsi="Arial"/>
                <w:sz w:val="17"/>
                <w:szCs w:val="17"/>
                <w:color w:val="auto"/>
              </w:rPr>
              <w:t>1,775,022</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560"/>
              <w:spacing w:after="0"/>
              <w:rPr>
                <w:sz w:val="20"/>
                <w:szCs w:val="20"/>
                <w:color w:val="auto"/>
              </w:rPr>
            </w:pPr>
            <w:r>
              <w:rPr>
                <w:rFonts w:ascii="Arial" w:cs="Arial" w:eastAsia="Arial" w:hAnsi="Arial"/>
                <w:sz w:val="17"/>
                <w:szCs w:val="17"/>
                <w:color w:val="auto"/>
              </w:rPr>
              <w:t>0.65</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November 2018</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Series C Preferred Stock</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288,462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0.65</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December 2024</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125"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As of September 30, 2015, we had outstanding options to purchase an aggregate 13,563,272 shares of our common stock, with a weighted-average exercise price of $0.51. Additional options to purchase 1,251,041 shares of our common stock, with an exercise price of $1.22 were granted between September 30, 2015 and November 30, 2015.</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5"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Pursuant to the terms of our Amended and Restated Investor Rights Agreement, immediately following this offering, the holders of 98,951,685 shares of our common stock will be entitled to rights with respect to the registration of these shares under the Securities Act, as described below. We refer to these shares collectively as registrable securities.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19" w:lineRule="exact"/>
        <w:rPr>
          <w:sz w:val="20"/>
          <w:szCs w:val="20"/>
          <w:color w:val="auto"/>
        </w:rPr>
      </w:pPr>
    </w:p>
    <w:p>
      <w:pPr>
        <w:ind w:right="200" w:firstLine="457"/>
        <w:spacing w:after="0" w:line="265" w:lineRule="auto"/>
        <w:rPr>
          <w:sz w:val="20"/>
          <w:szCs w:val="20"/>
          <w:color w:val="auto"/>
        </w:rPr>
      </w:pPr>
      <w:r>
        <w:rPr>
          <w:rFonts w:ascii="Arial" w:cs="Arial" w:eastAsia="Arial" w:hAnsi="Arial"/>
          <w:sz w:val="17"/>
          <w:szCs w:val="17"/>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20"/>
          </w:cols>
          <w:pgMar w:left="240" w:top="449" w:right="2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19"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Expenses of Registration Rights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generally will pay all expenses, other than underwriting discounts and commissions.</w:t>
      </w:r>
    </w:p>
    <w:p>
      <w:pPr>
        <w:spacing w:after="0" w:line="32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119" w:lineRule="exact"/>
        <w:rPr>
          <w:sz w:val="20"/>
          <w:szCs w:val="20"/>
          <w:color w:val="auto"/>
        </w:rPr>
      </w:pPr>
    </w:p>
    <w:p>
      <w:pPr>
        <w:ind w:right="80" w:firstLine="457"/>
        <w:spacing w:after="0" w:line="325" w:lineRule="auto"/>
        <w:rPr>
          <w:sz w:val="20"/>
          <w:szCs w:val="20"/>
          <w:color w:val="auto"/>
        </w:rPr>
      </w:pPr>
      <w:r>
        <w:rPr>
          <w:rFonts w:ascii="Arial" w:cs="Arial" w:eastAsia="Arial" w:hAnsi="Arial"/>
          <w:sz w:val="15"/>
          <w:szCs w:val="15"/>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125" w:lineRule="exact"/>
        <w:rPr>
          <w:sz w:val="20"/>
          <w:szCs w:val="20"/>
          <w:color w:val="auto"/>
        </w:rPr>
      </w:pPr>
    </w:p>
    <w:p>
      <w:pPr>
        <w:ind w:right="60" w:firstLine="457"/>
        <w:spacing w:after="0" w:line="308" w:lineRule="auto"/>
        <w:rPr>
          <w:sz w:val="20"/>
          <w:szCs w:val="20"/>
          <w:color w:val="auto"/>
        </w:rPr>
      </w:pPr>
      <w:r>
        <w:rPr>
          <w:rFonts w:ascii="Arial" w:cs="Arial" w:eastAsia="Arial" w:hAnsi="Arial"/>
          <w:sz w:val="15"/>
          <w:szCs w:val="15"/>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20"/>
          </w:cols>
          <w:pgMar w:left="240" w:top="449" w:right="2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Delaware Law</w:t>
      </w:r>
    </w:p>
    <w:p>
      <w:pPr>
        <w:spacing w:after="0" w:line="119"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79" w:lineRule="exact"/>
        <w:rPr>
          <w:sz w:val="20"/>
          <w:szCs w:val="20"/>
          <w:color w:val="auto"/>
        </w:rPr>
      </w:pPr>
    </w:p>
    <w:p>
      <w:pPr>
        <w:ind w:left="900" w:hanging="332"/>
        <w:spacing w:after="0" w:line="289"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which resulted in the stockholder becoming an interested stockholder;</w:t>
      </w:r>
    </w:p>
    <w:p>
      <w:pPr>
        <w:spacing w:after="0" w:line="66" w:lineRule="exact"/>
        <w:rPr>
          <w:rFonts w:ascii="Arial" w:cs="Arial" w:eastAsia="Arial" w:hAnsi="Arial"/>
          <w:sz w:val="17"/>
          <w:szCs w:val="17"/>
          <w:color w:val="auto"/>
        </w:rPr>
      </w:pPr>
    </w:p>
    <w:p>
      <w:pPr>
        <w:ind w:left="900" w:right="20" w:hanging="332"/>
        <w:spacing w:after="0" w:line="289"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69" w:lineRule="exact"/>
        <w:rPr>
          <w:rFonts w:ascii="Arial" w:cs="Arial" w:eastAsia="Arial" w:hAnsi="Arial"/>
          <w:sz w:val="16"/>
          <w:szCs w:val="16"/>
          <w:color w:val="auto"/>
        </w:rPr>
      </w:pPr>
    </w:p>
    <w:p>
      <w:pPr>
        <w:ind w:left="900" w:right="20" w:hanging="332"/>
        <w:spacing w:after="0" w:line="273"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71"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Restated Certificate of Incorporation and Restated Bylaw Provisions</w:t>
      </w:r>
    </w:p>
    <w:p>
      <w:pPr>
        <w:spacing w:after="0" w:line="119" w:lineRule="exact"/>
        <w:rPr>
          <w:sz w:val="20"/>
          <w:szCs w:val="20"/>
          <w:color w:val="auto"/>
        </w:rPr>
      </w:pPr>
    </w:p>
    <w:p>
      <w:pPr>
        <w:ind w:right="260" w:firstLine="457"/>
        <w:spacing w:after="0" w:line="289"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66" w:lineRule="exact"/>
        <w:rPr>
          <w:sz w:val="20"/>
          <w:szCs w:val="20"/>
          <w:color w:val="auto"/>
        </w:rPr>
      </w:pPr>
    </w:p>
    <w:p>
      <w:pPr>
        <w:ind w:left="900" w:right="240" w:hanging="332"/>
        <w:spacing w:after="0" w:line="265"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86" w:lineRule="exact"/>
        <w:rPr>
          <w:rFonts w:ascii="Arial" w:cs="Arial" w:eastAsia="Arial" w:hAnsi="Arial"/>
          <w:sz w:val="17"/>
          <w:szCs w:val="17"/>
          <w:color w:val="auto"/>
        </w:rPr>
      </w:pPr>
    </w:p>
    <w:p>
      <w:pPr>
        <w:jc w:val="both"/>
        <w:ind w:left="900" w:right="120" w:hanging="332"/>
        <w:spacing w:after="0" w:line="267"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restated certificate of incorporation and restated bylaws will provide that our board is classified into three classes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 Board Composition.”</w:t>
      </w:r>
    </w:p>
    <w:p>
      <w:pPr>
        <w:spacing w:after="0" w:line="86" w:lineRule="exact"/>
        <w:rPr>
          <w:rFonts w:ascii="Arial" w:cs="Arial" w:eastAsia="Arial" w:hAnsi="Arial"/>
          <w:sz w:val="17"/>
          <w:szCs w:val="17"/>
          <w:color w:val="auto"/>
        </w:rPr>
      </w:pPr>
    </w:p>
    <w:p>
      <w:pPr>
        <w:ind w:left="900" w:right="100" w:hanging="332"/>
        <w:spacing w:after="0" w:line="273"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will provide that our stockholders may not take action</w:t>
      </w:r>
      <w:r>
        <w:rPr>
          <w:rFonts w:ascii="Arial" w:cs="Arial" w:eastAsia="Arial" w:hAnsi="Arial"/>
          <w:sz w:val="17"/>
          <w:szCs w:val="17"/>
          <w:i w:val="1"/>
          <w:iCs w:val="1"/>
          <w:color w:val="auto"/>
        </w:rPr>
        <w:t xml:space="preserve"> </w:t>
      </w:r>
      <w:r>
        <w:rPr>
          <w:rFonts w:ascii="Arial" w:cs="Arial" w:eastAsia="Arial" w:hAnsi="Arial"/>
          <w:sz w:val="17"/>
          <w:szCs w:val="17"/>
          <w:color w:val="auto"/>
        </w:rPr>
        <w:t>by written consent, but may only take action at annual or special meetings of our stockholders. As a result, a holder controlling a majority of our capital stock would not be able to amend our restated bylaws or remove directors without holding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420"/>
          </w:cols>
          <w:pgMar w:left="240" w:top="449" w:right="2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300"/>
        <w:spacing w:after="0" w:line="289" w:lineRule="auto"/>
        <w:rPr>
          <w:sz w:val="20"/>
          <w:szCs w:val="20"/>
          <w:color w:val="auto"/>
        </w:rPr>
      </w:pPr>
      <w:r>
        <w:rPr>
          <w:rFonts w:ascii="Arial" w:cs="Arial" w:eastAsia="Arial" w:hAnsi="Arial"/>
          <w:sz w:val="16"/>
          <w:szCs w:val="16"/>
          <w:color w:val="auto"/>
        </w:rPr>
        <w:t>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70" w:lineRule="exact"/>
        <w:rPr>
          <w:sz w:val="20"/>
          <w:szCs w:val="20"/>
          <w:color w:val="auto"/>
        </w:rPr>
      </w:pPr>
    </w:p>
    <w:p>
      <w:pPr>
        <w:ind w:left="900" w:right="160" w:hanging="332"/>
        <w:spacing w:after="0" w:line="262"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restated bylaws will provide advance notice procedures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0" w:lineRule="exact"/>
        <w:rPr>
          <w:rFonts w:ascii="Arial" w:cs="Arial" w:eastAsia="Arial" w:hAnsi="Arial"/>
          <w:sz w:val="17"/>
          <w:szCs w:val="17"/>
          <w:color w:val="auto"/>
        </w:rPr>
      </w:pPr>
    </w:p>
    <w:p>
      <w:pPr>
        <w:ind w:left="900" w:hanging="332"/>
        <w:spacing w:after="0" w:line="273"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No Cumulative Voting. </w:t>
      </w:r>
      <w:r>
        <w:rPr>
          <w:rFonts w:ascii="Arial" w:cs="Arial" w:eastAsia="Arial" w:hAnsi="Arial"/>
          <w:sz w:val="17"/>
          <w:szCs w:val="17"/>
          <w:color w:val="auto"/>
        </w:rPr>
        <w:t>The Delaware General Corporation Law provides that stockholders are not entitled to the right to cumulate votes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of directors unless a corporation’s certificate of incorporation provides otherwise. Our restated certificate of incorporation and restated bylaws will not provide for cumulative voting.</w:t>
      </w:r>
    </w:p>
    <w:p>
      <w:pPr>
        <w:spacing w:after="0" w:line="79" w:lineRule="exact"/>
        <w:rPr>
          <w:rFonts w:ascii="Arial" w:cs="Arial" w:eastAsia="Arial" w:hAnsi="Arial"/>
          <w:sz w:val="17"/>
          <w:szCs w:val="17"/>
          <w:color w:val="auto"/>
        </w:rPr>
      </w:pPr>
    </w:p>
    <w:p>
      <w:pPr>
        <w:ind w:left="900" w:right="200" w:hanging="332"/>
        <w:spacing w:after="0" w:line="289"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Directors Removed Only for Cause. </w:t>
      </w:r>
      <w:r>
        <w:rPr>
          <w:rFonts w:ascii="Arial" w:cs="Arial" w:eastAsia="Arial" w:hAnsi="Arial"/>
          <w:sz w:val="17"/>
          <w:szCs w:val="17"/>
          <w:color w:val="auto"/>
        </w:rPr>
        <w:t>Our restated certificate of incorporation will provide that stockholders may remove directors only for cause and</w:t>
      </w:r>
      <w:r>
        <w:rPr>
          <w:rFonts w:ascii="Arial" w:cs="Arial" w:eastAsia="Arial" w:hAnsi="Arial"/>
          <w:sz w:val="17"/>
          <w:szCs w:val="17"/>
          <w:i w:val="1"/>
          <w:iCs w:val="1"/>
          <w:color w:val="auto"/>
        </w:rPr>
        <w:t xml:space="preserve"> </w:t>
      </w:r>
      <w:r>
        <w:rPr>
          <w:rFonts w:ascii="Arial" w:cs="Arial" w:eastAsia="Arial" w:hAnsi="Arial"/>
          <w:sz w:val="17"/>
          <w:szCs w:val="17"/>
          <w:color w:val="auto"/>
        </w:rPr>
        <w:t>only by the affirmative vote of the holders of at least two-thirds of our outstanding common stock.</w:t>
      </w:r>
    </w:p>
    <w:p>
      <w:pPr>
        <w:spacing w:after="0" w:line="66" w:lineRule="exact"/>
        <w:rPr>
          <w:rFonts w:ascii="Arial" w:cs="Arial" w:eastAsia="Arial" w:hAnsi="Arial"/>
          <w:sz w:val="17"/>
          <w:szCs w:val="17"/>
          <w:color w:val="auto"/>
        </w:rPr>
      </w:pPr>
    </w:p>
    <w:p>
      <w:pPr>
        <w:ind w:left="900" w:right="580" w:hanging="332"/>
        <w:spacing w:after="0" w:line="289"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Amendment of Charter Provisions. </w:t>
      </w:r>
      <w:r>
        <w:rPr>
          <w:rFonts w:ascii="Arial" w:cs="Arial" w:eastAsia="Arial" w:hAnsi="Arial"/>
          <w:sz w:val="17"/>
          <w:szCs w:val="17"/>
          <w:color w:val="auto"/>
        </w:rPr>
        <w:t>Any amendment of the above expected provisions in our restated certificate of incorporation would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by holders of at least two-thirds of our outstanding common stock.</w:t>
      </w:r>
    </w:p>
    <w:p>
      <w:pPr>
        <w:spacing w:after="0" w:line="66" w:lineRule="exact"/>
        <w:rPr>
          <w:rFonts w:ascii="Arial" w:cs="Arial" w:eastAsia="Arial" w:hAnsi="Arial"/>
          <w:sz w:val="17"/>
          <w:szCs w:val="17"/>
          <w:color w:val="auto"/>
        </w:rPr>
      </w:pPr>
    </w:p>
    <w:p>
      <w:pPr>
        <w:ind w:left="900" w:right="160" w:hanging="332"/>
        <w:spacing w:after="0" w:line="267"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86" w:lineRule="exact"/>
        <w:rPr>
          <w:rFonts w:ascii="Arial" w:cs="Arial" w:eastAsia="Arial" w:hAnsi="Arial"/>
          <w:sz w:val="17"/>
          <w:szCs w:val="17"/>
          <w:color w:val="auto"/>
        </w:rPr>
      </w:pPr>
    </w:p>
    <w:p>
      <w:pPr>
        <w:ind w:left="900" w:right="280" w:hanging="332"/>
        <w:spacing w:after="0" w:line="267"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Choice of Forum. </w:t>
      </w:r>
      <w:r>
        <w:rPr>
          <w:rFonts w:ascii="Arial" w:cs="Arial" w:eastAsia="Arial" w:hAnsi="Arial"/>
          <w:sz w:val="17"/>
          <w:szCs w:val="17"/>
          <w:color w:val="auto"/>
        </w:rPr>
        <w:t>Our restated certificate of incorporation will provide that the Court of Chancery of the State of Delaware will be the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5"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Upon the closing of this offering, the transfer agent and registrar for our common stock will be American Stock Transfer and Trust Company, LLC. The transfer agent’s address is 6201 15th Avenue, Brooklyn, New York 11219, and its telephone number is (800) 937-5449.</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Listing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“ANAB.”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420"/>
          </w:cols>
          <w:pgMar w:left="240" w:top="449" w:right="23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230"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78"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Upon the closing of this offering, we will have a total of shares of our common stock outstanding, based on the 98,951,685 shares of our capital stock outstanding as of September 30, 2015, assuming the automatic conversion of all outstanding shares of our convertible preferred stock into 80,645,051 shares</w:t>
      </w:r>
    </w:p>
    <w:p>
      <w:pPr>
        <w:jc w:val="both"/>
        <w:ind w:right="40"/>
        <w:spacing w:after="0" w:line="265" w:lineRule="auto"/>
        <w:rPr>
          <w:sz w:val="20"/>
          <w:szCs w:val="20"/>
          <w:color w:val="auto"/>
        </w:rPr>
      </w:pPr>
      <w:r>
        <w:rPr>
          <w:rFonts w:ascii="Arial" w:cs="Arial" w:eastAsia="Arial" w:hAnsi="Arial"/>
          <w:sz w:val="17"/>
          <w:szCs w:val="17"/>
          <w:color w:val="auto"/>
        </w:rPr>
        <w:t>of common stock as of immediately prior to the closing of this offering. Of these outstanding shares, all of the shares of common stock sold in this offering will be freely tradable, except that any shares purchased in this offering by our affiliates, as that term is defined in Rule 144 under the Securities Act, could only be sold in compliance with Rule 144.</w:t>
      </w:r>
    </w:p>
    <w:p>
      <w:pPr>
        <w:spacing w:after="0" w:line="179"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w:t>
      </w:r>
    </w:p>
    <w:p>
      <w:pPr>
        <w:spacing w:after="0" w:line="2"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agreement described above under “Description of Capital Stock—Registration Rights,” subject to the provisions of Rule 144 or Rule 701, shares will be available for sale in the public market as follows:</w:t>
      </w:r>
    </w:p>
    <w:p>
      <w:pPr>
        <w:spacing w:after="0" w:line="79" w:lineRule="exact"/>
        <w:rPr>
          <w:sz w:val="20"/>
          <w:szCs w:val="20"/>
          <w:color w:val="auto"/>
        </w:rPr>
      </w:pPr>
    </w:p>
    <w:p>
      <w:pPr>
        <w:ind w:left="900" w:hanging="332"/>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Beginning on the date of this prospectus, all of the shares sold in this offering will be immediately available for sale in the public market; and</w:t>
      </w:r>
    </w:p>
    <w:p>
      <w:pPr>
        <w:sectPr>
          <w:pgSz w:w="11900" w:h="16838" w:orient="portrait"/>
          <w:cols w:equalWidth="0" w:num="1">
            <w:col w:w="11420"/>
          </w:cols>
          <w:pgMar w:left="240" w:top="449" w:right="239" w:bottom="1440" w:gutter="0" w:footer="0" w:header="0"/>
        </w:sectPr>
      </w:pP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940" w:hanging="523"/>
        <w:spacing w:after="0" w:line="289" w:lineRule="auto"/>
        <w:rPr>
          <w:sz w:val="20"/>
          <w:szCs w:val="20"/>
          <w:color w:val="auto"/>
        </w:rPr>
      </w:pPr>
      <w:r>
        <w:rPr>
          <w:rFonts w:ascii="Arial" w:cs="Arial" w:eastAsia="Arial" w:hAnsi="Arial"/>
          <w:sz w:val="17"/>
          <w:szCs w:val="17"/>
          <w:color w:val="auto"/>
        </w:rPr>
        <w:t>Beginning 181 days after the date of this prospectus,</w:t>
      </w:r>
      <w:r>
        <w:rPr>
          <w:sz w:val="20"/>
          <w:szCs w:val="20"/>
          <w:color w:val="auto"/>
        </w:rPr>
        <w:t xml:space="preserve"> </w:t>
      </w:r>
      <w:r>
        <w:rPr>
          <w:rFonts w:ascii="Arial" w:cs="Arial" w:eastAsia="Arial" w:hAnsi="Arial"/>
          <w:sz w:val="17"/>
          <w:szCs w:val="17"/>
          <w:color w:val="auto"/>
        </w:rPr>
        <w:t>additional shares will become eligible for sale in the public market, of which shares will be held by affiliates and subject to the volume and other restrictions of Rule 144, as described below.</w:t>
      </w:r>
    </w:p>
    <w:p>
      <w:pPr>
        <w:spacing w:after="0" w:line="200" w:lineRule="exact"/>
        <w:rPr>
          <w:sz w:val="20"/>
          <w:szCs w:val="20"/>
          <w:color w:val="auto"/>
        </w:rPr>
      </w:pPr>
    </w:p>
    <w:p>
      <w:pPr>
        <w:sectPr>
          <w:pgSz w:w="11900" w:h="16838" w:orient="portrait"/>
          <w:cols w:equalWidth="0" w:num="2">
            <w:col w:w="700" w:space="720"/>
            <w:col w:w="10000"/>
          </w:cols>
          <w:pgMar w:left="240" w:top="449" w:right="2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Lock-Up/Market Standoff Agreements</w:t>
      </w:r>
    </w:p>
    <w:p>
      <w:pPr>
        <w:spacing w:after="0" w:line="125"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Credit Suisse Securities (USA) LLC and Stifel, Nicolaus &amp; Company, Incorporated. See “Underwriting.”</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25"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20"/>
          </w:cols>
          <w:pgMar w:left="240" w:top="449" w:right="239" w:bottom="1440" w:gutter="0" w:footer="0" w:header="0"/>
          <w:type w:val="continuous"/>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78" w:lineRule="exact"/>
        <w:rPr>
          <w:sz w:val="20"/>
          <w:szCs w:val="20"/>
          <w:color w:val="auto"/>
        </w:rPr>
      </w:pPr>
    </w:p>
    <w:p>
      <w:pPr>
        <w:ind w:right="160" w:firstLine="457"/>
        <w:spacing w:after="0" w:line="32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43" w:lineRule="exact"/>
        <w:rPr>
          <w:sz w:val="20"/>
          <w:szCs w:val="20"/>
          <w:color w:val="auto"/>
        </w:rPr>
      </w:pPr>
    </w:p>
    <w:p>
      <w:pPr>
        <w:ind w:left="560"/>
        <w:spacing w:after="0"/>
        <w:tabs>
          <w:tab w:leader="none" w:pos="880" w:val="left"/>
          <w:tab w:leader="none" w:pos="84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 of the number of shares of our common stock then outstanding, which will equal approximately</w:t>
      </w:r>
      <w:r>
        <w:rPr>
          <w:sz w:val="20"/>
          <w:szCs w:val="20"/>
          <w:color w:val="auto"/>
        </w:rPr>
        <w:tab/>
      </w:r>
      <w:r>
        <w:rPr>
          <w:rFonts w:ascii="Arial" w:cs="Arial" w:eastAsia="Arial" w:hAnsi="Arial"/>
          <w:sz w:val="16"/>
          <w:szCs w:val="16"/>
          <w:color w:val="auto"/>
        </w:rPr>
        <w:t>shares immediately after this offering; or</w:t>
      </w:r>
    </w:p>
    <w:p>
      <w:pPr>
        <w:spacing w:after="0" w:line="132" w:lineRule="exact"/>
        <w:rPr>
          <w:sz w:val="20"/>
          <w:szCs w:val="20"/>
          <w:color w:val="auto"/>
        </w:rPr>
      </w:pPr>
    </w:p>
    <w:p>
      <w:pPr>
        <w:ind w:left="900" w:right="120" w:hanging="332"/>
        <w:spacing w:after="0" w:line="289"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that sale.</w:t>
      </w:r>
    </w:p>
    <w:p>
      <w:pPr>
        <w:spacing w:after="0" w:line="158"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25" w:lineRule="exact"/>
        <w:rPr>
          <w:sz w:val="20"/>
          <w:szCs w:val="20"/>
          <w:color w:val="auto"/>
        </w:rPr>
      </w:pPr>
    </w:p>
    <w:p>
      <w:pPr>
        <w:ind w:right="340" w:firstLine="457"/>
        <w:spacing w:after="0" w:line="285"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2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13,563,272 shares of our common stock that were subject to stock options outstanding as of September 30, 2015, options to purchase 4,823,868 shares of common stock were vested as of September 30, 2015. Shares of our common stock underlying outstanding options will not be eligible for sale until expiration of the 180 day lock-up and market standoff agreements to which they are subject. See the section titled “Executive Compensation—Employee Benefit and Stock Plans” for a description of our equity incentive plans.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5"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Stock—Registration Rights.”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420"/>
          </w:cols>
          <w:pgMar w:left="240" w:top="449"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MATERIAL U.S. FEDERAL INCOME TAX CONSEQUENCES TO NON-U.S. HOLDERS</w:t>
      </w:r>
    </w:p>
    <w:p>
      <w:pPr>
        <w:spacing w:after="0" w:line="230"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68"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79" w:lineRule="exact"/>
        <w:rPr>
          <w:sz w:val="20"/>
          <w:szCs w:val="20"/>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131" w:lineRule="exact"/>
        <w:rPr>
          <w:rFonts w:ascii="Arial" w:cs="Arial" w:eastAsia="Arial" w:hAnsi="Arial"/>
          <w:sz w:val="17"/>
          <w:szCs w:val="17"/>
          <w:color w:val="auto"/>
        </w:rPr>
      </w:pPr>
    </w:p>
    <w:p>
      <w:pPr>
        <w:ind w:left="900" w:right="540" w:hanging="332"/>
        <w:spacing w:after="0" w:line="289"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partnerships or entities or arrangements treated as partnerships or other pass-through entities for U.S. federal tax purposes (or investors in such entities);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persons subject to the alternative minimum tax or the Medicare contribution tax on net investment income;</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tax-exempt organizations or tax-qualified retirement plans;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controlled foreign corporations or passive foreign investment companies;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persons who acquired our common stock as compensation for services;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persons that own, or are deemed to own, more than 5% of our capital stock (except to the extent specifically set forth below);</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143" w:lineRule="exact"/>
        <w:rPr>
          <w:rFonts w:ascii="Arial" w:cs="Arial" w:eastAsia="Arial" w:hAnsi="Arial"/>
          <w:sz w:val="16"/>
          <w:szCs w:val="16"/>
          <w:color w:val="auto"/>
        </w:rPr>
      </w:pPr>
    </w:p>
    <w:p>
      <w:pPr>
        <w:ind w:left="900" w:hanging="332"/>
        <w:spacing w:after="0"/>
        <w:tabs>
          <w:tab w:leader="none" w:pos="9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persons who do not hold our common stock as a capital asset within the meaning of Section 1221 of the Code (generally, for investment purposes); or</w:t>
      </w:r>
    </w:p>
    <w:p>
      <w:pPr>
        <w:spacing w:after="0" w:line="154" w:lineRule="exact"/>
        <w:rPr>
          <w:rFonts w:ascii="Arial" w:cs="Arial" w:eastAsia="Arial" w:hAnsi="Arial"/>
          <w:sz w:val="15"/>
          <w:szCs w:val="15"/>
          <w:color w:val="auto"/>
        </w:rPr>
      </w:pPr>
    </w:p>
    <w:p>
      <w:pPr>
        <w:ind w:left="900" w:hanging="332"/>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224"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00"/>
          </w:cols>
          <w:pgMar w:left="240" w:top="449" w:right="25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purposes of this summary, a “non-U.S. holder” is any holder of our common stock, other than a partnership, that is not:</w:t>
      </w:r>
    </w:p>
    <w:p>
      <w:pPr>
        <w:spacing w:after="0" w:line="132" w:lineRule="exact"/>
        <w:rPr>
          <w:sz w:val="20"/>
          <w:szCs w:val="20"/>
          <w:color w:val="auto"/>
        </w:rPr>
      </w:pPr>
    </w:p>
    <w:p>
      <w:pPr>
        <w:ind w:left="900" w:hanging="332"/>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31" w:lineRule="exact"/>
        <w:rPr>
          <w:rFonts w:ascii="Arial" w:cs="Arial" w:eastAsia="Arial" w:hAnsi="Arial"/>
          <w:sz w:val="17"/>
          <w:szCs w:val="17"/>
          <w:color w:val="auto"/>
        </w:rPr>
      </w:pPr>
    </w:p>
    <w:p>
      <w:pPr>
        <w:ind w:left="900" w:right="180" w:hanging="332"/>
        <w:spacing w:after="0" w:line="289"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under the laws of the United States, any state therein or the District of Columbia;</w:t>
      </w:r>
    </w:p>
    <w:p>
      <w:pPr>
        <w:spacing w:after="0" w:line="66" w:lineRule="exact"/>
        <w:rPr>
          <w:rFonts w:ascii="Arial" w:cs="Arial" w:eastAsia="Arial" w:hAnsi="Arial"/>
          <w:sz w:val="17"/>
          <w:szCs w:val="17"/>
          <w:color w:val="auto"/>
        </w:rPr>
      </w:pPr>
    </w:p>
    <w:p>
      <w:pPr>
        <w:ind w:left="900" w:right="180" w:hanging="332"/>
        <w:spacing w:after="0" w:line="289"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 estate whose income is subject to U.S. income tax regardless of source.</w:t>
      </w:r>
    </w:p>
    <w:p>
      <w:pPr>
        <w:spacing w:after="0" w:line="224" w:lineRule="exact"/>
        <w:rPr>
          <w:sz w:val="20"/>
          <w:szCs w:val="20"/>
          <w:color w:val="auto"/>
        </w:rPr>
      </w:pPr>
    </w:p>
    <w:p>
      <w:pPr>
        <w:jc w:val="both"/>
        <w:ind w:firstLine="457"/>
        <w:spacing w:after="0" w:line="308" w:lineRule="auto"/>
        <w:rPr>
          <w:sz w:val="20"/>
          <w:szCs w:val="20"/>
          <w:color w:val="auto"/>
        </w:rPr>
      </w:pPr>
      <w:r>
        <w:rPr>
          <w:rFonts w:ascii="Arial" w:cs="Arial" w:eastAsia="Arial" w:hAnsi="Arial"/>
          <w:sz w:val="15"/>
          <w:szCs w:val="15"/>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5"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65"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82"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Dividends received by a non-U.S. holder that are effectively connected with a U.S. trade or business conducted by the non-U.S. holder, and if required by an applicable income tax treaty between the United States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420"/>
          </w:cols>
          <w:pgMar w:left="240" w:top="449"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Common Stock</w:t>
      </w:r>
    </w:p>
    <w:p>
      <w:pPr>
        <w:spacing w:after="0" w:line="125" w:lineRule="exact"/>
        <w:rPr>
          <w:sz w:val="20"/>
          <w:szCs w:val="20"/>
          <w:color w:val="auto"/>
        </w:rPr>
      </w:pPr>
    </w:p>
    <w:p>
      <w:pPr>
        <w:ind w:right="40" w:firstLine="457"/>
        <w:spacing w:after="0" w:line="322" w:lineRule="auto"/>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 holders will generally not be subject to U.S. federal income tax on any gains realized on the sale, exchange or other disposition of our common stock unless:</w:t>
      </w:r>
    </w:p>
    <w:p>
      <w:pPr>
        <w:spacing w:after="0" w:line="43" w:lineRule="exact"/>
        <w:rPr>
          <w:sz w:val="20"/>
          <w:szCs w:val="20"/>
          <w:color w:val="auto"/>
        </w:rPr>
      </w:pPr>
    </w:p>
    <w:p>
      <w:pPr>
        <w:ind w:left="900" w:hanging="332"/>
        <w:spacing w:after="0" w:line="273"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79" w:lineRule="exact"/>
        <w:rPr>
          <w:rFonts w:ascii="Arial" w:cs="Arial" w:eastAsia="Arial" w:hAnsi="Arial"/>
          <w:sz w:val="17"/>
          <w:szCs w:val="17"/>
          <w:color w:val="auto"/>
        </w:rPr>
      </w:pPr>
    </w:p>
    <w:p>
      <w:pPr>
        <w:ind w:left="900" w:right="180" w:hanging="332"/>
        <w:spacing w:after="0" w:line="267"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86" w:lineRule="exact"/>
        <w:rPr>
          <w:rFonts w:ascii="Arial" w:cs="Arial" w:eastAsia="Arial" w:hAnsi="Arial"/>
          <w:sz w:val="17"/>
          <w:szCs w:val="17"/>
          <w:color w:val="auto"/>
        </w:rPr>
      </w:pPr>
    </w:p>
    <w:p>
      <w:pPr>
        <w:ind w:left="900" w:hanging="332"/>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23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81"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125"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420"/>
          </w:cols>
          <w:pgMar w:left="240" w:top="449" w:right="2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25"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82"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1" w:lineRule="exact"/>
        <w:rPr>
          <w:sz w:val="20"/>
          <w:szCs w:val="20"/>
          <w:color w:val="auto"/>
        </w:rPr>
      </w:pPr>
    </w:p>
    <w:p>
      <w:pPr>
        <w:ind w:left="900" w:hanging="332"/>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U.S. person (including a foreign branch or office of such person);</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“controlled foreign corporation” for U.S. federal income tax purposes;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foreign person 50% or more of whose gross income from certain periods is effectively connected with a U.S. trade or business; or</w:t>
      </w:r>
    </w:p>
    <w:p>
      <w:pPr>
        <w:spacing w:after="0" w:line="131" w:lineRule="exact"/>
        <w:rPr>
          <w:rFonts w:ascii="Arial" w:cs="Arial" w:eastAsia="Arial" w:hAnsi="Arial"/>
          <w:sz w:val="17"/>
          <w:szCs w:val="17"/>
          <w:color w:val="auto"/>
        </w:rPr>
      </w:pPr>
    </w:p>
    <w:p>
      <w:pPr>
        <w:ind w:left="900" w:right="240" w:hanging="332"/>
        <w:spacing w:after="0" w:line="289"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58"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58"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420"/>
          </w:cols>
          <w:pgMar w:left="240" w:top="449" w:right="2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 Act</w:t>
      </w:r>
    </w:p>
    <w:p>
      <w:pPr>
        <w:spacing w:after="0" w:line="12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w:t>
      </w:r>
    </w:p>
    <w:p>
      <w:pPr>
        <w:spacing w:after="0" w:line="173"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The withholding provisions described above generally apply to proceeds from a sale or other disposition of common stock if such sale or other disposition occurs on or after January 1, 2017 and to payments of dividends on our common stock.</w:t>
      </w:r>
    </w:p>
    <w:p>
      <w:pPr>
        <w:spacing w:after="0" w:line="158"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340"/>
          </w:cols>
          <w:pgMar w:left="240" w:top="449" w:right="3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95"/>
        </w:trPr>
        <w:tc>
          <w:tcPr>
            <w:tcW w:w="7240" w:type="dxa"/>
            <w:vAlign w:val="bottom"/>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3760" w:type="dxa"/>
            <w:vAlign w:val="bottom"/>
          </w:tcPr>
          <w:p>
            <w:pPr>
              <w:spacing w:after="0"/>
              <w:rPr>
                <w:sz w:val="16"/>
                <w:szCs w:val="16"/>
                <w:color w:val="auto"/>
              </w:rPr>
            </w:pPr>
          </w:p>
        </w:tc>
      </w:tr>
      <w:tr>
        <w:trPr>
          <w:trHeight w:val="517"/>
        </w:trPr>
        <w:tc>
          <w:tcPr>
            <w:tcW w:w="1320" w:type="dxa"/>
            <w:vAlign w:val="bottom"/>
            <w:tcBorders>
              <w:top w:val="single" w:sz="8" w:color="0000EE"/>
            </w:tcBorders>
          </w:tcPr>
          <w:p>
            <w:pPr>
              <w:spacing w:after="0"/>
              <w:rPr>
                <w:sz w:val="24"/>
                <w:szCs w:val="24"/>
                <w:color w:val="auto"/>
              </w:rPr>
            </w:pPr>
          </w:p>
        </w:tc>
        <w:tc>
          <w:tcPr>
            <w:tcW w:w="5920" w:type="dxa"/>
            <w:vAlign w:val="bottom"/>
          </w:tcPr>
          <w:p>
            <w:pPr>
              <w:ind w:left="3680"/>
              <w:spacing w:after="0"/>
              <w:rPr>
                <w:sz w:val="20"/>
                <w:szCs w:val="20"/>
                <w:color w:val="auto"/>
              </w:rPr>
            </w:pPr>
            <w:r>
              <w:rPr>
                <w:rFonts w:ascii="Arial" w:cs="Arial" w:eastAsia="Arial" w:hAnsi="Arial"/>
                <w:sz w:val="17"/>
                <w:szCs w:val="17"/>
                <w:b w:val="1"/>
                <w:bCs w:val="1"/>
                <w:color w:val="auto"/>
              </w:rPr>
              <w:t>UNDERWRITING</w:t>
            </w:r>
          </w:p>
        </w:tc>
        <w:tc>
          <w:tcPr>
            <w:tcW w:w="3760" w:type="dxa"/>
            <w:vAlign w:val="bottom"/>
          </w:tcPr>
          <w:p>
            <w:pPr>
              <w:spacing w:after="0"/>
              <w:rPr>
                <w:sz w:val="24"/>
                <w:szCs w:val="24"/>
                <w:color w:val="auto"/>
              </w:rPr>
            </w:pPr>
          </w:p>
        </w:tc>
      </w:tr>
      <w:tr>
        <w:trPr>
          <w:trHeight w:val="419"/>
        </w:trPr>
        <w:tc>
          <w:tcPr>
            <w:tcW w:w="7240" w:type="dxa"/>
            <w:vAlign w:val="bottom"/>
            <w:gridSpan w:val="2"/>
          </w:tcPr>
          <w:p>
            <w:pPr>
              <w:ind w:left="460"/>
              <w:spacing w:after="0"/>
              <w:rPr>
                <w:sz w:val="20"/>
                <w:szCs w:val="20"/>
                <w:color w:val="auto"/>
              </w:rPr>
            </w:pPr>
            <w:r>
              <w:rPr>
                <w:rFonts w:ascii="Arial" w:cs="Arial" w:eastAsia="Arial" w:hAnsi="Arial"/>
                <w:sz w:val="17"/>
                <w:szCs w:val="17"/>
                <w:color w:val="auto"/>
                <w:w w:val="98"/>
              </w:rPr>
              <w:t>We and the underwriters named below have entered into an underwriting agreement, dated</w:t>
            </w:r>
          </w:p>
        </w:tc>
        <w:tc>
          <w:tcPr>
            <w:tcW w:w="3760" w:type="dxa"/>
            <w:vAlign w:val="bottom"/>
          </w:tcPr>
          <w:p>
            <w:pPr>
              <w:ind w:left="460"/>
              <w:spacing w:after="0"/>
              <w:rPr>
                <w:sz w:val="20"/>
                <w:szCs w:val="20"/>
                <w:color w:val="auto"/>
              </w:rPr>
            </w:pPr>
            <w:r>
              <w:rPr>
                <w:rFonts w:ascii="Arial" w:cs="Arial" w:eastAsia="Arial" w:hAnsi="Arial"/>
                <w:sz w:val="17"/>
                <w:szCs w:val="17"/>
                <w:color w:val="auto"/>
                <w:w w:val="91"/>
              </w:rPr>
              <w:t>, 2016, with respect to the shares being offered.</w:t>
            </w:r>
          </w:p>
        </w:tc>
      </w:tr>
    </w:tbl>
    <w:p>
      <w:pPr>
        <w:ind w:right="38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Subject to certain conditions, each underwriter has severally agreed to purchase the number of shares indicated in the following table. Credit Suisse Securities (USA) LLC and Stifel, Nicolaus &amp; Company, Incorporated, are the representatives of the underwriters.</w:t>
      </w:r>
    </w:p>
    <w:p>
      <w:pPr>
        <w:spacing w:after="0" w:line="186" w:lineRule="exact"/>
        <w:rPr>
          <w:sz w:val="20"/>
          <w:szCs w:val="20"/>
          <w:color w:val="auto"/>
        </w:rPr>
      </w:pPr>
    </w:p>
    <w:tbl>
      <w:tblPr>
        <w:tblLayout w:type="fixed"/>
        <w:tblInd w:w="1840" w:type="dxa"/>
        <w:tblCellMar>
          <w:top w:w="0" w:type="dxa"/>
          <w:left w:w="0" w:type="dxa"/>
          <w:bottom w:w="0" w:type="dxa"/>
          <w:right w:w="0" w:type="dxa"/>
        </w:tblCellMar>
      </w:tblPr>
      <w:tr>
        <w:trPr>
          <w:trHeight w:val="180"/>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540" w:type="dxa"/>
            <w:vAlign w:val="bottom"/>
          </w:tcPr>
          <w:p>
            <w:pPr>
              <w:ind w:left="240"/>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800" w:type="dxa"/>
            <w:vAlign w:val="bottom"/>
            <w:shd w:val="clear" w:color="auto" w:fill="000000"/>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03"/>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Credit Suisse Securities (USA) LLC</w:t>
            </w:r>
          </w:p>
        </w:tc>
        <w:tc>
          <w:tcPr>
            <w:tcW w:w="1540" w:type="dxa"/>
            <w:vAlign w:val="bottom"/>
            <w:shd w:val="clear" w:color="auto" w:fill="CCEEFF"/>
          </w:tcPr>
          <w:p>
            <w:pPr>
              <w:spacing w:after="0"/>
              <w:rPr>
                <w:sz w:val="17"/>
                <w:szCs w:val="17"/>
                <w:color w:val="auto"/>
              </w:rPr>
            </w:pPr>
          </w:p>
        </w:tc>
      </w:tr>
      <w:tr>
        <w:trPr>
          <w:trHeight w:val="210"/>
        </w:trPr>
        <w:tc>
          <w:tcPr>
            <w:tcW w:w="6200" w:type="dxa"/>
            <w:vAlign w:val="bottom"/>
            <w:gridSpan w:val="2"/>
          </w:tcPr>
          <w:p>
            <w:pPr>
              <w:spacing w:after="0"/>
              <w:rPr>
                <w:sz w:val="20"/>
                <w:szCs w:val="20"/>
                <w:color w:val="auto"/>
              </w:rPr>
            </w:pPr>
            <w:r>
              <w:rPr>
                <w:rFonts w:ascii="Arial" w:cs="Arial" w:eastAsia="Arial" w:hAnsi="Arial"/>
                <w:sz w:val="17"/>
                <w:szCs w:val="17"/>
                <w:color w:val="auto"/>
              </w:rPr>
              <w:t>Stifel, Nicolaus &amp; Company, Incorporated</w:t>
            </w:r>
          </w:p>
        </w:tc>
        <w:tc>
          <w:tcPr>
            <w:tcW w:w="1540" w:type="dxa"/>
            <w:vAlign w:val="bottom"/>
          </w:tcPr>
          <w:p>
            <w:pPr>
              <w:spacing w:after="0"/>
              <w:rPr>
                <w:sz w:val="18"/>
                <w:szCs w:val="18"/>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JMP Securities LLC</w:t>
            </w:r>
          </w:p>
        </w:tc>
        <w:tc>
          <w:tcPr>
            <w:tcW w:w="154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7"/>
                <w:szCs w:val="17"/>
                <w:color w:val="auto"/>
              </w:rPr>
              <w:t>Wedbush Securities Inc.</w:t>
            </w:r>
          </w:p>
        </w:tc>
        <w:tc>
          <w:tcPr>
            <w:tcW w:w="1540" w:type="dxa"/>
            <w:vAlign w:val="bottom"/>
            <w:tcBorders>
              <w:bottom w:val="single" w:sz="8" w:color="auto"/>
            </w:tcBorders>
          </w:tcPr>
          <w:p>
            <w:pPr>
              <w:spacing w:after="0"/>
              <w:rPr>
                <w:sz w:val="18"/>
                <w:szCs w:val="18"/>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shd w:val="clear" w:color="auto" w:fill="CCEEFF"/>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280" w:firstLine="457"/>
        <w:spacing w:after="0" w:line="273"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71" w:lineRule="exact"/>
        <w:rPr>
          <w:sz w:val="20"/>
          <w:szCs w:val="20"/>
          <w:color w:val="auto"/>
        </w:rPr>
      </w:pPr>
    </w:p>
    <w:p>
      <w:pPr>
        <w:ind w:right="200" w:firstLine="457"/>
        <w:spacing w:after="0" w:line="267" w:lineRule="auto"/>
        <w:rPr>
          <w:sz w:val="20"/>
          <w:szCs w:val="20"/>
          <w:color w:val="auto"/>
        </w:rPr>
      </w:pPr>
      <w:r>
        <w:rPr>
          <w:rFonts w:ascii="Arial" w:cs="Arial" w:eastAsia="Arial" w:hAnsi="Arial"/>
          <w:sz w:val="17"/>
          <w:szCs w:val="17"/>
          <w:color w:val="auto"/>
        </w:rPr>
        <w:t>The underwriters have an option to buy up to an additional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underwriters propose to offer the shares of our common stock directly to the public at the initial public offering price set forth on the cover of this</w:t>
      </w:r>
    </w:p>
    <w:p>
      <w:pPr>
        <w:spacing w:after="0" w:line="2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prospectus and to certain dealers at such offering price less a concession not in excess of $ per share. After the initial public offering of the shares, the offering price and the selling concession may be changed by the underwriters.</w:t>
      </w:r>
    </w:p>
    <w:p>
      <w:pPr>
        <w:spacing w:after="0" w:line="170" w:lineRule="exact"/>
        <w:rPr>
          <w:sz w:val="20"/>
          <w:szCs w:val="20"/>
          <w:color w:val="auto"/>
        </w:rPr>
      </w:pPr>
    </w:p>
    <w:p>
      <w:pPr>
        <w:jc w:val="both"/>
        <w:ind w:right="220" w:firstLine="457"/>
        <w:spacing w:after="0" w:line="289"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32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7"/>
              </w:rPr>
              <w:t>Full Exercise</w:t>
            </w:r>
          </w:p>
        </w:tc>
      </w:tr>
      <w:tr>
        <w:trPr>
          <w:trHeight w:val="203"/>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Per Share</w:t>
            </w: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7"/>
                <w:szCs w:val="17"/>
                <w:color w:val="auto"/>
              </w:rPr>
              <w:t>Total</w:t>
            </w:r>
          </w:p>
        </w:tc>
        <w:tc>
          <w:tcPr>
            <w:tcW w:w="7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bl>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w:t>
      </w:r>
    </w:p>
    <w:p>
      <w:pPr>
        <w:spacing w:after="0" w:line="38" w:lineRule="exact"/>
        <w:rPr>
          <w:sz w:val="20"/>
          <w:szCs w:val="20"/>
          <w:color w:val="auto"/>
        </w:rPr>
      </w:pPr>
    </w:p>
    <w:p>
      <w:pPr>
        <w:jc w:val="both"/>
        <w:ind w:right="220"/>
        <w:spacing w:after="0" w:line="265" w:lineRule="auto"/>
        <w:rPr>
          <w:sz w:val="20"/>
          <w:szCs w:val="20"/>
          <w:color w:val="auto"/>
        </w:rPr>
      </w:pPr>
      <w:r>
        <w:rPr>
          <w:rFonts w:ascii="Arial" w:cs="Arial" w:eastAsia="Arial" w:hAnsi="Arial"/>
          <w:sz w:val="17"/>
          <w:szCs w:val="17"/>
          <w:color w:val="auto"/>
        </w:rPr>
        <w:t>excluding underwriting discounts and commissions, will be approximately $ , all of which will be paid by us. We have agreed to reimburse the underwriters for certain of their expenses incurred in connection with the clearance of this offering with the Financial Industry Regulatory Authority, Inc., in an amount up to $35,000.</w:t>
      </w:r>
    </w:p>
    <w:p>
      <w:pPr>
        <w:spacing w:after="0" w:line="179" w:lineRule="exact"/>
        <w:rPr>
          <w:sz w:val="20"/>
          <w:szCs w:val="20"/>
          <w:color w:val="auto"/>
        </w:rPr>
      </w:pPr>
    </w:p>
    <w:p>
      <w:pPr>
        <w:ind w:right="140" w:firstLine="457"/>
        <w:spacing w:after="0" w:line="263" w:lineRule="auto"/>
        <w:rPr>
          <w:sz w:val="20"/>
          <w:szCs w:val="20"/>
          <w:color w:val="auto"/>
        </w:rPr>
      </w:pPr>
      <w:r>
        <w:rPr>
          <w:rFonts w:ascii="Arial" w:cs="Arial" w:eastAsia="Arial" w:hAnsi="Arial"/>
          <w:sz w:val="17"/>
          <w:szCs w:val="17"/>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 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420"/>
          </w:cols>
          <w:pgMar w:left="240" w:top="442" w:right="23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 and Stifel, Nicolaus &amp; Company, Incorporated; provided that Credit Suisse Securities (USA) LLC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restrictions above do not apply to the following, subject to certain limitations set forth in the lock-up agreements:</w:t>
      </w:r>
    </w:p>
    <w:p>
      <w:pPr>
        <w:spacing w:after="0" w:line="132" w:lineRule="exact"/>
        <w:rPr>
          <w:sz w:val="20"/>
          <w:szCs w:val="20"/>
          <w:color w:val="auto"/>
        </w:rPr>
      </w:pPr>
    </w:p>
    <w:p>
      <w:pPr>
        <w:ind w:left="900" w:hanging="332"/>
        <w:spacing w:after="0"/>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transfers of securities as a bona fide gift;</w:t>
      </w:r>
    </w:p>
    <w:p>
      <w:pPr>
        <w:spacing w:after="0" w:line="131" w:lineRule="exact"/>
        <w:rPr>
          <w:rFonts w:ascii="Arial" w:cs="Arial" w:eastAsia="Arial" w:hAnsi="Arial"/>
          <w:sz w:val="17"/>
          <w:szCs w:val="17"/>
          <w:color w:val="auto"/>
        </w:rPr>
      </w:pPr>
    </w:p>
    <w:p>
      <w:pPr>
        <w:ind w:left="900" w:right="140" w:hanging="332"/>
        <w:spacing w:after="0" w:line="289"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transfers or dispositions of securities to any trust for the direct or indirect benefit of the lock-up signatory or any member of the immediate family of the lock-up signatory;</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transfers of securities to affiliates;</w:t>
      </w:r>
    </w:p>
    <w:p>
      <w:pPr>
        <w:spacing w:after="0" w:line="131" w:lineRule="exact"/>
        <w:rPr>
          <w:rFonts w:ascii="Arial" w:cs="Arial" w:eastAsia="Arial" w:hAnsi="Arial"/>
          <w:sz w:val="17"/>
          <w:szCs w:val="17"/>
          <w:color w:val="auto"/>
        </w:rPr>
      </w:pPr>
    </w:p>
    <w:p>
      <w:pPr>
        <w:ind w:left="900" w:right="320" w:hanging="332"/>
        <w:spacing w:after="0" w:line="289"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transfers of securities by will, other testamentary document or intestate succession to the legal representative, heir, beneficiary or a member of the immediate family of the lock-up signatory;</w:t>
      </w:r>
    </w:p>
    <w:p>
      <w:pPr>
        <w:spacing w:after="0" w:line="66" w:lineRule="exact"/>
        <w:rPr>
          <w:rFonts w:ascii="Arial" w:cs="Arial" w:eastAsia="Arial" w:hAnsi="Arial"/>
          <w:sz w:val="17"/>
          <w:szCs w:val="17"/>
          <w:color w:val="auto"/>
        </w:rPr>
      </w:pPr>
    </w:p>
    <w:p>
      <w:pPr>
        <w:ind w:left="900" w:right="200" w:hanging="332"/>
        <w:spacing w:after="0" w:line="289"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transfers or dispositions of shares of our common stock or securities convertible or exchangeable into shares of our common stock acquired in open market purchases after the closing of this offering;</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entry into any trading plan established pursuant to Rule 10b5-1 under the Exchange Act;</w:t>
      </w:r>
    </w:p>
    <w:p>
      <w:pPr>
        <w:spacing w:after="0" w:line="131" w:lineRule="exact"/>
        <w:rPr>
          <w:rFonts w:ascii="Arial" w:cs="Arial" w:eastAsia="Arial" w:hAnsi="Arial"/>
          <w:sz w:val="17"/>
          <w:szCs w:val="17"/>
          <w:color w:val="auto"/>
        </w:rPr>
      </w:pPr>
    </w:p>
    <w:p>
      <w:pPr>
        <w:ind w:left="900" w:right="160" w:hanging="332"/>
        <w:spacing w:after="0" w:line="289"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exercise of options, warrants or other rights to acquire shares of common stock in accordance with their terms pursuant to an employee benefit plan, option, warrant or other right;</w:t>
      </w:r>
    </w:p>
    <w:p>
      <w:pPr>
        <w:spacing w:after="0" w:line="66" w:lineRule="exact"/>
        <w:rPr>
          <w:rFonts w:ascii="Arial" w:cs="Arial" w:eastAsia="Arial" w:hAnsi="Arial"/>
          <w:sz w:val="17"/>
          <w:szCs w:val="17"/>
          <w:color w:val="auto"/>
        </w:rPr>
      </w:pPr>
    </w:p>
    <w:p>
      <w:pPr>
        <w:ind w:left="900" w:right="60" w:hanging="332"/>
        <w:spacing w:after="0" w:line="289"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transfers pursuant to a court order or settlement agreement related to the distribution of assets in connection with the dissolution of a marriage or civil union;</w:t>
      </w:r>
    </w:p>
    <w:p>
      <w:pPr>
        <w:spacing w:after="0" w:line="66" w:lineRule="exact"/>
        <w:rPr>
          <w:rFonts w:ascii="Arial" w:cs="Arial" w:eastAsia="Arial" w:hAnsi="Arial"/>
          <w:sz w:val="17"/>
          <w:szCs w:val="17"/>
          <w:color w:val="auto"/>
        </w:rPr>
      </w:pPr>
    </w:p>
    <w:p>
      <w:pPr>
        <w:ind w:left="900" w:right="140" w:hanging="332"/>
        <w:spacing w:after="0" w:line="289"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transfers to us pursuant to agreements under which we have the option to repurchase such shares or a right of first refusal with respect to transfers of such shares upon termination of service of the lock-up signatory;</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transfers by certain stockholders of shares purchased in this offering;</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conversion of outstanding shares of preferred stock into shares of common stock; or</w:t>
      </w:r>
    </w:p>
    <w:p>
      <w:pPr>
        <w:spacing w:after="0" w:line="131" w:lineRule="exact"/>
        <w:rPr>
          <w:rFonts w:ascii="Arial" w:cs="Arial" w:eastAsia="Arial" w:hAnsi="Arial"/>
          <w:sz w:val="17"/>
          <w:szCs w:val="17"/>
          <w:color w:val="auto"/>
        </w:rPr>
      </w:pPr>
    </w:p>
    <w:p>
      <w:pPr>
        <w:ind w:left="900" w:right="180" w:hanging="332"/>
        <w:spacing w:after="0" w:line="273"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“Shares Eligible for Future Sale” for a discussion of certain transfer restrictions.</w:t>
      </w:r>
    </w:p>
    <w:p>
      <w:pPr>
        <w:spacing w:after="0" w:line="224"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Prior to the offering, there has been no public market for our common stock.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400"/>
          </w:cols>
          <w:pgMar w:left="240" w:top="449" w:right="25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Our common stock has been approved for listing on the NASDAQ Global Select Market under the symbol “ANAB.” 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62" w:lineRule="exact"/>
        <w:rPr>
          <w:sz w:val="20"/>
          <w:szCs w:val="20"/>
          <w:color w:val="auto"/>
        </w:rPr>
      </w:pPr>
    </w:p>
    <w:p>
      <w:pPr>
        <w:ind w:right="20" w:firstLine="457"/>
        <w:spacing w:after="0" w:line="359"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3"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 counter market or otherwise.</w:t>
      </w:r>
    </w:p>
    <w:p>
      <w:pPr>
        <w:spacing w:after="0" w:line="178" w:lineRule="exact"/>
        <w:rPr>
          <w:sz w:val="20"/>
          <w:szCs w:val="20"/>
          <w:color w:val="auto"/>
        </w:rPr>
      </w:pPr>
    </w:p>
    <w:p>
      <w:pPr>
        <w:ind w:right="160" w:firstLine="457"/>
        <w:spacing w:after="0" w:line="305" w:lineRule="auto"/>
        <w:rPr>
          <w:sz w:val="20"/>
          <w:szCs w:val="20"/>
          <w:color w:val="auto"/>
        </w:rPr>
      </w:pPr>
      <w:r>
        <w:rPr>
          <w:rFonts w:ascii="Arial" w:cs="Arial" w:eastAsia="Arial" w:hAnsi="Arial"/>
          <w:sz w:val="15"/>
          <w:szCs w:val="15"/>
          <w:color w:val="auto"/>
        </w:rPr>
        <w:t>In connection with this offering, the underwriters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do not expect sales to discretionary accounts to exceed five percent of the total number of shares offered.</w:t>
      </w:r>
    </w:p>
    <w:p>
      <w:pPr>
        <w:spacing w:after="0" w:line="224"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158"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400"/>
          </w:cols>
          <w:pgMar w:left="240" w:top="449" w:right="25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7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 Restrictions Outside the United States</w:t>
      </w:r>
    </w:p>
    <w:p>
      <w:pPr>
        <w:spacing w:after="0" w:line="125"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the European Economic Area</w:t>
      </w:r>
    </w:p>
    <w:p>
      <w:pPr>
        <w:spacing w:after="0" w:line="119"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In relation to each Member State of the European Economic Area (each, a “Relevant Member State”), no offer of the securities offered by this prospectus may be made to the public in that Relevant Member State other than:</w:t>
      </w:r>
    </w:p>
    <w:p>
      <w:pPr>
        <w:spacing w:after="0" w:line="66" w:lineRule="exact"/>
        <w:rPr>
          <w:sz w:val="20"/>
          <w:szCs w:val="20"/>
          <w:color w:val="auto"/>
        </w:rPr>
      </w:pPr>
    </w:p>
    <w:p>
      <w:pPr>
        <w:ind w:left="900" w:hanging="332"/>
        <w:spacing w:after="0"/>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31" w:lineRule="exact"/>
        <w:rPr>
          <w:rFonts w:ascii="Arial" w:cs="Arial" w:eastAsia="Arial" w:hAnsi="Arial"/>
          <w:sz w:val="17"/>
          <w:szCs w:val="17"/>
          <w:color w:val="auto"/>
        </w:rPr>
      </w:pPr>
    </w:p>
    <w:p>
      <w:pPr>
        <w:ind w:left="900" w:right="40" w:hanging="332"/>
        <w:spacing w:after="0" w:line="273"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79" w:lineRule="exact"/>
        <w:rPr>
          <w:rFonts w:ascii="Arial" w:cs="Arial" w:eastAsia="Arial" w:hAnsi="Arial"/>
          <w:sz w:val="17"/>
          <w:szCs w:val="17"/>
          <w:color w:val="auto"/>
        </w:rPr>
      </w:pPr>
    </w:p>
    <w:p>
      <w:pPr>
        <w:jc w:val="both"/>
        <w:ind w:left="900" w:right="380" w:hanging="332"/>
        <w:spacing w:after="0" w:line="273"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71" w:lineRule="exact"/>
        <w:rPr>
          <w:sz w:val="20"/>
          <w:szCs w:val="20"/>
          <w:color w:val="auto"/>
        </w:rPr>
      </w:pPr>
    </w:p>
    <w:p>
      <w:pPr>
        <w:ind w:right="380" w:firstLine="457"/>
        <w:spacing w:after="0" w:line="297" w:lineRule="auto"/>
        <w:rPr>
          <w:sz w:val="20"/>
          <w:szCs w:val="20"/>
          <w:color w:val="auto"/>
        </w:rPr>
      </w:pPr>
      <w:r>
        <w:rPr>
          <w:rFonts w:ascii="Arial" w:cs="Arial" w:eastAsia="Arial" w:hAnsi="Arial"/>
          <w:sz w:val="16"/>
          <w:szCs w:val="16"/>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360"/>
          </w:cols>
          <w:pgMar w:left="240" w:top="449" w:right="29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Prospectus Directive,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representatives and their affiliates will rely upon the truth and accuracy of the foregoing representations, acknowledgements and agreements.</w:t>
      </w:r>
    </w:p>
    <w:p>
      <w:pPr>
        <w:spacing w:after="0" w:line="235"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81" w:lineRule="exact"/>
        <w:rPr>
          <w:sz w:val="20"/>
          <w:szCs w:val="20"/>
          <w:color w:val="auto"/>
        </w:rPr>
      </w:pPr>
    </w:p>
    <w:p>
      <w:pPr>
        <w:ind w:right="140" w:firstLine="457"/>
        <w:spacing w:after="0" w:line="263" w:lineRule="auto"/>
        <w:rPr>
          <w:sz w:val="20"/>
          <w:szCs w:val="20"/>
          <w:color w:val="auto"/>
        </w:rPr>
      </w:pPr>
      <w:r>
        <w:rPr>
          <w:rFonts w:ascii="Arial" w:cs="Arial" w:eastAsia="Arial" w:hAnsi="Arial"/>
          <w:sz w:val="17"/>
          <w:szCs w:val="17"/>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the United Kingdom</w:t>
      </w:r>
    </w:p>
    <w:p>
      <w:pPr>
        <w:spacing w:after="0" w:line="119" w:lineRule="exact"/>
        <w:rPr>
          <w:sz w:val="20"/>
          <w:szCs w:val="20"/>
          <w:color w:val="auto"/>
        </w:rPr>
      </w:pPr>
    </w:p>
    <w:p>
      <w:pPr>
        <w:ind w:right="580" w:firstLine="457"/>
        <w:spacing w:after="0" w:line="289"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66" w:lineRule="exact"/>
        <w:rPr>
          <w:sz w:val="20"/>
          <w:szCs w:val="20"/>
          <w:color w:val="auto"/>
        </w:rPr>
      </w:pPr>
    </w:p>
    <w:p>
      <w:pPr>
        <w:ind w:left="900" w:right="420" w:hanging="332"/>
        <w:spacing w:after="0" w:line="289"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who have professional experience in matters relating to investments falling within Article 19 (5) of the Financial Services and Markets Act 2000 (Financial Promotion) Order 2005, as amended, or the Order; and/or</w:t>
      </w:r>
    </w:p>
    <w:p>
      <w:pPr>
        <w:spacing w:after="0" w:line="66" w:lineRule="exact"/>
        <w:rPr>
          <w:rFonts w:ascii="Arial" w:cs="Arial" w:eastAsia="Arial" w:hAnsi="Arial"/>
          <w:sz w:val="17"/>
          <w:szCs w:val="17"/>
          <w:color w:val="auto"/>
        </w:rPr>
      </w:pPr>
    </w:p>
    <w:p>
      <w:pPr>
        <w:ind w:left="900" w:hanging="332"/>
        <w:spacing w:after="0" w:line="289"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who are high net worth companies (or persons to whom it may otherwise be lawfully communicated) falling within Article 49(2)(a) to (d) of the Order (all such persons together being referred to as relevant persons).</w:t>
      </w:r>
    </w:p>
    <w:p>
      <w:pPr>
        <w:spacing w:after="0" w:line="158" w:lineRule="exact"/>
        <w:rPr>
          <w:sz w:val="20"/>
          <w:szCs w:val="20"/>
          <w:color w:val="auto"/>
        </w:rPr>
      </w:pPr>
    </w:p>
    <w:p>
      <w:pPr>
        <w:ind w:right="360" w:firstLine="457"/>
        <w:spacing w:after="0" w:line="297"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6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Notice to prospective investors in Canada</w:t>
      </w:r>
    </w:p>
    <w:p>
      <w:pPr>
        <w:spacing w:after="0" w:line="119"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 xml:space="preserve">The common stock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420"/>
          </w:cols>
          <w:pgMar w:left="240" w:top="449"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Requirements, Exemptions and Ongoing Registrant Obligations</w:t>
      </w:r>
      <w:r>
        <w:rPr>
          <w:rFonts w:ascii="Arial" w:cs="Arial" w:eastAsia="Arial" w:hAnsi="Arial"/>
          <w:sz w:val="16"/>
          <w:szCs w:val="16"/>
          <w:color w:val="auto"/>
        </w:rPr>
        <w:t>. Any resale of the common stock must be made in accordance with an exemption from,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33-105), the underwriters are not required to comply with the disclosure requirements of NI 33-105 regarding underwriter conflicts of interest in connection with this offering.</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Switzerland</w:t>
      </w:r>
    </w:p>
    <w:p>
      <w:pPr>
        <w:spacing w:after="0" w:line="119" w:lineRule="exact"/>
        <w:rPr>
          <w:sz w:val="20"/>
          <w:szCs w:val="20"/>
          <w:color w:val="auto"/>
        </w:rPr>
      </w:pPr>
    </w:p>
    <w:p>
      <w:pPr>
        <w:ind w:right="220" w:firstLine="457"/>
        <w:spacing w:after="0" w:line="263" w:lineRule="auto"/>
        <w:rPr>
          <w:sz w:val="20"/>
          <w:szCs w:val="20"/>
          <w:color w:val="auto"/>
        </w:rPr>
      </w:pPr>
      <w:r>
        <w:rPr>
          <w:rFonts w:ascii="Arial" w:cs="Arial" w:eastAsia="Arial" w:hAnsi="Arial"/>
          <w:sz w:val="17"/>
          <w:szCs w:val="17"/>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1"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the Dubai International Financial Centre</w:t>
      </w:r>
    </w:p>
    <w:p>
      <w:pPr>
        <w:spacing w:after="0" w:line="119"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the United Arab Emirates</w:t>
      </w:r>
    </w:p>
    <w:p>
      <w:pPr>
        <w:spacing w:after="0" w:line="119" w:lineRule="exact"/>
        <w:rPr>
          <w:sz w:val="20"/>
          <w:szCs w:val="20"/>
          <w:color w:val="auto"/>
        </w:rPr>
      </w:pPr>
    </w:p>
    <w:p>
      <w:pPr>
        <w:ind w:right="300" w:firstLine="457"/>
        <w:spacing w:after="0" w:line="297" w:lineRule="auto"/>
        <w:rPr>
          <w:sz w:val="20"/>
          <w:szCs w:val="20"/>
          <w:color w:val="auto"/>
        </w:rPr>
      </w:pPr>
      <w:r>
        <w:rPr>
          <w:rFonts w:ascii="Arial" w:cs="Arial" w:eastAsia="Arial" w:hAnsi="Arial"/>
          <w:sz w:val="16"/>
          <w:szCs w:val="16"/>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420"/>
          </w:cols>
          <w:pgMar w:left="240" w:top="449"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322" w:lineRule="auto"/>
        <w:rPr>
          <w:sz w:val="20"/>
          <w:szCs w:val="20"/>
          <w:color w:val="auto"/>
        </w:rPr>
      </w:pPr>
      <w:r>
        <w:rPr>
          <w:rFonts w:ascii="Arial" w:cs="Arial" w:eastAsia="Arial" w:hAnsi="Arial"/>
          <w:sz w:val="16"/>
          <w:szCs w:val="16"/>
          <w:color w:val="auto"/>
        </w:rPr>
        <w:t>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Australia</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prospectus:</w:t>
      </w:r>
    </w:p>
    <w:p>
      <w:pPr>
        <w:spacing w:after="0" w:line="132" w:lineRule="exact"/>
        <w:rPr>
          <w:sz w:val="20"/>
          <w:szCs w:val="20"/>
          <w:color w:val="auto"/>
        </w:rPr>
      </w:pPr>
    </w:p>
    <w:p>
      <w:pPr>
        <w:ind w:left="900" w:hanging="332"/>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does not constitute a disclosure document under Chapter 6D.2 of the Corporations Act 2001 (Cth), or the Corporations Act;</w:t>
      </w:r>
    </w:p>
    <w:p>
      <w:pPr>
        <w:spacing w:after="0" w:line="131" w:lineRule="exact"/>
        <w:rPr>
          <w:rFonts w:ascii="Arial" w:cs="Arial" w:eastAsia="Arial" w:hAnsi="Arial"/>
          <w:sz w:val="17"/>
          <w:szCs w:val="17"/>
          <w:color w:val="auto"/>
        </w:rPr>
      </w:pPr>
    </w:p>
    <w:p>
      <w:pPr>
        <w:ind w:left="900" w:right="40" w:hanging="332"/>
        <w:spacing w:after="0" w:line="273"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79" w:lineRule="exact"/>
        <w:rPr>
          <w:rFonts w:ascii="Arial" w:cs="Arial" w:eastAsia="Arial" w:hAnsi="Arial"/>
          <w:sz w:val="17"/>
          <w:szCs w:val="17"/>
          <w:color w:val="auto"/>
        </w:rPr>
      </w:pPr>
    </w:p>
    <w:p>
      <w:pPr>
        <w:ind w:left="900" w:right="220" w:hanging="332"/>
        <w:spacing w:after="0" w:line="289"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58" w:lineRule="exact"/>
        <w:rPr>
          <w:sz w:val="20"/>
          <w:szCs w:val="20"/>
          <w:color w:val="auto"/>
        </w:rPr>
      </w:pPr>
    </w:p>
    <w:p>
      <w:pPr>
        <w:ind w:right="20" w:firstLine="457"/>
        <w:spacing w:after="0" w:line="289" w:lineRule="auto"/>
        <w:rPr>
          <w:sz w:val="20"/>
          <w:szCs w:val="20"/>
          <w:color w:val="auto"/>
        </w:rPr>
      </w:pPr>
      <w:r>
        <w:rPr>
          <w:rFonts w:ascii="Arial" w:cs="Arial" w:eastAsia="Arial" w:hAnsi="Arial"/>
          <w:sz w:val="16"/>
          <w:szCs w:val="16"/>
          <w:color w:val="auto"/>
        </w:rPr>
        <w:t>The securities offered by this prospectus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61"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Japan</w:t>
      </w:r>
    </w:p>
    <w:p>
      <w:pPr>
        <w:spacing w:after="0" w:line="119"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Hong Kong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securities offered by this prospectus have not been offered or sold and will not be offered or sold in Hong Kong, by means of any document, other than</w:t>
      </w:r>
    </w:p>
    <w:p>
      <w:pPr>
        <w:spacing w:after="0" w:line="49" w:lineRule="exact"/>
        <w:rPr>
          <w:sz w:val="20"/>
          <w:szCs w:val="20"/>
          <w:color w:val="auto"/>
        </w:rPr>
      </w:pPr>
    </w:p>
    <w:p>
      <w:pPr>
        <w:jc w:val="both"/>
        <w:ind w:right="260" w:firstLine="5"/>
        <w:spacing w:after="0" w:line="262" w:lineRule="auto"/>
        <w:tabs>
          <w:tab w:leader="none" w:pos="23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400"/>
          </w:cols>
          <w:pgMar w:left="240" w:top="449" w:right="25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Warning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contents of this document have not been reviewed by any regulatory authority in Hong Kong. You are advised to exercise caution in relation to the offer.</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If you are in any doubt about any of the contents of this document, you should obtain independent professional advice.</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Singapore</w:t>
      </w:r>
    </w:p>
    <w:p>
      <w:pPr>
        <w:spacing w:after="0" w:line="119" w:lineRule="exact"/>
        <w:rPr>
          <w:sz w:val="20"/>
          <w:szCs w:val="20"/>
          <w:color w:val="auto"/>
        </w:rPr>
      </w:pPr>
    </w:p>
    <w:p>
      <w:pPr>
        <w:jc w:val="both"/>
        <w:ind w:right="120" w:firstLine="457"/>
        <w:spacing w:after="0" w:line="29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63" w:lineRule="exact"/>
        <w:rPr>
          <w:sz w:val="20"/>
          <w:szCs w:val="20"/>
          <w:color w:val="auto"/>
        </w:rPr>
      </w:pPr>
    </w:p>
    <w:p>
      <w:pPr>
        <w:ind w:left="900" w:hanging="332"/>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an institutional investor under Section 274 of the Securities and Futures Act, Chapter 289 of Singapore, or the SFA;</w:t>
      </w:r>
    </w:p>
    <w:p>
      <w:pPr>
        <w:spacing w:after="0" w:line="131" w:lineRule="exact"/>
        <w:rPr>
          <w:rFonts w:ascii="Arial" w:cs="Arial" w:eastAsia="Arial" w:hAnsi="Arial"/>
          <w:sz w:val="17"/>
          <w:szCs w:val="17"/>
          <w:color w:val="auto"/>
        </w:rPr>
      </w:pPr>
    </w:p>
    <w:p>
      <w:pPr>
        <w:ind w:left="900" w:right="600" w:hanging="332"/>
        <w:spacing w:after="0" w:line="289"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a relevant person pursuant to Section 275(1), or any person pursuant to Section 275(1A), and in accordance with the conditions specified in Section 275, of the SFA; or</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otherwise pursuant to, and in accordance with the conditions of, any other applicable provision of the SFA.</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132" w:lineRule="exact"/>
        <w:rPr>
          <w:sz w:val="20"/>
          <w:szCs w:val="20"/>
          <w:color w:val="auto"/>
        </w:rPr>
      </w:pPr>
    </w:p>
    <w:p>
      <w:pPr>
        <w:ind w:left="900" w:right="340" w:hanging="332"/>
        <w:spacing w:after="0" w:line="289"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6" w:lineRule="exact"/>
        <w:rPr>
          <w:rFonts w:ascii="Arial" w:cs="Arial" w:eastAsia="Arial" w:hAnsi="Arial"/>
          <w:sz w:val="17"/>
          <w:szCs w:val="17"/>
          <w:color w:val="auto"/>
        </w:rPr>
      </w:pPr>
    </w:p>
    <w:p>
      <w:pPr>
        <w:ind w:left="900" w:hanging="332"/>
        <w:spacing w:after="0" w:line="267"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6" w:lineRule="exact"/>
        <w:rPr>
          <w:rFonts w:ascii="Arial" w:cs="Arial" w:eastAsia="Arial" w:hAnsi="Arial"/>
          <w:sz w:val="17"/>
          <w:szCs w:val="17"/>
          <w:color w:val="auto"/>
        </w:rPr>
      </w:pPr>
    </w:p>
    <w:p>
      <w:pPr>
        <w:ind w:left="1480" w:right="240" w:hanging="454"/>
        <w:spacing w:after="0" w:line="289" w:lineRule="auto"/>
        <w:tabs>
          <w:tab w:leader="none" w:pos="14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66" w:lineRule="exact"/>
        <w:rPr>
          <w:rFonts w:ascii="Arial" w:cs="Arial" w:eastAsia="Arial" w:hAnsi="Arial"/>
          <w:sz w:val="17"/>
          <w:szCs w:val="17"/>
          <w:color w:val="auto"/>
        </w:rPr>
      </w:pPr>
    </w:p>
    <w:p>
      <w:pPr>
        <w:ind w:left="1480" w:hanging="454"/>
        <w:spacing w:after="0"/>
        <w:tabs>
          <w:tab w:leader="none" w:pos="14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31" w:lineRule="exact"/>
        <w:rPr>
          <w:rFonts w:ascii="Arial" w:cs="Arial" w:eastAsia="Arial" w:hAnsi="Arial"/>
          <w:sz w:val="17"/>
          <w:szCs w:val="17"/>
          <w:color w:val="auto"/>
        </w:rPr>
      </w:pPr>
    </w:p>
    <w:p>
      <w:pPr>
        <w:ind w:left="1480" w:hanging="454"/>
        <w:spacing w:after="0"/>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Bermuda</w:t>
      </w:r>
    </w:p>
    <w:p>
      <w:pPr>
        <w:spacing w:after="0" w:line="119"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420"/>
          </w:cols>
          <w:pgMar w:left="240" w:top="449" w:right="2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Saudi Arabia</w:t>
      </w:r>
    </w:p>
    <w:p>
      <w:pPr>
        <w:spacing w:after="0" w:line="119"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the British Virgin Islands</w:t>
      </w:r>
    </w:p>
    <w:p>
      <w:pPr>
        <w:spacing w:after="0" w:line="119"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71"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7"/>
          <w:szCs w:val="17"/>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71"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 (b) who has signed a declaration that he, whether individually or jointly with his spouse, has net worth in excess of US$1,000,000 and that he consents to being treated as a professional investor.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China</w:t>
      </w:r>
    </w:p>
    <w:p>
      <w:pPr>
        <w:spacing w:after="0" w:line="119" w:lineRule="exact"/>
        <w:rPr>
          <w:sz w:val="20"/>
          <w:szCs w:val="20"/>
          <w:color w:val="auto"/>
        </w:rPr>
      </w:pPr>
    </w:p>
    <w:p>
      <w:pPr>
        <w:ind w:right="280" w:firstLine="457"/>
        <w:spacing w:after="0" w:line="32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35"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Korea</w:t>
      </w:r>
    </w:p>
    <w:p>
      <w:pPr>
        <w:spacing w:after="0" w:line="11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420"/>
          </w:cols>
          <w:pgMar w:left="240" w:top="449" w:right="2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Malaysia</w:t>
      </w:r>
    </w:p>
    <w:p>
      <w:pPr>
        <w:spacing w:after="0" w:line="119"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w:t>
      </w:r>
    </w:p>
    <w:p>
      <w:pPr>
        <w:spacing w:after="0" w:line="8" w:lineRule="exact"/>
        <w:rPr>
          <w:sz w:val="20"/>
          <w:szCs w:val="20"/>
          <w:color w:val="auto"/>
        </w:rPr>
      </w:pPr>
    </w:p>
    <w:p>
      <w:pPr>
        <w:ind w:firstLine="5"/>
        <w:spacing w:after="0" w:line="281" w:lineRule="auto"/>
        <w:tabs>
          <w:tab w:leader="none" w:pos="2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Taiwan</w:t>
      </w:r>
    </w:p>
    <w:p>
      <w:pPr>
        <w:spacing w:after="0" w:line="119"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Notice to prospective investors in South Africa</w:t>
      </w:r>
    </w:p>
    <w:p>
      <w:pPr>
        <w:spacing w:after="0" w:line="119" w:lineRule="exact"/>
        <w:rPr>
          <w:sz w:val="20"/>
          <w:szCs w:val="20"/>
          <w:color w:val="auto"/>
        </w:rPr>
      </w:pPr>
    </w:p>
    <w:p>
      <w:pPr>
        <w:ind w:right="640" w:firstLine="457"/>
        <w:spacing w:after="0" w:line="289" w:lineRule="auto"/>
        <w:rPr>
          <w:sz w:val="20"/>
          <w:szCs w:val="20"/>
          <w:color w:val="auto"/>
        </w:rPr>
      </w:pPr>
      <w:r>
        <w:rPr>
          <w:rFonts w:ascii="Arial" w:cs="Arial" w:eastAsia="Arial" w:hAnsi="Arial"/>
          <w:sz w:val="17"/>
          <w:szCs w:val="17"/>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66" w:lineRule="exact"/>
        <w:rPr>
          <w:sz w:val="20"/>
          <w:szCs w:val="20"/>
          <w:color w:val="auto"/>
        </w:rPr>
      </w:pPr>
    </w:p>
    <w:p>
      <w:pPr>
        <w:jc w:val="both"/>
        <w:ind w:left="900" w:right="100" w:hanging="332"/>
        <w:spacing w:after="0" w:line="359" w:lineRule="auto"/>
        <w:tabs>
          <w:tab w:leader="none" w:pos="90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400"/>
          </w:cols>
          <w:pgMar w:left="240" w:top="449" w:right="25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left="900" w:right="40"/>
        <w:spacing w:after="0" w:line="273" w:lineRule="auto"/>
        <w:rPr>
          <w:sz w:val="20"/>
          <w:szCs w:val="20"/>
          <w:color w:val="auto"/>
        </w:rPr>
      </w:pPr>
      <w:r>
        <w:rPr>
          <w:rFonts w:ascii="Arial" w:cs="Arial" w:eastAsia="Arial" w:hAnsi="Arial"/>
          <w:sz w:val="17"/>
          <w:szCs w:val="17"/>
          <w:color w:val="auto"/>
        </w:rPr>
        <w:t>wholly owned subsidiary of a bank, mutual bank, authorised services provider or financial institution, acting as agent in the capacity of an authorised portfolio manager for a pension fund (duly registered in South Africa), or as manager for a collective investment scheme (registered in South Africa); or</w:t>
      </w:r>
    </w:p>
    <w:p>
      <w:pPr>
        <w:spacing w:after="0" w:line="79" w:lineRule="exact"/>
        <w:rPr>
          <w:sz w:val="20"/>
          <w:szCs w:val="20"/>
          <w:color w:val="auto"/>
        </w:rPr>
      </w:pPr>
    </w:p>
    <w:p>
      <w:pPr>
        <w:ind w:left="900" w:hanging="332"/>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2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w:t>
      </w:r>
    </w:p>
    <w:p>
      <w:pPr>
        <w:spacing w:after="0" w:line="178" w:lineRule="exact"/>
        <w:rPr>
          <w:sz w:val="20"/>
          <w:szCs w:val="20"/>
          <w:color w:val="auto"/>
        </w:rPr>
      </w:pPr>
    </w:p>
    <w:p>
      <w:pPr>
        <w:ind w:right="440" w:firstLine="457"/>
        <w:spacing w:after="0" w:line="289" w:lineRule="auto"/>
        <w:rPr>
          <w:sz w:val="20"/>
          <w:szCs w:val="20"/>
          <w:color w:val="auto"/>
        </w:rPr>
      </w:pPr>
      <w:r>
        <w:rPr>
          <w:rFonts w:ascii="Arial" w:cs="Arial" w:eastAsia="Arial" w:hAnsi="Arial"/>
          <w:sz w:val="17"/>
          <w:szCs w:val="17"/>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400"/>
          </w:cols>
          <w:pgMar w:left="240" w:top="449" w:right="25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30"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The financial statements of AnaptysBio, Inc. as of December 31, 2013 and 2014, and for each of the years in the two-year period ended December 31, 2014,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ADDITIONAL INFORMATION</w:t>
      </w:r>
    </w:p>
    <w:p>
      <w:pPr>
        <w:spacing w:after="0" w:line="23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400"/>
          </w:cols>
          <w:pgMar w:left="240" w:top="449" w:right="25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940" w:type="dxa"/>
            <w:vAlign w:val="bottom"/>
            <w:gridSpan w:val="11"/>
            <w:vMerge w:val="restart"/>
          </w:tcPr>
          <w:p>
            <w:pPr>
              <w:spacing w:after="0"/>
              <w:rPr>
                <w:sz w:val="20"/>
                <w:szCs w:val="20"/>
                <w:color w:val="auto"/>
              </w:rPr>
            </w:pPr>
            <w:r>
              <w:rPr>
                <w:rFonts w:ascii="Arial" w:cs="Arial" w:eastAsia="Arial" w:hAnsi="Arial"/>
                <w:sz w:val="17"/>
                <w:szCs w:val="17"/>
                <w:b w:val="1"/>
                <w:bCs w:val="1"/>
                <w:color w:val="auto"/>
              </w:rPr>
              <w:t>AnaptysBio, Inc. 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7"/>
        </w:trPr>
        <w:tc>
          <w:tcPr>
            <w:tcW w:w="1094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00" w:type="dxa"/>
            <w:vAlign w:val="bottom"/>
            <w:tcBorders>
              <w:bottom w:val="single" w:sz="8" w:color="0000EE"/>
            </w:tcBorders>
            <w:gridSpan w:val="4"/>
          </w:tcPr>
          <w:p>
            <w:pPr>
              <w:spacing w:after="0" w:line="183" w:lineRule="exact"/>
              <w:rPr>
                <w:rFonts w:ascii="Arial" w:cs="Arial" w:eastAsia="Arial" w:hAnsi="Arial"/>
                <w:sz w:val="17"/>
                <w:szCs w:val="17"/>
                <w:color w:val="0000EE"/>
                <w:w w:val="93"/>
              </w:rPr>
            </w:pPr>
            <w:hyperlink w:anchor="page166">
              <w:r>
                <w:rPr>
                  <w:rFonts w:ascii="Arial" w:cs="Arial" w:eastAsia="Arial" w:hAnsi="Arial"/>
                  <w:sz w:val="17"/>
                  <w:szCs w:val="17"/>
                  <w:color w:val="0000EE"/>
                  <w:w w:val="93"/>
                </w:rPr>
                <w:t>Report of Independent Registered Public Accounting Firm</w:t>
              </w:r>
            </w:hyperlink>
          </w:p>
        </w:tc>
        <w:tc>
          <w:tcPr>
            <w:tcW w:w="6840" w:type="dxa"/>
            <w:vAlign w:val="bottom"/>
            <w:gridSpan w:val="7"/>
          </w:tcPr>
          <w:p>
            <w:pPr>
              <w:spacing w:after="0"/>
              <w:rPr>
                <w:sz w:val="15"/>
                <w:szCs w:val="15"/>
                <w:color w:val="auto"/>
              </w:rPr>
            </w:pPr>
          </w:p>
        </w:tc>
        <w:tc>
          <w:tcPr>
            <w:tcW w:w="400" w:type="dxa"/>
            <w:vAlign w:val="bottom"/>
          </w:tcPr>
          <w:p>
            <w:pPr>
              <w:jc w:val="right"/>
              <w:spacing w:after="0" w:line="183"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89" w:lineRule="exact"/>
              <w:rPr>
                <w:rFonts w:ascii="Arial" w:cs="Arial" w:eastAsia="Arial" w:hAnsi="Arial"/>
                <w:sz w:val="17"/>
                <w:szCs w:val="17"/>
                <w:color w:val="0000EE"/>
              </w:rPr>
            </w:pPr>
            <w:hyperlink w:anchor="page167">
              <w:r>
                <w:rPr>
                  <w:rFonts w:ascii="Arial" w:cs="Arial" w:eastAsia="Arial" w:hAnsi="Arial"/>
                  <w:sz w:val="17"/>
                  <w:szCs w:val="17"/>
                  <w:color w:val="0000EE"/>
                </w:rPr>
                <w:t>Balance Sheets as of December 31, 2013 and 2014</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tcBorders>
              <w:bottom w:val="single" w:sz="8" w:color="0000EE"/>
            </w:tcBorders>
            <w:gridSpan w:val="5"/>
          </w:tcPr>
          <w:p>
            <w:pPr>
              <w:spacing w:after="0" w:line="189" w:lineRule="exact"/>
              <w:rPr>
                <w:rFonts w:ascii="Arial" w:cs="Arial" w:eastAsia="Arial" w:hAnsi="Arial"/>
                <w:sz w:val="17"/>
                <w:szCs w:val="17"/>
                <w:color w:val="0000EE"/>
                <w:w w:val="91"/>
              </w:rPr>
            </w:pPr>
            <w:hyperlink w:anchor="page168">
              <w:r>
                <w:rPr>
                  <w:rFonts w:ascii="Arial" w:cs="Arial" w:eastAsia="Arial" w:hAnsi="Arial"/>
                  <w:sz w:val="17"/>
                  <w:szCs w:val="17"/>
                  <w:color w:val="0000EE"/>
                  <w:w w:val="91"/>
                </w:rPr>
                <w:t>Statements of Operations for the Years ended December 31, 2013 and 2014</w:t>
              </w:r>
            </w:hyperlink>
          </w:p>
        </w:tc>
        <w:tc>
          <w:tcPr>
            <w:tcW w:w="5660" w:type="dxa"/>
            <w:vAlign w:val="bottom"/>
            <w:gridSpan w:val="6"/>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Statements of Convertible Preferred Stock and Stockholders’ Deficit for the Years ended December 31, 2013 and 2014</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90"/>
        </w:trPr>
        <w:tc>
          <w:tcPr>
            <w:tcW w:w="8340" w:type="dxa"/>
            <w:vAlign w:val="bottom"/>
            <w:tcBorders>
              <w:top w:val="single" w:sz="8" w:color="0000EE"/>
            </w:tcBorders>
            <w:gridSpan w:val="10"/>
          </w:tcPr>
          <w:p>
            <w:pPr>
              <w:spacing w:after="0" w:line="189" w:lineRule="exact"/>
              <w:rPr>
                <w:rFonts w:ascii="Arial" w:cs="Arial" w:eastAsia="Arial" w:hAnsi="Arial"/>
                <w:sz w:val="17"/>
                <w:szCs w:val="17"/>
                <w:color w:val="0000EE"/>
              </w:rPr>
            </w:pPr>
            <w:hyperlink w:anchor="page170">
              <w:r>
                <w:rPr>
                  <w:rFonts w:ascii="Arial" w:cs="Arial" w:eastAsia="Arial" w:hAnsi="Arial"/>
                  <w:sz w:val="17"/>
                  <w:szCs w:val="17"/>
                  <w:color w:val="0000EE"/>
                </w:rPr>
                <w:t>Statements of Cash Flows for the Years ended December 31, 2013 and 2014</w:t>
              </w:r>
            </w:hyperlink>
          </w:p>
        </w:tc>
        <w:tc>
          <w:tcPr>
            <w:tcW w:w="2600" w:type="dxa"/>
            <w:vAlign w:val="bottom"/>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90"/>
        </w:trPr>
        <w:tc>
          <w:tcPr>
            <w:tcW w:w="210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1"/>
              </w:rPr>
            </w:pPr>
            <w:hyperlink w:anchor="page171">
              <w:r>
                <w:rPr>
                  <w:rFonts w:ascii="Arial" w:cs="Arial" w:eastAsia="Arial" w:hAnsi="Arial"/>
                  <w:sz w:val="17"/>
                  <w:szCs w:val="17"/>
                  <w:color w:val="0000EE"/>
                  <w:w w:val="91"/>
                </w:rPr>
                <w:t>Notes to Financial Statements</w:t>
              </w:r>
            </w:hyperlink>
          </w:p>
        </w:tc>
        <w:tc>
          <w:tcPr>
            <w:tcW w:w="3220" w:type="dxa"/>
            <w:vAlign w:val="bottom"/>
            <w:tcBorders>
              <w:top w:val="single" w:sz="8" w:color="0000EE"/>
            </w:tcBorders>
            <w:gridSpan w:val="5"/>
          </w:tcPr>
          <w:p>
            <w:pPr>
              <w:spacing w:after="0"/>
              <w:rPr>
                <w:sz w:val="16"/>
                <w:szCs w:val="16"/>
                <w:color w:val="auto"/>
              </w:rPr>
            </w:pPr>
          </w:p>
        </w:tc>
        <w:tc>
          <w:tcPr>
            <w:tcW w:w="5620" w:type="dxa"/>
            <w:vAlign w:val="bottom"/>
            <w:gridSpan w:val="5"/>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21"/>
        </w:trPr>
        <w:tc>
          <w:tcPr>
            <w:tcW w:w="10940" w:type="dxa"/>
            <w:vAlign w:val="bottom"/>
            <w:gridSpan w:val="11"/>
          </w:tcPr>
          <w:p>
            <w:pPr>
              <w:spacing w:after="0"/>
              <w:rPr>
                <w:sz w:val="20"/>
                <w:szCs w:val="20"/>
                <w:color w:val="auto"/>
              </w:rPr>
            </w:pPr>
            <w:r>
              <w:rPr>
                <w:rFonts w:ascii="Arial" w:cs="Arial" w:eastAsia="Arial" w:hAnsi="Arial"/>
                <w:sz w:val="17"/>
                <w:szCs w:val="17"/>
                <w:b w:val="1"/>
                <w:bCs w:val="1"/>
                <w:color w:val="auto"/>
              </w:rPr>
              <w:t>AnaptysBio, Inc. Unaudited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20" w:type="dxa"/>
            <w:vAlign w:val="bottom"/>
            <w:tcBorders>
              <w:bottom w:val="single" w:sz="8" w:color="0000EE"/>
            </w:tcBorders>
            <w:gridSpan w:val="7"/>
          </w:tcPr>
          <w:p>
            <w:pPr>
              <w:spacing w:after="0" w:line="183" w:lineRule="exact"/>
              <w:rPr>
                <w:rFonts w:ascii="Arial" w:cs="Arial" w:eastAsia="Arial" w:hAnsi="Arial"/>
                <w:sz w:val="17"/>
                <w:szCs w:val="17"/>
                <w:color w:val="0000EE"/>
                <w:w w:val="91"/>
              </w:rPr>
            </w:pPr>
            <w:hyperlink w:anchor="page189">
              <w:r>
                <w:rPr>
                  <w:rFonts w:ascii="Arial" w:cs="Arial" w:eastAsia="Arial" w:hAnsi="Arial"/>
                  <w:sz w:val="17"/>
                  <w:szCs w:val="17"/>
                  <w:color w:val="0000EE"/>
                  <w:w w:val="91"/>
                </w:rPr>
                <w:t>Consolidated Balance Sheets as of December 31, 2014 and September 30, 2015 (unaudited)</w:t>
              </w:r>
            </w:hyperlink>
          </w:p>
        </w:tc>
        <w:tc>
          <w:tcPr>
            <w:tcW w:w="4520" w:type="dxa"/>
            <w:vAlign w:val="bottom"/>
            <w:gridSpan w:val="4"/>
          </w:tcPr>
          <w:p>
            <w:pPr>
              <w:spacing w:after="0"/>
              <w:rPr>
                <w:sz w:val="15"/>
                <w:szCs w:val="15"/>
                <w:color w:val="auto"/>
              </w:rPr>
            </w:pPr>
          </w:p>
        </w:tc>
        <w:tc>
          <w:tcPr>
            <w:tcW w:w="400" w:type="dxa"/>
            <w:vAlign w:val="bottom"/>
          </w:tcPr>
          <w:p>
            <w:pPr>
              <w:jc w:val="right"/>
              <w:spacing w:after="0" w:line="183" w:lineRule="exact"/>
              <w:rPr>
                <w:sz w:val="20"/>
                <w:szCs w:val="20"/>
                <w:color w:val="auto"/>
              </w:rPr>
            </w:pPr>
            <w:r>
              <w:rPr>
                <w:rFonts w:ascii="Arial" w:cs="Arial" w:eastAsia="Arial" w:hAnsi="Arial"/>
                <w:sz w:val="17"/>
                <w:szCs w:val="17"/>
                <w:color w:val="auto"/>
              </w:rPr>
              <w:t>F-25</w:t>
            </w:r>
          </w:p>
        </w:tc>
        <w:tc>
          <w:tcPr>
            <w:tcW w:w="0" w:type="dxa"/>
            <w:vAlign w:val="bottom"/>
          </w:tcPr>
          <w:p>
            <w:pPr>
              <w:spacing w:after="0"/>
              <w:rPr>
                <w:sz w:val="1"/>
                <w:szCs w:val="1"/>
                <w:color w:val="auto"/>
              </w:rPr>
            </w:pPr>
          </w:p>
        </w:tc>
      </w:tr>
      <w:tr>
        <w:trPr>
          <w:trHeight w:val="190"/>
        </w:trPr>
        <w:tc>
          <w:tcPr>
            <w:tcW w:w="7600" w:type="dxa"/>
            <w:vAlign w:val="bottom"/>
            <w:tcBorders>
              <w:bottom w:val="single" w:sz="8" w:color="0000EE"/>
            </w:tcBorders>
            <w:gridSpan w:val="8"/>
          </w:tcPr>
          <w:p>
            <w:pPr>
              <w:spacing w:after="0" w:line="189" w:lineRule="exact"/>
              <w:rPr>
                <w:rFonts w:ascii="Arial" w:cs="Arial" w:eastAsia="Arial" w:hAnsi="Arial"/>
                <w:sz w:val="17"/>
                <w:szCs w:val="17"/>
                <w:color w:val="0000EE"/>
                <w:w w:val="92"/>
              </w:rPr>
            </w:pPr>
            <w:hyperlink w:anchor="page190">
              <w:r>
                <w:rPr>
                  <w:rFonts w:ascii="Arial" w:cs="Arial" w:eastAsia="Arial" w:hAnsi="Arial"/>
                  <w:sz w:val="17"/>
                  <w:szCs w:val="17"/>
                  <w:color w:val="0000EE"/>
                  <w:w w:val="92"/>
                </w:rPr>
                <w:t>Unaudited Consolidated Statements of Operations for the Nine Months Ended September 30, 2014 and 2015</w:t>
              </w:r>
            </w:hyperlink>
          </w:p>
        </w:tc>
        <w:tc>
          <w:tcPr>
            <w:tcW w:w="3340" w:type="dxa"/>
            <w:vAlign w:val="bottom"/>
            <w:gridSpan w:val="3"/>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F-26</w:t>
            </w:r>
          </w:p>
        </w:tc>
        <w:tc>
          <w:tcPr>
            <w:tcW w:w="0" w:type="dxa"/>
            <w:vAlign w:val="bottom"/>
          </w:tcPr>
          <w:p>
            <w:pPr>
              <w:spacing w:after="0"/>
              <w:rPr>
                <w:sz w:val="1"/>
                <w:szCs w:val="1"/>
                <w:color w:val="auto"/>
              </w:rPr>
            </w:pPr>
          </w:p>
        </w:tc>
      </w:tr>
      <w:tr>
        <w:trPr>
          <w:trHeight w:val="190"/>
        </w:trPr>
        <w:tc>
          <w:tcPr>
            <w:tcW w:w="10940" w:type="dxa"/>
            <w:vAlign w:val="bottom"/>
            <w:gridSpan w:val="11"/>
          </w:tcPr>
          <w:p>
            <w:pPr>
              <w:spacing w:after="0" w:line="189" w:lineRule="exact"/>
              <w:rPr>
                <w:rFonts w:ascii="Arial" w:cs="Arial" w:eastAsia="Arial" w:hAnsi="Arial"/>
                <w:sz w:val="17"/>
                <w:szCs w:val="17"/>
                <w:color w:val="0000EE"/>
              </w:rPr>
            </w:pPr>
            <w:hyperlink w:anchor="page191">
              <w:r>
                <w:rPr>
                  <w:rFonts w:ascii="Arial" w:cs="Arial" w:eastAsia="Arial" w:hAnsi="Arial"/>
                  <w:sz w:val="17"/>
                  <w:szCs w:val="17"/>
                  <w:color w:val="0000EE"/>
                </w:rPr>
                <w:t>Unaudited Consolidated Statements of Cash Flows for the Nine Months Ended September 30, 2014 and 2015</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F-27</w:t>
            </w:r>
          </w:p>
        </w:tc>
        <w:tc>
          <w:tcPr>
            <w:tcW w:w="0" w:type="dxa"/>
            <w:vAlign w:val="bottom"/>
          </w:tcPr>
          <w:p>
            <w:pPr>
              <w:spacing w:after="0"/>
              <w:rPr>
                <w:sz w:val="1"/>
                <w:szCs w:val="1"/>
                <w:color w:val="auto"/>
              </w:rPr>
            </w:pPr>
          </w:p>
        </w:tc>
      </w:tr>
      <w:tr>
        <w:trPr>
          <w:trHeight w:val="190"/>
        </w:trPr>
        <w:tc>
          <w:tcPr>
            <w:tcW w:w="7640" w:type="dxa"/>
            <w:vAlign w:val="bottom"/>
            <w:tcBorders>
              <w:top w:val="single" w:sz="8" w:color="0000EE"/>
            </w:tcBorders>
            <w:gridSpan w:val="9"/>
          </w:tcPr>
          <w:p>
            <w:pPr>
              <w:spacing w:after="0" w:line="189" w:lineRule="exact"/>
              <w:rPr>
                <w:rFonts w:ascii="Arial" w:cs="Arial" w:eastAsia="Arial" w:hAnsi="Arial"/>
                <w:sz w:val="17"/>
                <w:szCs w:val="17"/>
                <w:color w:val="0000EE"/>
              </w:rPr>
            </w:pPr>
            <w:hyperlink w:anchor="page192">
              <w:r>
                <w:rPr>
                  <w:rFonts w:ascii="Arial" w:cs="Arial" w:eastAsia="Arial" w:hAnsi="Arial"/>
                  <w:sz w:val="17"/>
                  <w:szCs w:val="17"/>
                  <w:color w:val="0000EE"/>
                </w:rPr>
                <w:t>Notes to Unaudited Consolidated Financial Statements</w:t>
              </w:r>
            </w:hyperlink>
          </w:p>
        </w:tc>
        <w:tc>
          <w:tcPr>
            <w:tcW w:w="3300" w:type="dxa"/>
            <w:vAlign w:val="bottom"/>
            <w:gridSpan w:val="2"/>
          </w:tcPr>
          <w:p>
            <w:pPr>
              <w:spacing w:after="0"/>
              <w:rPr>
                <w:sz w:val="16"/>
                <w:szCs w:val="16"/>
                <w:color w:val="auto"/>
              </w:rPr>
            </w:pPr>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F-28</w:t>
            </w:r>
          </w:p>
        </w:tc>
        <w:tc>
          <w:tcPr>
            <w:tcW w:w="0" w:type="dxa"/>
            <w:vAlign w:val="bottom"/>
          </w:tcPr>
          <w:p>
            <w:pPr>
              <w:spacing w:after="0"/>
              <w:rPr>
                <w:sz w:val="1"/>
                <w:szCs w:val="1"/>
                <w:color w:val="auto"/>
              </w:rPr>
            </w:pPr>
          </w:p>
        </w:tc>
      </w:tr>
      <w:tr>
        <w:trPr>
          <w:trHeight w:val="372"/>
        </w:trPr>
        <w:tc>
          <w:tcPr>
            <w:tcW w:w="210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20" w:type="dxa"/>
            <w:vAlign w:val="bottom"/>
            <w:gridSpan w:val="5"/>
          </w:tcPr>
          <w:p>
            <w:pPr>
              <w:ind w:left="280"/>
              <w:spacing w:after="0"/>
              <w:rPr>
                <w:sz w:val="20"/>
                <w:szCs w:val="20"/>
                <w:color w:val="auto"/>
              </w:rPr>
            </w:pPr>
            <w:r>
              <w:rPr>
                <w:rFonts w:ascii="Arial" w:cs="Arial" w:eastAsia="Arial" w:hAnsi="Arial"/>
                <w:sz w:val="17"/>
                <w:szCs w:val="17"/>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9" w:right="31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AnaptysBio, Inc.:</w:t>
      </w:r>
    </w:p>
    <w:p>
      <w:pPr>
        <w:spacing w:after="0" w:line="10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audited the accompanying balance sheets of AnaptysBio, Inc. as of December 31, 2013 and 2014, and the related statements of operations, convertible preferred stock and stockholders’ deficit, and cash flows for each of the years in the two-year period ended December 31, 2014. These financial statements are the responsibility of the Company’s management. Our responsibility is to express an opinion on these financial statements based on our audits.</w:t>
      </w:r>
    </w:p>
    <w:p>
      <w:pPr>
        <w:spacing w:after="0" w:line="15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AnaptysBio, Inc. as of December 31, 2013 and 2014, and the results of its operations and its cash flows for each of the years in the two-year period ended December 31, 2014, in conformity with U.S. generally accepted accounting principles.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KPMG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June 5, 2015, except for earnings per share information and Note 12, which are dated July 13, 2015</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80"/>
          </w:cols>
          <w:pgMar w:left="240" w:top="449" w:right="27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ANAPTYSBIO,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94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4"/>
              <w:spacing w:after="0" w:line="137"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3"/>
              <w:spacing w:after="0" w:line="137"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480" w:type="dxa"/>
            <w:vAlign w:val="bottom"/>
            <w:shd w:val="clear" w:color="auto" w:fill="CCEEFF"/>
          </w:tcPr>
          <w:p>
            <w:pPr>
              <w:jc w:val="center"/>
              <w:ind w:right="353"/>
              <w:spacing w:after="0" w:line="189" w:lineRule="exact"/>
              <w:rPr>
                <w:sz w:val="20"/>
                <w:szCs w:val="20"/>
                <w:color w:val="auto"/>
              </w:rPr>
            </w:pPr>
            <w:r>
              <w:rPr>
                <w:rFonts w:ascii="Arial" w:cs="Arial" w:eastAsia="Arial" w:hAnsi="Arial"/>
                <w:sz w:val="17"/>
                <w:szCs w:val="17"/>
                <w:b w:val="1"/>
                <w:bCs w:val="1"/>
                <w:color w:val="auto"/>
                <w:w w:val="94"/>
              </w:rPr>
              <w:t>ASSETS</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48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2,810</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22,188</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20"/>
                <w:szCs w:val="20"/>
                <w:color w:val="auto"/>
              </w:rPr>
            </w:pPr>
            <w:r>
              <w:rPr>
                <w:rFonts w:ascii="Arial" w:cs="Arial" w:eastAsia="Arial" w:hAnsi="Arial"/>
                <w:sz w:val="17"/>
                <w:szCs w:val="17"/>
                <w:color w:val="auto"/>
              </w:rPr>
              <w:t>Receivable from collaborative partner</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1,455</w:t>
            </w: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70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3,054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24,401</w:t>
            </w: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7"/>
                <w:szCs w:val="17"/>
                <w:color w:val="auto"/>
              </w:rPr>
              <w:t>Restricted cash</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3,914</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25,065</w:t>
            </w:r>
          </w:p>
        </w:tc>
        <w:tc>
          <w:tcPr>
            <w:tcW w:w="0" w:type="dxa"/>
            <w:vAlign w:val="bottom"/>
          </w:tcPr>
          <w:p>
            <w:pPr>
              <w:spacing w:after="0"/>
              <w:rPr>
                <w:sz w:val="1"/>
                <w:szCs w:val="1"/>
                <w:color w:val="auto"/>
              </w:rPr>
            </w:pPr>
          </w:p>
        </w:tc>
      </w:tr>
      <w:tr>
        <w:trPr>
          <w:trHeight w:val="20"/>
        </w:trPr>
        <w:tc>
          <w:tcPr>
            <w:tcW w:w="9480" w:type="dxa"/>
            <w:vAlign w:val="bottom"/>
            <w:vMerge w:val="restart"/>
          </w:tcPr>
          <w:p>
            <w:pPr>
              <w:jc w:val="center"/>
              <w:ind w:right="353"/>
              <w:spacing w:after="0"/>
              <w:rPr>
                <w:sz w:val="20"/>
                <w:szCs w:val="20"/>
                <w:color w:val="auto"/>
              </w:rPr>
            </w:pPr>
            <w:r>
              <w:rPr>
                <w:rFonts w:ascii="Arial" w:cs="Arial" w:eastAsia="Arial" w:hAnsi="Arial"/>
                <w:sz w:val="17"/>
                <w:szCs w:val="17"/>
                <w:b w:val="1"/>
                <w:bCs w:val="1"/>
                <w:color w:val="auto"/>
              </w:rPr>
              <w:t>LIABILITIES, CONVERTIBLE PREFERRED STOCK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480" w:type="dxa"/>
            <w:vAlign w:val="bottom"/>
          </w:tcPr>
          <w:p>
            <w:pPr>
              <w:jc w:val="center"/>
              <w:ind w:right="353"/>
              <w:spacing w:after="0"/>
              <w:rPr>
                <w:sz w:val="20"/>
                <w:szCs w:val="20"/>
                <w:color w:val="auto"/>
              </w:rPr>
            </w:pPr>
            <w:r>
              <w:rPr>
                <w:rFonts w:ascii="Arial" w:cs="Arial" w:eastAsia="Arial" w:hAnsi="Arial"/>
                <w:sz w:val="17"/>
                <w:szCs w:val="17"/>
                <w:b w:val="1"/>
                <w:bCs w:val="1"/>
                <w:color w:val="auto"/>
              </w:rPr>
              <w:t>STOCKHOLDERS’ DEFICIT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80" w:type="dxa"/>
            <w:vAlign w:val="bottom"/>
          </w:tcPr>
          <w:p>
            <w:pPr>
              <w:spacing w:after="0"/>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197</w:t>
            </w:r>
          </w:p>
        </w:tc>
        <w:tc>
          <w:tcPr>
            <w:tcW w:w="3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1,052</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1,290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10,085</w:t>
            </w: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promissory notes payable to related parties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11,681</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20"/>
                <w:szCs w:val="20"/>
                <w:color w:val="auto"/>
              </w:rPr>
            </w:pPr>
            <w:r>
              <w:rPr>
                <w:rFonts w:ascii="Arial" w:cs="Arial" w:eastAsia="Arial" w:hAnsi="Arial"/>
                <w:sz w:val="17"/>
                <w:szCs w:val="17"/>
                <w:color w:val="auto"/>
              </w:rPr>
              <w:t>Notes payable</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4,793</w:t>
            </w: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1,935</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20"/>
                <w:szCs w:val="20"/>
                <w:color w:val="auto"/>
              </w:rPr>
            </w:pPr>
            <w:r>
              <w:rPr>
                <w:rFonts w:ascii="Arial" w:cs="Arial" w:eastAsia="Arial" w:hAnsi="Arial"/>
                <w:sz w:val="17"/>
                <w:szCs w:val="17"/>
                <w:color w:val="auto"/>
              </w:rPr>
              <w:t>Deferred rent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warrant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w w:val="96"/>
              </w:rPr>
              <w:t>Series A convertible preferred stock, $0.001 par value, 3,015 shares authorized, no shares issued or outstanding at December 31,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2013 or 2014</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9480" w:type="dxa"/>
            <w:vAlign w:val="bottom"/>
          </w:tcPr>
          <w:p>
            <w:pPr>
              <w:spacing w:after="0"/>
              <w:rPr>
                <w:sz w:val="20"/>
                <w:szCs w:val="20"/>
                <w:color w:val="auto"/>
              </w:rPr>
            </w:pPr>
            <w:r>
              <w:rPr>
                <w:rFonts w:ascii="Arial" w:cs="Arial" w:eastAsia="Arial" w:hAnsi="Arial"/>
                <w:sz w:val="17"/>
                <w:szCs w:val="17"/>
                <w:color w:val="auto"/>
              </w:rPr>
              <w:t>Series B convertible preferred stock, $0.001 par value, 27,743 shares authorized, 27,743 shares issued and outstanding at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180"/>
              <w:spacing w:after="0"/>
              <w:rPr>
                <w:sz w:val="20"/>
                <w:szCs w:val="20"/>
                <w:color w:val="auto"/>
              </w:rPr>
            </w:pPr>
            <w:r>
              <w:rPr>
                <w:rFonts w:ascii="Arial" w:cs="Arial" w:eastAsia="Arial" w:hAnsi="Arial"/>
                <w:sz w:val="17"/>
                <w:szCs w:val="17"/>
                <w:color w:val="auto"/>
              </w:rPr>
              <w:t>December 31, 2013 and 2014; aggregate liquidation preference at December 31, 2014 of $24,991</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28,220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28,220</w:t>
            </w:r>
          </w:p>
        </w:tc>
        <w:tc>
          <w:tcPr>
            <w:tcW w:w="0" w:type="dxa"/>
            <w:vAlign w:val="bottom"/>
          </w:tcPr>
          <w:p>
            <w:pPr>
              <w:spacing w:after="0"/>
              <w:rPr>
                <w:sz w:val="1"/>
                <w:szCs w:val="1"/>
                <w:color w:val="auto"/>
              </w:rPr>
            </w:pPr>
          </w:p>
        </w:tc>
      </w:tr>
      <w:tr>
        <w:trPr>
          <w:trHeight w:val="197"/>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 $0.001 par value, 17,982 shares authorized, 11,147 shares issued and outstanding at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December 31, 2013 and 2014; aggregate liquidation preference at December 31, 2014 of $7,246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6,452</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6,452</w:t>
            </w:r>
          </w:p>
        </w:tc>
        <w:tc>
          <w:tcPr>
            <w:tcW w:w="0" w:type="dxa"/>
            <w:vAlign w:val="bottom"/>
          </w:tcPr>
          <w:p>
            <w:pPr>
              <w:spacing w:after="0"/>
              <w:rPr>
                <w:sz w:val="1"/>
                <w:szCs w:val="1"/>
                <w:color w:val="auto"/>
              </w:rPr>
            </w:pPr>
          </w:p>
        </w:tc>
      </w:tr>
      <w:tr>
        <w:trPr>
          <w:trHeight w:val="197"/>
        </w:trPr>
        <w:tc>
          <w:tcPr>
            <w:tcW w:w="9480" w:type="dxa"/>
            <w:vAlign w:val="bottom"/>
          </w:tcPr>
          <w:p>
            <w:pPr>
              <w:spacing w:after="0"/>
              <w:rPr>
                <w:sz w:val="20"/>
                <w:szCs w:val="20"/>
                <w:color w:val="auto"/>
              </w:rPr>
            </w:pPr>
            <w:r>
              <w:rPr>
                <w:rFonts w:ascii="Arial" w:cs="Arial" w:eastAsia="Arial" w:hAnsi="Arial"/>
                <w:sz w:val="17"/>
                <w:szCs w:val="17"/>
                <w:color w:val="auto"/>
              </w:rPr>
              <w:t>Series C-1 convertible preferred stock, $0.001 par value, 10,500 shares authorized, no shares and 3,318 shares issued and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180"/>
              <w:spacing w:after="0"/>
              <w:rPr>
                <w:sz w:val="20"/>
                <w:szCs w:val="20"/>
                <w:color w:val="auto"/>
              </w:rPr>
            </w:pPr>
            <w:r>
              <w:rPr>
                <w:rFonts w:ascii="Arial" w:cs="Arial" w:eastAsia="Arial" w:hAnsi="Arial"/>
                <w:sz w:val="17"/>
                <w:szCs w:val="17"/>
                <w:color w:val="auto"/>
                <w:w w:val="98"/>
              </w:rPr>
              <w:t>outstanding at December 31, 2013 and 2014, respectively; aggregate liquidation preference at December 31, 2014 of $6,470</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2,156</w:t>
            </w: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80" w:type="dxa"/>
            <w:vAlign w:val="bottom"/>
          </w:tcPr>
          <w:p>
            <w:pPr>
              <w:spacing w:after="0"/>
              <w:rPr>
                <w:sz w:val="20"/>
                <w:szCs w:val="20"/>
                <w:color w:val="auto"/>
              </w:rPr>
            </w:pPr>
            <w:r>
              <w:rPr>
                <w:rFonts w:ascii="Arial" w:cs="Arial" w:eastAsia="Arial" w:hAnsi="Arial"/>
                <w:sz w:val="17"/>
                <w:szCs w:val="17"/>
                <w:color w:val="auto"/>
                <w:w w:val="99"/>
              </w:rPr>
              <w:t>Common stock, $0.001 par value, 79,000 shares authorized, 17,368 shares issued and outstanding at December 31, 2013 and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180"/>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14,247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14,407</w:t>
            </w:r>
          </w:p>
        </w:tc>
        <w:tc>
          <w:tcPr>
            <w:tcW w:w="0" w:type="dxa"/>
            <w:vAlign w:val="bottom"/>
          </w:tcPr>
          <w:p>
            <w:pPr>
              <w:spacing w:after="0"/>
              <w:rPr>
                <w:sz w:val="1"/>
                <w:szCs w:val="1"/>
                <w:color w:val="auto"/>
              </w:rPr>
            </w:pPr>
          </w:p>
        </w:tc>
      </w:tr>
      <w:tr>
        <w:trPr>
          <w:trHeight w:val="210"/>
        </w:trPr>
        <w:tc>
          <w:tcPr>
            <w:tcW w:w="9480" w:type="dxa"/>
            <w:vAlign w:val="bottom"/>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(48,791)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(45,259)</w:t>
            </w:r>
          </w:p>
        </w:tc>
        <w:tc>
          <w:tcPr>
            <w:tcW w:w="0" w:type="dxa"/>
            <w:vAlign w:val="bottom"/>
          </w:tcPr>
          <w:p>
            <w:pPr>
              <w:spacing w:after="0"/>
              <w:rPr>
                <w:sz w:val="1"/>
                <w:szCs w:val="1"/>
                <w:color w:val="auto"/>
              </w:rPr>
            </w:pPr>
          </w:p>
        </w:tc>
      </w:tr>
      <w:tr>
        <w:trPr>
          <w:trHeight w:val="26"/>
        </w:trPr>
        <w:tc>
          <w:tcPr>
            <w:tcW w:w="9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stockholders’ deficit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(34,527)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(30,835)</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1060"/>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3,914</w:t>
            </w:r>
          </w:p>
        </w:tc>
        <w:tc>
          <w:tcPr>
            <w:tcW w:w="3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25,065</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9" w:right="2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ANAPTYSBIO, INC.</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STATEMENTS OF OPERATIONS</w:t>
      </w:r>
    </w:p>
    <w:p>
      <w:pPr>
        <w:spacing w:after="0" w:line="14"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(in thousands, except per share data)</w:t>
      </w:r>
    </w:p>
    <w:p>
      <w:pPr>
        <w:spacing w:after="0" w:line="227"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Year Ended</w:t>
      </w:r>
    </w:p>
    <w:p>
      <w:pPr>
        <w:jc w:val="center"/>
        <w:ind w:left="9620"/>
        <w:spacing w:after="0" w:line="224"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7"/>
        </w:trPr>
        <w:tc>
          <w:tcPr>
            <w:tcW w:w="97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4"/>
              <w:spacing w:after="0" w:line="137"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4"/>
              <w:spacing w:after="0" w:line="137"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720" w:type="dxa"/>
            <w:vAlign w:val="bottom"/>
            <w:shd w:val="clear" w:color="auto" w:fill="CCEEFF"/>
          </w:tcPr>
          <w:p>
            <w:pPr>
              <w:spacing w:after="0"/>
              <w:rPr>
                <w:sz w:val="20"/>
                <w:szCs w:val="20"/>
                <w:color w:val="auto"/>
              </w:rPr>
            </w:pPr>
            <w:r>
              <w:rPr>
                <w:rFonts w:ascii="Arial" w:cs="Arial" w:eastAsia="Arial" w:hAnsi="Arial"/>
                <w:sz w:val="17"/>
                <w:szCs w:val="17"/>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5,483</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15,838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2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8,820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8,614</w:t>
            </w:r>
          </w:p>
        </w:tc>
        <w:tc>
          <w:tcPr>
            <w:tcW w:w="0" w:type="dxa"/>
            <w:vAlign w:val="bottom"/>
          </w:tcPr>
          <w:p>
            <w:pPr>
              <w:spacing w:after="0"/>
              <w:rPr>
                <w:sz w:val="1"/>
                <w:szCs w:val="1"/>
                <w:color w:val="auto"/>
              </w:rPr>
            </w:pPr>
          </w:p>
        </w:tc>
      </w:tr>
      <w:tr>
        <w:trPr>
          <w:trHeight w:val="216"/>
        </w:trPr>
        <w:tc>
          <w:tcPr>
            <w:tcW w:w="9720" w:type="dxa"/>
            <w:vAlign w:val="bottom"/>
          </w:tcPr>
          <w:p>
            <w:pPr>
              <w:ind w:left="360"/>
              <w:spacing w:after="0"/>
              <w:rPr>
                <w:sz w:val="20"/>
                <w:szCs w:val="20"/>
                <w:color w:val="auto"/>
              </w:rPr>
            </w:pPr>
            <w:r>
              <w:rPr>
                <w:rFonts w:ascii="Arial" w:cs="Arial" w:eastAsia="Arial" w:hAnsi="Arial"/>
                <w:sz w:val="17"/>
                <w:szCs w:val="17"/>
                <w:color w:val="auto"/>
              </w:rPr>
              <w:t>General and administrative</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1,950</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10,770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20" w:type="dxa"/>
            <w:vAlign w:val="bottom"/>
          </w:tcPr>
          <w:p>
            <w:pPr>
              <w:ind w:left="1060"/>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w w:val="96"/>
              </w:rPr>
              <w:t>(5,287)</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4,870</w:t>
            </w:r>
          </w:p>
        </w:tc>
        <w:tc>
          <w:tcPr>
            <w:tcW w:w="0" w:type="dxa"/>
            <w:vAlign w:val="bottom"/>
          </w:tcPr>
          <w:p>
            <w:pPr>
              <w:spacing w:after="0"/>
              <w:rPr>
                <w:sz w:val="1"/>
                <w:szCs w:val="1"/>
                <w:color w:val="auto"/>
              </w:rPr>
            </w:pPr>
          </w:p>
        </w:tc>
      </w:tr>
      <w:tr>
        <w:trPr>
          <w:trHeight w:val="210"/>
        </w:trPr>
        <w:tc>
          <w:tcPr>
            <w:tcW w:w="97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20" w:type="dxa"/>
            <w:vAlign w:val="bottom"/>
          </w:tcPr>
          <w:p>
            <w:pPr>
              <w:ind w:left="360"/>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9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expense, related parties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(886)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(1,270)</w:t>
            </w:r>
          </w:p>
        </w:tc>
        <w:tc>
          <w:tcPr>
            <w:tcW w:w="0" w:type="dxa"/>
            <w:vAlign w:val="bottom"/>
          </w:tcPr>
          <w:p>
            <w:pPr>
              <w:spacing w:after="0"/>
              <w:rPr>
                <w:sz w:val="1"/>
                <w:szCs w:val="1"/>
                <w:color w:val="auto"/>
              </w:rPr>
            </w:pPr>
          </w:p>
        </w:tc>
      </w:tr>
      <w:tr>
        <w:trPr>
          <w:trHeight w:val="210"/>
        </w:trPr>
        <w:tc>
          <w:tcPr>
            <w:tcW w:w="972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9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 in fair value of liability for preferred stock warrants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700"/>
              <w:spacing w:after="0"/>
              <w:rPr>
                <w:sz w:val="20"/>
                <w:szCs w:val="20"/>
                <w:color w:val="auto"/>
              </w:rPr>
            </w:pPr>
            <w:r>
              <w:rPr>
                <w:rFonts w:ascii="Arial" w:cs="Arial" w:eastAsia="Arial" w:hAnsi="Arial"/>
                <w:sz w:val="17"/>
                <w:szCs w:val="17"/>
                <w:color w:val="auto"/>
              </w:rPr>
              <w:t>Total other expense, net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(1,338)</w:t>
            </w:r>
          </w:p>
        </w:tc>
        <w:tc>
          <w:tcPr>
            <w:tcW w:w="0" w:type="dxa"/>
            <w:vAlign w:val="bottom"/>
          </w:tcPr>
          <w:p>
            <w:pPr>
              <w:spacing w:after="0"/>
              <w:rPr>
                <w:sz w:val="1"/>
                <w:szCs w:val="1"/>
                <w:color w:val="auto"/>
              </w:rPr>
            </w:pPr>
          </w:p>
        </w:tc>
      </w:tr>
      <w:tr>
        <w:trPr>
          <w:trHeight w:val="26"/>
        </w:trPr>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720" w:type="dxa"/>
            <w:vAlign w:val="bottom"/>
            <w:shd w:val="clear" w:color="auto" w:fill="CCEEFF"/>
          </w:tcPr>
          <w:p>
            <w:pPr>
              <w:ind w:left="140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6"/>
              </w:rPr>
              <w:t>(5,545)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3,532</w:t>
            </w:r>
          </w:p>
        </w:tc>
        <w:tc>
          <w:tcPr>
            <w:tcW w:w="0" w:type="dxa"/>
            <w:vAlign w:val="bottom"/>
          </w:tcPr>
          <w:p>
            <w:pPr>
              <w:spacing w:after="0"/>
              <w:rPr>
                <w:sz w:val="1"/>
                <w:szCs w:val="1"/>
                <w:color w:val="auto"/>
              </w:rPr>
            </w:pPr>
          </w:p>
        </w:tc>
      </w:tr>
      <w:tr>
        <w:trPr>
          <w:trHeight w:val="210"/>
        </w:trPr>
        <w:tc>
          <w:tcPr>
            <w:tcW w:w="9720" w:type="dxa"/>
            <w:vAlign w:val="bottom"/>
          </w:tcPr>
          <w:p>
            <w:pPr>
              <w:ind w:left="360"/>
              <w:spacing w:after="0"/>
              <w:rPr>
                <w:sz w:val="20"/>
                <w:szCs w:val="20"/>
                <w:color w:val="auto"/>
              </w:rPr>
            </w:pPr>
            <w:r>
              <w:rPr>
                <w:rFonts w:ascii="Arial" w:cs="Arial" w:eastAsia="Arial" w:hAnsi="Arial"/>
                <w:sz w:val="17"/>
                <w:szCs w:val="17"/>
                <w:color w:val="auto"/>
              </w:rPr>
              <w:t>Net income attributed to participating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(3,300)</w:t>
            </w:r>
          </w:p>
        </w:tc>
        <w:tc>
          <w:tcPr>
            <w:tcW w:w="0" w:type="dxa"/>
            <w:vAlign w:val="bottom"/>
          </w:tcPr>
          <w:p>
            <w:pPr>
              <w:spacing w:after="0"/>
              <w:rPr>
                <w:sz w:val="1"/>
                <w:szCs w:val="1"/>
                <w:color w:val="auto"/>
              </w:rPr>
            </w:pPr>
          </w:p>
        </w:tc>
      </w:tr>
      <w:tr>
        <w:trPr>
          <w:trHeight w:val="26"/>
        </w:trPr>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7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6"/>
              </w:rPr>
              <w:t>(5,545)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360"/>
              <w:spacing w:after="0"/>
              <w:rPr>
                <w:sz w:val="20"/>
                <w:szCs w:val="20"/>
                <w:color w:val="auto"/>
              </w:rPr>
            </w:pPr>
            <w:r>
              <w:rPr>
                <w:rFonts w:ascii="Arial" w:cs="Arial" w:eastAsia="Arial" w:hAnsi="Arial"/>
                <w:sz w:val="17"/>
                <w:szCs w:val="17"/>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7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360"/>
              <w:spacing w:after="0"/>
              <w:rPr>
                <w:sz w:val="20"/>
                <w:szCs w:val="20"/>
                <w:color w:val="auto"/>
              </w:rPr>
            </w:pPr>
            <w:r>
              <w:rPr>
                <w:rFonts w:ascii="Arial" w:cs="Arial" w:eastAsia="Arial" w:hAnsi="Arial"/>
                <w:sz w:val="17"/>
                <w:szCs w:val="17"/>
                <w:color w:val="auto"/>
              </w:rPr>
              <w:t>Weighted-average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7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Basic and diluted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7,787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17,368</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360"/>
              <w:spacing w:after="0"/>
              <w:rPr>
                <w:sz w:val="20"/>
                <w:szCs w:val="20"/>
                <w:color w:val="auto"/>
              </w:rPr>
            </w:pPr>
            <w:r>
              <w:rPr>
                <w:rFonts w:ascii="Arial" w:cs="Arial" w:eastAsia="Arial" w:hAnsi="Arial"/>
                <w:sz w:val="17"/>
                <w:szCs w:val="17"/>
                <w:color w:val="auto"/>
              </w:rPr>
              <w:t>Pro forma net income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7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Basic and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360"/>
              <w:spacing w:after="0"/>
              <w:rPr>
                <w:sz w:val="20"/>
                <w:szCs w:val="20"/>
                <w:color w:val="auto"/>
              </w:rPr>
            </w:pPr>
            <w:r>
              <w:rPr>
                <w:rFonts w:ascii="Arial" w:cs="Arial" w:eastAsia="Arial" w:hAnsi="Arial"/>
                <w:sz w:val="17"/>
                <w:szCs w:val="17"/>
                <w:color w:val="auto"/>
              </w:rPr>
              <w:t>Pro forma weighted-average number of shares outstanding (unaudited):</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7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Basic and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58,473</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9"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ANAPTYSBIO,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CONVERTIBLE PREFERRED STOCK AND STOCKHOLDERS’ DEFICIT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unit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1740" w:type="dxa"/>
            <w:vAlign w:val="bottom"/>
          </w:tcPr>
          <w:p>
            <w:pPr>
              <w:spacing w:after="0"/>
              <w:rPr>
                <w:sz w:val="3"/>
                <w:szCs w:val="3"/>
                <w:color w:val="auto"/>
              </w:rPr>
            </w:pPr>
          </w:p>
        </w:tc>
        <w:tc>
          <w:tcPr>
            <w:tcW w:w="13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Series A</w:t>
            </w:r>
          </w:p>
        </w:tc>
        <w:tc>
          <w:tcPr>
            <w:tcW w:w="142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85"/>
              </w:rPr>
              <w:t>Series B</w:t>
            </w:r>
          </w:p>
        </w:tc>
        <w:tc>
          <w:tcPr>
            <w:tcW w:w="14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Series C</w:t>
            </w:r>
          </w:p>
        </w:tc>
        <w:tc>
          <w:tcPr>
            <w:tcW w:w="134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Series C-1</w:t>
            </w: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740" w:type="dxa"/>
            <w:vAlign w:val="bottom"/>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1380" w:type="dxa"/>
            <w:vAlign w:val="bottom"/>
            <w:gridSpan w:val="5"/>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Convertible</w:t>
            </w:r>
          </w:p>
        </w:tc>
        <w:tc>
          <w:tcPr>
            <w:tcW w:w="1420" w:type="dxa"/>
            <w:vAlign w:val="bottom"/>
            <w:gridSpan w:val="5"/>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Convertible</w:t>
            </w:r>
          </w:p>
        </w:tc>
        <w:tc>
          <w:tcPr>
            <w:tcW w:w="1420" w:type="dxa"/>
            <w:vAlign w:val="bottom"/>
            <w:gridSpan w:val="4"/>
          </w:tcPr>
          <w:p>
            <w:pPr>
              <w:ind w:left="280"/>
              <w:spacing w:after="0" w:line="153" w:lineRule="exact"/>
              <w:rPr>
                <w:sz w:val="20"/>
                <w:szCs w:val="20"/>
                <w:color w:val="auto"/>
              </w:rPr>
            </w:pPr>
            <w:r>
              <w:rPr>
                <w:rFonts w:ascii="Arial" w:cs="Arial" w:eastAsia="Arial" w:hAnsi="Arial"/>
                <w:sz w:val="14"/>
                <w:szCs w:val="14"/>
                <w:b w:val="1"/>
                <w:bCs w:val="1"/>
                <w:color w:val="auto"/>
              </w:rPr>
              <w:t>Convertible</w:t>
            </w:r>
          </w:p>
        </w:tc>
        <w:tc>
          <w:tcPr>
            <w:tcW w:w="1340" w:type="dxa"/>
            <w:vAlign w:val="bottom"/>
            <w:gridSpan w:val="5"/>
          </w:tcPr>
          <w:p>
            <w:pPr>
              <w:ind w:left="200"/>
              <w:spacing w:after="0" w:line="153" w:lineRule="exact"/>
              <w:rPr>
                <w:sz w:val="20"/>
                <w:szCs w:val="20"/>
                <w:color w:val="auto"/>
              </w:rPr>
            </w:pPr>
            <w:r>
              <w:rPr>
                <w:rFonts w:ascii="Arial" w:cs="Arial" w:eastAsia="Arial" w:hAnsi="Arial"/>
                <w:sz w:val="14"/>
                <w:szCs w:val="14"/>
                <w:b w:val="1"/>
                <w:bCs w:val="1"/>
                <w:color w:val="auto"/>
              </w:rPr>
              <w:t>Convertible</w:t>
            </w:r>
          </w:p>
        </w:tc>
        <w:tc>
          <w:tcPr>
            <w:tcW w:w="20" w:type="dxa"/>
            <w:vAlign w:val="bottom"/>
            <w:shd w:val="clear" w:color="auto" w:fill="000000"/>
          </w:tcPr>
          <w:p>
            <w:pPr>
              <w:spacing w:after="0"/>
              <w:rPr>
                <w:sz w:val="13"/>
                <w:szCs w:val="13"/>
                <w:color w:val="auto"/>
              </w:rPr>
            </w:pPr>
          </w:p>
        </w:tc>
        <w:tc>
          <w:tcPr>
            <w:tcW w:w="140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Additional</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7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1740" w:type="dxa"/>
            <w:vAlign w:val="bottom"/>
          </w:tcPr>
          <w:p>
            <w:pPr>
              <w:spacing w:after="0"/>
              <w:rPr>
                <w:sz w:val="13"/>
                <w:szCs w:val="13"/>
                <w:color w:val="auto"/>
              </w:rPr>
            </w:pPr>
          </w:p>
        </w:tc>
        <w:tc>
          <w:tcPr>
            <w:tcW w:w="1380" w:type="dxa"/>
            <w:vAlign w:val="bottom"/>
            <w:gridSpan w:val="5"/>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Preferred Stock</w:t>
            </w:r>
          </w:p>
        </w:tc>
        <w:tc>
          <w:tcPr>
            <w:tcW w:w="1420" w:type="dxa"/>
            <w:vAlign w:val="bottom"/>
            <w:gridSpan w:val="5"/>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Preferred Stock</w:t>
            </w:r>
          </w:p>
        </w:tc>
        <w:tc>
          <w:tcPr>
            <w:tcW w:w="1420" w:type="dxa"/>
            <w:vAlign w:val="bottom"/>
            <w:gridSpan w:val="4"/>
          </w:tcPr>
          <w:p>
            <w:pPr>
              <w:ind w:left="160"/>
              <w:spacing w:after="0" w:line="157" w:lineRule="exact"/>
              <w:rPr>
                <w:sz w:val="20"/>
                <w:szCs w:val="20"/>
                <w:color w:val="auto"/>
              </w:rPr>
            </w:pPr>
            <w:r>
              <w:rPr>
                <w:rFonts w:ascii="Arial" w:cs="Arial" w:eastAsia="Arial" w:hAnsi="Arial"/>
                <w:sz w:val="14"/>
                <w:szCs w:val="14"/>
                <w:b w:val="1"/>
                <w:bCs w:val="1"/>
                <w:color w:val="auto"/>
              </w:rPr>
              <w:t>Preferred Stock</w:t>
            </w:r>
          </w:p>
        </w:tc>
        <w:tc>
          <w:tcPr>
            <w:tcW w:w="1340" w:type="dxa"/>
            <w:vAlign w:val="bottom"/>
            <w:gridSpan w:val="5"/>
          </w:tcPr>
          <w:p>
            <w:pPr>
              <w:ind w:left="80"/>
              <w:spacing w:after="0" w:line="157" w:lineRule="exact"/>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3"/>
                <w:szCs w:val="13"/>
                <w:color w:val="auto"/>
              </w:rPr>
            </w:pPr>
          </w:p>
        </w:tc>
        <w:tc>
          <w:tcPr>
            <w:tcW w:w="1400" w:type="dxa"/>
            <w:vAlign w:val="bottom"/>
            <w:gridSpan w:val="6"/>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60"/>
              <w:spacing w:after="0" w:line="157" w:lineRule="exact"/>
              <w:rPr>
                <w:sz w:val="20"/>
                <w:szCs w:val="20"/>
                <w:color w:val="auto"/>
              </w:rPr>
            </w:pPr>
            <w:r>
              <w:rPr>
                <w:rFonts w:ascii="Arial" w:cs="Arial" w:eastAsia="Arial" w:hAnsi="Arial"/>
                <w:sz w:val="14"/>
                <w:szCs w:val="14"/>
                <w:b w:val="1"/>
                <w:bCs w:val="1"/>
                <w:color w:val="auto"/>
                <w:w w:val="89"/>
              </w:rPr>
              <w:t>Paid-in</w:t>
            </w:r>
          </w:p>
        </w:tc>
        <w:tc>
          <w:tcPr>
            <w:tcW w:w="980" w:type="dxa"/>
            <w:vAlign w:val="bottom"/>
            <w:gridSpan w:val="3"/>
            <w:vMerge w:val="continue"/>
          </w:tcPr>
          <w:p>
            <w:pPr>
              <w:spacing w:after="0"/>
              <w:rPr>
                <w:sz w:val="13"/>
                <w:szCs w:val="13"/>
                <w:color w:val="auto"/>
              </w:rPr>
            </w:pPr>
          </w:p>
        </w:tc>
        <w:tc>
          <w:tcPr>
            <w:tcW w:w="9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37"/>
        </w:trPr>
        <w:tc>
          <w:tcPr>
            <w:tcW w:w="174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220"/>
              <w:spacing w:after="0" w:line="137" w:lineRule="exact"/>
              <w:rPr>
                <w:sz w:val="20"/>
                <w:szCs w:val="20"/>
                <w:color w:val="auto"/>
              </w:rPr>
            </w:pPr>
            <w:r>
              <w:rPr>
                <w:rFonts w:ascii="Arial" w:cs="Arial" w:eastAsia="Arial" w:hAnsi="Arial"/>
                <w:sz w:val="14"/>
                <w:szCs w:val="14"/>
                <w:b w:val="1"/>
                <w:bCs w:val="1"/>
                <w:color w:val="auto"/>
                <w:w w:val="94"/>
              </w:rPr>
              <w:t>Shares</w:t>
            </w:r>
          </w:p>
        </w:tc>
        <w:tc>
          <w:tcPr>
            <w:tcW w:w="54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160"/>
              <w:spacing w:after="0" w:line="137"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700" w:type="dxa"/>
            <w:vAlign w:val="bottom"/>
            <w:tcBorders>
              <w:top w:val="single" w:sz="8" w:color="auto"/>
            </w:tcBorders>
            <w:gridSpan w:val="2"/>
          </w:tcPr>
          <w:p>
            <w:pPr>
              <w:ind w:left="80"/>
              <w:spacing w:after="0" w:line="137"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44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80" w:type="dxa"/>
            <w:vAlign w:val="bottom"/>
            <w:tcBorders>
              <w:top w:val="single" w:sz="8" w:color="auto"/>
            </w:tcBorders>
            <w:gridSpan w:val="2"/>
          </w:tcPr>
          <w:p>
            <w:pPr>
              <w:ind w:left="120"/>
              <w:spacing w:after="0" w:line="137"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60"/>
              <w:spacing w:after="0" w:line="137" w:lineRule="exact"/>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1"/>
                <w:szCs w:val="11"/>
                <w:color w:val="auto"/>
              </w:rPr>
            </w:pPr>
          </w:p>
        </w:tc>
        <w:tc>
          <w:tcPr>
            <w:tcW w:w="840" w:type="dxa"/>
            <w:vAlign w:val="bottom"/>
            <w:gridSpan w:val="2"/>
          </w:tcPr>
          <w:p>
            <w:pPr>
              <w:jc w:val="right"/>
              <w:ind w:right="380"/>
              <w:spacing w:after="0" w:line="137"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1"/>
                <w:szCs w:val="11"/>
                <w:color w:val="auto"/>
              </w:rPr>
            </w:pPr>
          </w:p>
        </w:tc>
        <w:tc>
          <w:tcPr>
            <w:tcW w:w="780" w:type="dxa"/>
            <w:vAlign w:val="bottom"/>
            <w:gridSpan w:val="2"/>
          </w:tcPr>
          <w:p>
            <w:pPr>
              <w:jc w:val="right"/>
              <w:ind w:right="320"/>
              <w:spacing w:after="0" w:line="137"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1"/>
        </w:trPr>
        <w:tc>
          <w:tcPr>
            <w:tcW w:w="174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Balance, January 1,</w:t>
            </w: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600" w:type="dxa"/>
            <w:vAlign w:val="bottom"/>
            <w:tcBorders>
              <w:top w:val="single" w:sz="8" w:color="auto"/>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7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2013</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2,979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34,431</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$34,233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15,385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$ 8,905</w:t>
            </w: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9"/>
                <w:szCs w:val="19"/>
                <w:color w:val="auto"/>
              </w:rPr>
            </w:pP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3,088</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687</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(43,246)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(42,556)</w:t>
            </w: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Arial" w:cs="Arial" w:eastAsia="Arial" w:hAnsi="Arial"/>
                <w:sz w:val="17"/>
                <w:szCs w:val="17"/>
                <w:color w:val="auto"/>
              </w:rPr>
              <w:t>Beneficial conversion</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80"/>
              <w:spacing w:after="0"/>
              <w:rPr>
                <w:sz w:val="20"/>
                <w:szCs w:val="20"/>
                <w:color w:val="auto"/>
              </w:rPr>
            </w:pPr>
            <w:r>
              <w:rPr>
                <w:rFonts w:ascii="Arial" w:cs="Arial" w:eastAsia="Arial" w:hAnsi="Arial"/>
                <w:sz w:val="17"/>
                <w:szCs w:val="17"/>
                <w:color w:val="auto"/>
                <w:w w:val="96"/>
              </w:rPr>
              <w:t>feature of convertible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80"/>
              <w:spacing w:after="0"/>
              <w:rPr>
                <w:sz w:val="20"/>
                <w:szCs w:val="20"/>
                <w:color w:val="auto"/>
              </w:rPr>
            </w:pPr>
            <w:r>
              <w:rPr>
                <w:rFonts w:ascii="Arial" w:cs="Arial" w:eastAsia="Arial" w:hAnsi="Arial"/>
                <w:sz w:val="17"/>
                <w:szCs w:val="17"/>
                <w:color w:val="auto"/>
              </w:rPr>
              <w:t>promissory notes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80"/>
              <w:spacing w:after="0"/>
              <w:rPr>
                <w:sz w:val="20"/>
                <w:szCs w:val="20"/>
                <w:color w:val="auto"/>
              </w:rPr>
            </w:pPr>
            <w:r>
              <w:rPr>
                <w:rFonts w:ascii="Arial" w:cs="Arial" w:eastAsia="Arial" w:hAnsi="Arial"/>
                <w:sz w:val="17"/>
                <w:szCs w:val="17"/>
                <w:color w:val="auto"/>
              </w:rPr>
              <w:t>payable to related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ind w:left="180"/>
              <w:spacing w:after="0"/>
              <w:rPr>
                <w:sz w:val="20"/>
                <w:szCs w:val="20"/>
                <w:color w:val="auto"/>
              </w:rPr>
            </w:pPr>
            <w:r>
              <w:rPr>
                <w:rFonts w:ascii="Arial" w:cs="Arial" w:eastAsia="Arial" w:hAnsi="Arial"/>
                <w:sz w:val="17"/>
                <w:szCs w:val="17"/>
                <w:color w:val="auto"/>
              </w:rPr>
              <w:t>parties</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1,960</w:t>
            </w: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Preferred shares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converted to</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shares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(3,000)</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(2,979)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(6,688)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(6,013)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(4,238)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(2,453)</w:t>
            </w: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9"/>
                <w:szCs w:val="19"/>
                <w:color w:val="auto"/>
              </w:rPr>
            </w:pP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14,258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11,431</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11,445</w:t>
            </w: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Arial" w:cs="Arial" w:eastAsia="Arial" w:hAnsi="Arial"/>
                <w:sz w:val="17"/>
                <w:szCs w:val="17"/>
                <w:color w:val="auto"/>
              </w:rPr>
              <w:t>Warrants for Series C</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80"/>
              <w:spacing w:after="0"/>
              <w:rPr>
                <w:sz w:val="20"/>
                <w:szCs w:val="20"/>
                <w:color w:val="auto"/>
              </w:rPr>
            </w:pPr>
            <w:r>
              <w:rPr>
                <w:rFonts w:ascii="Arial" w:cs="Arial" w:eastAsia="Arial" w:hAnsi="Arial"/>
                <w:sz w:val="17"/>
                <w:szCs w:val="17"/>
                <w:color w:val="auto"/>
              </w:rPr>
              <w:t>Preferred Stock</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80"/>
              <w:spacing w:after="0"/>
              <w:rPr>
                <w:sz w:val="20"/>
                <w:szCs w:val="20"/>
                <w:color w:val="auto"/>
              </w:rPr>
            </w:pPr>
            <w:r>
              <w:rPr>
                <w:rFonts w:ascii="Arial" w:cs="Arial" w:eastAsia="Arial" w:hAnsi="Arial"/>
                <w:sz w:val="17"/>
                <w:szCs w:val="17"/>
                <w:color w:val="auto"/>
                <w:w w:val="94"/>
              </w:rPr>
              <w:t>converted to warrants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ind w:left="180"/>
              <w:spacing w:after="0"/>
              <w:rPr>
                <w:sz w:val="20"/>
                <w:szCs w:val="20"/>
                <w:color w:val="auto"/>
              </w:rPr>
            </w:pPr>
            <w:r>
              <w:rPr>
                <w:rFonts w:ascii="Arial" w:cs="Arial" w:eastAsia="Arial" w:hAnsi="Arial"/>
                <w:sz w:val="17"/>
                <w:szCs w:val="17"/>
                <w:color w:val="auto"/>
              </w:rPr>
              <w:t>for common stock</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Shares issued under</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employee stock plans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9"/>
                <w:szCs w:val="19"/>
                <w:color w:val="auto"/>
              </w:rPr>
            </w:pPr>
          </w:p>
        </w:tc>
        <w:tc>
          <w:tcPr>
            <w:tcW w:w="6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Arial" w:cs="Arial" w:eastAsia="Arial" w:hAnsi="Arial"/>
                <w:sz w:val="17"/>
                <w:szCs w:val="17"/>
                <w:color w:val="auto"/>
              </w:rPr>
              <w:t>Stock-based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40" w:type="dxa"/>
            <w:vAlign w:val="bottom"/>
          </w:tcPr>
          <w:p>
            <w:pPr>
              <w:ind w:left="180"/>
              <w:spacing w:after="0"/>
              <w:rPr>
                <w:sz w:val="20"/>
                <w:szCs w:val="20"/>
                <w:color w:val="auto"/>
              </w:rPr>
            </w:pPr>
            <w:r>
              <w:rPr>
                <w:rFonts w:ascii="Arial" w:cs="Arial" w:eastAsia="Arial" w:hAnsi="Arial"/>
                <w:sz w:val="17"/>
                <w:szCs w:val="17"/>
                <w:color w:val="auto"/>
              </w:rPr>
              <w:t>compensation</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151</w:t>
            </w: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8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(5,545)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(5,545)</w:t>
            </w: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Arial" w:cs="Arial" w:eastAsia="Arial" w:hAnsi="Arial"/>
                <w:sz w:val="17"/>
                <w:szCs w:val="17"/>
                <w:b w:val="1"/>
                <w:bCs w:val="1"/>
                <w:color w:val="auto"/>
              </w:rPr>
              <w:t>Balance,</w:t>
            </w: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40" w:type="dxa"/>
            <w:vAlign w:val="bottom"/>
          </w:tcPr>
          <w:p>
            <w:pPr>
              <w:ind w:left="180"/>
              <w:spacing w:after="0"/>
              <w:rPr>
                <w:sz w:val="20"/>
                <w:szCs w:val="20"/>
                <w:color w:val="auto"/>
              </w:rPr>
            </w:pPr>
            <w:r>
              <w:rPr>
                <w:rFonts w:ascii="Arial" w:cs="Arial" w:eastAsia="Arial" w:hAnsi="Arial"/>
                <w:sz w:val="17"/>
                <w:szCs w:val="17"/>
                <w:b w:val="1"/>
                <w:bCs w:val="1"/>
                <w:color w:val="auto"/>
              </w:rPr>
              <w:t>December 31, 2013</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27,743</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28,220</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11,147</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6,452</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17,368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14,247</w:t>
            </w: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(48,791)</w:t>
            </w: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(34,527)</w:t>
            </w:r>
          </w:p>
        </w:tc>
        <w:tc>
          <w:tcPr>
            <w:tcW w:w="0" w:type="dxa"/>
            <w:vAlign w:val="bottom"/>
          </w:tcPr>
          <w:p>
            <w:pPr>
              <w:spacing w:after="0"/>
              <w:rPr>
                <w:sz w:val="1"/>
                <w:szCs w:val="1"/>
                <w:color w:val="auto"/>
              </w:rPr>
            </w:pPr>
          </w:p>
        </w:tc>
      </w:tr>
      <w:tr>
        <w:trPr>
          <w:trHeight w:val="197"/>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Conversion of</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promissory notes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payable to related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parties into shares of</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8"/>
              </w:rPr>
              <w:t>Series C-1 Preferred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3,318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9"/>
              </w:rPr>
              <w:t>2,156</w:t>
            </w:r>
          </w:p>
        </w:tc>
        <w:tc>
          <w:tcPr>
            <w:tcW w:w="20" w:type="dxa"/>
            <w:vAlign w:val="bottom"/>
            <w:shd w:val="clear" w:color="auto" w:fill="000000"/>
          </w:tcPr>
          <w:p>
            <w:pPr>
              <w:spacing w:after="0"/>
              <w:rPr>
                <w:sz w:val="19"/>
                <w:szCs w:val="19"/>
                <w:color w:val="auto"/>
              </w:rPr>
            </w:pPr>
          </w:p>
        </w:tc>
        <w:tc>
          <w:tcPr>
            <w:tcW w:w="68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Arial" w:cs="Arial" w:eastAsia="Arial" w:hAnsi="Arial"/>
                <w:sz w:val="17"/>
                <w:szCs w:val="17"/>
                <w:color w:val="auto"/>
              </w:rPr>
              <w:t>Stock-based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40" w:type="dxa"/>
            <w:vAlign w:val="bottom"/>
          </w:tcPr>
          <w:p>
            <w:pPr>
              <w:ind w:left="180"/>
              <w:spacing w:after="0"/>
              <w:rPr>
                <w:sz w:val="20"/>
                <w:szCs w:val="20"/>
                <w:color w:val="auto"/>
              </w:rPr>
            </w:pPr>
            <w:r>
              <w:rPr>
                <w:rFonts w:ascii="Arial" w:cs="Arial" w:eastAsia="Arial" w:hAnsi="Arial"/>
                <w:sz w:val="17"/>
                <w:szCs w:val="17"/>
                <w:color w:val="auto"/>
              </w:rPr>
              <w:t>compensation</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160</w:t>
            </w: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8"/>
                <w:szCs w:val="18"/>
                <w:color w:val="auto"/>
              </w:rPr>
            </w:pPr>
          </w:p>
        </w:tc>
        <w:tc>
          <w:tcPr>
            <w:tcW w:w="68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3,532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3,532</w:t>
            </w: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Arial" w:cs="Arial" w:eastAsia="Arial" w:hAnsi="Arial"/>
                <w:sz w:val="17"/>
                <w:szCs w:val="17"/>
                <w:b w:val="1"/>
                <w:bCs w:val="1"/>
                <w:color w:val="auto"/>
              </w:rPr>
              <w:t>Balance,</w:t>
            </w: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40" w:type="dxa"/>
            <w:vAlign w:val="bottom"/>
          </w:tcPr>
          <w:p>
            <w:pPr>
              <w:ind w:left="180"/>
              <w:spacing w:after="0"/>
              <w:rPr>
                <w:sz w:val="20"/>
                <w:szCs w:val="20"/>
                <w:color w:val="auto"/>
              </w:rPr>
            </w:pPr>
            <w:r>
              <w:rPr>
                <w:rFonts w:ascii="Arial" w:cs="Arial" w:eastAsia="Arial" w:hAnsi="Arial"/>
                <w:sz w:val="17"/>
                <w:szCs w:val="17"/>
                <w:b w:val="1"/>
                <w:bCs w:val="1"/>
                <w:color w:val="auto"/>
              </w:rPr>
              <w:t>December 31, 2014</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27,743</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28,220</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11,147</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$ 6,452</w:t>
            </w:r>
          </w:p>
        </w:tc>
        <w:tc>
          <w:tcPr>
            <w:tcW w:w="440" w:type="dxa"/>
            <w:vAlign w:val="bottom"/>
          </w:tcPr>
          <w:p>
            <w:pPr>
              <w:ind w:left="60"/>
              <w:spacing w:after="0"/>
              <w:rPr>
                <w:sz w:val="20"/>
                <w:szCs w:val="20"/>
                <w:color w:val="auto"/>
              </w:rPr>
            </w:pPr>
            <w:r>
              <w:rPr>
                <w:rFonts w:ascii="Arial" w:cs="Arial" w:eastAsia="Arial" w:hAnsi="Arial"/>
                <w:sz w:val="17"/>
                <w:szCs w:val="17"/>
                <w:color w:val="auto"/>
                <w:w w:val="84"/>
              </w:rPr>
              <w:t>3,318</w:t>
            </w:r>
          </w:p>
        </w:tc>
        <w:tc>
          <w:tcPr>
            <w:tcW w:w="260" w:type="dxa"/>
            <w:vAlign w:val="bottom"/>
            <w:gridSpan w:val="2"/>
          </w:tcPr>
          <w:p>
            <w:pPr>
              <w:ind w:left="160"/>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2,156</w:t>
            </w:r>
          </w:p>
        </w:tc>
        <w:tc>
          <w:tcPr>
            <w:tcW w:w="20" w:type="dxa"/>
            <w:vAlign w:val="bottom"/>
            <w:shd w:val="clear" w:color="auto" w:fill="000000"/>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17,368</w:t>
            </w:r>
          </w:p>
        </w:tc>
        <w:tc>
          <w:tcPr>
            <w:tcW w:w="24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14,407</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(45,259)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(30,835)</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49" w:right="2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ANAPTYSBIO,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7"/>
        </w:trPr>
        <w:tc>
          <w:tcPr>
            <w:tcW w:w="94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3"/>
              <w:spacing w:after="0" w:line="137"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4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ACTIVITIES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7"/>
                <w:szCs w:val="17"/>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(5,545)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3,532</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(loss) to net cash used in operating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580</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151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10"/>
        </w:trPr>
        <w:tc>
          <w:tcPr>
            <w:tcW w:w="9400" w:type="dxa"/>
            <w:vAlign w:val="bottom"/>
          </w:tcPr>
          <w:p>
            <w:pPr>
              <w:ind w:left="360"/>
              <w:spacing w:after="0"/>
              <w:rPr>
                <w:sz w:val="20"/>
                <w:szCs w:val="20"/>
                <w:color w:val="auto"/>
              </w:rPr>
            </w:pPr>
            <w:r>
              <w:rPr>
                <w:rFonts w:ascii="Arial" w:cs="Arial" w:eastAsia="Arial" w:hAnsi="Arial"/>
                <w:sz w:val="17"/>
                <w:szCs w:val="17"/>
                <w:color w:val="auto"/>
              </w:rPr>
              <w:t>Change in fair value of liability for preferred stock warrants</w:t>
            </w: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(627)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Noncash interest expense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886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1,273</w:t>
            </w:r>
          </w:p>
        </w:tc>
        <w:tc>
          <w:tcPr>
            <w:tcW w:w="0" w:type="dxa"/>
            <w:vAlign w:val="bottom"/>
          </w:tcPr>
          <w:p>
            <w:pPr>
              <w:spacing w:after="0"/>
              <w:rPr>
                <w:sz w:val="1"/>
                <w:szCs w:val="1"/>
                <w:color w:val="auto"/>
              </w:rPr>
            </w:pPr>
          </w:p>
        </w:tc>
      </w:tr>
      <w:tr>
        <w:trPr>
          <w:trHeight w:val="210"/>
        </w:trPr>
        <w:tc>
          <w:tcPr>
            <w:tcW w:w="9400" w:type="dxa"/>
            <w:vAlign w:val="bottom"/>
          </w:tcPr>
          <w:p>
            <w:pPr>
              <w:ind w:left="360"/>
              <w:spacing w:after="0"/>
              <w:rPr>
                <w:sz w:val="20"/>
                <w:szCs w:val="20"/>
                <w:color w:val="auto"/>
              </w:rPr>
            </w:pPr>
            <w:r>
              <w:rPr>
                <w:rFonts w:ascii="Arial" w:cs="Arial" w:eastAsia="Arial" w:hAnsi="Arial"/>
                <w:sz w:val="17"/>
                <w:szCs w:val="17"/>
                <w:color w:val="auto"/>
              </w:rPr>
              <w:t>Loss on disposal of property and equipment</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0" w:type="dxa"/>
            <w:vAlign w:val="bottom"/>
          </w:tcPr>
          <w:p>
            <w:pPr>
              <w:ind w:left="700"/>
              <w:spacing w:after="0"/>
              <w:rPr>
                <w:sz w:val="20"/>
                <w:szCs w:val="20"/>
                <w:color w:val="auto"/>
              </w:rPr>
            </w:pPr>
            <w:r>
              <w:rPr>
                <w:rFonts w:ascii="Arial" w:cs="Arial" w:eastAsia="Arial" w:hAnsi="Arial"/>
                <w:sz w:val="17"/>
                <w:szCs w:val="17"/>
                <w:color w:val="auto"/>
              </w:rPr>
              <w:t>Receivable from collaborative partners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268</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(1,455)</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Prepaid expenses and other assets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132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0"/>
        </w:trPr>
        <w:tc>
          <w:tcPr>
            <w:tcW w:w="9400" w:type="dxa"/>
            <w:vAlign w:val="bottom"/>
          </w:tcPr>
          <w:p>
            <w:pPr>
              <w:ind w:left="700"/>
              <w:spacing w:after="0"/>
              <w:rPr>
                <w:sz w:val="20"/>
                <w:szCs w:val="20"/>
                <w:color w:val="auto"/>
              </w:rPr>
            </w:pPr>
            <w:r>
              <w:rPr>
                <w:rFonts w:ascii="Arial" w:cs="Arial" w:eastAsia="Arial" w:hAnsi="Arial"/>
                <w:sz w:val="17"/>
                <w:szCs w:val="17"/>
                <w:color w:val="auto"/>
              </w:rPr>
              <w:t>Accounts payable and other liabilities</w:t>
            </w: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(255)</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(1,392)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10,730</w:t>
            </w:r>
          </w:p>
        </w:tc>
        <w:tc>
          <w:tcPr>
            <w:tcW w:w="0" w:type="dxa"/>
            <w:vAlign w:val="bottom"/>
          </w:tcPr>
          <w:p>
            <w:pPr>
              <w:spacing w:after="0"/>
              <w:rPr>
                <w:sz w:val="1"/>
                <w:szCs w:val="1"/>
                <w:color w:val="auto"/>
              </w:rPr>
            </w:pPr>
          </w:p>
        </w:tc>
      </w:tr>
      <w:tr>
        <w:trPr>
          <w:trHeight w:val="20"/>
        </w:trPr>
        <w:tc>
          <w:tcPr>
            <w:tcW w:w="9400" w:type="dxa"/>
            <w:vAlign w:val="bottom"/>
            <w:vMerge w:val="restart"/>
          </w:tcPr>
          <w:p>
            <w:pPr>
              <w:ind w:left="1060"/>
              <w:spacing w:after="0"/>
              <w:rPr>
                <w:sz w:val="20"/>
                <w:szCs w:val="20"/>
                <w:color w:val="auto"/>
              </w:rPr>
            </w:pPr>
            <w:r>
              <w:rPr>
                <w:rFonts w:ascii="Arial" w:cs="Arial" w:eastAsia="Arial" w:hAnsi="Arial"/>
                <w:sz w:val="17"/>
                <w:szCs w:val="17"/>
                <w:color w:val="auto"/>
              </w:rPr>
              <w:t>Net cash provided by (used in) operating activities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(5,796)</w:t>
            </w:r>
          </w:p>
        </w:tc>
        <w:tc>
          <w:tcPr>
            <w:tcW w:w="1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14,603</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7"/>
                <w:szCs w:val="17"/>
                <w:color w:val="auto"/>
              </w:rPr>
              <w:t>Proceeds from sale of property and equipment</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and equipment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9400" w:type="dxa"/>
            <w:vAlign w:val="bottom"/>
            <w:vMerge w:val="restart"/>
          </w:tcPr>
          <w:p>
            <w:pPr>
              <w:ind w:left="106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7"/>
                <w:szCs w:val="17"/>
                <w:color w:val="auto"/>
              </w:rPr>
              <w:t>Proceeds from notes payable, net of costs to issue</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4,915</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convertible promissory notes payable to related parties, net of costs to issue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7"/>
                <w:szCs w:val="17"/>
                <w:color w:val="auto"/>
              </w:rPr>
              <w:t>Proceeds from issuance of common stock</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1,964</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1400"/>
              <w:spacing w:after="0"/>
              <w:rPr>
                <w:sz w:val="20"/>
                <w:szCs w:val="20"/>
                <w:color w:val="auto"/>
              </w:rPr>
            </w:pPr>
            <w:r>
              <w:rPr>
                <w:rFonts w:ascii="Arial" w:cs="Arial" w:eastAsia="Arial" w:hAnsi="Arial"/>
                <w:sz w:val="17"/>
                <w:szCs w:val="17"/>
                <w:color w:val="auto"/>
              </w:rPr>
              <w:t>Net increase (decrease) in cash</w:t>
            </w: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(3,869)</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19,378</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6,679</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7"/>
                <w:szCs w:val="17"/>
                <w:color w:val="auto"/>
              </w:rPr>
              <w:t>Cash and cash equivalents,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2,810</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22,188</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7"/>
                <w:szCs w:val="17"/>
                <w:color w:val="auto"/>
              </w:rPr>
              <w:t>Interest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Noncash investing and financing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0" w:type="dxa"/>
            <w:vAlign w:val="bottom"/>
          </w:tcPr>
          <w:p>
            <w:pPr>
              <w:ind w:left="700"/>
              <w:spacing w:after="0"/>
              <w:rPr>
                <w:sz w:val="20"/>
                <w:szCs w:val="20"/>
                <w:color w:val="auto"/>
              </w:rPr>
            </w:pPr>
            <w:r>
              <w:rPr>
                <w:rFonts w:ascii="Arial" w:cs="Arial" w:eastAsia="Arial" w:hAnsi="Arial"/>
                <w:sz w:val="17"/>
                <w:szCs w:val="17"/>
                <w:color w:val="auto"/>
              </w:rPr>
              <w:t>Conversion of convertible promissory notes payable to related parties into shares of Series C-1 Preferred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2,156</w:t>
            </w:r>
          </w:p>
        </w:tc>
        <w:tc>
          <w:tcPr>
            <w:tcW w:w="0" w:type="dxa"/>
            <w:vAlign w:val="bottom"/>
          </w:tcPr>
          <w:p>
            <w:pPr>
              <w:spacing w:after="0"/>
              <w:rPr>
                <w:sz w:val="1"/>
                <w:szCs w:val="1"/>
                <w:color w:val="auto"/>
              </w:rPr>
            </w:pPr>
          </w:p>
        </w:tc>
      </w:tr>
      <w:tr>
        <w:trPr>
          <w:trHeight w:val="197"/>
        </w:trPr>
        <w:tc>
          <w:tcPr>
            <w:tcW w:w="940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8"/>
              </w:rPr>
              <w:t>Beneficial conversion feature of convertible promissory notes payable to related parties allocated to additional paid-in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400" w:type="dxa"/>
            <w:vAlign w:val="bottom"/>
            <w:shd w:val="clear" w:color="auto" w:fill="CCEEFF"/>
          </w:tcPr>
          <w:p>
            <w:pPr>
              <w:ind w:left="880"/>
              <w:spacing w:after="0"/>
              <w:rPr>
                <w:sz w:val="20"/>
                <w:szCs w:val="20"/>
                <w:color w:val="auto"/>
              </w:rPr>
            </w:pPr>
            <w:r>
              <w:rPr>
                <w:rFonts w:ascii="Arial" w:cs="Arial" w:eastAsia="Arial" w:hAnsi="Arial"/>
                <w:sz w:val="17"/>
                <w:szCs w:val="17"/>
                <w:color w:val="auto"/>
              </w:rPr>
              <w:t>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9400" w:type="dxa"/>
            <w:vAlign w:val="bottom"/>
          </w:tcPr>
          <w:p>
            <w:pPr>
              <w:ind w:left="700"/>
              <w:spacing w:after="0"/>
              <w:rPr>
                <w:sz w:val="20"/>
                <w:szCs w:val="20"/>
                <w:color w:val="auto"/>
              </w:rPr>
            </w:pPr>
            <w:r>
              <w:rPr>
                <w:rFonts w:ascii="Arial" w:cs="Arial" w:eastAsia="Arial" w:hAnsi="Arial"/>
                <w:sz w:val="17"/>
                <w:szCs w:val="17"/>
                <w:color w:val="auto"/>
              </w:rPr>
              <w:t>Warrants for Series C Preferred Stock converted to warrants for common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14</w:t>
            </w: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9"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ANAPTYSBIO,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232" w:lineRule="exact"/>
        <w:rPr>
          <w:sz w:val="20"/>
          <w:szCs w:val="20"/>
          <w:color w:val="auto"/>
        </w:rPr>
      </w:pPr>
    </w:p>
    <w:p>
      <w:pPr>
        <w:ind w:left="460" w:hanging="455"/>
        <w:spacing w:after="0"/>
        <w:tabs>
          <w:tab w:leader="none" w:pos="46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Basis of Presentation</w:t>
      </w:r>
    </w:p>
    <w:p>
      <w:pPr>
        <w:spacing w:after="0" w:line="125"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Liquidity</w:t>
      </w:r>
    </w:p>
    <w:p>
      <w:pPr>
        <w:spacing w:after="0" w:line="119"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and have incurred losses and negative cash flows from operations through the year ended December 31, 2013 and have an accumulated deficit at December 31, 2014 of $45.3 million. Through 2013, all of our financial support has been provided primarily from the sale of our common and preferred stock and proceeds from the issuance of convertible debt. As of December 31, 2014, however, following the execution of a significant strategic collaboration, we have positive working capital.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financial statements do not include any adjustments that might be necessary if we are unable to continue as a going concern.</w:t>
      </w:r>
    </w:p>
    <w:p>
      <w:pPr>
        <w:spacing w:after="0" w:line="306" w:lineRule="exact"/>
        <w:rPr>
          <w:sz w:val="20"/>
          <w:szCs w:val="20"/>
          <w:color w:val="auto"/>
        </w:rPr>
      </w:pPr>
    </w:p>
    <w:p>
      <w:pPr>
        <w:ind w:left="460" w:hanging="455"/>
        <w:spacing w:after="0"/>
        <w:tabs>
          <w:tab w:leader="none" w:pos="46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9"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(“GAAP”). The preparation of financial statements in conformity with GAAP requires management to make judgments, assumptions and estimates that affect the amounts reported in our financial statements and accompanying notes. Significant estimates in the financial statements have been made for preferred stock warrant liabilities and stock-based compensation. Actual results could differ materially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9" w:lineRule="exact"/>
        <w:rPr>
          <w:sz w:val="20"/>
          <w:szCs w:val="20"/>
          <w:color w:val="auto"/>
        </w:rPr>
      </w:pPr>
    </w:p>
    <w:p>
      <w:pPr>
        <w:ind w:right="560" w:firstLine="457"/>
        <w:spacing w:after="0" w:line="289" w:lineRule="auto"/>
        <w:rPr>
          <w:sz w:val="20"/>
          <w:szCs w:val="20"/>
          <w:color w:val="auto"/>
        </w:rPr>
      </w:pPr>
      <w:r>
        <w:rPr>
          <w:rFonts w:ascii="Arial" w:cs="Arial" w:eastAsia="Arial" w:hAnsi="Arial"/>
          <w:sz w:val="17"/>
          <w:szCs w:val="17"/>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19"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At December 31, 2013 and 2014, we held restricted cash of $110,000 and $85,000, respectively, used to secure a letter of credit provided as security for our operating leases for our facility.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19" w:lineRule="exact"/>
        <w:rPr>
          <w:sz w:val="20"/>
          <w:szCs w:val="20"/>
          <w:color w:val="auto"/>
        </w:rPr>
      </w:pPr>
    </w:p>
    <w:p>
      <w:pPr>
        <w:ind w:right="640" w:firstLine="457"/>
        <w:spacing w:after="0" w:line="289" w:lineRule="auto"/>
        <w:rPr>
          <w:sz w:val="20"/>
          <w:szCs w:val="20"/>
          <w:color w:val="auto"/>
        </w:rPr>
      </w:pPr>
      <w:r>
        <w:rPr>
          <w:rFonts w:ascii="Arial" w:cs="Arial" w:eastAsia="Arial" w:hAnsi="Arial"/>
          <w:sz w:val="17"/>
          <w:szCs w:val="17"/>
          <w:color w:val="auto"/>
        </w:rPr>
        <w:t>Property and equipment is carried at cost. Expenditures for major additions and betterments are capitalized. Maintenance and repairs are charged to operations as incurred. Depreciation and amortization are calculated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00"/>
          </w:cols>
          <w:pgMar w:left="240" w:top="449" w:right="25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 Lived Assets</w:t>
      </w:r>
    </w:p>
    <w:p>
      <w:pPr>
        <w:spacing w:after="0" w:line="119"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2013 or 2014.</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Rent and Operating Lease Incentives</w:t>
      </w:r>
    </w:p>
    <w:p>
      <w:pPr>
        <w:spacing w:after="0" w:line="11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19" w:lineRule="exact"/>
        <w:rPr>
          <w:sz w:val="20"/>
          <w:szCs w:val="20"/>
          <w:color w:val="auto"/>
        </w:rPr>
      </w:pPr>
    </w:p>
    <w:p>
      <w:pPr>
        <w:ind w:right="100" w:firstLine="457"/>
        <w:spacing w:after="0" w:line="32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ind w:right="100" w:firstLine="457"/>
        <w:spacing w:after="0" w:line="297"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55"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 represents a</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61"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We recognize consideration allocated to an individual element when all other revenue recognition criteria are met for that element. Our multiple-element revenue arrangements may include the following:</w:t>
      </w:r>
    </w:p>
    <w:p>
      <w:pPr>
        <w:spacing w:after="0" w:line="60" w:lineRule="exact"/>
        <w:rPr>
          <w:sz w:val="20"/>
          <w:szCs w:val="20"/>
          <w:color w:val="auto"/>
        </w:rPr>
      </w:pPr>
    </w:p>
    <w:p>
      <w:pPr>
        <w:ind w:left="900" w:right="100" w:hanging="332"/>
        <w:spacing w:after="0" w:line="317" w:lineRule="auto"/>
        <w:tabs>
          <w:tab w:leader="none" w:pos="900" w:val="left"/>
        </w:tabs>
        <w:numPr>
          <w:ilvl w:val="0"/>
          <w:numId w:val="125"/>
        </w:numPr>
        <w:rPr>
          <w:rFonts w:ascii="Arial" w:cs="Arial" w:eastAsia="Arial" w:hAnsi="Arial"/>
          <w:sz w:val="15"/>
          <w:szCs w:val="15"/>
          <w:color w:val="auto"/>
        </w:rPr>
      </w:pPr>
      <w:r>
        <w:rPr>
          <w:rFonts w:ascii="Arial" w:cs="Arial" w:eastAsia="Arial" w:hAnsi="Arial"/>
          <w:sz w:val="15"/>
          <w:szCs w:val="15"/>
          <w:b w:val="1"/>
          <w:bCs w:val="1"/>
          <w:color w:val="auto"/>
        </w:rPr>
        <w:t>License arrangements</w:t>
      </w:r>
      <w:r>
        <w:rPr>
          <w:rFonts w:ascii="Arial" w:cs="Arial" w:eastAsia="Arial" w:hAnsi="Arial"/>
          <w:sz w:val="15"/>
          <w:szCs w:val="15"/>
          <w:color w:val="auto"/>
        </w:rPr>
        <w:t>. The deliverables under our collaboration and license agreements generally include exclusive or nonexclusive licenses to one</w:t>
      </w:r>
      <w:r>
        <w:rPr>
          <w:rFonts w:ascii="Arial" w:cs="Arial" w:eastAsia="Arial" w:hAnsi="Arial"/>
          <w:sz w:val="15"/>
          <w:szCs w:val="15"/>
          <w:b w:val="1"/>
          <w:bCs w:val="1"/>
          <w:color w:val="auto"/>
        </w:rPr>
        <w:t xml:space="preserve"> </w:t>
      </w:r>
      <w:r>
        <w:rPr>
          <w:rFonts w:ascii="Arial" w:cs="Arial" w:eastAsia="Arial" w:hAnsi="Arial"/>
          <w:sz w:val="15"/>
          <w:szCs w:val="15"/>
          <w:color w:val="auto"/>
        </w:rPr>
        <w:t>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44" w:lineRule="exact"/>
        <w:rPr>
          <w:rFonts w:ascii="Arial" w:cs="Arial" w:eastAsia="Arial" w:hAnsi="Arial"/>
          <w:sz w:val="15"/>
          <w:szCs w:val="15"/>
          <w:color w:val="auto"/>
        </w:rPr>
      </w:pPr>
    </w:p>
    <w:p>
      <w:pPr>
        <w:ind w:left="900" w:right="320" w:hanging="332"/>
        <w:spacing w:after="0" w:line="296"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 xml:space="preserve">Research and Development Services. </w:t>
      </w:r>
      <w:r>
        <w:rPr>
          <w:rFonts w:ascii="Arial" w:cs="Arial" w:eastAsia="Arial" w:hAnsi="Arial"/>
          <w:sz w:val="17"/>
          <w:szCs w:val="17"/>
          <w:color w:val="auto"/>
        </w:rPr>
        <w:t>The deliverables under our collaboration and license arrangements may include research and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we perform on behalf of or with our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449" w:right="25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60"/>
        <w:spacing w:after="0" w:line="267" w:lineRule="auto"/>
        <w:rPr>
          <w:sz w:val="20"/>
          <w:szCs w:val="20"/>
          <w:color w:val="auto"/>
        </w:rPr>
      </w:pPr>
      <w:r>
        <w:rPr>
          <w:rFonts w:ascii="Arial" w:cs="Arial" w:eastAsia="Arial" w:hAnsi="Arial"/>
          <w:sz w:val="17"/>
          <w:szCs w:val="17"/>
          <w:color w:val="auto"/>
        </w:rPr>
        <w:t>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78" w:lineRule="exact"/>
        <w:rPr>
          <w:sz w:val="20"/>
          <w:szCs w:val="20"/>
          <w:color w:val="auto"/>
        </w:rPr>
      </w:pPr>
    </w:p>
    <w:p>
      <w:pPr>
        <w:ind w:right="20" w:firstLine="457"/>
        <w:spacing w:after="0" w:line="32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regulatory milestones and sales-based milestones that are dependent upon the performance of the licensor or collaborator.</w:t>
      </w:r>
    </w:p>
    <w:p>
      <w:pPr>
        <w:spacing w:after="0" w:line="135" w:lineRule="exact"/>
        <w:rPr>
          <w:sz w:val="20"/>
          <w:szCs w:val="20"/>
          <w:color w:val="auto"/>
        </w:rPr>
      </w:pPr>
    </w:p>
    <w:p>
      <w:pPr>
        <w:ind w:right="220" w:firstLine="457"/>
        <w:spacing w:after="0" w:line="267" w:lineRule="auto"/>
        <w:rPr>
          <w:sz w:val="20"/>
          <w:szCs w:val="20"/>
          <w:color w:val="auto"/>
        </w:rPr>
      </w:pPr>
      <w:r>
        <w:rPr>
          <w:rFonts w:ascii="Arial" w:cs="Arial" w:eastAsia="Arial" w:hAnsi="Arial"/>
          <w:sz w:val="17"/>
          <w:szCs w:val="17"/>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9" w:lineRule="exact"/>
        <w:rPr>
          <w:sz w:val="20"/>
          <w:szCs w:val="20"/>
          <w:color w:val="auto"/>
        </w:rPr>
      </w:pPr>
    </w:p>
    <w:p>
      <w:pPr>
        <w:ind w:right="380" w:firstLine="457"/>
        <w:spacing w:after="0" w:line="273" w:lineRule="auto"/>
        <w:rPr>
          <w:sz w:val="20"/>
          <w:szCs w:val="20"/>
          <w:color w:val="auto"/>
        </w:rPr>
      </w:pPr>
      <w:r>
        <w:rPr>
          <w:rFonts w:ascii="Arial" w:cs="Arial" w:eastAsia="Arial" w:hAnsi="Arial"/>
          <w:sz w:val="17"/>
          <w:szCs w:val="17"/>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71"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65"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5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 for Shares of Preferred Stock</w:t>
      </w:r>
    </w:p>
    <w:p>
      <w:pPr>
        <w:spacing w:after="0" w:line="119" w:lineRule="exact"/>
        <w:rPr>
          <w:sz w:val="20"/>
          <w:szCs w:val="20"/>
          <w:color w:val="auto"/>
        </w:rPr>
      </w:pPr>
    </w:p>
    <w:p>
      <w:pPr>
        <w:jc w:val="both"/>
        <w:ind w:right="100" w:firstLine="457"/>
        <w:spacing w:after="0" w:line="273"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49"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9" w:lineRule="exact"/>
        <w:rPr>
          <w:sz w:val="20"/>
          <w:szCs w:val="20"/>
          <w:color w:val="auto"/>
        </w:rPr>
      </w:pPr>
    </w:p>
    <w:p>
      <w:pPr>
        <w:ind w:right="420" w:firstLine="457"/>
        <w:spacing w:after="0" w:line="289" w:lineRule="auto"/>
        <w:rPr>
          <w:sz w:val="20"/>
          <w:szCs w:val="20"/>
          <w:color w:val="auto"/>
        </w:rPr>
      </w:pPr>
      <w:r>
        <w:rPr>
          <w:rFonts w:ascii="Arial" w:cs="Arial" w:eastAsia="Arial" w:hAnsi="Arial"/>
          <w:sz w:val="17"/>
          <w:szCs w:val="17"/>
          <w:color w:val="auto"/>
        </w:rPr>
        <w:t>Our financial instruments consist principally of cash, cash equivalents, restricted cash, receivables from collaborative partners, accounts payable, notes payable and preferred stock warrant liabilities.</w:t>
      </w:r>
    </w:p>
    <w:p>
      <w:pPr>
        <w:spacing w:after="0" w:line="158" w:lineRule="exact"/>
        <w:rPr>
          <w:sz w:val="20"/>
          <w:szCs w:val="20"/>
          <w:color w:val="auto"/>
        </w:rPr>
      </w:pPr>
    </w:p>
    <w:p>
      <w:pPr>
        <w:ind w:right="40" w:firstLine="457"/>
        <w:spacing w:after="0" w:line="297"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1—Observable inputs that reflect quoted prices (unadjusted) for identical assets or liabilities in active markets.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2—Includes other inputs that are directly or indirectly observable in the marketplace.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19"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78"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We recognize an uncertain tax position in our financial statements when we concludes that a tax position is more likely than not to be sustained upon examination based solely on our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Common Share and Pro Forma Net Income Per Common Share</w:t>
      </w:r>
    </w:p>
    <w:p>
      <w:pPr>
        <w:spacing w:after="0" w:line="119"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Net income (loss) per share of common stock is determined using the two-class method for participating securities as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78"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449" w:right="2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income (loss) attributed to common stockholders, undistributed earnings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78"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2014 or the original issuance date, if later.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2"/>
              </w:rPr>
              <w:t>Net Income</w:t>
            </w: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260" w:type="dxa"/>
            <w:vAlign w:val="bottom"/>
            <w:gridSpan w:val="2"/>
          </w:tcPr>
          <w:p>
            <w:pPr>
              <w:jc w:val="right"/>
              <w:ind w:right="840"/>
              <w:spacing w:after="0" w:line="144" w:lineRule="exact"/>
              <w:rPr>
                <w:sz w:val="20"/>
                <w:szCs w:val="20"/>
                <w:color w:val="auto"/>
              </w:rPr>
            </w:pPr>
            <w:r>
              <w:rPr>
                <w:rFonts w:ascii="Arial" w:cs="Arial" w:eastAsia="Arial" w:hAnsi="Arial"/>
                <w:sz w:val="14"/>
                <w:szCs w:val="14"/>
                <w:b w:val="1"/>
                <w:bCs w:val="1"/>
                <w:color w:val="auto"/>
                <w:w w:val="95"/>
              </w:rPr>
              <w:t>(Loss)</w:t>
            </w: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7"/>
        </w:trPr>
        <w:tc>
          <w:tcPr>
            <w:tcW w:w="7920" w:type="dxa"/>
            <w:vAlign w:val="bottom"/>
            <w:vMerge w:val="continue"/>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(Denominator)</w:t>
            </w:r>
          </w:p>
        </w:tc>
        <w:tc>
          <w:tcPr>
            <w:tcW w:w="3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9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Year Ended December 31, 2013</w:t>
            </w: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7"/>
                <w:szCs w:val="17"/>
                <w:color w:val="auto"/>
              </w:rPr>
              <w:t>Basic and diluted net loss per common share: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loss attributed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(5,545)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7,787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(0.71)</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7"/>
                <w:szCs w:val="17"/>
                <w:b w:val="1"/>
                <w:bCs w:val="1"/>
                <w:color w:val="auto"/>
              </w:rPr>
              <w:t>Year Ended December 31, 2014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income per common share: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7"/>
                <w:szCs w:val="17"/>
                <w:color w:val="auto"/>
              </w:rPr>
              <w:t>3,532</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income attributed to participating securities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(3,300)</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ind w:left="700"/>
              <w:spacing w:after="0"/>
              <w:rPr>
                <w:sz w:val="20"/>
                <w:szCs w:val="20"/>
                <w:color w:val="auto"/>
              </w:rPr>
            </w:pPr>
            <w:r>
              <w:rPr>
                <w:rFonts w:ascii="Arial" w:cs="Arial" w:eastAsia="Arial" w:hAnsi="Arial"/>
                <w:sz w:val="17"/>
                <w:szCs w:val="17"/>
                <w:color w:val="auto"/>
              </w:rPr>
              <w:t>Net income attributed to common stockholders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auto"/>
              </w:rPr>
              <w:t>17,368</w:t>
            </w:r>
          </w:p>
        </w:tc>
        <w:tc>
          <w:tcPr>
            <w:tcW w:w="42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line="20" w:lineRule="exact"/>
              <w:rPr>
                <w:sz w:val="1"/>
                <w:szCs w:val="1"/>
                <w:color w:val="auto"/>
              </w:rPr>
            </w:pPr>
          </w:p>
        </w:tc>
      </w:tr>
      <w:tr>
        <w:trPr>
          <w:trHeight w:val="216"/>
        </w:trPr>
        <w:tc>
          <w:tcPr>
            <w:tcW w:w="7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7"/>
                <w:szCs w:val="17"/>
                <w:color w:val="auto"/>
              </w:rPr>
              <w:t>232</w:t>
            </w:r>
          </w:p>
        </w:tc>
        <w:tc>
          <w:tcPr>
            <w:tcW w:w="120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for the Year Ended December 31, 2014 (unaudited)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7"/>
                <w:szCs w:val="17"/>
                <w:color w:val="auto"/>
              </w:rPr>
              <w:t>Basic and diluted net income per common share: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3,532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17,368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Arial" w:cs="Arial" w:eastAsia="Arial" w:hAnsi="Arial"/>
                <w:sz w:val="17"/>
                <w:szCs w:val="17"/>
                <w:color w:val="auto"/>
              </w:rPr>
              <w:t>Pro forma adjustment to reflect the assumed conversion of convertible preferred shares</w:t>
            </w:r>
          </w:p>
        </w:tc>
        <w:tc>
          <w:tcPr>
            <w:tcW w:w="14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41,105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Pro forma basic net income per common share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3,532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58,473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5560"/>
              <w:spacing w:after="0"/>
              <w:rPr>
                <w:sz w:val="20"/>
                <w:szCs w:val="20"/>
                <w:color w:val="auto"/>
              </w:rPr>
            </w:pPr>
            <w:r>
              <w:rPr>
                <w:rFonts w:ascii="Arial" w:cs="Arial" w:eastAsia="Arial" w:hAnsi="Arial"/>
                <w:sz w:val="17"/>
                <w:szCs w:val="17"/>
                <w:color w:val="auto"/>
              </w:rPr>
              <w:t>F-11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00" w:firstLine="457"/>
        <w:spacing w:after="0" w:line="32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7"/>
        </w:trPr>
        <w:tc>
          <w:tcPr>
            <w:tcW w:w="6540" w:type="dxa"/>
            <w:vAlign w:val="bottom"/>
            <w:tcBorders>
              <w:bottom w:val="single" w:sz="8" w:color="CCEEFF"/>
            </w:tcBorders>
            <w:vMerge w:val="continue"/>
          </w:tcPr>
          <w:p>
            <w:pPr>
              <w:spacing w:after="0"/>
              <w:rPr>
                <w:sz w:val="11"/>
                <w:szCs w:val="11"/>
                <w:color w:val="auto"/>
              </w:rPr>
            </w:pPr>
          </w:p>
        </w:tc>
        <w:tc>
          <w:tcPr>
            <w:tcW w:w="640" w:type="dxa"/>
            <w:vAlign w:val="bottom"/>
            <w:tcBorders>
              <w:top w:val="single" w:sz="8" w:color="auto"/>
              <w:bottom w:val="single" w:sz="8" w:color="auto"/>
            </w:tcBorders>
          </w:tcPr>
          <w:p>
            <w:pPr>
              <w:jc w:val="right"/>
              <w:ind w:right="98"/>
              <w:spacing w:after="0" w:line="137"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6"/>
              <w:spacing w:after="0" w:line="137"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48,382</w:t>
            </w: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640" w:type="dxa"/>
            <w:vAlign w:val="bottom"/>
          </w:tcPr>
          <w:p>
            <w:pPr>
              <w:jc w:val="right"/>
              <w:spacing w:after="0"/>
              <w:rPr>
                <w:sz w:val="20"/>
                <w:szCs w:val="20"/>
                <w:color w:val="auto"/>
              </w:rPr>
            </w:pPr>
            <w:r>
              <w:rPr>
                <w:rFonts w:ascii="Arial" w:cs="Arial" w:eastAsia="Arial" w:hAnsi="Arial"/>
                <w:sz w:val="17"/>
                <w:szCs w:val="17"/>
                <w:color w:val="auto"/>
              </w:rPr>
              <w:t>7,535</w:t>
            </w:r>
          </w:p>
        </w:tc>
        <w:tc>
          <w:tcPr>
            <w:tcW w:w="7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7,556</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preferred stock</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1,775</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1,847</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7"/>
                <w:szCs w:val="17"/>
                <w:color w:val="auto"/>
              </w:rPr>
              <w:t>Warrants to purchase common stock</w:t>
            </w:r>
          </w:p>
        </w:tc>
        <w:tc>
          <w:tcPr>
            <w:tcW w:w="1360" w:type="dxa"/>
            <w:vAlign w:val="bottom"/>
            <w:gridSpan w:val="2"/>
          </w:tcPr>
          <w:p>
            <w:pPr>
              <w:jc w:val="right"/>
              <w:ind w:right="720"/>
              <w:spacing w:after="0"/>
              <w:rPr>
                <w:sz w:val="20"/>
                <w:szCs w:val="20"/>
                <w:color w:val="auto"/>
              </w:rPr>
            </w:pPr>
            <w:r>
              <w:rPr>
                <w:rFonts w:ascii="Arial" w:cs="Arial" w:eastAsia="Arial" w:hAnsi="Arial"/>
                <w:sz w:val="17"/>
                <w:szCs w:val="17"/>
                <w:color w:val="auto"/>
              </w:rPr>
              <w:t>822</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58,514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10,225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Pronouncements Recently Adopted</w:t>
      </w:r>
    </w:p>
    <w:p>
      <w:pPr>
        <w:spacing w:after="0" w:line="119"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 xml:space="preserve">In June 2014, the Financial Accounting Standards Board, (“FASB”) issued Accounting Standards Update (“ASU”) No. 2014-10, </w:t>
      </w:r>
      <w:r>
        <w:rPr>
          <w:rFonts w:ascii="Arial" w:cs="Arial" w:eastAsia="Arial" w:hAnsi="Arial"/>
          <w:sz w:val="16"/>
          <w:szCs w:val="16"/>
          <w:i w:val="1"/>
          <w:iCs w:val="1"/>
          <w:color w:val="auto"/>
        </w:rPr>
        <w:t>Development Stage Entities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915)</w:t>
      </w:r>
      <w:r>
        <w:rPr>
          <w:rFonts w:ascii="Arial" w:cs="Arial" w:eastAsia="Arial" w:hAnsi="Arial"/>
          <w:sz w:val="16"/>
          <w:szCs w:val="16"/>
          <w:color w:val="auto"/>
        </w:rPr>
        <w:t>, which eliminated the distinction of a Development Stage Entity along with the inception to date reporting requirements. As permitted by this ASU, we</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to early adopt the amendment beginning with our annual reporting period ending December 31, 2014, with retrospective application of the amended guidance. Upon adoption, there was no effect to our financial statements, other than the elimination of inception to date disclosures.</w:t>
      </w:r>
    </w:p>
    <w:p>
      <w:pPr>
        <w:spacing w:after="0" w:line="161"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This update requires the presentation of debt issuance costs in financial statements as a direct reduction of related debt liabilities rather than as an asset. Amortization of debt issuance costs continue to be reported as interest expense. As permitted by the ASU, we elected to early adopt the amendment beginning with our annual reporting period ending December 31, 2014, with retrospective application of the amended guidance. The adoption of this ASU resulted in the reclassification $37,000 and $85,000 in deferred debt issuance costs from prepaid expenses and other current assets to a direct reduction to the carrying values of notes payable and convertible promissory notes reported in the balance sheets at December 31, 2013 and 2014, respectively. The adoption of this guidance did not have any effect on the statement of operations during the years ended December 31, 2013 or 2014.</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not permitted. Entities have the option of using either a full retrospective or a modified retrospective approach for the adoption of the new standard. We are currently assessing the impact that this standard will have on our financial statements.</w:t>
      </w:r>
    </w:p>
    <w:p>
      <w:pPr>
        <w:spacing w:after="0" w:line="185"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which provides guidance on management’s responsibility in evaluating whether there is substantial doubt about a company’s ability to continue as a going concern and the related footnote disclosure. For each reporting period, management will be required to evaluate whether there are conditions or events that raise substantial doubt about a company’s ability to continue as a going concern within one year from the date the financials are issued. When management identifies conditions or events that raise substantial doubt about the entity’s ability to continue as 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49" w:right="2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going concern, this standard also outlines disclosures that are required in our footnotes based on whether or not there are any plans intended to mitigate the relevant conditions or events to alleviate the substantial doubt. This standard becomes effective for our annual reporting period ending December 31, 2016, and for annual and interim periods thereafter. Early application is permitted. We do not expect the adoption of this standard to have a material impact on our consolidated financial statements.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7"/>
                <w:szCs w:val="17"/>
                <w:b w:val="1"/>
                <w:bCs w:val="1"/>
                <w:color w:val="auto"/>
              </w:rPr>
              <w:t>3.</w:t>
            </w:r>
          </w:p>
        </w:tc>
        <w:tc>
          <w:tcPr>
            <w:tcW w:w="7960" w:type="dxa"/>
            <w:vAlign w:val="bottom"/>
            <w:gridSpan w:val="2"/>
          </w:tcPr>
          <w:p>
            <w:pPr>
              <w:ind w:left="160"/>
              <w:spacing w:after="0"/>
              <w:rPr>
                <w:sz w:val="20"/>
                <w:szCs w:val="20"/>
                <w:color w:val="auto"/>
              </w:rPr>
            </w:pPr>
            <w:r>
              <w:rPr>
                <w:rFonts w:ascii="Arial" w:cs="Arial" w:eastAsia="Arial" w:hAnsi="Arial"/>
                <w:sz w:val="17"/>
                <w:szCs w:val="17"/>
                <w:b w:val="1"/>
                <w:bCs w:val="1"/>
                <w:color w:val="auto"/>
              </w:rPr>
              <w:t>Balance Sheet Accounts and Supplemental Disclosures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826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Property and Equipment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0" w:type="dxa"/>
            <w:vAlign w:val="bottom"/>
          </w:tcPr>
          <w:p>
            <w:pPr>
              <w:spacing w:after="0"/>
              <w:rPr>
                <w:sz w:val="24"/>
                <w:szCs w:val="24"/>
                <w:color w:val="auto"/>
              </w:rPr>
            </w:pPr>
          </w:p>
        </w:tc>
        <w:tc>
          <w:tcPr>
            <w:tcW w:w="7960" w:type="dxa"/>
            <w:vAlign w:val="bottom"/>
            <w:gridSpan w:val="2"/>
          </w:tcPr>
          <w:p>
            <w:pPr>
              <w:ind w:left="160"/>
              <w:spacing w:after="0"/>
              <w:rPr>
                <w:sz w:val="20"/>
                <w:szCs w:val="20"/>
                <w:color w:val="auto"/>
              </w:rPr>
            </w:pPr>
            <w:r>
              <w:rPr>
                <w:rFonts w:ascii="Arial" w:cs="Arial" w:eastAsia="Arial" w:hAnsi="Arial"/>
                <w:sz w:val="17"/>
                <w:szCs w:val="17"/>
                <w:color w:val="auto"/>
              </w:rPr>
              <w:t>Property and equipment consist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79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7960" w:type="dxa"/>
            <w:vAlign w:val="bottom"/>
            <w:gridSpan w:val="2"/>
            <w:vMerge w:val="continue"/>
          </w:tcPr>
          <w:p>
            <w:pPr>
              <w:spacing w:after="0"/>
              <w:rPr>
                <w:sz w:val="11"/>
                <w:szCs w:val="11"/>
                <w:color w:val="auto"/>
              </w:rPr>
            </w:pPr>
          </w:p>
        </w:tc>
        <w:tc>
          <w:tcPr>
            <w:tcW w:w="540" w:type="dxa"/>
            <w:vAlign w:val="bottom"/>
            <w:gridSpan w:val="3"/>
          </w:tcPr>
          <w:p>
            <w:pPr>
              <w:jc w:val="right"/>
              <w:ind w:right="56"/>
              <w:spacing w:after="0" w:line="137" w:lineRule="exact"/>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1"/>
                <w:szCs w:val="11"/>
                <w:color w:val="auto"/>
              </w:rPr>
            </w:pPr>
          </w:p>
        </w:tc>
        <w:tc>
          <w:tcPr>
            <w:tcW w:w="540" w:type="dxa"/>
            <w:vAlign w:val="bottom"/>
            <w:gridSpan w:val="3"/>
          </w:tcPr>
          <w:p>
            <w:pPr>
              <w:jc w:val="right"/>
              <w:ind w:right="55"/>
              <w:spacing w:after="0" w:line="137"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Laboratory equipment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1"/>
              </w:rPr>
              <w:t>$ 2,940</w:t>
            </w:r>
          </w:p>
        </w:tc>
        <w:tc>
          <w:tcPr>
            <w:tcW w:w="600" w:type="dxa"/>
            <w:vAlign w:val="bottom"/>
            <w:tcBorders>
              <w:top w:val="single" w:sz="8" w:color="CCEEFF"/>
              <w:left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1"/>
              </w:rPr>
              <w:t>$ 3,031</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91"/>
              </w:rPr>
              <w:t>586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338</w:t>
            </w:r>
          </w:p>
        </w:tc>
        <w:tc>
          <w:tcPr>
            <w:tcW w:w="6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3,864</w:t>
            </w:r>
          </w:p>
        </w:tc>
        <w:tc>
          <w:tcPr>
            <w:tcW w:w="6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3,934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(3,114)</w:t>
            </w:r>
          </w:p>
        </w:tc>
        <w:tc>
          <w:tcPr>
            <w:tcW w:w="60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(3,355)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80" w:type="dxa"/>
            <w:vAlign w:val="bottom"/>
            <w:vMerge w:val="restart"/>
          </w:tcPr>
          <w:p>
            <w:pPr>
              <w:ind w:left="34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91"/>
              </w:rPr>
              <w:t>750</w:t>
            </w:r>
          </w:p>
        </w:tc>
        <w:tc>
          <w:tcPr>
            <w:tcW w:w="600" w:type="dxa"/>
            <w:vAlign w:val="bottom"/>
          </w:tcPr>
          <w:p>
            <w:pPr>
              <w:spacing w:after="0"/>
              <w:rPr>
                <w:sz w:val="18"/>
                <w:szCs w:val="18"/>
                <w:color w:val="auto"/>
              </w:rPr>
            </w:pPr>
          </w:p>
        </w:tc>
        <w:tc>
          <w:tcPr>
            <w:tcW w:w="160" w:type="dxa"/>
            <w:vAlign w:val="bottom"/>
            <w:gridSpan w:val="2"/>
          </w:tcPr>
          <w:p>
            <w:pPr>
              <w:jc w:val="right"/>
              <w:ind w:right="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gridSpan w:val="3"/>
            <w:vMerge w:val="restart"/>
          </w:tcPr>
          <w:p>
            <w:pPr>
              <w:spacing w:after="0"/>
              <w:rPr>
                <w:sz w:val="20"/>
                <w:szCs w:val="20"/>
                <w:color w:val="auto"/>
              </w:rPr>
            </w:pPr>
            <w:r>
              <w:rPr>
                <w:rFonts w:ascii="Arial" w:cs="Arial" w:eastAsia="Arial" w:hAnsi="Arial"/>
                <w:sz w:val="17"/>
                <w:szCs w:val="17"/>
                <w:b w:val="1"/>
                <w:bCs w:val="1"/>
                <w:i w:val="1"/>
                <w:iCs w:val="1"/>
                <w:color w:val="auto"/>
              </w:rPr>
              <w:t>Accrued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82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0" w:type="dxa"/>
            <w:vAlign w:val="bottom"/>
          </w:tcPr>
          <w:p>
            <w:pPr>
              <w:spacing w:after="0"/>
              <w:rPr>
                <w:sz w:val="24"/>
                <w:szCs w:val="24"/>
                <w:color w:val="auto"/>
              </w:rPr>
            </w:pPr>
          </w:p>
        </w:tc>
        <w:tc>
          <w:tcPr>
            <w:tcW w:w="7960" w:type="dxa"/>
            <w:vAlign w:val="bottom"/>
            <w:gridSpan w:val="2"/>
          </w:tcPr>
          <w:p>
            <w:pPr>
              <w:ind w:left="160"/>
              <w:spacing w:after="0"/>
              <w:rPr>
                <w:sz w:val="20"/>
                <w:szCs w:val="20"/>
                <w:color w:val="auto"/>
              </w:rPr>
            </w:pPr>
            <w:r>
              <w:rPr>
                <w:rFonts w:ascii="Arial" w:cs="Arial" w:eastAsia="Arial" w:hAnsi="Arial"/>
                <w:sz w:val="17"/>
                <w:szCs w:val="17"/>
                <w:color w:val="auto"/>
              </w:rPr>
              <w:t>Accrued expenses consist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79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7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Accrued compensation and related expenses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60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Accrued research and contract manufacturing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Accrued royalties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7"/>
                <w:szCs w:val="17"/>
                <w:color w:val="auto"/>
              </w:rPr>
              <w:t>154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743</w:t>
            </w: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1,052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ind w:left="460" w:hanging="455"/>
        <w:spacing w:after="0"/>
        <w:tabs>
          <w:tab w:leader="none" w:pos="46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Collaborative Research and Development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TESARO Collaboration</w:t>
      </w:r>
    </w:p>
    <w:p>
      <w:pPr>
        <w:spacing w:after="0" w:line="119"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In March 2014, we entered into a Collaboration and Exclusive License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65"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In November 2014, we and TESARO entered into an Amendment No. 1 to the Agreement to add an antibody discovery program against a fourth target for an upfront license fee of $2.0 million.</w:t>
      </w:r>
    </w:p>
    <w:p>
      <w:pPr>
        <w:spacing w:after="0" w:line="158"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380"/>
          </w:cols>
          <w:pgMar w:left="240" w:top="449" w:right="27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w:t>
      </w:r>
    </w:p>
    <w:p>
      <w:pPr>
        <w:spacing w:after="0" w:line="161"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As a result, the $17.0 million and $2.0 million license fees have been deferred and are being recognized as revenue ratably over the research periods specified in the contract of 24 and 16 months, respectively. Revenue from the contingent milestone payments will be recognized if and when such payments become due, subject to satisfaction of all of the criteria necessary to recognize revenue at that time.</w:t>
      </w:r>
    </w:p>
    <w:p>
      <w:pPr>
        <w:spacing w:after="0" w:line="165"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Revenue recognized under this agreement aggregated $11.5 million during the year ended December 31, 2014, which includes $7.0 million for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the upfront fee and $4.5 million in funding for research and development services, of which $1.5 million was receivable at December 31, 2014.</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for this agreement was $12.0 million at December 31, 2014.</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Celgene Antibody Generation Agreement</w:t>
      </w:r>
    </w:p>
    <w:p>
      <w:pPr>
        <w:spacing w:after="0" w:line="119"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7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upfront payment was recognized as revenue ratably over the estimated time to project completion through February 2014. Revenue recognized under this agreement aggregated $3.7 million during the year ended December 31, 2013, which includes $2.0 million for the amortization of the upfront fee, $1.0 million in success fees and $746,000 in funding for research and development costs. Revenue recognized under this agreement aggregated $592,000 during the year ended December 31, 2014, which includes $500,000 in success fees and $92,000 in funding for research and development costs. Deferred revenue for this agreement was $92,000 at December 31, 2013.</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Momenta Antibody Generation Agreement</w:t>
      </w:r>
    </w:p>
    <w:p>
      <w:pPr>
        <w:spacing w:after="0" w:line="119"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78" w:lineRule="exact"/>
        <w:rPr>
          <w:sz w:val="20"/>
          <w:szCs w:val="20"/>
          <w:color w:val="auto"/>
        </w:rPr>
      </w:pPr>
    </w:p>
    <w:p>
      <w:pPr>
        <w:ind w:right="140" w:firstLine="457"/>
        <w:spacing w:after="0" w:line="297" w:lineRule="auto"/>
        <w:rPr>
          <w:sz w:val="20"/>
          <w:szCs w:val="20"/>
          <w:color w:val="auto"/>
        </w:rPr>
      </w:pPr>
      <w:r>
        <w:rPr>
          <w:rFonts w:ascii="Arial" w:cs="Arial" w:eastAsia="Arial" w:hAnsi="Arial"/>
          <w:sz w:val="16"/>
          <w:szCs w:val="16"/>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 Deferred revenue for this agreement was $1.1 million at December 31, 2013.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49" w:right="23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Collaborative Agreements</w:t>
      </w:r>
    </w:p>
    <w:p>
      <w:pPr>
        <w:spacing w:after="0" w:line="119" w:lineRule="exact"/>
        <w:rPr>
          <w:sz w:val="20"/>
          <w:szCs w:val="20"/>
          <w:color w:val="auto"/>
        </w:rPr>
      </w:pPr>
    </w:p>
    <w:p>
      <w:pPr>
        <w:ind w:right="420" w:firstLine="457"/>
        <w:spacing w:after="0" w:line="267" w:lineRule="auto"/>
        <w:rPr>
          <w:sz w:val="20"/>
          <w:szCs w:val="20"/>
          <w:color w:val="auto"/>
        </w:rPr>
      </w:pPr>
      <w:r>
        <w:rPr>
          <w:rFonts w:ascii="Arial" w:cs="Arial" w:eastAsia="Arial" w:hAnsi="Arial"/>
          <w:sz w:val="17"/>
          <w:szCs w:val="17"/>
          <w:color w:val="auto"/>
        </w:rPr>
        <w:t>During 2013 and 2014, we recognized revenue from other collaborative partners aggregating $1.7 million and $0.6 million, respectively,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316" w:lineRule="exact"/>
        <w:rPr>
          <w:sz w:val="20"/>
          <w:szCs w:val="20"/>
          <w:color w:val="auto"/>
        </w:rPr>
      </w:pPr>
    </w:p>
    <w:p>
      <w:pPr>
        <w:ind w:left="460" w:hanging="455"/>
        <w:spacing w:after="0"/>
        <w:tabs>
          <w:tab w:leader="none" w:pos="46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Notes Payable and Convertible Promissory Notes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Notes Payable</w:t>
      </w:r>
    </w:p>
    <w:p>
      <w:pPr>
        <w:spacing w:after="0" w:line="119"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On December 24, 2014, we entered into a Loan and Security Agreement with a bank and a financial institution whereby we may borrow up to $15.0 million in three separate draws of $5.0 million each. The Term A Loans, for an aggregate of $5.0 million, were drawn on December 24, 2014.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The Term A Loans each bear a fixed rate of interest of 6.97% and are due in 12 monthly interest-only payments through January 2016, followed by 36 equal monthly principal and interest payments, with final maturity in January 2019.</w:t>
      </w:r>
    </w:p>
    <w:p>
      <w:pPr>
        <w:spacing w:after="0" w:line="165" w:lineRule="exact"/>
        <w:rPr>
          <w:sz w:val="20"/>
          <w:szCs w:val="20"/>
          <w:color w:val="auto"/>
        </w:rPr>
      </w:pPr>
    </w:p>
    <w:p>
      <w:pPr>
        <w:ind w:right="20" w:firstLine="457"/>
        <w:spacing w:after="0" w:line="289" w:lineRule="auto"/>
        <w:rPr>
          <w:sz w:val="20"/>
          <w:szCs w:val="20"/>
          <w:color w:val="auto"/>
        </w:rPr>
      </w:pPr>
      <w:r>
        <w:rPr>
          <w:rFonts w:ascii="Arial" w:cs="Arial" w:eastAsia="Arial" w:hAnsi="Arial"/>
          <w:sz w:val="16"/>
          <w:szCs w:val="16"/>
          <w:color w:val="auto"/>
        </w:rPr>
        <w:t>Upon the issuance of the Term B Loans, the interest-only periods for both the Term A and B Loans are extended by six months through July 2016, followed by 30 equal monthly principal and interest payments, with final maturity of all Loans in January 2019. Upon the issuance of the Term C Loans, the interest-only periods for all Loans are further extended by six months through January 2017, followed by 24 equal monthly principal and interest payments, with final maturity of Loans in January 2019. If the Term B and C Loans are issued, they will bear interest at the greater of 6.95% or the 3-month LIBOR plus 6.72%.</w:t>
      </w:r>
    </w:p>
    <w:p>
      <w:pPr>
        <w:spacing w:after="0" w:line="161"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The costs incurred to issue the Term A Loans of $85,000 were deferred and are included in the discount to the carrying value of the Term A Loans in the accompanying balance sheet. The Term A Loans also include a final payment fee of $250,000 due at the earlier of prepayment or the maturity date of the Term A Loans. The deferred costs and the final payment fee will be amortized to interest expense over the expected term of the Term A Loans using the effective interest method.</w:t>
      </w:r>
    </w:p>
    <w:p>
      <w:pPr>
        <w:spacing w:after="0" w:line="17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$124,000 was recorded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81"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At December 31, 2014, the carrying amount of the Term A Loans was $4.8 million, which is net of discounts of $209,000. The effective interest rate on the Term A Loans at December 31, 2014 was 9.25%. As of December 31, 2014, future maturities of the Term A Loans were $1.4 million, $1.7 million, $1.8 million and $153,000 in 2016, 2017, 2018 and 2019, respectively.</w:t>
      </w:r>
    </w:p>
    <w:p>
      <w:pPr>
        <w:spacing w:after="0" w:line="171"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The Term A Loans are secured by a first priority interest in most of our assets, excluding intellectual property, with a net book value of $6.0 million at December 31, 2014. We are also required to maintain a minimum of 50% of our operating and investment account balances at all times with one of the lenders. At December 31, 2014, we were in compliance with the covenants contained in the Loan and Security Agreement.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360"/>
          </w:cols>
          <w:pgMar w:left="240" w:top="449" w:right="29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Promissory Notes Payable to Related Parties</w:t>
      </w:r>
    </w:p>
    <w:p>
      <w:pPr>
        <w:spacing w:after="0" w:line="119"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$0.65 per share.</w:t>
      </w:r>
    </w:p>
    <w:p>
      <w:pPr>
        <w:spacing w:after="0" w:line="171"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78" w:lineRule="exact"/>
        <w:rPr>
          <w:sz w:val="20"/>
          <w:szCs w:val="20"/>
          <w:color w:val="auto"/>
        </w:rPr>
      </w:pPr>
    </w:p>
    <w:p>
      <w:pPr>
        <w:jc w:val="both"/>
        <w:ind w:right="60" w:firstLine="457"/>
        <w:spacing w:after="0" w:line="297" w:lineRule="auto"/>
        <w:rPr>
          <w:sz w:val="20"/>
          <w:szCs w:val="20"/>
          <w:color w:val="auto"/>
        </w:rPr>
      </w:pPr>
      <w:r>
        <w:rPr>
          <w:rFonts w:ascii="Arial" w:cs="Arial" w:eastAsia="Arial" w:hAnsi="Arial"/>
          <w:sz w:val="16"/>
          <w:szCs w:val="16"/>
          <w:color w:val="auto"/>
        </w:rPr>
        <w:t>In April 2014, the principal and accrued interest on the notes, which aggregated $2.2 million, were converted into 3.3 million shares of Series C-1 Preferred Stock. The unamortized discount of $405,000 at the date of conversion was recognized as interest expense. Total interest expense resulting from the amortization and write-off of the discount totaled $818,000 and $1.2 million during the years ended December 31, 2013 and 2014, respectively.</w:t>
      </w:r>
    </w:p>
    <w:p>
      <w:pPr>
        <w:spacing w:after="0" w:line="293" w:lineRule="exact"/>
        <w:rPr>
          <w:sz w:val="20"/>
          <w:szCs w:val="20"/>
          <w:color w:val="auto"/>
        </w:rPr>
      </w:pPr>
    </w:p>
    <w:p>
      <w:pPr>
        <w:ind w:left="460" w:hanging="455"/>
        <w:spacing w:after="0"/>
        <w:tabs>
          <w:tab w:leader="none" w:pos="46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 on a Recurring Basis</w:t>
      </w:r>
    </w:p>
    <w:p>
      <w:pPr>
        <w:spacing w:after="0" w:line="125"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The following table summarizes our assets and liabilities that require fair value measurements on a recurring basis and their respective input levels based on the fair value hierarchy:</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7"/>
          </w:tcPr>
          <w:p>
            <w:pPr>
              <w:jc w:val="right"/>
              <w:ind w:right="578"/>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1560" w:type="dxa"/>
            <w:vAlign w:val="bottom"/>
            <w:gridSpan w:val="3"/>
          </w:tcPr>
          <w:p>
            <w:pPr>
              <w:jc w:val="center"/>
              <w:ind w:right="840"/>
              <w:spacing w:after="0" w:line="115" w:lineRule="exact"/>
              <w:rPr>
                <w:sz w:val="20"/>
                <w:szCs w:val="20"/>
                <w:color w:val="auto"/>
              </w:rPr>
            </w:pPr>
            <w:r>
              <w:rPr>
                <w:rFonts w:ascii="Arial" w:cs="Arial" w:eastAsia="Arial" w:hAnsi="Arial"/>
                <w:sz w:val="13"/>
                <w:szCs w:val="13"/>
                <w:b w:val="1"/>
                <w:bCs w:val="1"/>
                <w:color w:val="auto"/>
                <w:w w:val="96"/>
              </w:rPr>
              <w:t>Significant</w:t>
            </w:r>
          </w:p>
        </w:tc>
        <w:tc>
          <w:tcPr>
            <w:tcW w:w="12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940"/>
              <w:spacing w:after="0" w:line="144"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restart"/>
          </w:tcPr>
          <w:p>
            <w:pPr>
              <w:jc w:val="right"/>
              <w:ind w:right="10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660" w:type="dxa"/>
            <w:vAlign w:val="bottom"/>
            <w:gridSpan w:val="2"/>
          </w:tcPr>
          <w:p>
            <w:pPr>
              <w:jc w:val="right"/>
              <w:ind w:right="1040"/>
              <w:spacing w:after="0" w:line="144" w:lineRule="exact"/>
              <w:rPr>
                <w:sz w:val="20"/>
                <w:szCs w:val="20"/>
                <w:color w:val="auto"/>
              </w:rPr>
            </w:pPr>
            <w:r>
              <w:rPr>
                <w:rFonts w:ascii="Arial" w:cs="Arial" w:eastAsia="Arial" w:hAnsi="Arial"/>
                <w:sz w:val="14"/>
                <w:szCs w:val="14"/>
                <w:b w:val="1"/>
                <w:bCs w:val="1"/>
                <w:color w:val="auto"/>
                <w:w w:val="92"/>
              </w:rPr>
              <w:t>Prices for</w:t>
            </w:r>
          </w:p>
        </w:tc>
        <w:tc>
          <w:tcPr>
            <w:tcW w:w="1560" w:type="dxa"/>
            <w:vAlign w:val="bottom"/>
            <w:gridSpan w:val="3"/>
          </w:tcPr>
          <w:p>
            <w:pPr>
              <w:jc w:val="center"/>
              <w:ind w:right="840"/>
              <w:spacing w:after="0" w:line="144" w:lineRule="exact"/>
              <w:rPr>
                <w:sz w:val="20"/>
                <w:szCs w:val="20"/>
                <w:color w:val="auto"/>
              </w:rPr>
            </w:pPr>
            <w:r>
              <w:rPr>
                <w:rFonts w:ascii="Arial" w:cs="Arial" w:eastAsia="Arial" w:hAnsi="Arial"/>
                <w:sz w:val="14"/>
                <w:szCs w:val="14"/>
                <w:b w:val="1"/>
                <w:bCs w:val="1"/>
                <w:color w:val="auto"/>
                <w:w w:val="89"/>
              </w:rPr>
              <w:t>Observable</w:t>
            </w:r>
          </w:p>
        </w:tc>
        <w:tc>
          <w:tcPr>
            <w:tcW w:w="1000" w:type="dxa"/>
            <w:vAlign w:val="bottom"/>
            <w:gridSpan w:val="3"/>
          </w:tcPr>
          <w:p>
            <w:pPr>
              <w:jc w:val="center"/>
              <w:ind w:right="60"/>
              <w:spacing w:after="0" w:line="144"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4"/>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0" w:type="dxa"/>
            <w:vAlign w:val="bottom"/>
            <w:gridSpan w:val="3"/>
          </w:tcPr>
          <w:p>
            <w:pPr>
              <w:ind w:left="20"/>
              <w:spacing w:after="0" w:line="144"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1460" w:type="dxa"/>
            <w:vAlign w:val="bottom"/>
            <w:gridSpan w:val="2"/>
          </w:tcPr>
          <w:p>
            <w:pPr>
              <w:jc w:val="center"/>
              <w:ind w:right="920"/>
              <w:spacing w:after="0" w:line="144"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7"/>
        </w:trPr>
        <w:tc>
          <w:tcPr>
            <w:tcW w:w="354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6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tcBorders>
              <w:top w:val="single" w:sz="8" w:color="CCEEFF"/>
              <w:bottom w:val="single" w:sz="8" w:color="auto"/>
            </w:tcBorders>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1"/>
              </w:rPr>
              <w:t>At December 31, 2013</w:t>
            </w:r>
          </w:p>
        </w:tc>
        <w:tc>
          <w:tcPr>
            <w:tcW w:w="190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7"/>
                <w:szCs w:val="17"/>
                <w:color w:val="auto"/>
              </w:rPr>
              <w:t>Money market funds</w:t>
            </w:r>
            <w:r>
              <w:rPr>
                <w:rFonts w:ascii="Arial" w:cs="Arial" w:eastAsia="Arial" w:hAnsi="Arial"/>
                <w:sz w:val="14"/>
                <w:szCs w:val="14"/>
                <w:color w:val="auto"/>
              </w:rPr>
              <w:t>(1)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840"/>
              <w:spacing w:after="0"/>
              <w:rPr>
                <w:sz w:val="20"/>
                <w:szCs w:val="20"/>
                <w:color w:val="auto"/>
              </w:rPr>
            </w:pPr>
            <w:r>
              <w:rPr>
                <w:rFonts w:ascii="Arial" w:cs="Arial" w:eastAsia="Arial" w:hAnsi="Arial"/>
                <w:sz w:val="17"/>
                <w:szCs w:val="17"/>
                <w:color w:val="auto"/>
              </w:rPr>
              <w:t>2,492</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840"/>
              <w:spacing w:after="0"/>
              <w:rPr>
                <w:sz w:val="20"/>
                <w:szCs w:val="20"/>
                <w:color w:val="auto"/>
              </w:rPr>
            </w:pPr>
            <w:r>
              <w:rPr>
                <w:rFonts w:ascii="Arial" w:cs="Arial" w:eastAsia="Arial" w:hAnsi="Arial"/>
                <w:sz w:val="17"/>
                <w:szCs w:val="17"/>
                <w:color w:val="auto"/>
              </w:rPr>
              <w:t>2,492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treasury security</w:t>
            </w:r>
            <w:r>
              <w:rPr>
                <w:rFonts w:ascii="Arial" w:cs="Arial" w:eastAsia="Arial" w:hAnsi="Arial"/>
                <w:sz w:val="14"/>
                <w:szCs w:val="14"/>
                <w:color w:val="auto"/>
              </w:rPr>
              <w:t>(2)</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135</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7"/>
                <w:szCs w:val="17"/>
                <w:color w:val="auto"/>
              </w:rPr>
              <w:t>Preferred stock warrant liabilities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7"/>
                <w:szCs w:val="17"/>
                <w:color w:val="auto"/>
              </w:rPr>
              <w:t>386</w:t>
            </w:r>
          </w:p>
        </w:tc>
        <w:tc>
          <w:tcPr>
            <w:tcW w:w="140" w:type="dxa"/>
            <w:vAlign w:val="bottom"/>
          </w:tcPr>
          <w:p>
            <w:pPr>
              <w:spacing w:after="0"/>
              <w:rPr>
                <w:sz w:val="19"/>
                <w:szCs w:val="19"/>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2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7"/>
                <w:szCs w:val="17"/>
                <w:b w:val="1"/>
                <w:bCs w:val="1"/>
                <w:color w:val="auto"/>
                <w:w w:val="91"/>
              </w:rPr>
              <w:t>At December 31, 2014</w:t>
            </w:r>
          </w:p>
        </w:tc>
        <w:tc>
          <w:tcPr>
            <w:tcW w:w="19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7"/>
                <w:szCs w:val="17"/>
                <w:color w:val="auto"/>
              </w:rPr>
              <w:t>Money market funds</w:t>
            </w:r>
            <w:r>
              <w:rPr>
                <w:rFonts w:ascii="Arial" w:cs="Arial" w:eastAsia="Arial" w:hAnsi="Arial"/>
                <w:sz w:val="14"/>
                <w:szCs w:val="14"/>
                <w:color w:val="auto"/>
              </w:rPr>
              <w:t>(1)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840"/>
              <w:spacing w:after="0"/>
              <w:rPr>
                <w:sz w:val="20"/>
                <w:szCs w:val="20"/>
                <w:color w:val="auto"/>
              </w:rPr>
            </w:pPr>
            <w:r>
              <w:rPr>
                <w:rFonts w:ascii="Arial" w:cs="Arial" w:eastAsia="Arial" w:hAnsi="Arial"/>
                <w:sz w:val="17"/>
                <w:szCs w:val="17"/>
                <w:color w:val="auto"/>
                <w:w w:val="88"/>
              </w:rPr>
              <w:t>14,736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840"/>
              <w:spacing w:after="0"/>
              <w:rPr>
                <w:sz w:val="20"/>
                <w:szCs w:val="20"/>
                <w:color w:val="auto"/>
              </w:rPr>
            </w:pPr>
            <w:r>
              <w:rPr>
                <w:rFonts w:ascii="Arial" w:cs="Arial" w:eastAsia="Arial" w:hAnsi="Arial"/>
                <w:sz w:val="17"/>
                <w:szCs w:val="17"/>
                <w:color w:val="auto"/>
              </w:rPr>
              <w:t>14,736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Mutual funds</w:t>
            </w:r>
            <w:r>
              <w:rPr>
                <w:rFonts w:ascii="Arial" w:cs="Arial" w:eastAsia="Arial" w:hAnsi="Arial"/>
                <w:sz w:val="14"/>
                <w:szCs w:val="14"/>
                <w:color w:val="auto"/>
              </w:rPr>
              <w:t>(1)</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7,227</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7,227</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7"/>
                <w:szCs w:val="17"/>
                <w:color w:val="auto"/>
              </w:rPr>
              <w:t>U.S. treasury security</w:t>
            </w:r>
            <w:r>
              <w:rPr>
                <w:rFonts w:ascii="Arial" w:cs="Arial" w:eastAsia="Arial" w:hAnsi="Arial"/>
                <w:sz w:val="14"/>
                <w:szCs w:val="14"/>
                <w:color w:val="auto"/>
              </w:rPr>
              <w:t>(2)</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4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Preferred stock warrant liabilities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569</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32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51" w:lineRule="exact"/>
        <w:rPr>
          <w:sz w:val="20"/>
          <w:szCs w:val="20"/>
          <w:color w:val="auto"/>
        </w:rPr>
      </w:pPr>
    </w:p>
    <w:p>
      <w:pPr>
        <w:ind w:left="460" w:hanging="455"/>
        <w:spacing w:after="0"/>
        <w:tabs>
          <w:tab w:leader="none" w:pos="4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Included in cash and cash equivalents in the accompanying balance sheets.</w:t>
      </w:r>
    </w:p>
    <w:p>
      <w:pPr>
        <w:spacing w:after="0" w:line="26" w:lineRule="exact"/>
        <w:rPr>
          <w:rFonts w:ascii="Arial" w:cs="Arial" w:eastAsia="Arial" w:hAnsi="Arial"/>
          <w:sz w:val="17"/>
          <w:szCs w:val="17"/>
          <w:color w:val="auto"/>
        </w:rPr>
      </w:pPr>
    </w:p>
    <w:p>
      <w:pPr>
        <w:ind w:left="460" w:hanging="455"/>
        <w:spacing w:after="0"/>
        <w:tabs>
          <w:tab w:leader="none" w:pos="4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Included in cash and cash equivalents, and restricted cash in the accompanying balance sheets.</w:t>
      </w:r>
    </w:p>
    <w:p>
      <w:pPr>
        <w:spacing w:after="0" w:line="212"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For fair values determined by Level 1 inputs, which utilize quoted prices in active markets for identical assets, the level of judgment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estimate fair value is relatively low. The fair values of investments in money market funds, mutual funds and U.S. treasury securities were determined using Level 1 inputs.</w:t>
      </w:r>
    </w:p>
    <w:p>
      <w:pPr>
        <w:spacing w:after="0" w:line="171"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i w:val="1"/>
          <w:iCs w:val="1"/>
          <w:color w:val="auto"/>
        </w:rPr>
        <w:t xml:space="preserve">Warrant Liabilities. </w:t>
      </w:r>
      <w:r>
        <w:rPr>
          <w:rFonts w:ascii="Arial" w:cs="Arial" w:eastAsia="Arial" w:hAnsi="Arial"/>
          <w:sz w:val="17"/>
          <w:szCs w:val="17"/>
          <w:color w:val="auto"/>
        </w:rPr>
        <w:t>Our preferred stock warrants are accounted for as derivative liabilities and measured at fair value on a recurring basis as they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00"/>
          </w:cols>
          <w:pgMar w:left="240" w:top="449" w:right="25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71"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The following weighted-average assumptions were employed in estimating the value of the liabilities for Series C preferred stock warrants using the Black Scholes option-pricing model:</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37"/>
        </w:trPr>
        <w:tc>
          <w:tcPr>
            <w:tcW w:w="7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w w:val="96"/>
              </w:rPr>
              <w:t>2013</w:t>
            </w:r>
          </w:p>
        </w:tc>
        <w:tc>
          <w:tcPr>
            <w:tcW w:w="58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5"/>
              <w:spacing w:after="0" w:line="137"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11"/>
                <w:szCs w:val="11"/>
                <w:color w:val="auto"/>
              </w:rPr>
            </w:pPr>
          </w:p>
        </w:tc>
      </w:tr>
      <w:tr>
        <w:trPr>
          <w:trHeight w:val="203"/>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preferred stock</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80" w:type="dxa"/>
            <w:vAlign w:val="bottom"/>
            <w:shd w:val="clear" w:color="auto" w:fill="CCEEFF"/>
          </w:tcPr>
          <w:p>
            <w:pPr>
              <w:spacing w:after="0"/>
              <w:rPr>
                <w:sz w:val="17"/>
                <w:szCs w:val="17"/>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7"/>
                <w:szCs w:val="17"/>
                <w:color w:val="auto"/>
              </w:rPr>
              <w:t>Exercise price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580"/>
              <w:spacing w:after="0"/>
              <w:rPr>
                <w:sz w:val="20"/>
                <w:szCs w:val="20"/>
                <w:color w:val="auto"/>
              </w:rPr>
            </w:pPr>
            <w:r>
              <w:rPr>
                <w:rFonts w:ascii="Arial" w:cs="Arial" w:eastAsia="Arial" w:hAnsi="Arial"/>
                <w:sz w:val="17"/>
                <w:szCs w:val="17"/>
                <w:color w:val="auto"/>
              </w:rPr>
              <w:t>0.65</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0.65</w:t>
            </w: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1.26%</w:t>
            </w:r>
          </w:p>
        </w:tc>
      </w:tr>
      <w:tr>
        <w:trPr>
          <w:trHeight w:val="210"/>
        </w:trPr>
        <w:tc>
          <w:tcPr>
            <w:tcW w:w="7160" w:type="dxa"/>
            <w:vAlign w:val="bottom"/>
          </w:tcPr>
          <w:p>
            <w:pPr>
              <w:spacing w:after="0"/>
              <w:rPr>
                <w:sz w:val="20"/>
                <w:szCs w:val="20"/>
                <w:color w:val="auto"/>
              </w:rPr>
            </w:pPr>
            <w:r>
              <w:rPr>
                <w:rFonts w:ascii="Arial" w:cs="Arial" w:eastAsia="Arial" w:hAnsi="Arial"/>
                <w:sz w:val="17"/>
                <w:szCs w:val="17"/>
                <w:color w:val="auto"/>
              </w:rPr>
              <w:t>Volatility</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7"/>
                <w:szCs w:val="17"/>
                <w:color w:val="auto"/>
              </w:rPr>
              <w:t>67.4%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61.3%</w:t>
            </w: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r>
      <w:tr>
        <w:trPr>
          <w:trHeight w:val="210"/>
        </w:trPr>
        <w:tc>
          <w:tcPr>
            <w:tcW w:w="7160" w:type="dxa"/>
            <w:vAlign w:val="bottom"/>
          </w:tcPr>
          <w:p>
            <w:pPr>
              <w:spacing w:after="0"/>
              <w:rPr>
                <w:sz w:val="20"/>
                <w:szCs w:val="20"/>
                <w:color w:val="auto"/>
              </w:rPr>
            </w:pPr>
            <w:r>
              <w:rPr>
                <w:rFonts w:ascii="Arial" w:cs="Arial" w:eastAsia="Arial" w:hAnsi="Arial"/>
                <w:sz w:val="17"/>
                <w:szCs w:val="17"/>
                <w:color w:val="auto"/>
              </w:rPr>
              <w:t>Contractual term (in years)</w:t>
            </w: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7"/>
                <w:szCs w:val="17"/>
                <w:color w:val="auto"/>
              </w:rPr>
              <w:t>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18"/>
                <w:szCs w:val="18"/>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measurement date 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0.22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0.28</w:t>
            </w:r>
          </w:p>
        </w:tc>
      </w:tr>
    </w:tbl>
    <w:p>
      <w:pPr>
        <w:spacing w:after="0" w:line="197"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A 10% increase in the fair values of preferred stock at December 31, 2013 and 2014 would result in increases in the estimated fair values of the preferred stock warrant liabilities of $58,000 and $89,000,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in liabilities measured at fair value on a recurring basis using significant unobservable inputs (Level 3 Inputs):</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44"/>
        </w:trPr>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4"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4"/>
        </w:trPr>
        <w:tc>
          <w:tcPr>
            <w:tcW w:w="8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gridSpan w:val="3"/>
          </w:tcPr>
          <w:p>
            <w:pPr>
              <w:jc w:val="right"/>
              <w:ind w:right="140"/>
              <w:spacing w:after="0" w:line="144" w:lineRule="exact"/>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67"/>
        </w:trPr>
        <w:tc>
          <w:tcPr>
            <w:tcW w:w="8880" w:type="dxa"/>
            <w:vAlign w:val="bottom"/>
            <w:vMerge w:val="continue"/>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3"/>
        </w:trPr>
        <w:tc>
          <w:tcPr>
            <w:tcW w:w="8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January 1, 2013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5"/>
              </w:rPr>
              <w:t>(1,027)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80" w:type="dxa"/>
            <w:vAlign w:val="bottom"/>
          </w:tcPr>
          <w:p>
            <w:pPr>
              <w:spacing w:after="0"/>
              <w:rPr>
                <w:sz w:val="20"/>
                <w:szCs w:val="20"/>
                <w:color w:val="auto"/>
              </w:rPr>
            </w:pPr>
            <w:r>
              <w:rPr>
                <w:rFonts w:ascii="Arial" w:cs="Arial" w:eastAsia="Arial" w:hAnsi="Arial"/>
                <w:sz w:val="17"/>
                <w:szCs w:val="17"/>
                <w:color w:val="auto"/>
              </w:rPr>
              <w:t>Series C Preferred Stock warrants converted to Common Stock warrants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Unrealized net gains included in other income (expense), net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7"/>
                <w:szCs w:val="17"/>
                <w:color w:val="auto"/>
              </w:rPr>
              <w:t>Balance at December 31, 2013</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Issuances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10"/>
        </w:trPr>
        <w:tc>
          <w:tcPr>
            <w:tcW w:w="8880" w:type="dxa"/>
            <w:vAlign w:val="bottom"/>
          </w:tcPr>
          <w:p>
            <w:pPr>
              <w:spacing w:after="0"/>
              <w:rPr>
                <w:sz w:val="20"/>
                <w:szCs w:val="20"/>
                <w:color w:val="auto"/>
              </w:rPr>
            </w:pPr>
            <w:r>
              <w:rPr>
                <w:rFonts w:ascii="Arial" w:cs="Arial" w:eastAsia="Arial" w:hAnsi="Arial"/>
                <w:sz w:val="17"/>
                <w:szCs w:val="17"/>
                <w:color w:val="auto"/>
              </w:rPr>
              <w:t>Unrealized net losses included in other income (expense), net</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6"/>
        </w:trPr>
        <w:tc>
          <w:tcPr>
            <w:tcW w:w="8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Balance at December 31, 2014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Other Financial Instruments</w:t>
      </w:r>
    </w:p>
    <w:p>
      <w:pPr>
        <w:spacing w:after="0" w:line="119" w:lineRule="exact"/>
        <w:rPr>
          <w:sz w:val="20"/>
          <w:szCs w:val="20"/>
          <w:color w:val="auto"/>
        </w:rPr>
      </w:pPr>
    </w:p>
    <w:p>
      <w:pPr>
        <w:ind w:right="20" w:firstLine="457"/>
        <w:spacing w:after="0" w:line="297" w:lineRule="auto"/>
        <w:rPr>
          <w:sz w:val="20"/>
          <w:szCs w:val="20"/>
          <w:color w:val="auto"/>
        </w:rPr>
      </w:pPr>
      <w:r>
        <w:rPr>
          <w:rFonts w:ascii="Arial" w:cs="Arial" w:eastAsia="Arial" w:hAnsi="Arial"/>
          <w:sz w:val="16"/>
          <w:szCs w:val="16"/>
          <w:color w:val="auto"/>
        </w:rPr>
        <w:t>The carrying amounts of certain of our financial instruments, including cash and cash equivalents, receivable from collaborative partner, accounts payable, accrued expenses and convertible promissory notes payable, approximate fair value due to their short-term nature. The carrying amount of our notes payable of $4.8 million at December 31, 2014 approximated fair value due to the close proximity of their issuance in December 2014.</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280"/>
          </w:cols>
          <w:pgMar w:left="240" w:top="449" w:right="37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hanging="455"/>
        <w:spacing w:after="0"/>
        <w:tabs>
          <w:tab w:leader="none" w:pos="46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19"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Our Amended and Restated Certificate of Incorporation, dated July 15, 2013, authorizes 59.2 million shares of preferred stock, which are designated as follows:</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3,015</w:t>
            </w:r>
          </w:p>
        </w:tc>
      </w:tr>
      <w:tr>
        <w:trPr>
          <w:trHeight w:val="210"/>
        </w:trPr>
        <w:tc>
          <w:tcPr>
            <w:tcW w:w="7040" w:type="dxa"/>
            <w:vAlign w:val="bottom"/>
          </w:tcPr>
          <w:p>
            <w:pPr>
              <w:spacing w:after="0"/>
              <w:rPr>
                <w:sz w:val="20"/>
                <w:szCs w:val="20"/>
                <w:color w:val="auto"/>
              </w:rPr>
            </w:pPr>
            <w:r>
              <w:rPr>
                <w:rFonts w:ascii="Arial" w:cs="Arial" w:eastAsia="Arial" w:hAnsi="Arial"/>
                <w:sz w:val="17"/>
                <w:szCs w:val="17"/>
                <w:color w:val="auto"/>
              </w:rPr>
              <w:t>Series B</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25,525</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Series B-1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1,996</w:t>
            </w:r>
          </w:p>
        </w:tc>
      </w:tr>
      <w:tr>
        <w:trPr>
          <w:trHeight w:val="210"/>
        </w:trPr>
        <w:tc>
          <w:tcPr>
            <w:tcW w:w="7040" w:type="dxa"/>
            <w:vAlign w:val="bottom"/>
          </w:tcPr>
          <w:p>
            <w:pPr>
              <w:spacing w:after="0"/>
              <w:rPr>
                <w:sz w:val="20"/>
                <w:szCs w:val="20"/>
                <w:color w:val="auto"/>
              </w:rPr>
            </w:pPr>
            <w:r>
              <w:rPr>
                <w:rFonts w:ascii="Arial" w:cs="Arial" w:eastAsia="Arial" w:hAnsi="Arial"/>
                <w:sz w:val="17"/>
                <w:szCs w:val="17"/>
                <w:color w:val="auto"/>
              </w:rPr>
              <w:t>Series B-2</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222</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Series C</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17,982</w:t>
            </w:r>
          </w:p>
        </w:tc>
      </w:tr>
      <w:tr>
        <w:trPr>
          <w:trHeight w:val="210"/>
        </w:trPr>
        <w:tc>
          <w:tcPr>
            <w:tcW w:w="7040" w:type="dxa"/>
            <w:vAlign w:val="bottom"/>
          </w:tcPr>
          <w:p>
            <w:pPr>
              <w:spacing w:after="0"/>
              <w:rPr>
                <w:sz w:val="20"/>
                <w:szCs w:val="20"/>
                <w:color w:val="auto"/>
              </w:rPr>
            </w:pPr>
            <w:r>
              <w:rPr>
                <w:rFonts w:ascii="Arial" w:cs="Arial" w:eastAsia="Arial" w:hAnsi="Arial"/>
                <w:sz w:val="17"/>
                <w:szCs w:val="17"/>
                <w:color w:val="auto"/>
              </w:rPr>
              <w:t>Series C-1</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10,500</w:t>
            </w:r>
          </w:p>
        </w:tc>
      </w:tr>
      <w:tr>
        <w:trPr>
          <w:trHeight w:val="26"/>
        </w:trPr>
        <w:tc>
          <w:tcPr>
            <w:tcW w:w="70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designated Preferred Stock</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59,240</w:t>
            </w:r>
          </w:p>
        </w:tc>
      </w:tr>
      <w:tr>
        <w:trPr>
          <w:trHeight w:val="20"/>
        </w:trPr>
        <w:tc>
          <w:tcPr>
            <w:tcW w:w="7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71"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159"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b w:val="1"/>
          <w:bCs w:val="1"/>
          <w:color w:val="auto"/>
        </w:rPr>
        <w:t xml:space="preserve">Dividend Rights. </w:t>
      </w:r>
      <w:r>
        <w:rPr>
          <w:rFonts w:ascii="Arial" w:cs="Arial" w:eastAsia="Arial" w:hAnsi="Arial"/>
          <w:sz w:val="17"/>
          <w:szCs w:val="17"/>
          <w:color w:val="auto"/>
        </w:rPr>
        <w:t>The holders of the Series A, B, C, and C-1 Preferred Stock are entitled to receive noncumulative dividends at a rate of 8%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Series issue price per annum.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74" w:lineRule="exact"/>
        <w:rPr>
          <w:sz w:val="20"/>
          <w:szCs w:val="20"/>
          <w:color w:val="auto"/>
        </w:rPr>
      </w:pPr>
    </w:p>
    <w:p>
      <w:pPr>
        <w:ind w:right="440" w:firstLine="457"/>
        <w:spacing w:after="0" w:line="289" w:lineRule="auto"/>
        <w:rPr>
          <w:sz w:val="20"/>
          <w:szCs w:val="20"/>
          <w:color w:val="auto"/>
        </w:rPr>
      </w:pPr>
      <w:r>
        <w:rPr>
          <w:rFonts w:ascii="Arial" w:cs="Arial" w:eastAsia="Arial" w:hAnsi="Arial"/>
          <w:sz w:val="17"/>
          <w:szCs w:val="17"/>
          <w:color w:val="auto"/>
        </w:rPr>
        <w:t>The preferred stock dividends are payable when, as and if declared by our board of directors. As of December 31, 2014, the board of directors has not declared any dividends.</w:t>
      </w:r>
    </w:p>
    <w:p>
      <w:pPr>
        <w:spacing w:after="0" w:line="152"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b w:val="1"/>
          <w:bCs w:val="1"/>
          <w:color w:val="auto"/>
        </w:rPr>
        <w:t xml:space="preserve">Voting Rights. </w:t>
      </w:r>
      <w:r>
        <w:rPr>
          <w:rFonts w:ascii="Arial" w:cs="Arial" w:eastAsia="Arial" w:hAnsi="Arial"/>
          <w:sz w:val="15"/>
          <w:szCs w:val="15"/>
          <w:color w:val="auto"/>
        </w:rPr>
        <w:t>The holders of Series Preferred Stock are entitled to one vote for each share of common stock into which such Series Preferred Stock could</w:t>
      </w:r>
      <w:r>
        <w:rPr>
          <w:rFonts w:ascii="Arial" w:cs="Arial" w:eastAsia="Arial" w:hAnsi="Arial"/>
          <w:sz w:val="15"/>
          <w:szCs w:val="15"/>
          <w:b w:val="1"/>
          <w:bCs w:val="1"/>
          <w:color w:val="auto"/>
        </w:rPr>
        <w:t xml:space="preserve"> </w:t>
      </w:r>
      <w:r>
        <w:rPr>
          <w:rFonts w:ascii="Arial" w:cs="Arial" w:eastAsia="Arial" w:hAnsi="Arial"/>
          <w:sz w:val="15"/>
          <w:szCs w:val="15"/>
          <w:color w:val="auto"/>
        </w:rPr>
        <w:t>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43"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b w:val="1"/>
          <w:bCs w:val="1"/>
          <w:color w:val="auto"/>
        </w:rPr>
        <w:t xml:space="preserve">Liquidation Rights. </w:t>
      </w:r>
      <w:r>
        <w:rPr>
          <w:rFonts w:ascii="Arial" w:cs="Arial" w:eastAsia="Arial" w:hAnsi="Arial"/>
          <w:sz w:val="17"/>
          <w:szCs w:val="17"/>
          <w:color w:val="auto"/>
        </w:rPr>
        <w:t>Upon liquidation, dissolution or winding up of the Company, the holders of Preferred Stock are entitled to receive distributions to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out of the assets of the Company, before any distributions are made to the holders of common stock. The holders of the Series C-1 are entitled to receive liquidation preference at three (3) times the original issue price of $0.65 per share plus all declared and unpaid dividends. Liquidation payments to the holders of Series C-1 Preferred Stock have priority and are made in preference to any payments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360"/>
          </w:cols>
          <w:pgMar w:left="240" w:top="449" w:right="29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80"/>
        <w:spacing w:after="0" w:line="283" w:lineRule="auto"/>
        <w:rPr>
          <w:sz w:val="20"/>
          <w:szCs w:val="20"/>
          <w:color w:val="auto"/>
        </w:rPr>
      </w:pPr>
      <w:r>
        <w:rPr>
          <w:rFonts w:ascii="Arial" w:cs="Arial" w:eastAsia="Arial" w:hAnsi="Arial"/>
          <w:sz w:val="16"/>
          <w:szCs w:val="16"/>
          <w:color w:val="auto"/>
        </w:rPr>
        <w:t>to the holders of Series C Preferred Stock. The holders of the Series C Preferred Stock are entitled to receive liquidation preferences at the rate of $0.65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$0.90 per share plus all declared and unpaid dividends and the holders of Series A and Series B-2 Preferred Stock are entitled to receive liquidation preferences at the rate of $1.00 per share plus all declared and unpaid dividends. Liquidation payments to the holders of Series B and Series A Preferred Stock have priority and are made in preference to any payments to the holders of common stock.</w:t>
      </w:r>
    </w:p>
    <w:p>
      <w:pPr>
        <w:spacing w:after="0" w:line="159" w:lineRule="exact"/>
        <w:rPr>
          <w:sz w:val="20"/>
          <w:szCs w:val="20"/>
          <w:color w:val="auto"/>
        </w:rPr>
      </w:pPr>
    </w:p>
    <w:p>
      <w:pPr>
        <w:ind w:right="60" w:firstLine="457"/>
        <w:spacing w:after="0" w:line="306" w:lineRule="auto"/>
        <w:rPr>
          <w:sz w:val="20"/>
          <w:szCs w:val="20"/>
          <w:color w:val="auto"/>
        </w:rPr>
      </w:pPr>
      <w:r>
        <w:rPr>
          <w:rFonts w:ascii="Arial" w:cs="Arial" w:eastAsia="Arial" w:hAnsi="Arial"/>
          <w:sz w:val="15"/>
          <w:szCs w:val="15"/>
          <w:b w:val="1"/>
          <w:bCs w:val="1"/>
          <w:color w:val="auto"/>
        </w:rPr>
        <w:t xml:space="preserve">Conversion Rights. </w:t>
      </w:r>
      <w:r>
        <w:rPr>
          <w:rFonts w:ascii="Arial" w:cs="Arial" w:eastAsia="Arial" w:hAnsi="Arial"/>
          <w:sz w:val="15"/>
          <w:szCs w:val="15"/>
          <w:color w:val="auto"/>
        </w:rPr>
        <w:t>The shares of Series A Preferred Stock are convertible into shares of common stock at a conversion price of $0.90 per share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Series B, C and C-1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per share price is at least $1.63 (as adjusted), and the gross cash proceeds are at least $30.0 million.</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of Preferred Shares and Warrants</w:t>
      </w:r>
    </w:p>
    <w:p>
      <w:pPr>
        <w:spacing w:after="0" w:line="1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conjunction with the issuance of the convertible promissory notes in August 2013, and pursuant to the Purchase Agreement which required the parties to the Purchase Agreement to “pay to play,” one of the existing investors, and a related party, was not a participant in the debt financing and, as a result, the investor’s existing preferred shares and warrants to purchase shares of Series C Preferred Stock converted into common shares and warrants to purchase shares of common stock, respectively. The investor’s 3,000,000 shares of Series A Preferred Stock were converted at a price of $0.90 per share into 3,333,333 shares of common stock, and 10,925,197 shares of Series B and Series C Preferred Stock were converted into the same number of shares of common stock. The investor’s warrants to purchase 822,386 shares of Series C Preferred Stock at an exercise price of $0.65 per share were converted into the same number of warrants to purchase shares of common stock at the same warrant price per share, which resulted in an increase to additional paid-in capital of $14,000 at the time of the conversion. The fair value of the warrants for shares of common stock was determined using the Black-Scholes option pricing model with the following assumptions: a stock price volatility of 67.4%, an expected life equal to the remaining contractual term of the warrants of five years and a risk-free interest rate of 1.46%. The warrants are exercisable at any time through November 2018.</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Shares</w:t>
      </w:r>
    </w:p>
    <w:p>
      <w:pPr>
        <w:spacing w:after="0" w:line="119" w:lineRule="exact"/>
        <w:rPr>
          <w:sz w:val="20"/>
          <w:szCs w:val="20"/>
          <w:color w:val="auto"/>
        </w:rPr>
      </w:pPr>
    </w:p>
    <w:p>
      <w:pPr>
        <w:ind w:right="20" w:firstLine="457"/>
        <w:spacing w:after="0" w:line="322" w:lineRule="auto"/>
        <w:rPr>
          <w:sz w:val="20"/>
          <w:szCs w:val="20"/>
          <w:color w:val="auto"/>
        </w:rPr>
      </w:pPr>
      <w:r>
        <w:rPr>
          <w:rFonts w:ascii="Arial" w:cs="Arial" w:eastAsia="Arial" w:hAnsi="Arial"/>
          <w:sz w:val="16"/>
          <w:szCs w:val="16"/>
          <w:color w:val="auto"/>
        </w:rPr>
        <w:t>We have authorized 79.0 million shares of common stock, of which 17.4 million shares were issued and outstanding at December 31, 2014. Common shares reserved for future issuance upon the exercise, issuance or conversion of the respective equity instruments at December 31, 2014 are as follows:</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8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42,208</w:t>
            </w:r>
          </w:p>
        </w:tc>
        <w:tc>
          <w:tcPr>
            <w:tcW w:w="0" w:type="dxa"/>
            <w:vAlign w:val="bottom"/>
          </w:tcPr>
          <w:p>
            <w:pPr>
              <w:spacing w:after="0"/>
              <w:rPr>
                <w:sz w:val="1"/>
                <w:szCs w:val="1"/>
                <w:color w:val="auto"/>
              </w:rPr>
            </w:pPr>
          </w:p>
        </w:tc>
      </w:tr>
      <w:tr>
        <w:trPr>
          <w:trHeight w:val="210"/>
        </w:trPr>
        <w:tc>
          <w:tcPr>
            <w:tcW w:w="8900" w:type="dxa"/>
            <w:vAlign w:val="bottom"/>
          </w:tcPr>
          <w:p>
            <w:pPr>
              <w:spacing w:after="0"/>
              <w:rPr>
                <w:sz w:val="20"/>
                <w:szCs w:val="20"/>
                <w:color w:val="auto"/>
              </w:rPr>
            </w:pPr>
            <w:r>
              <w:rPr>
                <w:rFonts w:ascii="Arial" w:cs="Arial" w:eastAsia="Arial" w:hAnsi="Arial"/>
                <w:sz w:val="17"/>
                <w:szCs w:val="17"/>
                <w:color w:val="auto"/>
              </w:rPr>
              <w:t>Issued and Outstanding:</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Stock options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8,718</w:t>
            </w:r>
          </w:p>
        </w:tc>
        <w:tc>
          <w:tcPr>
            <w:tcW w:w="0" w:type="dxa"/>
            <w:vAlign w:val="bottom"/>
          </w:tcPr>
          <w:p>
            <w:pPr>
              <w:spacing w:after="0"/>
              <w:rPr>
                <w:sz w:val="1"/>
                <w:szCs w:val="1"/>
                <w:color w:val="auto"/>
              </w:rPr>
            </w:pPr>
          </w:p>
        </w:tc>
      </w:tr>
      <w:tr>
        <w:trPr>
          <w:trHeight w:val="210"/>
        </w:trPr>
        <w:tc>
          <w:tcPr>
            <w:tcW w:w="8900" w:type="dxa"/>
            <w:vAlign w:val="bottom"/>
          </w:tcPr>
          <w:p>
            <w:pPr>
              <w:ind w:left="360"/>
              <w:spacing w:after="0"/>
              <w:rPr>
                <w:sz w:val="20"/>
                <w:szCs w:val="20"/>
                <w:color w:val="auto"/>
              </w:rPr>
            </w:pPr>
            <w:r>
              <w:rPr>
                <w:rFonts w:ascii="Arial" w:cs="Arial" w:eastAsia="Arial" w:hAnsi="Arial"/>
                <w:sz w:val="17"/>
                <w:szCs w:val="17"/>
                <w:color w:val="auto"/>
              </w:rPr>
              <w:t>Warrants for shares of convertible preferred stock and common stock</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2,885</w:t>
            </w: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Shares reserved for future award grants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360"/>
              <w:spacing w:after="0"/>
              <w:rPr>
                <w:sz w:val="20"/>
                <w:szCs w:val="20"/>
                <w:color w:val="auto"/>
              </w:rPr>
            </w:pPr>
            <w:r>
              <w:rPr>
                <w:rFonts w:ascii="Arial" w:cs="Arial" w:eastAsia="Arial" w:hAnsi="Arial"/>
                <w:sz w:val="17"/>
                <w:szCs w:val="17"/>
                <w:color w:val="auto"/>
              </w:rPr>
              <w:t>Total</w:t>
            </w: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900" w:type="dxa"/>
            <w:vAlign w:val="bottom"/>
            <w:vMerge w:val="continue"/>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54,210</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620"/>
              <w:spacing w:after="0"/>
              <w:rPr>
                <w:sz w:val="20"/>
                <w:szCs w:val="20"/>
                <w:color w:val="auto"/>
              </w:rPr>
            </w:pPr>
            <w:r>
              <w:rPr>
                <w:rFonts w:ascii="Arial" w:cs="Arial" w:eastAsia="Arial" w:hAnsi="Arial"/>
                <w:sz w:val="17"/>
                <w:szCs w:val="17"/>
                <w:color w:val="auto"/>
              </w:rPr>
              <w:t>F-19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9" w:right="2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 for Shares of Preferred and Common Stock</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activity related to our warrants during the year ended December 31, 2014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6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8"/>
              </w:rPr>
              <w:t>Subject to</w:t>
            </w:r>
          </w:p>
        </w:tc>
        <w:tc>
          <w:tcPr>
            <w:tcW w:w="320" w:type="dxa"/>
            <w:vAlign w:val="bottom"/>
          </w:tcPr>
          <w:p>
            <w:pPr>
              <w:spacing w:after="0"/>
              <w:rPr>
                <w:sz w:val="12"/>
                <w:szCs w:val="12"/>
                <w:color w:val="auto"/>
              </w:rPr>
            </w:pPr>
          </w:p>
        </w:tc>
        <w:tc>
          <w:tcPr>
            <w:tcW w:w="1260" w:type="dxa"/>
            <w:vAlign w:val="bottom"/>
            <w:gridSpan w:val="3"/>
          </w:tcPr>
          <w:p>
            <w:pPr>
              <w:jc w:val="center"/>
              <w:ind w:right="660"/>
              <w:spacing w:after="0" w:line="144" w:lineRule="exact"/>
              <w:rPr>
                <w:sz w:val="20"/>
                <w:szCs w:val="20"/>
                <w:color w:val="auto"/>
              </w:rPr>
            </w:pPr>
            <w:r>
              <w:rPr>
                <w:rFonts w:ascii="Arial" w:cs="Arial" w:eastAsia="Arial" w:hAnsi="Arial"/>
                <w:sz w:val="14"/>
                <w:szCs w:val="14"/>
                <w:b w:val="1"/>
                <w:bCs w:val="1"/>
                <w:color w:val="auto"/>
                <w:w w:val="86"/>
              </w:rPr>
              <w:t>Average</w:t>
            </w:r>
          </w:p>
        </w:tc>
        <w:tc>
          <w:tcPr>
            <w:tcW w:w="106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9"/>
              </w:rPr>
              <w:t>Remaining</w:t>
            </w:r>
          </w:p>
        </w:tc>
        <w:tc>
          <w:tcPr>
            <w:tcW w:w="340" w:type="dxa"/>
            <w:vAlign w:val="bottom"/>
          </w:tcPr>
          <w:p>
            <w:pPr>
              <w:spacing w:after="0"/>
              <w:rPr>
                <w:sz w:val="12"/>
                <w:szCs w:val="12"/>
                <w:color w:val="auto"/>
              </w:rPr>
            </w:pPr>
          </w:p>
        </w:tc>
        <w:tc>
          <w:tcPr>
            <w:tcW w:w="74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w w:val="95"/>
              </w:rPr>
              <w:t>Warrants</w:t>
            </w:r>
          </w:p>
        </w:tc>
        <w:tc>
          <w:tcPr>
            <w:tcW w:w="320" w:type="dxa"/>
            <w:vAlign w:val="bottom"/>
          </w:tcPr>
          <w:p>
            <w:pPr>
              <w:spacing w:after="0"/>
              <w:rPr>
                <w:sz w:val="12"/>
                <w:szCs w:val="12"/>
                <w:color w:val="auto"/>
              </w:rPr>
            </w:pPr>
          </w:p>
        </w:tc>
        <w:tc>
          <w:tcPr>
            <w:tcW w:w="1260" w:type="dxa"/>
            <w:vAlign w:val="bottom"/>
            <w:gridSpan w:val="3"/>
          </w:tcPr>
          <w:p>
            <w:pPr>
              <w:jc w:val="center"/>
              <w:ind w:right="660"/>
              <w:spacing w:after="0" w:line="144" w:lineRule="exact"/>
              <w:rPr>
                <w:sz w:val="20"/>
                <w:szCs w:val="20"/>
                <w:color w:val="auto"/>
              </w:rPr>
            </w:pPr>
            <w:r>
              <w:rPr>
                <w:rFonts w:ascii="Arial" w:cs="Arial" w:eastAsia="Arial" w:hAnsi="Arial"/>
                <w:sz w:val="14"/>
                <w:szCs w:val="14"/>
                <w:b w:val="1"/>
                <w:bCs w:val="1"/>
                <w:color w:val="auto"/>
                <w:w w:val="98"/>
              </w:rPr>
              <w:t>Warrant</w:t>
            </w:r>
          </w:p>
        </w:tc>
        <w:tc>
          <w:tcPr>
            <w:tcW w:w="106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2"/>
              </w:rPr>
              <w:t>Contractual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3"/>
              </w:rPr>
              <w:t>(in</w:t>
            </w:r>
          </w:p>
        </w:tc>
        <w:tc>
          <w:tcPr>
            <w:tcW w:w="320" w:type="dxa"/>
            <w:vAlign w:val="bottom"/>
          </w:tcPr>
          <w:p>
            <w:pPr>
              <w:spacing w:after="0"/>
              <w:rPr>
                <w:sz w:val="12"/>
                <w:szCs w:val="12"/>
                <w:color w:val="auto"/>
              </w:rPr>
            </w:pPr>
          </w:p>
        </w:tc>
        <w:tc>
          <w:tcPr>
            <w:tcW w:w="1260" w:type="dxa"/>
            <w:vAlign w:val="bottom"/>
            <w:gridSpan w:val="3"/>
          </w:tcPr>
          <w:p>
            <w:pPr>
              <w:jc w:val="center"/>
              <w:ind w:right="640"/>
              <w:spacing w:after="0" w:line="144" w:lineRule="exact"/>
              <w:rPr>
                <w:sz w:val="20"/>
                <w:szCs w:val="20"/>
                <w:color w:val="auto"/>
              </w:rPr>
            </w:pPr>
            <w:r>
              <w:rPr>
                <w:rFonts w:ascii="Arial" w:cs="Arial" w:eastAsia="Arial" w:hAnsi="Arial"/>
                <w:sz w:val="14"/>
                <w:szCs w:val="14"/>
                <w:b w:val="1"/>
                <w:bCs w:val="1"/>
                <w:color w:val="auto"/>
                <w:w w:val="90"/>
              </w:rPr>
              <w:t>Price per</w:t>
            </w:r>
          </w:p>
        </w:tc>
        <w:tc>
          <w:tcPr>
            <w:tcW w:w="106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3"/>
              </w:rPr>
              <w:t>Term</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3"/>
              </w:rPr>
              <w:t>(in</w:t>
            </w: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Share</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years)</w:t>
            </w:r>
          </w:p>
        </w:tc>
        <w:tc>
          <w:tcPr>
            <w:tcW w:w="34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70"/>
        </w:trPr>
        <w:tc>
          <w:tcPr>
            <w:tcW w:w="4260" w:type="dxa"/>
            <w:vAlign w:val="bottom"/>
            <w:tcBorders>
              <w:top w:val="single" w:sz="8" w:color="CCEEFF"/>
              <w:bottom w:val="single" w:sz="8" w:color="auto"/>
            </w:tcBorders>
            <w:gridSpan w:val="2"/>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1"/>
              </w:rPr>
              <w:t>Warrants to Purchase Shares of Series C Preferred Stock</w:t>
            </w:r>
          </w:p>
        </w:tc>
        <w:tc>
          <w:tcPr>
            <w:tcW w:w="244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gridSpan w:val="3"/>
          </w:tcPr>
          <w:p>
            <w:pPr>
              <w:spacing w:after="0"/>
              <w:rPr>
                <w:sz w:val="20"/>
                <w:szCs w:val="20"/>
                <w:color w:val="auto"/>
              </w:rPr>
            </w:pPr>
            <w:r>
              <w:rPr>
                <w:rFonts w:ascii="Arial" w:cs="Arial" w:eastAsia="Arial" w:hAnsi="Arial"/>
                <w:sz w:val="17"/>
                <w:szCs w:val="17"/>
                <w:color w:val="auto"/>
              </w:rPr>
              <w:t>Outstanding at January 1, 2014</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1,775</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640"/>
              <w:spacing w:after="0"/>
              <w:rPr>
                <w:sz w:val="20"/>
                <w:szCs w:val="20"/>
                <w:color w:val="auto"/>
              </w:rPr>
            </w:pPr>
            <w:r>
              <w:rPr>
                <w:rFonts w:ascii="Arial" w:cs="Arial" w:eastAsia="Arial" w:hAnsi="Arial"/>
                <w:sz w:val="17"/>
                <w:szCs w:val="17"/>
                <w:color w:val="auto"/>
              </w:rPr>
              <w:t>0.65</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Issued</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288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0.65</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ind w:left="360"/>
              <w:spacing w:after="0"/>
              <w:rPr>
                <w:sz w:val="20"/>
                <w:szCs w:val="20"/>
                <w:color w:val="auto"/>
              </w:rPr>
            </w:pPr>
            <w:r>
              <w:rPr>
                <w:rFonts w:ascii="Arial" w:cs="Arial" w:eastAsia="Arial" w:hAnsi="Arial"/>
                <w:sz w:val="17"/>
                <w:szCs w:val="17"/>
                <w:color w:val="auto"/>
              </w:rPr>
              <w:t>Outstanding and exercisable at December 31, 2014</w:t>
            </w: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vMerge w:val="restart"/>
          </w:tcPr>
          <w:p>
            <w:pPr>
              <w:ind w:left="320"/>
              <w:spacing w:after="0"/>
              <w:rPr>
                <w:sz w:val="20"/>
                <w:szCs w:val="20"/>
                <w:color w:val="auto"/>
              </w:rPr>
            </w:pPr>
            <w:r>
              <w:rPr>
                <w:rFonts w:ascii="Arial" w:cs="Arial" w:eastAsia="Arial" w:hAnsi="Arial"/>
                <w:sz w:val="17"/>
                <w:szCs w:val="17"/>
                <w:color w:val="auto"/>
                <w:w w:val="84"/>
              </w:rPr>
              <w:t>$</w:t>
            </w: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7"/>
                <w:szCs w:val="17"/>
                <w:color w:val="auto"/>
              </w:rPr>
              <w:t>0.65</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auto"/>
              </w:rPr>
              <w:t>4.7</w:t>
            </w:r>
          </w:p>
        </w:tc>
        <w:tc>
          <w:tcPr>
            <w:tcW w:w="4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216"/>
        </w:trPr>
        <w:tc>
          <w:tcPr>
            <w:tcW w:w="6700" w:type="dxa"/>
            <w:vAlign w:val="bottom"/>
            <w:gridSpan w:val="3"/>
            <w:vMerge w:val="continue"/>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2,063</w:t>
            </w:r>
          </w:p>
        </w:tc>
        <w:tc>
          <w:tcPr>
            <w:tcW w:w="4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Warrants to Purchase Shares of Common Stock</w:t>
            </w: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3560" w:type="dxa"/>
            <w:vAlign w:val="bottom"/>
            <w:shd w:val="clear" w:color="auto" w:fill="000000"/>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3"/>
          </w:tcPr>
          <w:p>
            <w:pPr>
              <w:spacing w:after="0"/>
              <w:rPr>
                <w:sz w:val="20"/>
                <w:szCs w:val="20"/>
                <w:color w:val="auto"/>
              </w:rPr>
            </w:pPr>
            <w:r>
              <w:rPr>
                <w:rFonts w:ascii="Arial" w:cs="Arial" w:eastAsia="Arial" w:hAnsi="Arial"/>
                <w:sz w:val="17"/>
                <w:szCs w:val="17"/>
                <w:color w:val="auto"/>
              </w:rPr>
              <w:t>Outstanding and exercisable at December 31, 2013 and 2014</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822</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640"/>
              <w:spacing w:after="0"/>
              <w:rPr>
                <w:sz w:val="20"/>
                <w:szCs w:val="20"/>
                <w:color w:val="auto"/>
              </w:rPr>
            </w:pPr>
            <w:r>
              <w:rPr>
                <w:rFonts w:ascii="Arial" w:cs="Arial" w:eastAsia="Arial" w:hAnsi="Arial"/>
                <w:sz w:val="17"/>
                <w:szCs w:val="17"/>
                <w:color w:val="auto"/>
              </w:rPr>
              <w:t>0.65</w:t>
            </w: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3.8</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60" w:hanging="455"/>
        <w:spacing w:after="0"/>
        <w:tabs>
          <w:tab w:leader="none" w:pos="46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w:t>
      </w:r>
    </w:p>
    <w:p>
      <w:pPr>
        <w:spacing w:after="0" w:line="125"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As of December 31, 2014, awards for up to 9.1 million shares of common stock are reserved for issuance under the Plan, of which 8.7 million are reserved for issuance upon exercise of granted and outstanding options and 0.4 million shares are available for future grants. In April 2015, we increased the number of shares reserved and available for issuance under the Plan by 3.8 million shares.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9"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2014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128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8"/>
              </w:rPr>
              <w:t>Weighted-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4"/>
                <w:szCs w:val="14"/>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4"/>
        </w:trPr>
        <w:tc>
          <w:tcPr>
            <w:tcW w:w="66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Average</w:t>
            </w:r>
          </w:p>
        </w:tc>
        <w:tc>
          <w:tcPr>
            <w:tcW w:w="6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60" w:type="dxa"/>
            <w:vAlign w:val="bottom"/>
          </w:tcPr>
          <w:p>
            <w:pPr>
              <w:spacing w:after="0"/>
              <w:rPr>
                <w:sz w:val="12"/>
                <w:szCs w:val="12"/>
                <w:color w:val="auto"/>
              </w:rPr>
            </w:pPr>
          </w:p>
        </w:tc>
        <w:tc>
          <w:tcPr>
            <w:tcW w:w="102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w w:val="88"/>
              </w:rPr>
              <w:t>Subject to</w:t>
            </w:r>
          </w:p>
        </w:tc>
        <w:tc>
          <w:tcPr>
            <w:tcW w:w="320" w:type="dxa"/>
            <w:vAlign w:val="bottom"/>
          </w:tcPr>
          <w:p>
            <w:pPr>
              <w:spacing w:after="0"/>
              <w:rPr>
                <w:sz w:val="12"/>
                <w:szCs w:val="12"/>
                <w:color w:val="auto"/>
              </w:rPr>
            </w:pPr>
          </w:p>
        </w:tc>
        <w:tc>
          <w:tcPr>
            <w:tcW w:w="1280" w:type="dxa"/>
            <w:vAlign w:val="bottom"/>
            <w:gridSpan w:val="3"/>
          </w:tcPr>
          <w:p>
            <w:pPr>
              <w:jc w:val="center"/>
              <w:ind w:right="680"/>
              <w:spacing w:after="0" w:line="144" w:lineRule="exact"/>
              <w:rPr>
                <w:sz w:val="20"/>
                <w:szCs w:val="20"/>
                <w:color w:val="auto"/>
              </w:rPr>
            </w:pPr>
            <w:r>
              <w:rPr>
                <w:rFonts w:ascii="Arial" w:cs="Arial" w:eastAsia="Arial" w:hAnsi="Arial"/>
                <w:sz w:val="14"/>
                <w:szCs w:val="14"/>
                <w:b w:val="1"/>
                <w:bCs w:val="1"/>
                <w:color w:val="auto"/>
                <w:w w:val="86"/>
              </w:rPr>
              <w:t>Average</w:t>
            </w:r>
          </w:p>
        </w:tc>
        <w:tc>
          <w:tcPr>
            <w:tcW w:w="7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Remaining</w:t>
            </w:r>
          </w:p>
        </w:tc>
        <w:tc>
          <w:tcPr>
            <w:tcW w:w="680" w:type="dxa"/>
            <w:vAlign w:val="bottom"/>
          </w:tcPr>
          <w:p>
            <w:pPr>
              <w:spacing w:after="0"/>
              <w:rPr>
                <w:sz w:val="12"/>
                <w:szCs w:val="12"/>
                <w:color w:val="auto"/>
              </w:rPr>
            </w:pPr>
          </w:p>
        </w:tc>
        <w:tc>
          <w:tcPr>
            <w:tcW w:w="74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4"/>
        </w:trPr>
        <w:tc>
          <w:tcPr>
            <w:tcW w:w="6660" w:type="dxa"/>
            <w:vAlign w:val="bottom"/>
          </w:tcPr>
          <w:p>
            <w:pPr>
              <w:spacing w:after="0"/>
              <w:rPr>
                <w:sz w:val="12"/>
                <w:szCs w:val="12"/>
                <w:color w:val="auto"/>
              </w:rPr>
            </w:pPr>
          </w:p>
        </w:tc>
        <w:tc>
          <w:tcPr>
            <w:tcW w:w="102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2"/>
                <w:szCs w:val="12"/>
                <w:color w:val="auto"/>
              </w:rPr>
            </w:pPr>
          </w:p>
        </w:tc>
        <w:tc>
          <w:tcPr>
            <w:tcW w:w="1280" w:type="dxa"/>
            <w:vAlign w:val="bottom"/>
            <w:gridSpan w:val="3"/>
          </w:tcPr>
          <w:p>
            <w:pPr>
              <w:jc w:val="center"/>
              <w:ind w:right="680"/>
              <w:spacing w:after="0" w:line="144" w:lineRule="exact"/>
              <w:rPr>
                <w:sz w:val="20"/>
                <w:szCs w:val="20"/>
                <w:color w:val="auto"/>
              </w:rPr>
            </w:pPr>
            <w:r>
              <w:rPr>
                <w:rFonts w:ascii="Arial" w:cs="Arial" w:eastAsia="Arial" w:hAnsi="Arial"/>
                <w:sz w:val="14"/>
                <w:szCs w:val="14"/>
                <w:b w:val="1"/>
                <w:bCs w:val="1"/>
                <w:color w:val="auto"/>
                <w:w w:val="90"/>
              </w:rPr>
              <w:t>Exercise</w:t>
            </w:r>
          </w:p>
        </w:tc>
        <w:tc>
          <w:tcPr>
            <w:tcW w:w="7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Contractual</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4"/>
        </w:trPr>
        <w:tc>
          <w:tcPr>
            <w:tcW w:w="6660" w:type="dxa"/>
            <w:vAlign w:val="bottom"/>
          </w:tcPr>
          <w:p>
            <w:pPr>
              <w:spacing w:after="0"/>
              <w:rPr>
                <w:sz w:val="12"/>
                <w:szCs w:val="12"/>
                <w:color w:val="auto"/>
              </w:rPr>
            </w:pPr>
          </w:p>
        </w:tc>
        <w:tc>
          <w:tcPr>
            <w:tcW w:w="102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w w:val="93"/>
              </w:rPr>
              <w:t>(in</w:t>
            </w:r>
          </w:p>
        </w:tc>
        <w:tc>
          <w:tcPr>
            <w:tcW w:w="320" w:type="dxa"/>
            <w:vAlign w:val="bottom"/>
          </w:tcPr>
          <w:p>
            <w:pPr>
              <w:spacing w:after="0"/>
              <w:rPr>
                <w:sz w:val="12"/>
                <w:szCs w:val="12"/>
                <w:color w:val="auto"/>
              </w:rPr>
            </w:pPr>
          </w:p>
        </w:tc>
        <w:tc>
          <w:tcPr>
            <w:tcW w:w="1280" w:type="dxa"/>
            <w:vAlign w:val="bottom"/>
            <w:gridSpan w:val="3"/>
          </w:tcPr>
          <w:p>
            <w:pPr>
              <w:jc w:val="center"/>
              <w:ind w:right="680"/>
              <w:spacing w:after="0" w:line="144" w:lineRule="exact"/>
              <w:rPr>
                <w:sz w:val="20"/>
                <w:szCs w:val="20"/>
                <w:color w:val="auto"/>
              </w:rPr>
            </w:pPr>
            <w:r>
              <w:rPr>
                <w:rFonts w:ascii="Arial" w:cs="Arial" w:eastAsia="Arial" w:hAnsi="Arial"/>
                <w:sz w:val="14"/>
                <w:szCs w:val="14"/>
                <w:b w:val="1"/>
                <w:bCs w:val="1"/>
                <w:color w:val="auto"/>
                <w:w w:val="93"/>
              </w:rPr>
              <w:t>Price per</w:t>
            </w:r>
          </w:p>
        </w:tc>
        <w:tc>
          <w:tcPr>
            <w:tcW w:w="7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Term</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3"/>
              </w:rPr>
              <w:t>(in</w:t>
            </w:r>
          </w:p>
        </w:tc>
        <w:tc>
          <w:tcPr>
            <w:tcW w:w="0" w:type="dxa"/>
            <w:vAlign w:val="bottom"/>
          </w:tcPr>
          <w:p>
            <w:pPr>
              <w:spacing w:after="0"/>
              <w:rPr>
                <w:sz w:val="1"/>
                <w:szCs w:val="1"/>
                <w:color w:val="auto"/>
              </w:rPr>
            </w:pPr>
          </w:p>
        </w:tc>
      </w:tr>
      <w:tr>
        <w:trPr>
          <w:trHeight w:val="167"/>
        </w:trPr>
        <w:tc>
          <w:tcPr>
            <w:tcW w:w="66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Share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68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7,209</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w w:val="84"/>
              </w:rPr>
              <w:t>0.17</w:t>
            </w:r>
          </w:p>
        </w:tc>
        <w:tc>
          <w:tcPr>
            <w:tcW w:w="6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7"/>
                <w:szCs w:val="17"/>
                <w:color w:val="auto"/>
              </w:rPr>
              <w:t>Granted</w:t>
            </w:r>
          </w:p>
        </w:tc>
        <w:tc>
          <w:tcPr>
            <w:tcW w:w="660" w:type="dxa"/>
            <w:vAlign w:val="bottom"/>
          </w:tcPr>
          <w:p>
            <w:pPr>
              <w:jc w:val="right"/>
              <w:spacing w:after="0"/>
              <w:rPr>
                <w:sz w:val="20"/>
                <w:szCs w:val="20"/>
                <w:color w:val="auto"/>
              </w:rPr>
            </w:pPr>
            <w:r>
              <w:rPr>
                <w:rFonts w:ascii="Arial" w:cs="Arial" w:eastAsia="Arial" w:hAnsi="Arial"/>
                <w:sz w:val="17"/>
                <w:szCs w:val="17"/>
                <w:color w:val="auto"/>
              </w:rPr>
              <w:t>1,997</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ind w:left="200"/>
              <w:spacing w:after="0"/>
              <w:rPr>
                <w:sz w:val="20"/>
                <w:szCs w:val="20"/>
                <w:color w:val="auto"/>
              </w:rPr>
            </w:pPr>
            <w:r>
              <w:rPr>
                <w:rFonts w:ascii="Arial" w:cs="Arial" w:eastAsia="Arial" w:hAnsi="Arial"/>
                <w:sz w:val="17"/>
                <w:szCs w:val="17"/>
                <w:color w:val="auto"/>
              </w:rPr>
              <w:t>0.10</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Forfeitures and cancellations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0.11</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7"/>
                <w:szCs w:val="17"/>
                <w:color w:val="auto"/>
              </w:rPr>
              <w:t>Outstanding and exercisable at December 31, 2014</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8,718</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ind w:left="200"/>
              <w:spacing w:after="0"/>
              <w:rPr>
                <w:sz w:val="20"/>
                <w:szCs w:val="20"/>
                <w:color w:val="auto"/>
              </w:rPr>
            </w:pPr>
            <w:r>
              <w:rPr>
                <w:rFonts w:ascii="Arial" w:cs="Arial" w:eastAsia="Arial" w:hAnsi="Arial"/>
                <w:sz w:val="17"/>
                <w:szCs w:val="17"/>
                <w:color w:val="auto"/>
              </w:rPr>
              <w:t>0.16</w:t>
            </w:r>
          </w:p>
        </w:tc>
        <w:tc>
          <w:tcPr>
            <w:tcW w:w="720" w:type="dxa"/>
            <w:vAlign w:val="bottom"/>
          </w:tcPr>
          <w:p>
            <w:pPr>
              <w:jc w:val="right"/>
              <w:spacing w:after="0"/>
              <w:rPr>
                <w:sz w:val="20"/>
                <w:szCs w:val="20"/>
                <w:color w:val="auto"/>
              </w:rPr>
            </w:pPr>
            <w:r>
              <w:rPr>
                <w:rFonts w:ascii="Arial" w:cs="Arial" w:eastAsia="Arial" w:hAnsi="Arial"/>
                <w:sz w:val="17"/>
                <w:szCs w:val="17"/>
                <w:color w:val="auto"/>
              </w:rPr>
              <w:t>7.5</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Options vested or expected to vest at December 31, 2014</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7,724</w:t>
            </w: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0.16</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cash received from the exercise of stock options was $4,000 during the year ended December 31, 2013.</w:t>
      </w:r>
    </w:p>
    <w:p>
      <w:pPr>
        <w:spacing w:after="0" w:line="224" w:lineRule="exact"/>
        <w:rPr>
          <w:sz w:val="20"/>
          <w:szCs w:val="20"/>
          <w:color w:val="auto"/>
        </w:rPr>
      </w:pPr>
    </w:p>
    <w:p>
      <w:pPr>
        <w:jc w:val="both"/>
        <w:ind w:right="260" w:firstLine="457"/>
        <w:spacing w:after="0" w:line="273" w:lineRule="auto"/>
        <w:rPr>
          <w:sz w:val="20"/>
          <w:szCs w:val="20"/>
          <w:color w:val="auto"/>
        </w:rPr>
      </w:pPr>
      <w:r>
        <w:rPr>
          <w:rFonts w:ascii="Arial" w:cs="Arial" w:eastAsia="Arial" w:hAnsi="Arial"/>
          <w:sz w:val="17"/>
          <w:szCs w:val="17"/>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20"/>
          </w:cols>
          <w:pgMar w:left="240" w:top="449" w:right="23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9"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The estimated fair value of each stock option award was determined on the date of grant using the Black-Scholes option valuation model with the following assumptions for options granted to employees during the years ended December 31, 2013 and 2014:</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37"/>
        </w:trPr>
        <w:tc>
          <w:tcPr>
            <w:tcW w:w="480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4"/>
              <w:spacing w:after="0" w:line="137"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6"/>
              <w:spacing w:after="0" w:line="137"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1"/>
                <w:szCs w:val="1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r>
      <w:tr>
        <w:trPr>
          <w:trHeight w:val="210"/>
        </w:trPr>
        <w:tc>
          <w:tcPr>
            <w:tcW w:w="4800" w:type="dxa"/>
            <w:vAlign w:val="bottom"/>
          </w:tcPr>
          <w:p>
            <w:pPr>
              <w:spacing w:after="0"/>
              <w:rPr>
                <w:sz w:val="20"/>
                <w:szCs w:val="20"/>
                <w:color w:val="auto"/>
              </w:rPr>
            </w:pPr>
            <w:r>
              <w:rPr>
                <w:rFonts w:ascii="Arial" w:cs="Arial" w:eastAsia="Arial" w:hAnsi="Arial"/>
                <w:sz w:val="17"/>
                <w:szCs w:val="17"/>
                <w:color w:val="auto"/>
              </w:rPr>
              <w:t>Expected volatility</w:t>
            </w:r>
          </w:p>
        </w:tc>
        <w:tc>
          <w:tcPr>
            <w:tcW w:w="2600" w:type="dxa"/>
            <w:vAlign w:val="bottom"/>
            <w:gridSpan w:val="3"/>
          </w:tcPr>
          <w:p>
            <w:pPr>
              <w:jc w:val="right"/>
              <w:ind w:right="420"/>
              <w:spacing w:after="0"/>
              <w:rPr>
                <w:sz w:val="20"/>
                <w:szCs w:val="20"/>
                <w:color w:val="auto"/>
              </w:rPr>
            </w:pPr>
            <w:r>
              <w:rPr>
                <w:rFonts w:ascii="Arial" w:cs="Arial" w:eastAsia="Arial" w:hAnsi="Arial"/>
                <w:sz w:val="17"/>
                <w:szCs w:val="17"/>
                <w:color w:val="auto"/>
              </w:rPr>
              <w:t>71.0%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66.8%</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26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r>
      <w:tr>
        <w:trPr>
          <w:trHeight w:val="210"/>
        </w:trPr>
        <w:tc>
          <w:tcPr>
            <w:tcW w:w="4800" w:type="dxa"/>
            <w:vAlign w:val="bottom"/>
          </w:tcPr>
          <w:p>
            <w:pPr>
              <w:spacing w:after="0"/>
              <w:rPr>
                <w:sz w:val="20"/>
                <w:szCs w:val="20"/>
                <w:color w:val="auto"/>
              </w:rPr>
            </w:pPr>
            <w:r>
              <w:rPr>
                <w:rFonts w:ascii="Arial" w:cs="Arial" w:eastAsia="Arial" w:hAnsi="Arial"/>
                <w:sz w:val="17"/>
                <w:szCs w:val="17"/>
                <w:color w:val="auto"/>
              </w:rPr>
              <w:t>Expected term (in years)</w:t>
            </w:r>
          </w:p>
        </w:tc>
        <w:tc>
          <w:tcPr>
            <w:tcW w:w="2600" w:type="dxa"/>
            <w:vAlign w:val="bottom"/>
            <w:gridSpan w:val="3"/>
          </w:tcPr>
          <w:p>
            <w:pPr>
              <w:jc w:val="right"/>
              <w:ind w:right="560"/>
              <w:spacing w:after="0"/>
              <w:rPr>
                <w:sz w:val="20"/>
                <w:szCs w:val="20"/>
                <w:color w:val="auto"/>
              </w:rPr>
            </w:pPr>
            <w:r>
              <w:rPr>
                <w:rFonts w:ascii="Arial" w:cs="Arial" w:eastAsia="Arial" w:hAnsi="Arial"/>
                <w:sz w:val="17"/>
                <w:szCs w:val="17"/>
                <w:color w:val="auto"/>
              </w:rPr>
              <w:t>6.1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6.1</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grant date fair value per share</w:t>
            </w:r>
          </w:p>
        </w:tc>
        <w:tc>
          <w:tcPr>
            <w:tcW w:w="260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   0.06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0.15</w:t>
            </w:r>
          </w:p>
        </w:tc>
      </w:tr>
    </w:tbl>
    <w:p>
      <w:pPr>
        <w:spacing w:after="0" w:line="197"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non-cash stock-based compensation expense for all stock awards that was recognized in the statements of operations is as follows:</w:t>
      </w: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240" w:type="dxa"/>
            <w:vAlign w:val="bottom"/>
            <w:gridSpan w:val="6"/>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7"/>
        </w:trPr>
        <w:tc>
          <w:tcPr>
            <w:tcW w:w="5360" w:type="dxa"/>
            <w:vAlign w:val="bottom"/>
            <w:tcBorders>
              <w:bottom w:val="single" w:sz="8" w:color="CCEEFF"/>
            </w:tcBorders>
            <w:vMerge w:val="continue"/>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00"/>
              <w:spacing w:after="0" w:line="137" w:lineRule="exact"/>
              <w:rPr>
                <w:sz w:val="20"/>
                <w:szCs w:val="20"/>
                <w:color w:val="auto"/>
              </w:rPr>
            </w:pPr>
            <w:r>
              <w:rPr>
                <w:rFonts w:ascii="Arial" w:cs="Arial" w:eastAsia="Arial" w:hAnsi="Arial"/>
                <w:sz w:val="14"/>
                <w:szCs w:val="14"/>
                <w:b w:val="1"/>
                <w:bCs w:val="1"/>
                <w:color w:val="auto"/>
                <w:w w:val="96"/>
              </w:rPr>
              <w:t>2013</w:t>
            </w:r>
          </w:p>
        </w:tc>
        <w:tc>
          <w:tcPr>
            <w:tcW w:w="5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7"/>
              <w:spacing w:after="0" w:line="137"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151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At December 31, 2014, there was $478,000 of unrecognized compensation cost related to unvested stock option awards, which is expected to be recognized over a remaining weighted average vesting period of 2.9 years.</w:t>
      </w:r>
    </w:p>
    <w:p>
      <w:pPr>
        <w:spacing w:after="0" w:line="296" w:lineRule="exact"/>
        <w:rPr>
          <w:sz w:val="20"/>
          <w:szCs w:val="20"/>
          <w:color w:val="auto"/>
        </w:rPr>
      </w:pPr>
    </w:p>
    <w:p>
      <w:pPr>
        <w:ind w:left="460" w:hanging="455"/>
        <w:spacing w:after="0"/>
        <w:tabs>
          <w:tab w:leader="none" w:pos="46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w:t>
      </w:r>
    </w:p>
    <w:p>
      <w:pPr>
        <w:spacing w:after="0" w:line="12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2013 or 2014.</w:t>
      </w:r>
    </w:p>
    <w:p>
      <w:pPr>
        <w:spacing w:after="0" w:line="316" w:lineRule="exact"/>
        <w:rPr>
          <w:sz w:val="20"/>
          <w:szCs w:val="20"/>
          <w:color w:val="auto"/>
        </w:rPr>
      </w:pPr>
    </w:p>
    <w:p>
      <w:pPr>
        <w:ind w:left="460" w:hanging="455"/>
        <w:spacing w:after="0"/>
        <w:tabs>
          <w:tab w:leader="none" w:pos="46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19"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We lease our facility under a non-cancellable operating lease, which expires in August 2016. The lease contains one option to renew for an additional five-year period.</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380"/>
          </w:cols>
          <w:pgMar w:left="240" w:top="449" w:right="27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firstLine="457"/>
        <w:spacing w:after="0" w:line="297" w:lineRule="auto"/>
        <w:rPr>
          <w:sz w:val="20"/>
          <w:szCs w:val="20"/>
          <w:color w:val="auto"/>
        </w:rPr>
      </w:pPr>
      <w:r>
        <w:rPr>
          <w:rFonts w:ascii="Arial" w:cs="Arial" w:eastAsia="Arial" w:hAnsi="Arial"/>
          <w:sz w:val="16"/>
          <w:szCs w:val="16"/>
          <w:color w:val="auto"/>
        </w:rPr>
        <w:t>Rent expense during each of the years ended December 31, 2013 and 2014 was $368,000. At December 31, 2014, deferred rent aggregated $222,000, of which $128,000 is included in other current liabilities and $94,000 is included in noncurrent liabilities in the accompanying balance sheet. At December 31, 2014, the future minimum annual obligations under non-cancellable operating lease commitments are $496,000 and $346,000,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Agreements</w:t>
      </w:r>
    </w:p>
    <w:p>
      <w:pPr>
        <w:spacing w:after="0" w:line="119"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 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81"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Total expense incurred under all collaborative licensing agreements for upfront, milestone and royalty payments during the years ended December 31, 2013 and 2014 was $239,000 and $162,000 and, respectively. Total cash paid under these agreements during the years ended December 31, 2013 and 2014 was $98,000 and $227,000,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Future minimum guaranteed payment obligations for annual royalty payments under all such agreements at December 31, 2014 aggregated $208,000.</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Letter of Credit</w:t>
      </w:r>
    </w:p>
    <w:p>
      <w:pPr>
        <w:spacing w:after="0" w:line="119" w:lineRule="exact"/>
        <w:rPr>
          <w:sz w:val="20"/>
          <w:szCs w:val="20"/>
          <w:color w:val="auto"/>
        </w:rPr>
      </w:pPr>
    </w:p>
    <w:p>
      <w:pPr>
        <w:ind w:right="680" w:firstLine="457"/>
        <w:spacing w:after="0" w:line="322" w:lineRule="auto"/>
        <w:rPr>
          <w:sz w:val="20"/>
          <w:szCs w:val="20"/>
          <w:color w:val="auto"/>
        </w:rPr>
      </w:pPr>
      <w:r>
        <w:rPr>
          <w:rFonts w:ascii="Arial" w:cs="Arial" w:eastAsia="Arial" w:hAnsi="Arial"/>
          <w:sz w:val="16"/>
          <w:szCs w:val="16"/>
          <w:color w:val="auto"/>
        </w:rPr>
        <w:t>At December 31, 2013 and 2014, we were contingently liable for a standby letter of credit issued by a commercial bank for $110,000 and $85,000, respectively, for security on our lease. A restricted cash account with these amounts was held as cash collateral for the letter of credit.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9"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We are, from time to time, involved in legal proceedings, regulatory actions, claims and litigation arising in the ordinary course of business. Currently, we are not a defendant in any lawsuit.</w:t>
      </w:r>
    </w:p>
    <w:p>
      <w:pPr>
        <w:spacing w:after="0" w:line="296" w:lineRule="exact"/>
        <w:rPr>
          <w:sz w:val="20"/>
          <w:szCs w:val="20"/>
          <w:color w:val="auto"/>
        </w:rPr>
      </w:pPr>
    </w:p>
    <w:p>
      <w:pPr>
        <w:ind w:left="460" w:hanging="455"/>
        <w:spacing w:after="0"/>
        <w:tabs>
          <w:tab w:leader="none" w:pos="46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Significant components of our deferred tax assets and liabilities are as follows: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880" w:type="dxa"/>
            <w:vAlign w:val="bottom"/>
            <w:tcBorders>
              <w:bottom w:val="single" w:sz="8" w:color="CCEEFF"/>
            </w:tcBorders>
            <w:vMerge w:val="continue"/>
          </w:tcPr>
          <w:p>
            <w:pPr>
              <w:spacing w:after="0"/>
              <w:rPr>
                <w:sz w:val="11"/>
                <w:szCs w:val="11"/>
                <w:color w:val="auto"/>
              </w:rPr>
            </w:pPr>
          </w:p>
        </w:tc>
        <w:tc>
          <w:tcPr>
            <w:tcW w:w="36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6"/>
              <w:spacing w:after="0" w:line="137"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7"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 Assets:</w:t>
            </w:r>
          </w:p>
        </w:tc>
        <w:tc>
          <w:tcPr>
            <w:tcW w:w="3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360"/>
              <w:spacing w:after="0"/>
              <w:rPr>
                <w:sz w:val="20"/>
                <w:szCs w:val="20"/>
                <w:color w:val="auto"/>
              </w:rPr>
            </w:pPr>
            <w:r>
              <w:rPr>
                <w:rFonts w:ascii="Arial" w:cs="Arial" w:eastAsia="Arial" w:hAnsi="Arial"/>
                <w:sz w:val="17"/>
                <w:szCs w:val="17"/>
                <w:color w:val="auto"/>
              </w:rPr>
              <w:t>Net operating loss carryforwards</w:t>
            </w:r>
          </w:p>
        </w:tc>
        <w:tc>
          <w:tcPr>
            <w:tcW w:w="3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7"/>
                <w:szCs w:val="17"/>
                <w:color w:val="auto"/>
                <w:w w:val="99"/>
              </w:rPr>
              <w:t>18,379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16,480</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Research and development credits</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2,003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2,285</w:t>
            </w:r>
          </w:p>
        </w:tc>
        <w:tc>
          <w:tcPr>
            <w:tcW w:w="0" w:type="dxa"/>
            <w:vAlign w:val="bottom"/>
          </w:tcPr>
          <w:p>
            <w:pPr>
              <w:spacing w:after="0"/>
              <w:rPr>
                <w:sz w:val="1"/>
                <w:szCs w:val="1"/>
                <w:color w:val="auto"/>
              </w:rPr>
            </w:pPr>
          </w:p>
        </w:tc>
      </w:tr>
      <w:tr>
        <w:trPr>
          <w:trHeight w:val="210"/>
        </w:trPr>
        <w:tc>
          <w:tcPr>
            <w:tcW w:w="4880" w:type="dxa"/>
            <w:vAlign w:val="bottom"/>
          </w:tcPr>
          <w:p>
            <w:pPr>
              <w:ind w:left="360"/>
              <w:spacing w:after="0"/>
              <w:rPr>
                <w:sz w:val="20"/>
                <w:szCs w:val="20"/>
                <w:color w:val="auto"/>
              </w:rPr>
            </w:pPr>
            <w:r>
              <w:rPr>
                <w:rFonts w:ascii="Arial" w:cs="Arial" w:eastAsia="Arial" w:hAnsi="Arial"/>
                <w:sz w:val="17"/>
                <w:szCs w:val="17"/>
                <w:color w:val="auto"/>
              </w:rPr>
              <w:t>Other, net</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deferred tax assets</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99"/>
              </w:rPr>
              <w:t>20,734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18,985</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3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Fixed assets</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0"/>
        </w:trPr>
        <w:tc>
          <w:tcPr>
            <w:tcW w:w="4880" w:type="dxa"/>
            <w:vAlign w:val="bottom"/>
          </w:tcPr>
          <w:p>
            <w:pPr>
              <w:ind w:left="360"/>
              <w:spacing w:after="0"/>
              <w:rPr>
                <w:sz w:val="20"/>
                <w:szCs w:val="20"/>
                <w:color w:val="auto"/>
              </w:rPr>
            </w:pPr>
            <w:r>
              <w:rPr>
                <w:rFonts w:ascii="Arial" w:cs="Arial" w:eastAsia="Arial" w:hAnsi="Arial"/>
                <w:sz w:val="17"/>
                <w:szCs w:val="17"/>
                <w:color w:val="auto"/>
              </w:rPr>
              <w:t>Convertible promissory note</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deferred tax liabilities</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(663)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1060"/>
              <w:spacing w:after="0"/>
              <w:rPr>
                <w:sz w:val="20"/>
                <w:szCs w:val="20"/>
                <w:color w:val="auto"/>
              </w:rPr>
            </w:pPr>
            <w:r>
              <w:rPr>
                <w:rFonts w:ascii="Arial" w:cs="Arial" w:eastAsia="Arial" w:hAnsi="Arial"/>
                <w:sz w:val="17"/>
                <w:szCs w:val="17"/>
                <w:color w:val="auto"/>
              </w:rPr>
              <w:t>Net deferred tax assets</w:t>
            </w:r>
          </w:p>
        </w:tc>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7"/>
                <w:szCs w:val="17"/>
                <w:color w:val="auto"/>
                <w:w w:val="99"/>
              </w:rPr>
              <w:t>20,071</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18,836</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Less: valuation allowance</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91"/>
              </w:rPr>
              <w:t>(20,071)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(18,836)</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1400"/>
              <w:spacing w:after="0"/>
              <w:rPr>
                <w:sz w:val="20"/>
                <w:szCs w:val="20"/>
                <w:color w:val="auto"/>
              </w:rPr>
            </w:pPr>
            <w:r>
              <w:rPr>
                <w:rFonts w:ascii="Arial" w:cs="Arial" w:eastAsia="Arial" w:hAnsi="Arial"/>
                <w:sz w:val="17"/>
                <w:szCs w:val="17"/>
                <w:color w:val="auto"/>
                <w:w w:val="98"/>
              </w:rPr>
              <w:t>Deferred tax assets, net of valuation allowance</w:t>
            </w:r>
          </w:p>
        </w:tc>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80" w:type="dxa"/>
            <w:vAlign w:val="bottom"/>
          </w:tcPr>
          <w:p>
            <w:pPr>
              <w:spacing w:after="0"/>
              <w:rPr>
                <w:sz w:val="24"/>
                <w:szCs w:val="24"/>
                <w:color w:val="auto"/>
              </w:rPr>
            </w:pPr>
          </w:p>
        </w:tc>
        <w:tc>
          <w:tcPr>
            <w:tcW w:w="3720" w:type="dxa"/>
            <w:vAlign w:val="bottom"/>
            <w:gridSpan w:val="2"/>
          </w:tcPr>
          <w:p>
            <w:pPr>
              <w:jc w:val="right"/>
              <w:ind w:right="3104"/>
              <w:spacing w:after="0"/>
              <w:rPr>
                <w:sz w:val="20"/>
                <w:szCs w:val="20"/>
                <w:color w:val="auto"/>
              </w:rPr>
            </w:pPr>
            <w:r>
              <w:rPr>
                <w:rFonts w:ascii="Arial" w:cs="Arial" w:eastAsia="Arial" w:hAnsi="Arial"/>
                <w:sz w:val="17"/>
                <w:szCs w:val="17"/>
                <w:color w:val="auto"/>
              </w:rPr>
              <w:t>F-22</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9" w:right="27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recorded a full valuation allowance against our net deferred tax assets due to the uncertainty surrounding the realization of such assets.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determined it more likely than not that the deferred tax assets are not realizable due to our historical loss position.</w:t>
      </w:r>
    </w:p>
    <w:p>
      <w:pPr>
        <w:spacing w:after="0" w:line="212"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At December 31, 2014, we have federal and state net operating loss carryforwards (“NOL”) of $41.4 million each. The federal and state NOLs will begin to expire in 2027 and 2017, respectively, unless previously utilized. At December 31, 2014 we had federal and California research tax credit carryforwards of $1.6 million and $1.4 million, respectively. The federal research tax credit carryforward will begin to expire in 2026 and the California state credits carryforward indefinitely.</w:t>
      </w:r>
    </w:p>
    <w:p>
      <w:pPr>
        <w:spacing w:after="0" w:line="178"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We have not completed an IRC Section 382/382 analysis.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differences between the United States federal statutory tax rate and our effective tax rate are as follows:</w:t>
      </w:r>
    </w:p>
    <w:p>
      <w:pPr>
        <w:spacing w:after="0" w:line="24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24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37"/>
        </w:trPr>
        <w:tc>
          <w:tcPr>
            <w:tcW w:w="624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5"/>
              <w:spacing w:after="0" w:line="137"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1"/>
                <w:szCs w:val="11"/>
                <w:color w:val="auto"/>
              </w:rPr>
            </w:pPr>
          </w:p>
        </w:tc>
      </w:tr>
      <w:tr>
        <w:trPr>
          <w:trHeight w:val="203"/>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Statutory United States federal income tax rate</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34.0%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34.0%</w:t>
            </w:r>
          </w:p>
        </w:tc>
      </w:tr>
      <w:tr>
        <w:trPr>
          <w:trHeight w:val="210"/>
        </w:trPr>
        <w:tc>
          <w:tcPr>
            <w:tcW w:w="6240" w:type="dxa"/>
            <w:vAlign w:val="bottom"/>
          </w:tcPr>
          <w:p>
            <w:pPr>
              <w:spacing w:after="0"/>
              <w:rPr>
                <w:sz w:val="20"/>
                <w:szCs w:val="20"/>
                <w:color w:val="auto"/>
              </w:rPr>
            </w:pPr>
            <w:r>
              <w:rPr>
                <w:rFonts w:ascii="Arial" w:cs="Arial" w:eastAsia="Arial" w:hAnsi="Arial"/>
                <w:sz w:val="17"/>
                <w:szCs w:val="17"/>
                <w:color w:val="auto"/>
              </w:rPr>
              <w:t>State income tax, net of federal benefit</w:t>
            </w:r>
          </w:p>
        </w:tc>
        <w:tc>
          <w:tcPr>
            <w:tcW w:w="1620" w:type="dxa"/>
            <w:vAlign w:val="bottom"/>
            <w:gridSpan w:val="2"/>
          </w:tcPr>
          <w:p>
            <w:pPr>
              <w:jc w:val="right"/>
              <w:ind w:right="1040"/>
              <w:spacing w:after="0"/>
              <w:rPr>
                <w:sz w:val="20"/>
                <w:szCs w:val="20"/>
                <w:color w:val="auto"/>
              </w:rPr>
            </w:pPr>
            <w:r>
              <w:rPr>
                <w:rFonts w:ascii="Arial" w:cs="Arial" w:eastAsia="Arial" w:hAnsi="Arial"/>
                <w:sz w:val="17"/>
                <w:szCs w:val="17"/>
                <w:color w:val="auto"/>
              </w:rPr>
              <w:t>6.3</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6.3</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warrant liabilities</w:t>
            </w:r>
          </w:p>
        </w:tc>
        <w:tc>
          <w:tcPr>
            <w:tcW w:w="162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3.8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0.6</w:t>
            </w:r>
          </w:p>
        </w:tc>
      </w:tr>
      <w:tr>
        <w:trPr>
          <w:trHeight w:val="210"/>
        </w:trPr>
        <w:tc>
          <w:tcPr>
            <w:tcW w:w="6240" w:type="dxa"/>
            <w:vAlign w:val="bottom"/>
          </w:tcPr>
          <w:p>
            <w:pPr>
              <w:spacing w:after="0"/>
              <w:rPr>
                <w:sz w:val="20"/>
                <w:szCs w:val="20"/>
                <w:color w:val="auto"/>
              </w:rPr>
            </w:pPr>
            <w:r>
              <w:rPr>
                <w:rFonts w:ascii="Arial" w:cs="Arial" w:eastAsia="Arial" w:hAnsi="Arial"/>
                <w:sz w:val="17"/>
                <w:szCs w:val="17"/>
                <w:color w:val="auto"/>
              </w:rPr>
              <w:t>Research credits</w:t>
            </w:r>
          </w:p>
        </w:tc>
        <w:tc>
          <w:tcPr>
            <w:tcW w:w="1620" w:type="dxa"/>
            <w:vAlign w:val="bottom"/>
            <w:gridSpan w:val="2"/>
          </w:tcPr>
          <w:p>
            <w:pPr>
              <w:jc w:val="right"/>
              <w:ind w:right="1040"/>
              <w:spacing w:after="0"/>
              <w:rPr>
                <w:sz w:val="20"/>
                <w:szCs w:val="20"/>
                <w:color w:val="auto"/>
              </w:rPr>
            </w:pPr>
            <w:r>
              <w:rPr>
                <w:rFonts w:ascii="Arial" w:cs="Arial" w:eastAsia="Arial" w:hAnsi="Arial"/>
                <w:sz w:val="17"/>
                <w:szCs w:val="17"/>
                <w:color w:val="auto"/>
              </w:rPr>
              <w:t>3.9</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(8.0)</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(1.3)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w:t>
            </w:r>
          </w:p>
        </w:tc>
      </w:tr>
      <w:tr>
        <w:trPr>
          <w:trHeight w:val="210"/>
        </w:trPr>
        <w:tc>
          <w:tcPr>
            <w:tcW w:w="6240" w:type="dxa"/>
            <w:vAlign w:val="bottom"/>
          </w:tcPr>
          <w:p>
            <w:pPr>
              <w:spacing w:after="0"/>
              <w:rPr>
                <w:sz w:val="20"/>
                <w:szCs w:val="20"/>
                <w:color w:val="auto"/>
              </w:rPr>
            </w:pPr>
            <w:r>
              <w:rPr>
                <w:rFonts w:ascii="Arial" w:cs="Arial" w:eastAsia="Arial" w:hAnsi="Arial"/>
                <w:sz w:val="17"/>
                <w:szCs w:val="17"/>
                <w:color w:val="auto"/>
              </w:rPr>
              <w:t>Valuation allowance</w:t>
            </w:r>
          </w:p>
        </w:tc>
        <w:tc>
          <w:tcPr>
            <w:tcW w:w="1620" w:type="dxa"/>
            <w:vAlign w:val="bottom"/>
            <w:gridSpan w:val="2"/>
          </w:tcPr>
          <w:p>
            <w:pPr>
              <w:jc w:val="right"/>
              <w:ind w:right="980"/>
              <w:spacing w:after="0"/>
              <w:rPr>
                <w:sz w:val="20"/>
                <w:szCs w:val="20"/>
                <w:color w:val="auto"/>
              </w:rPr>
            </w:pPr>
            <w:r>
              <w:rPr>
                <w:rFonts w:ascii="Arial" w:cs="Arial" w:eastAsia="Arial" w:hAnsi="Arial"/>
                <w:sz w:val="17"/>
                <w:szCs w:val="17"/>
                <w:color w:val="auto"/>
              </w:rPr>
              <w:t>(46.7)</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(35.0)</w:t>
            </w:r>
          </w:p>
        </w:tc>
      </w:tr>
      <w:tr>
        <w:trPr>
          <w:trHeight w:val="26"/>
        </w:trPr>
        <w:tc>
          <w:tcPr>
            <w:tcW w:w="6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0"/>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Effective income tax rate</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0"/>
        </w:trPr>
        <w:tc>
          <w:tcPr>
            <w:tcW w:w="6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80" w:firstLine="457"/>
        <w:spacing w:after="0" w:line="314" w:lineRule="auto"/>
        <w:rPr>
          <w:sz w:val="20"/>
          <w:szCs w:val="20"/>
          <w:color w:val="auto"/>
        </w:rPr>
      </w:pPr>
      <w:r>
        <w:rPr>
          <w:rFonts w:ascii="Arial" w:cs="Arial" w:eastAsia="Arial" w:hAnsi="Arial"/>
          <w:sz w:val="15"/>
          <w:szCs w:val="15"/>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2013 and 2014,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7"/>
        </w:trPr>
        <w:tc>
          <w:tcPr>
            <w:tcW w:w="624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9"/>
              <w:spacing w:after="0" w:line="137"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top w:val="single" w:sz="8" w:color="auto"/>
              <w:bottom w:val="single" w:sz="8" w:color="CCEEFF"/>
            </w:tcBorders>
          </w:tcPr>
          <w:p>
            <w:pPr>
              <w:spacing w:after="0"/>
              <w:rPr>
                <w:sz w:val="11"/>
                <w:szCs w:val="11"/>
                <w:color w:val="auto"/>
              </w:rPr>
            </w:pPr>
          </w:p>
        </w:tc>
        <w:tc>
          <w:tcPr>
            <w:tcW w:w="10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6"/>
              <w:spacing w:after="0" w:line="137"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Balance at the beginning of the year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7"/>
                <w:szCs w:val="17"/>
                <w:color w:val="auto"/>
              </w:rPr>
              <w:t>Increase related to current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Increase related to prior year tax positions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7"/>
                <w:szCs w:val="17"/>
                <w:color w:val="auto"/>
              </w:rPr>
              <w:t>Balance at the end of the year</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258</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do not anticipate there will be a significant change in unrecognized tax benefits within the next 12 months.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00"/>
          </w:cols>
          <w:pgMar w:left="240" w:top="449" w:right="25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Our policy is to recognize interest and penalties related to income tax matters in the provision for income taxes. As of December 31, 2013 and 2014, there were no interest or penalties on uncertain tax benefits.</w:t>
      </w:r>
    </w:p>
    <w:p>
      <w:pPr>
        <w:spacing w:after="0" w:line="158"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We file income tax returns in the United States and California. Due to our losses incurred, we are essentially subject to income tax examination by tax authorities from inception to date.</w:t>
      </w:r>
    </w:p>
    <w:p>
      <w:pPr>
        <w:spacing w:after="0" w:line="296" w:lineRule="exact"/>
        <w:rPr>
          <w:sz w:val="20"/>
          <w:szCs w:val="20"/>
          <w:color w:val="auto"/>
        </w:rPr>
      </w:pPr>
    </w:p>
    <w:p>
      <w:pPr>
        <w:ind w:left="460" w:hanging="455"/>
        <w:spacing w:after="0"/>
        <w:tabs>
          <w:tab w:leader="none" w:pos="46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w:t>
      </w:r>
    </w:p>
    <w:p>
      <w:pPr>
        <w:spacing w:after="0" w:line="125"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We have evaluated subsequent events from the balance sheet date through June 5, 2015, the date at which the financial statements were originally issued, except for the split of Series B and Series B-1 Preferred Stock described in the following paragraph.</w:t>
      </w:r>
    </w:p>
    <w:p>
      <w:pPr>
        <w:spacing w:after="0" w:line="15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On July 13, 2015, we amended and restated our certificate of incorporation to effect the split of Series B and Series B-1 Preferred Stock into ten shares for every nine shares outstanding. The financial statements and accompanying footnotes have been retroactively restated to reflect the Series B and Series B-1 Preferred Stock splits.</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240"/>
          </w:cols>
          <w:pgMar w:left="240" w:top="450" w:right="41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ANAPTYSBIO,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4"/>
        </w:trPr>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80"/>
              <w:spacing w:after="0" w:line="144"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4"/>
        </w:trPr>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4"/>
              </w:rPr>
              <w:t>Equity at</w:t>
            </w:r>
          </w:p>
        </w:tc>
        <w:tc>
          <w:tcPr>
            <w:tcW w:w="0" w:type="dxa"/>
            <w:vAlign w:val="bottom"/>
          </w:tcPr>
          <w:p>
            <w:pPr>
              <w:spacing w:after="0"/>
              <w:rPr>
                <w:sz w:val="1"/>
                <w:szCs w:val="1"/>
                <w:color w:val="auto"/>
              </w:rPr>
            </w:pPr>
          </w:p>
        </w:tc>
      </w:tr>
      <w:tr>
        <w:trPr>
          <w:trHeight w:val="144"/>
        </w:trPr>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80"/>
              <w:spacing w:after="0" w:line="144"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67"/>
        </w:trPr>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jc w:val="right"/>
              <w:spacing w:after="0" w:line="137" w:lineRule="exact"/>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b w:val="1"/>
                <w:bCs w:val="1"/>
                <w:color w:val="auto"/>
              </w:rPr>
              <w:t>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Arial" w:cs="Arial" w:eastAsia="Arial" w:hAnsi="Arial"/>
                <w:sz w:val="15"/>
                <w:szCs w:val="15"/>
                <w:color w:val="auto"/>
              </w:rPr>
              <w:t>Current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Cash and cash equivalents</w:t>
            </w:r>
          </w:p>
        </w:tc>
        <w:tc>
          <w:tcPr>
            <w:tcW w:w="16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5"/>
                <w:szCs w:val="15"/>
                <w:color w:val="auto"/>
              </w:rPr>
              <w:t>22,188</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690"/>
              <w:spacing w:after="0" w:line="157" w:lineRule="exact"/>
              <w:rPr>
                <w:sz w:val="20"/>
                <w:szCs w:val="20"/>
                <w:color w:val="auto"/>
              </w:rPr>
            </w:pPr>
            <w:r>
              <w:rPr>
                <w:rFonts w:ascii="Arial" w:cs="Arial" w:eastAsia="Arial" w:hAnsi="Arial"/>
                <w:sz w:val="15"/>
                <w:szCs w:val="15"/>
                <w:color w:val="auto"/>
              </w:rPr>
              <w:t>55,245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Arial" w:cs="Arial" w:eastAsia="Arial" w:hAnsi="Arial"/>
                <w:sz w:val="15"/>
                <w:szCs w:val="15"/>
                <w:color w:val="auto"/>
              </w:rPr>
              <w:t>Receivable from collaborative partner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0"/>
              <w:spacing w:after="0" w:line="157" w:lineRule="exact"/>
              <w:rPr>
                <w:sz w:val="20"/>
                <w:szCs w:val="20"/>
                <w:color w:val="auto"/>
              </w:rPr>
            </w:pPr>
            <w:r>
              <w:rPr>
                <w:rFonts w:ascii="Arial" w:cs="Arial" w:eastAsia="Arial" w:hAnsi="Arial"/>
                <w:sz w:val="15"/>
                <w:szCs w:val="15"/>
                <w:color w:val="auto"/>
              </w:rPr>
              <w:t>1,455</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690"/>
              <w:spacing w:after="0" w:line="157" w:lineRule="exact"/>
              <w:rPr>
                <w:sz w:val="20"/>
                <w:szCs w:val="20"/>
                <w:color w:val="auto"/>
              </w:rPr>
            </w:pPr>
            <w:r>
              <w:rPr>
                <w:rFonts w:ascii="Arial" w:cs="Arial" w:eastAsia="Arial" w:hAnsi="Arial"/>
                <w:sz w:val="15"/>
                <w:szCs w:val="15"/>
                <w:color w:val="auto"/>
              </w:rPr>
              <w:t>1,913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Prepaid expenses and other current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5"/>
                <w:szCs w:val="15"/>
                <w:color w:val="auto"/>
              </w:rPr>
              <w:t>758</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90"/>
              <w:spacing w:after="0" w:line="157" w:lineRule="exact"/>
              <w:rPr>
                <w:sz w:val="20"/>
                <w:szCs w:val="20"/>
                <w:color w:val="auto"/>
              </w:rPr>
            </w:pPr>
            <w:r>
              <w:rPr>
                <w:rFonts w:ascii="Arial" w:cs="Arial" w:eastAsia="Arial" w:hAnsi="Arial"/>
                <w:sz w:val="15"/>
                <w:szCs w:val="15"/>
                <w:color w:val="auto"/>
              </w:rPr>
              <w:t>1,082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280" w:type="dxa"/>
            <w:vAlign w:val="bottom"/>
          </w:tcPr>
          <w:p>
            <w:pPr>
              <w:ind w:left="900"/>
              <w:spacing w:after="0" w:line="164" w:lineRule="exact"/>
              <w:rPr>
                <w:sz w:val="20"/>
                <w:szCs w:val="20"/>
                <w:color w:val="auto"/>
              </w:rPr>
            </w:pPr>
            <w:r>
              <w:rPr>
                <w:rFonts w:ascii="Arial" w:cs="Arial" w:eastAsia="Arial" w:hAnsi="Arial"/>
                <w:sz w:val="15"/>
                <w:szCs w:val="15"/>
                <w:color w:val="auto"/>
              </w:rPr>
              <w:t>Total current assets</w:t>
            </w: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24,401</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5"/>
                <w:szCs w:val="15"/>
                <w:color w:val="auto"/>
              </w:rPr>
              <w:t>58,240</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Property and equipment, net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5"/>
                <w:szCs w:val="15"/>
                <w:color w:val="auto"/>
              </w:rPr>
              <w:t>579</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90"/>
              <w:spacing w:after="0" w:line="157" w:lineRule="exact"/>
              <w:rPr>
                <w:sz w:val="20"/>
                <w:szCs w:val="20"/>
                <w:color w:val="auto"/>
              </w:rPr>
            </w:pPr>
            <w:r>
              <w:rPr>
                <w:rFonts w:ascii="Arial" w:cs="Arial" w:eastAsia="Arial" w:hAnsi="Arial"/>
                <w:sz w:val="15"/>
                <w:szCs w:val="15"/>
                <w:color w:val="auto"/>
              </w:rPr>
              <w:t>564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Arial" w:cs="Arial" w:eastAsia="Arial" w:hAnsi="Arial"/>
                <w:sz w:val="15"/>
                <w:szCs w:val="15"/>
                <w:color w:val="auto"/>
              </w:rPr>
              <w:t>Restricted cash</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0"/>
              <w:spacing w:after="0" w:line="157" w:lineRule="exact"/>
              <w:rPr>
                <w:sz w:val="20"/>
                <w:szCs w:val="20"/>
                <w:color w:val="auto"/>
              </w:rPr>
            </w:pPr>
            <w:r>
              <w:rPr>
                <w:rFonts w:ascii="Arial" w:cs="Arial" w:eastAsia="Arial" w:hAnsi="Arial"/>
                <w:sz w:val="15"/>
                <w:szCs w:val="15"/>
                <w:color w:val="auto"/>
              </w:rPr>
              <w:t>85</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5"/>
                <w:szCs w:val="15"/>
                <w:color w:val="auto"/>
              </w:rPr>
              <w:t>60</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Deferred financing costs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840"/>
              <w:spacing w:after="0" w:line="157"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90"/>
              <w:spacing w:after="0" w:line="157" w:lineRule="exact"/>
              <w:rPr>
                <w:sz w:val="20"/>
                <w:szCs w:val="20"/>
                <w:color w:val="auto"/>
              </w:rPr>
            </w:pPr>
            <w:r>
              <w:rPr>
                <w:rFonts w:ascii="Arial" w:cs="Arial" w:eastAsia="Arial" w:hAnsi="Arial"/>
                <w:sz w:val="15"/>
                <w:szCs w:val="15"/>
                <w:color w:val="auto"/>
              </w:rPr>
              <w:t>2,013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280" w:type="dxa"/>
            <w:vAlign w:val="bottom"/>
          </w:tcPr>
          <w:p>
            <w:pPr>
              <w:ind w:left="600"/>
              <w:spacing w:after="0" w:line="164" w:lineRule="exact"/>
              <w:rPr>
                <w:sz w:val="20"/>
                <w:szCs w:val="20"/>
                <w:color w:val="auto"/>
              </w:rPr>
            </w:pPr>
            <w:r>
              <w:rPr>
                <w:rFonts w:ascii="Arial" w:cs="Arial" w:eastAsia="Arial" w:hAnsi="Arial"/>
                <w:sz w:val="15"/>
                <w:szCs w:val="15"/>
                <w:color w:val="auto"/>
              </w:rPr>
              <w:t>Total assets</w:t>
            </w: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4"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25,065</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4"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60,877</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280" w:type="dxa"/>
            <w:vAlign w:val="bottom"/>
            <w:shd w:val="clear" w:color="auto" w:fill="CCEEFF"/>
          </w:tcPr>
          <w:p>
            <w:pPr>
              <w:spacing w:after="0" w:line="133" w:lineRule="exact"/>
              <w:rPr>
                <w:sz w:val="20"/>
                <w:szCs w:val="20"/>
                <w:color w:val="auto"/>
              </w:rPr>
            </w:pPr>
            <w:r>
              <w:rPr>
                <w:rFonts w:ascii="Arial" w:cs="Arial" w:eastAsia="Arial" w:hAnsi="Arial"/>
                <w:sz w:val="15"/>
                <w:szCs w:val="15"/>
                <w:b w:val="1"/>
                <w:bCs w:val="1"/>
                <w:color w:val="auto"/>
              </w:rPr>
              <w:t>LIABILITIES, CONVERTIBLE PREFERRED STOCK AND STOCKHOLDERS’ EQUITY</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28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(DEFICIT)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Arial" w:cs="Arial" w:eastAsia="Arial" w:hAnsi="Arial"/>
                <w:sz w:val="15"/>
                <w:szCs w:val="15"/>
                <w:color w:val="auto"/>
              </w:rPr>
              <w:t>Current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Accounts payable</w:t>
            </w:r>
          </w:p>
        </w:tc>
        <w:tc>
          <w:tcPr>
            <w:tcW w:w="160" w:type="dxa"/>
            <w:vAlign w:val="bottom"/>
            <w:gridSpan w:val="2"/>
            <w:shd w:val="clear" w:color="auto" w:fill="CCEEFF"/>
          </w:tcPr>
          <w:p>
            <w:pPr>
              <w:spacing w:after="0" w:line="157"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5"/>
                <w:szCs w:val="15"/>
                <w:color w:val="auto"/>
              </w:rPr>
              <w:t>415</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690"/>
              <w:spacing w:after="0" w:line="157" w:lineRule="exact"/>
              <w:rPr>
                <w:sz w:val="20"/>
                <w:szCs w:val="20"/>
                <w:color w:val="auto"/>
              </w:rPr>
            </w:pPr>
            <w:r>
              <w:rPr>
                <w:rFonts w:ascii="Arial" w:cs="Arial" w:eastAsia="Arial" w:hAnsi="Arial"/>
                <w:sz w:val="15"/>
                <w:szCs w:val="15"/>
                <w:color w:val="auto"/>
              </w:rPr>
              <w:t>1,561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Arial" w:cs="Arial" w:eastAsia="Arial" w:hAnsi="Arial"/>
                <w:sz w:val="15"/>
                <w:szCs w:val="15"/>
                <w:color w:val="auto"/>
              </w:rPr>
              <w:t>Accrued expenses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0"/>
              <w:spacing w:after="0" w:line="157" w:lineRule="exact"/>
              <w:rPr>
                <w:sz w:val="20"/>
                <w:szCs w:val="20"/>
                <w:color w:val="auto"/>
              </w:rPr>
            </w:pPr>
            <w:r>
              <w:rPr>
                <w:rFonts w:ascii="Arial" w:cs="Arial" w:eastAsia="Arial" w:hAnsi="Arial"/>
                <w:sz w:val="15"/>
                <w:szCs w:val="15"/>
                <w:color w:val="auto"/>
              </w:rPr>
              <w:t>1,052</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690"/>
              <w:spacing w:after="0" w:line="157" w:lineRule="exact"/>
              <w:rPr>
                <w:sz w:val="20"/>
                <w:szCs w:val="20"/>
                <w:color w:val="auto"/>
              </w:rPr>
            </w:pPr>
            <w:r>
              <w:rPr>
                <w:rFonts w:ascii="Arial" w:cs="Arial" w:eastAsia="Arial" w:hAnsi="Arial"/>
                <w:sz w:val="15"/>
                <w:szCs w:val="15"/>
                <w:color w:val="auto"/>
              </w:rPr>
              <w:t>2,111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Notes payable, current portion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840"/>
              <w:spacing w:after="0" w:line="157"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90"/>
              <w:spacing w:after="0" w:line="157" w:lineRule="exact"/>
              <w:rPr>
                <w:sz w:val="20"/>
                <w:szCs w:val="20"/>
                <w:color w:val="auto"/>
              </w:rPr>
            </w:pPr>
            <w:r>
              <w:rPr>
                <w:rFonts w:ascii="Arial" w:cs="Arial" w:eastAsia="Arial" w:hAnsi="Arial"/>
                <w:sz w:val="15"/>
                <w:szCs w:val="15"/>
                <w:color w:val="auto"/>
              </w:rPr>
              <w:t>1,023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Arial" w:cs="Arial" w:eastAsia="Arial" w:hAnsi="Arial"/>
                <w:sz w:val="15"/>
                <w:szCs w:val="15"/>
                <w:color w:val="auto"/>
              </w:rPr>
              <w:t>Deferred revenue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0"/>
              <w:spacing w:after="0" w:line="157" w:lineRule="exact"/>
              <w:rPr>
                <w:sz w:val="20"/>
                <w:szCs w:val="20"/>
                <w:color w:val="auto"/>
              </w:rPr>
            </w:pPr>
            <w:r>
              <w:rPr>
                <w:rFonts w:ascii="Arial" w:cs="Arial" w:eastAsia="Arial" w:hAnsi="Arial"/>
                <w:sz w:val="15"/>
                <w:szCs w:val="15"/>
                <w:color w:val="auto"/>
              </w:rPr>
              <w:t>10,085</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690"/>
              <w:spacing w:after="0" w:line="157" w:lineRule="exact"/>
              <w:rPr>
                <w:sz w:val="20"/>
                <w:szCs w:val="20"/>
                <w:color w:val="auto"/>
              </w:rPr>
            </w:pPr>
            <w:r>
              <w:rPr>
                <w:rFonts w:ascii="Arial" w:cs="Arial" w:eastAsia="Arial" w:hAnsi="Arial"/>
                <w:sz w:val="15"/>
                <w:szCs w:val="15"/>
                <w:color w:val="auto"/>
              </w:rPr>
              <w:t>4,770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Income taxes payable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840"/>
              <w:spacing w:after="0" w:line="157"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50</w:t>
            </w: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Arial" w:cs="Arial" w:eastAsia="Arial" w:hAnsi="Arial"/>
                <w:sz w:val="15"/>
                <w:szCs w:val="15"/>
                <w:color w:val="auto"/>
              </w:rPr>
              <w:t>Other current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5"/>
                <w:szCs w:val="15"/>
                <w:color w:val="auto"/>
              </w:rPr>
              <w:t>129</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690"/>
              <w:spacing w:after="0" w:line="157" w:lineRule="exact"/>
              <w:rPr>
                <w:sz w:val="20"/>
                <w:szCs w:val="20"/>
                <w:color w:val="auto"/>
              </w:rPr>
            </w:pPr>
            <w:r>
              <w:rPr>
                <w:rFonts w:ascii="Arial" w:cs="Arial" w:eastAsia="Arial" w:hAnsi="Arial"/>
                <w:sz w:val="15"/>
                <w:szCs w:val="15"/>
                <w:color w:val="auto"/>
              </w:rPr>
              <w:t>128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7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shd w:val="clear" w:color="auto" w:fill="CCEEFF"/>
          </w:tcPr>
          <w:p>
            <w:pPr>
              <w:ind w:left="900"/>
              <w:spacing w:after="0" w:line="157" w:lineRule="exact"/>
              <w:rPr>
                <w:sz w:val="20"/>
                <w:szCs w:val="20"/>
                <w:color w:val="auto"/>
              </w:rPr>
            </w:pPr>
            <w:r>
              <w:rPr>
                <w:rFonts w:ascii="Arial" w:cs="Arial" w:eastAsia="Arial" w:hAnsi="Arial"/>
                <w:sz w:val="15"/>
                <w:szCs w:val="15"/>
                <w:color w:val="auto"/>
              </w:rPr>
              <w:t>Total current 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780"/>
              <w:spacing w:after="0" w:line="157" w:lineRule="exact"/>
              <w:rPr>
                <w:sz w:val="20"/>
                <w:szCs w:val="20"/>
                <w:color w:val="auto"/>
              </w:rPr>
            </w:pPr>
            <w:r>
              <w:rPr>
                <w:rFonts w:ascii="Arial" w:cs="Arial" w:eastAsia="Arial" w:hAnsi="Arial"/>
                <w:sz w:val="15"/>
                <w:szCs w:val="15"/>
                <w:color w:val="auto"/>
              </w:rPr>
              <w:t>11,681</w:t>
            </w: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90"/>
              <w:spacing w:after="0" w:line="157" w:lineRule="exact"/>
              <w:rPr>
                <w:sz w:val="20"/>
                <w:szCs w:val="20"/>
                <w:color w:val="auto"/>
              </w:rPr>
            </w:pPr>
            <w:r>
              <w:rPr>
                <w:rFonts w:ascii="Arial" w:cs="Arial" w:eastAsia="Arial" w:hAnsi="Arial"/>
                <w:sz w:val="15"/>
                <w:szCs w:val="15"/>
                <w:color w:val="auto"/>
              </w:rPr>
              <w:t>9,643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Arial" w:cs="Arial" w:eastAsia="Arial" w:hAnsi="Arial"/>
                <w:sz w:val="15"/>
                <w:szCs w:val="15"/>
                <w:color w:val="auto"/>
              </w:rPr>
              <w:t>Notes payable, net of current portion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0"/>
              <w:spacing w:after="0" w:line="157" w:lineRule="exact"/>
              <w:rPr>
                <w:sz w:val="20"/>
                <w:szCs w:val="20"/>
                <w:color w:val="auto"/>
              </w:rPr>
            </w:pPr>
            <w:r>
              <w:rPr>
                <w:rFonts w:ascii="Arial" w:cs="Arial" w:eastAsia="Arial" w:hAnsi="Arial"/>
                <w:sz w:val="15"/>
                <w:szCs w:val="15"/>
                <w:color w:val="auto"/>
              </w:rPr>
              <w:t>4,793</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690"/>
              <w:spacing w:after="0" w:line="157" w:lineRule="exact"/>
              <w:rPr>
                <w:sz w:val="20"/>
                <w:szCs w:val="20"/>
                <w:color w:val="auto"/>
              </w:rPr>
            </w:pPr>
            <w:r>
              <w:rPr>
                <w:rFonts w:ascii="Arial" w:cs="Arial" w:eastAsia="Arial" w:hAnsi="Arial"/>
                <w:sz w:val="15"/>
                <w:szCs w:val="15"/>
                <w:color w:val="auto"/>
              </w:rPr>
              <w:t>3,853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Deferred revenue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5"/>
                <w:szCs w:val="15"/>
                <w:color w:val="auto"/>
              </w:rPr>
              <w:t>1,935</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750"/>
              <w:spacing w:after="0" w:line="157"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Arial" w:cs="Arial" w:eastAsia="Arial" w:hAnsi="Arial"/>
                <w:sz w:val="15"/>
                <w:szCs w:val="15"/>
                <w:color w:val="auto"/>
              </w:rPr>
              <w:t>Deferred rent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0"/>
              <w:spacing w:after="0" w:line="157" w:lineRule="exact"/>
              <w:rPr>
                <w:sz w:val="20"/>
                <w:szCs w:val="20"/>
                <w:color w:val="auto"/>
              </w:rPr>
            </w:pPr>
            <w:r>
              <w:rPr>
                <w:rFonts w:ascii="Arial" w:cs="Arial" w:eastAsia="Arial" w:hAnsi="Arial"/>
                <w:sz w:val="15"/>
                <w:szCs w:val="15"/>
                <w:color w:val="auto"/>
              </w:rPr>
              <w:t>94</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750"/>
              <w:spacing w:after="0" w:line="157"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Preferred stock warrant 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5"/>
                <w:szCs w:val="15"/>
                <w:color w:val="auto"/>
              </w:rPr>
              <w:t>569</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90"/>
              <w:spacing w:after="0" w:line="157" w:lineRule="exact"/>
              <w:rPr>
                <w:sz w:val="20"/>
                <w:szCs w:val="20"/>
                <w:color w:val="auto"/>
              </w:rPr>
            </w:pPr>
            <w:r>
              <w:rPr>
                <w:rFonts w:ascii="Arial" w:cs="Arial" w:eastAsia="Arial" w:hAnsi="Arial"/>
                <w:sz w:val="15"/>
                <w:szCs w:val="15"/>
                <w:color w:val="auto"/>
              </w:rPr>
              <w:t>1,800</w:t>
            </w:r>
          </w:p>
        </w:tc>
        <w:tc>
          <w:tcPr>
            <w:tcW w:w="1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7280" w:type="dxa"/>
            <w:vAlign w:val="bottom"/>
          </w:tcPr>
          <w:p>
            <w:pPr>
              <w:spacing w:after="0" w:line="157" w:lineRule="exact"/>
              <w:rPr>
                <w:sz w:val="20"/>
                <w:szCs w:val="20"/>
                <w:color w:val="auto"/>
              </w:rPr>
            </w:pPr>
            <w:r>
              <w:rPr>
                <w:rFonts w:ascii="Arial" w:cs="Arial" w:eastAsia="Arial" w:hAnsi="Arial"/>
                <w:sz w:val="15"/>
                <w:szCs w:val="15"/>
                <w:color w:val="auto"/>
              </w:rPr>
              <w:t>Commitments and contingencies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28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Series B convertible preferred stock, $0.001 par value, 27,743 shares authorized, issued and outstanding at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ind w:left="160"/>
              <w:spacing w:after="0" w:line="157" w:lineRule="exact"/>
              <w:rPr>
                <w:sz w:val="20"/>
                <w:szCs w:val="20"/>
                <w:color w:val="auto"/>
              </w:rPr>
            </w:pPr>
            <w:r>
              <w:rPr>
                <w:rFonts w:ascii="Arial" w:cs="Arial" w:eastAsia="Arial" w:hAnsi="Arial"/>
                <w:sz w:val="15"/>
                <w:szCs w:val="15"/>
                <w:color w:val="auto"/>
                <w:w w:val="98"/>
              </w:rPr>
              <w:t>December 31, 2014 and September 30, 2015; aggregate liquidation preference of $24,991 at September 30,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280" w:type="dxa"/>
            <w:vAlign w:val="bottom"/>
            <w:shd w:val="clear" w:color="auto" w:fill="CCEEFF"/>
          </w:tcPr>
          <w:p>
            <w:pPr>
              <w:ind w:left="160"/>
              <w:spacing w:after="0" w:line="171" w:lineRule="exact"/>
              <w:rPr>
                <w:sz w:val="20"/>
                <w:szCs w:val="20"/>
                <w:color w:val="auto"/>
              </w:rPr>
            </w:pPr>
            <w:r>
              <w:rPr>
                <w:rFonts w:ascii="Arial" w:cs="Arial" w:eastAsia="Arial" w:hAnsi="Arial"/>
                <w:sz w:val="15"/>
                <w:szCs w:val="15"/>
                <w:color w:val="auto"/>
              </w:rPr>
              <w:t>2015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28,220</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690"/>
              <w:spacing w:after="0" w:line="171" w:lineRule="exact"/>
              <w:rPr>
                <w:sz w:val="20"/>
                <w:szCs w:val="20"/>
                <w:color w:val="auto"/>
              </w:rPr>
            </w:pPr>
            <w:r>
              <w:rPr>
                <w:rFonts w:ascii="Arial" w:cs="Arial" w:eastAsia="Arial" w:hAnsi="Arial"/>
                <w:sz w:val="15"/>
                <w:szCs w:val="15"/>
                <w:color w:val="auto"/>
              </w:rPr>
              <w:t>28,220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4"/>
        </w:trPr>
        <w:tc>
          <w:tcPr>
            <w:tcW w:w="7280" w:type="dxa"/>
            <w:vAlign w:val="bottom"/>
          </w:tcPr>
          <w:p>
            <w:pPr>
              <w:spacing w:after="0" w:line="144" w:lineRule="exact"/>
              <w:rPr>
                <w:sz w:val="20"/>
                <w:szCs w:val="20"/>
                <w:color w:val="auto"/>
              </w:rPr>
            </w:pPr>
            <w:r>
              <w:rPr>
                <w:rFonts w:ascii="Arial" w:cs="Arial" w:eastAsia="Arial" w:hAnsi="Arial"/>
                <w:sz w:val="15"/>
                <w:szCs w:val="15"/>
                <w:color w:val="auto"/>
              </w:rPr>
              <w:t>Series C convertible preferred stock, $0.001 par value, 13,211 shares authorized, 11,147 shares issued 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280" w:type="dxa"/>
            <w:vAlign w:val="bottom"/>
          </w:tcPr>
          <w:p>
            <w:pPr>
              <w:ind w:left="160"/>
              <w:spacing w:after="0" w:line="157" w:lineRule="exact"/>
              <w:rPr>
                <w:sz w:val="20"/>
                <w:szCs w:val="20"/>
                <w:color w:val="auto"/>
              </w:rPr>
            </w:pPr>
            <w:r>
              <w:rPr>
                <w:rFonts w:ascii="Arial" w:cs="Arial" w:eastAsia="Arial" w:hAnsi="Arial"/>
                <w:sz w:val="15"/>
                <w:szCs w:val="15"/>
                <w:color w:val="auto"/>
              </w:rPr>
              <w:t>outstanding at December 31, 2014 and September 30, 2015; aggregate liquidation preference of $7,246 at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280" w:type="dxa"/>
            <w:vAlign w:val="bottom"/>
          </w:tcPr>
          <w:p>
            <w:pPr>
              <w:ind w:left="160"/>
              <w:spacing w:after="0" w:line="171" w:lineRule="exact"/>
              <w:rPr>
                <w:sz w:val="20"/>
                <w:szCs w:val="20"/>
                <w:color w:val="auto"/>
              </w:rPr>
            </w:pPr>
            <w:r>
              <w:rPr>
                <w:rFonts w:ascii="Arial" w:cs="Arial" w:eastAsia="Arial" w:hAnsi="Arial"/>
                <w:sz w:val="15"/>
                <w:szCs w:val="15"/>
                <w:color w:val="auto"/>
              </w:rPr>
              <w:t>September 30, 2015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6,452</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690"/>
              <w:spacing w:after="0" w:line="171" w:lineRule="exact"/>
              <w:rPr>
                <w:sz w:val="20"/>
                <w:szCs w:val="20"/>
                <w:color w:val="auto"/>
              </w:rPr>
            </w:pPr>
            <w:r>
              <w:rPr>
                <w:rFonts w:ascii="Arial" w:cs="Arial" w:eastAsia="Arial" w:hAnsi="Arial"/>
                <w:sz w:val="15"/>
                <w:szCs w:val="15"/>
                <w:color w:val="auto"/>
              </w:rPr>
              <w:t>6,452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4"/>
        </w:trPr>
        <w:tc>
          <w:tcPr>
            <w:tcW w:w="728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Series C-1 convertible preferred stock, $0.001 par value, 3,318 shares authorized, 3,318 shares issued and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ind w:left="160"/>
              <w:spacing w:after="0" w:line="157" w:lineRule="exact"/>
              <w:rPr>
                <w:sz w:val="20"/>
                <w:szCs w:val="20"/>
                <w:color w:val="auto"/>
              </w:rPr>
            </w:pPr>
            <w:r>
              <w:rPr>
                <w:rFonts w:ascii="Arial" w:cs="Arial" w:eastAsia="Arial" w:hAnsi="Arial"/>
                <w:sz w:val="15"/>
                <w:szCs w:val="15"/>
                <w:color w:val="auto"/>
              </w:rPr>
              <w:t>outstanding at December 31, 2014 and September 30, 2015; aggregate liquidation preference of $6,470 at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280" w:type="dxa"/>
            <w:vAlign w:val="bottom"/>
            <w:shd w:val="clear" w:color="auto" w:fill="CCEEFF"/>
          </w:tcPr>
          <w:p>
            <w:pPr>
              <w:ind w:left="160"/>
              <w:spacing w:after="0" w:line="171" w:lineRule="exact"/>
              <w:rPr>
                <w:sz w:val="20"/>
                <w:szCs w:val="20"/>
                <w:color w:val="auto"/>
              </w:rPr>
            </w:pPr>
            <w:r>
              <w:rPr>
                <w:rFonts w:ascii="Arial" w:cs="Arial" w:eastAsia="Arial" w:hAnsi="Arial"/>
                <w:sz w:val="15"/>
                <w:szCs w:val="15"/>
                <w:color w:val="auto"/>
              </w:rPr>
              <w:t>September 30, 2015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2,156</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690"/>
              <w:spacing w:after="0" w:line="171" w:lineRule="exact"/>
              <w:rPr>
                <w:sz w:val="20"/>
                <w:szCs w:val="20"/>
                <w:color w:val="auto"/>
              </w:rPr>
            </w:pPr>
            <w:r>
              <w:rPr>
                <w:rFonts w:ascii="Arial" w:cs="Arial" w:eastAsia="Arial" w:hAnsi="Arial"/>
                <w:sz w:val="15"/>
                <w:szCs w:val="15"/>
                <w:color w:val="auto"/>
              </w:rPr>
              <w:t>2,156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4"/>
        </w:trPr>
        <w:tc>
          <w:tcPr>
            <w:tcW w:w="7280" w:type="dxa"/>
            <w:vAlign w:val="bottom"/>
          </w:tcPr>
          <w:p>
            <w:pPr>
              <w:spacing w:after="0" w:line="144" w:lineRule="exact"/>
              <w:rPr>
                <w:sz w:val="20"/>
                <w:szCs w:val="20"/>
                <w:color w:val="auto"/>
              </w:rPr>
            </w:pPr>
            <w:r>
              <w:rPr>
                <w:rFonts w:ascii="Arial" w:cs="Arial" w:eastAsia="Arial" w:hAnsi="Arial"/>
                <w:sz w:val="15"/>
                <w:szCs w:val="15"/>
                <w:color w:val="auto"/>
              </w:rPr>
              <w:t>Series D convertible preferred stock, $0.001 par value, no shares and 38,437 shares authorized, issued 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280" w:type="dxa"/>
            <w:vAlign w:val="bottom"/>
          </w:tcPr>
          <w:p>
            <w:pPr>
              <w:ind w:left="160"/>
              <w:spacing w:after="0" w:line="157" w:lineRule="exact"/>
              <w:rPr>
                <w:sz w:val="20"/>
                <w:szCs w:val="20"/>
                <w:color w:val="auto"/>
              </w:rPr>
            </w:pPr>
            <w:r>
              <w:rPr>
                <w:rFonts w:ascii="Arial" w:cs="Arial" w:eastAsia="Arial" w:hAnsi="Arial"/>
                <w:sz w:val="15"/>
                <w:szCs w:val="15"/>
                <w:color w:val="auto"/>
                <w:w w:val="99"/>
              </w:rPr>
              <w:t>outstanding at December 31, 2014 and September 30, 2015, respectively; aggregate liquidation preference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280" w:type="dxa"/>
            <w:vAlign w:val="bottom"/>
          </w:tcPr>
          <w:p>
            <w:pPr>
              <w:ind w:left="160"/>
              <w:spacing w:after="0" w:line="171" w:lineRule="exact"/>
              <w:rPr>
                <w:sz w:val="20"/>
                <w:szCs w:val="20"/>
                <w:color w:val="auto"/>
              </w:rPr>
            </w:pPr>
            <w:r>
              <w:rPr>
                <w:rFonts w:ascii="Arial" w:cs="Arial" w:eastAsia="Arial" w:hAnsi="Arial"/>
                <w:sz w:val="15"/>
                <w:szCs w:val="15"/>
                <w:color w:val="auto"/>
              </w:rPr>
              <w:t>of $40,767 at September 30, 2015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jc w:val="right"/>
              <w:ind w:right="840"/>
              <w:spacing w:after="0" w:line="17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420" w:type="dxa"/>
            <w:vAlign w:val="bottom"/>
            <w:gridSpan w:val="2"/>
          </w:tcPr>
          <w:p>
            <w:pPr>
              <w:jc w:val="right"/>
              <w:ind w:right="690"/>
              <w:spacing w:after="0" w:line="171" w:lineRule="exact"/>
              <w:rPr>
                <w:sz w:val="20"/>
                <w:szCs w:val="20"/>
                <w:color w:val="auto"/>
              </w:rPr>
            </w:pPr>
            <w:r>
              <w:rPr>
                <w:rFonts w:ascii="Arial" w:cs="Arial" w:eastAsia="Arial" w:hAnsi="Arial"/>
                <w:sz w:val="15"/>
                <w:szCs w:val="15"/>
                <w:color w:val="auto"/>
              </w:rPr>
              <w:t>40,688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Stockholders’ equity (deficit):</w:t>
            </w: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280" w:type="dxa"/>
            <w:vAlign w:val="bottom"/>
          </w:tcPr>
          <w:p>
            <w:pPr>
              <w:ind w:left="300"/>
              <w:spacing w:after="0" w:line="144" w:lineRule="exact"/>
              <w:rPr>
                <w:sz w:val="20"/>
                <w:szCs w:val="20"/>
                <w:color w:val="auto"/>
              </w:rPr>
            </w:pPr>
            <w:r>
              <w:rPr>
                <w:rFonts w:ascii="Arial" w:cs="Arial" w:eastAsia="Arial" w:hAnsi="Arial"/>
                <w:sz w:val="15"/>
                <w:szCs w:val="15"/>
                <w:color w:val="auto"/>
              </w:rPr>
              <w:t>Common stock, $0.001 par value, 120,500 shares authorized, 17,368 and 18,307 shares issued 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280" w:type="dxa"/>
            <w:vAlign w:val="bottom"/>
          </w:tcPr>
          <w:p>
            <w:pPr>
              <w:ind w:left="460"/>
              <w:spacing w:after="0" w:line="157" w:lineRule="exact"/>
              <w:rPr>
                <w:sz w:val="20"/>
                <w:szCs w:val="20"/>
                <w:color w:val="auto"/>
              </w:rPr>
            </w:pPr>
            <w:r>
              <w:rPr>
                <w:rFonts w:ascii="Arial" w:cs="Arial" w:eastAsia="Arial" w:hAnsi="Arial"/>
                <w:sz w:val="15"/>
                <w:szCs w:val="15"/>
                <w:color w:val="auto"/>
              </w:rPr>
              <w:t>outstanding at December 31, 2014 and September 30, 2015, respectively; 98,952 issued and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280" w:type="dxa"/>
            <w:vAlign w:val="bottom"/>
          </w:tcPr>
          <w:p>
            <w:pPr>
              <w:ind w:left="460"/>
              <w:spacing w:after="0" w:line="171" w:lineRule="exact"/>
              <w:rPr>
                <w:sz w:val="20"/>
                <w:szCs w:val="20"/>
                <w:color w:val="auto"/>
              </w:rPr>
            </w:pPr>
            <w:r>
              <w:rPr>
                <w:rFonts w:ascii="Arial" w:cs="Arial" w:eastAsia="Arial" w:hAnsi="Arial"/>
                <w:sz w:val="15"/>
                <w:szCs w:val="15"/>
                <w:color w:val="auto"/>
              </w:rPr>
              <w:t>outstanding, pro forma at September 30, 2015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0"/>
              <w:spacing w:after="0" w:line="171" w:lineRule="exact"/>
              <w:rPr>
                <w:sz w:val="20"/>
                <w:szCs w:val="20"/>
                <w:color w:val="auto"/>
              </w:rPr>
            </w:pPr>
            <w:r>
              <w:rPr>
                <w:rFonts w:ascii="Arial" w:cs="Arial" w:eastAsia="Arial" w:hAnsi="Arial"/>
                <w:sz w:val="15"/>
                <w:szCs w:val="15"/>
                <w:color w:val="auto"/>
              </w:rPr>
              <w:t>17</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Arial" w:cs="Arial" w:eastAsia="Arial" w:hAnsi="Arial"/>
                <w:sz w:val="15"/>
                <w:szCs w:val="15"/>
                <w:color w:val="auto"/>
              </w:rPr>
              <w:t>18</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ind w:left="300"/>
              <w:spacing w:after="0" w:line="157" w:lineRule="exact"/>
              <w:rPr>
                <w:sz w:val="20"/>
                <w:szCs w:val="20"/>
                <w:color w:val="auto"/>
              </w:rPr>
            </w:pPr>
            <w:r>
              <w:rPr>
                <w:rFonts w:ascii="Arial" w:cs="Arial" w:eastAsia="Arial" w:hAnsi="Arial"/>
                <w:sz w:val="15"/>
                <w:szCs w:val="15"/>
                <w:color w:val="auto"/>
              </w:rPr>
              <w:t>Additional paid in capital</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5"/>
                <w:szCs w:val="15"/>
                <w:color w:val="auto"/>
              </w:rPr>
              <w:t>14,407</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90"/>
              <w:spacing w:after="0" w:line="157" w:lineRule="exact"/>
              <w:rPr>
                <w:sz w:val="20"/>
                <w:szCs w:val="20"/>
                <w:color w:val="auto"/>
              </w:rPr>
            </w:pPr>
            <w:r>
              <w:rPr>
                <w:rFonts w:ascii="Arial" w:cs="Arial" w:eastAsia="Arial" w:hAnsi="Arial"/>
                <w:sz w:val="15"/>
                <w:szCs w:val="15"/>
                <w:color w:val="auto"/>
              </w:rPr>
              <w:t>15,199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94,434</w:t>
            </w:r>
          </w:p>
        </w:tc>
        <w:tc>
          <w:tcPr>
            <w:tcW w:w="0" w:type="dxa"/>
            <w:vAlign w:val="bottom"/>
          </w:tcPr>
          <w:p>
            <w:pPr>
              <w:spacing w:after="0"/>
              <w:rPr>
                <w:sz w:val="1"/>
                <w:szCs w:val="1"/>
                <w:color w:val="auto"/>
              </w:rPr>
            </w:pPr>
          </w:p>
        </w:tc>
      </w:tr>
      <w:tr>
        <w:trPr>
          <w:trHeight w:val="157"/>
        </w:trPr>
        <w:tc>
          <w:tcPr>
            <w:tcW w:w="7280" w:type="dxa"/>
            <w:vAlign w:val="bottom"/>
          </w:tcPr>
          <w:p>
            <w:pPr>
              <w:ind w:left="300"/>
              <w:spacing w:after="0" w:line="157" w:lineRule="exact"/>
              <w:rPr>
                <w:sz w:val="20"/>
                <w:szCs w:val="20"/>
                <w:color w:val="auto"/>
              </w:rPr>
            </w:pPr>
            <w:r>
              <w:rPr>
                <w:rFonts w:ascii="Arial" w:cs="Arial" w:eastAsia="Arial" w:hAnsi="Arial"/>
                <w:sz w:val="15"/>
                <w:szCs w:val="15"/>
                <w:color w:val="auto"/>
              </w:rPr>
              <w:t>Accumulated 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720"/>
              <w:spacing w:after="0" w:line="157" w:lineRule="exact"/>
              <w:rPr>
                <w:sz w:val="20"/>
                <w:szCs w:val="20"/>
                <w:color w:val="auto"/>
              </w:rPr>
            </w:pPr>
            <w:r>
              <w:rPr>
                <w:rFonts w:ascii="Arial" w:cs="Arial" w:eastAsia="Arial" w:hAnsi="Arial"/>
                <w:sz w:val="15"/>
                <w:szCs w:val="15"/>
                <w:color w:val="auto"/>
              </w:rPr>
              <w:t>(45,259)</w:t>
            </w:r>
          </w:p>
        </w:tc>
        <w:tc>
          <w:tcPr>
            <w:tcW w:w="180" w:type="dxa"/>
            <w:vAlign w:val="bottom"/>
          </w:tcPr>
          <w:p>
            <w:pPr>
              <w:spacing w:after="0"/>
              <w:rPr>
                <w:sz w:val="13"/>
                <w:szCs w:val="13"/>
                <w:color w:val="auto"/>
              </w:rPr>
            </w:pPr>
          </w:p>
        </w:tc>
        <w:tc>
          <w:tcPr>
            <w:tcW w:w="1420" w:type="dxa"/>
            <w:vAlign w:val="bottom"/>
            <w:gridSpan w:val="2"/>
          </w:tcPr>
          <w:p>
            <w:pPr>
              <w:jc w:val="right"/>
              <w:ind w:right="630"/>
              <w:spacing w:after="0" w:line="157" w:lineRule="exact"/>
              <w:rPr>
                <w:sz w:val="20"/>
                <w:szCs w:val="20"/>
                <w:color w:val="auto"/>
              </w:rPr>
            </w:pPr>
            <w:r>
              <w:rPr>
                <w:rFonts w:ascii="Arial" w:cs="Arial" w:eastAsia="Arial" w:hAnsi="Arial"/>
                <w:sz w:val="15"/>
                <w:szCs w:val="15"/>
                <w:color w:val="auto"/>
              </w:rPr>
              <w:t>(47,152)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0"/>
              <w:spacing w:after="0" w:line="157" w:lineRule="exact"/>
              <w:rPr>
                <w:sz w:val="20"/>
                <w:szCs w:val="20"/>
                <w:color w:val="auto"/>
              </w:rPr>
            </w:pPr>
            <w:r>
              <w:rPr>
                <w:rFonts w:ascii="Arial" w:cs="Arial" w:eastAsia="Arial" w:hAnsi="Arial"/>
                <w:sz w:val="15"/>
                <w:szCs w:val="15"/>
                <w:color w:val="auto"/>
              </w:rPr>
              <w:t>(47,152)</w:t>
            </w:r>
          </w:p>
        </w:tc>
        <w:tc>
          <w:tcPr>
            <w:tcW w:w="0" w:type="dxa"/>
            <w:vAlign w:val="bottom"/>
          </w:tcPr>
          <w:p>
            <w:pPr>
              <w:spacing w:after="0"/>
              <w:rPr>
                <w:sz w:val="1"/>
                <w:szCs w:val="1"/>
                <w:color w:val="auto"/>
              </w:rPr>
            </w:pPr>
          </w:p>
        </w:tc>
      </w:tr>
      <w:tr>
        <w:trPr>
          <w:trHeight w:val="26"/>
        </w:trPr>
        <w:tc>
          <w:tcPr>
            <w:tcW w:w="7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shd w:val="clear" w:color="auto" w:fill="CCEEFF"/>
          </w:tcPr>
          <w:p>
            <w:pPr>
              <w:ind w:left="900"/>
              <w:spacing w:after="0" w:line="157" w:lineRule="exact"/>
              <w:rPr>
                <w:sz w:val="20"/>
                <w:szCs w:val="20"/>
                <w:color w:val="auto"/>
              </w:rPr>
            </w:pPr>
            <w:r>
              <w:rPr>
                <w:rFonts w:ascii="Arial" w:cs="Arial" w:eastAsia="Arial" w:hAnsi="Arial"/>
                <w:sz w:val="15"/>
                <w:szCs w:val="15"/>
                <w:color w:val="auto"/>
              </w:rPr>
              <w:t>Total stockholders’ equity (deficit)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720"/>
              <w:spacing w:after="0" w:line="157" w:lineRule="exact"/>
              <w:rPr>
                <w:sz w:val="20"/>
                <w:szCs w:val="20"/>
                <w:color w:val="auto"/>
              </w:rPr>
            </w:pPr>
            <w:r>
              <w:rPr>
                <w:rFonts w:ascii="Arial" w:cs="Arial" w:eastAsia="Arial" w:hAnsi="Arial"/>
                <w:sz w:val="15"/>
                <w:szCs w:val="15"/>
                <w:color w:val="auto"/>
              </w:rPr>
              <w:t>(30,835)</w:t>
            </w: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30"/>
              <w:spacing w:after="0" w:line="157" w:lineRule="exact"/>
              <w:rPr>
                <w:sz w:val="20"/>
                <w:szCs w:val="20"/>
                <w:color w:val="auto"/>
              </w:rPr>
            </w:pPr>
            <w:r>
              <w:rPr>
                <w:rFonts w:ascii="Arial" w:cs="Arial" w:eastAsia="Arial" w:hAnsi="Arial"/>
                <w:sz w:val="15"/>
                <w:szCs w:val="15"/>
                <w:color w:val="auto"/>
              </w:rPr>
              <w:t>(31,935)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47,381</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1200"/>
              <w:spacing w:after="0"/>
              <w:rPr>
                <w:sz w:val="20"/>
                <w:szCs w:val="20"/>
                <w:color w:val="auto"/>
              </w:rPr>
            </w:pPr>
            <w:r>
              <w:rPr>
                <w:rFonts w:ascii="Arial" w:cs="Arial" w:eastAsia="Arial" w:hAnsi="Arial"/>
                <w:sz w:val="15"/>
                <w:szCs w:val="15"/>
                <w:color w:val="auto"/>
              </w:rPr>
              <w:t>Total liabilities, convertible preferred stock and stockholders’ deficit</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28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line="150"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5"/>
                <w:szCs w:val="15"/>
                <w:color w:val="auto"/>
              </w:rPr>
              <w:t>25,065</w:t>
            </w:r>
          </w:p>
        </w:tc>
        <w:tc>
          <w:tcPr>
            <w:tcW w:w="2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bottom w:val="single" w:sz="8" w:color="auto"/>
            </w:tcBorders>
          </w:tcPr>
          <w:p>
            <w:pPr>
              <w:spacing w:after="0" w:line="150"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5"/>
                <w:szCs w:val="15"/>
                <w:color w:val="auto"/>
              </w:rPr>
              <w:t>60,877</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420"/>
          </w:cols>
          <w:pgMar w:left="240" w:top="449"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ANAPTYSBIO,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27"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jc w:val="center"/>
        <w:ind w:left="9700"/>
        <w:spacing w:after="0" w:line="224"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37"/>
        </w:trPr>
        <w:tc>
          <w:tcPr>
            <w:tcW w:w="7580" w:type="dxa"/>
            <w:vAlign w:val="bottom"/>
            <w:tcBorders>
              <w:bottom w:val="single" w:sz="8" w:color="CCEEFF"/>
            </w:tcBorders>
          </w:tcPr>
          <w:p>
            <w:pPr>
              <w:spacing w:after="0"/>
              <w:rPr>
                <w:sz w:val="11"/>
                <w:szCs w:val="11"/>
                <w:color w:val="auto"/>
              </w:rPr>
            </w:pPr>
          </w:p>
        </w:tc>
        <w:tc>
          <w:tcPr>
            <w:tcW w:w="22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4"/>
              <w:spacing w:after="0" w:line="137"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4"/>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Collaboration revenue</w:t>
            </w:r>
          </w:p>
        </w:tc>
        <w:tc>
          <w:tcPr>
            <w:tcW w:w="2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12,133</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13,517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7"/>
                <w:szCs w:val="17"/>
                <w:color w:val="auto"/>
              </w:rPr>
              <w:t>Operating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6,009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10,732</w:t>
            </w:r>
          </w:p>
        </w:tc>
        <w:tc>
          <w:tcPr>
            <w:tcW w:w="0" w:type="dxa"/>
            <w:vAlign w:val="bottom"/>
          </w:tcPr>
          <w:p>
            <w:pPr>
              <w:spacing w:after="0"/>
              <w:rPr>
                <w:sz w:val="1"/>
                <w:szCs w:val="1"/>
                <w:color w:val="auto"/>
              </w:rPr>
            </w:pPr>
          </w:p>
        </w:tc>
      </w:tr>
      <w:tr>
        <w:trPr>
          <w:trHeight w:val="210"/>
        </w:trPr>
        <w:tc>
          <w:tcPr>
            <w:tcW w:w="7580" w:type="dxa"/>
            <w:vAlign w:val="bottom"/>
          </w:tcPr>
          <w:p>
            <w:pPr>
              <w:ind w:left="360"/>
              <w:spacing w:after="0"/>
              <w:rPr>
                <w:sz w:val="20"/>
                <w:szCs w:val="20"/>
                <w:color w:val="auto"/>
              </w:rPr>
            </w:pPr>
            <w:r>
              <w:rPr>
                <w:rFonts w:ascii="Arial" w:cs="Arial" w:eastAsia="Arial" w:hAnsi="Arial"/>
                <w:sz w:val="17"/>
                <w:szCs w:val="17"/>
                <w:color w:val="auto"/>
              </w:rPr>
              <w:t>General and administrative</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1,780</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operating expenses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7,789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13,247</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1400"/>
              <w:spacing w:after="0"/>
              <w:rPr>
                <w:sz w:val="20"/>
                <w:szCs w:val="20"/>
                <w:color w:val="auto"/>
              </w:rPr>
            </w:pPr>
            <w:r>
              <w:rPr>
                <w:rFonts w:ascii="Arial" w:cs="Arial" w:eastAsia="Arial" w:hAnsi="Arial"/>
                <w:sz w:val="17"/>
                <w:szCs w:val="17"/>
                <w:color w:val="auto"/>
              </w:rPr>
              <w:t>Income from operations</w:t>
            </w: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4,344</w:t>
            </w: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expense, related parties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6"/>
              </w:rPr>
              <w:t>(1,270)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580" w:type="dxa"/>
            <w:vAlign w:val="bottom"/>
          </w:tcPr>
          <w:p>
            <w:pPr>
              <w:ind w:left="360"/>
              <w:spacing w:after="0"/>
              <w:rPr>
                <w:sz w:val="20"/>
                <w:szCs w:val="20"/>
                <w:color w:val="auto"/>
              </w:rPr>
            </w:pPr>
            <w:r>
              <w:rPr>
                <w:rFonts w:ascii="Arial" w:cs="Arial" w:eastAsia="Arial" w:hAnsi="Arial"/>
                <w:sz w:val="17"/>
                <w:szCs w:val="17"/>
                <w:color w:val="auto"/>
              </w:rPr>
              <w:t>Change in fair value of liability for preferred stock warrants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(1,528)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income (expense)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00"/>
              <w:spacing w:after="0"/>
              <w:rPr>
                <w:sz w:val="20"/>
                <w:szCs w:val="20"/>
                <w:color w:val="auto"/>
              </w:rPr>
            </w:pPr>
            <w:r>
              <w:rPr>
                <w:rFonts w:ascii="Arial" w:cs="Arial" w:eastAsia="Arial" w:hAnsi="Arial"/>
                <w:sz w:val="17"/>
                <w:szCs w:val="17"/>
                <w:color w:val="auto"/>
              </w:rPr>
              <w:t>Total other expense, net</w:t>
            </w: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w w:val="96"/>
              </w:rPr>
              <w:t>(1,314)</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(2,113)</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Income (loss) before income taxes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3,030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(1,843)</w:t>
            </w:r>
          </w:p>
        </w:tc>
        <w:tc>
          <w:tcPr>
            <w:tcW w:w="0" w:type="dxa"/>
            <w:vAlign w:val="bottom"/>
          </w:tcPr>
          <w:p>
            <w:pPr>
              <w:spacing w:after="0"/>
              <w:rPr>
                <w:sz w:val="1"/>
                <w:szCs w:val="1"/>
                <w:color w:val="auto"/>
              </w:rPr>
            </w:pPr>
          </w:p>
        </w:tc>
      </w:tr>
      <w:tr>
        <w:trPr>
          <w:trHeight w:val="210"/>
        </w:trPr>
        <w:tc>
          <w:tcPr>
            <w:tcW w:w="7580" w:type="dxa"/>
            <w:vAlign w:val="bottom"/>
          </w:tcPr>
          <w:p>
            <w:pPr>
              <w:ind w:left="700"/>
              <w:spacing w:after="0"/>
              <w:rPr>
                <w:sz w:val="20"/>
                <w:szCs w:val="20"/>
                <w:color w:val="auto"/>
              </w:rPr>
            </w:pPr>
            <w:r>
              <w:rPr>
                <w:rFonts w:ascii="Arial" w:cs="Arial" w:eastAsia="Arial" w:hAnsi="Arial"/>
                <w:sz w:val="17"/>
                <w:szCs w:val="17"/>
                <w:color w:val="auto"/>
              </w:rPr>
              <w:t>Provision for income taxes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Net income (loss)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3,030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(1,893)</w:t>
            </w:r>
          </w:p>
        </w:tc>
        <w:tc>
          <w:tcPr>
            <w:tcW w:w="0" w:type="dxa"/>
            <w:vAlign w:val="bottom"/>
          </w:tcPr>
          <w:p>
            <w:pPr>
              <w:spacing w:after="0"/>
              <w:rPr>
                <w:sz w:val="1"/>
                <w:szCs w:val="1"/>
                <w:color w:val="auto"/>
              </w:rPr>
            </w:pPr>
          </w:p>
        </w:tc>
      </w:tr>
      <w:tr>
        <w:trPr>
          <w:trHeight w:val="210"/>
        </w:trPr>
        <w:tc>
          <w:tcPr>
            <w:tcW w:w="7580" w:type="dxa"/>
            <w:vAlign w:val="bottom"/>
          </w:tcPr>
          <w:p>
            <w:pPr>
              <w:ind w:left="360"/>
              <w:spacing w:after="0"/>
              <w:rPr>
                <w:sz w:val="20"/>
                <w:szCs w:val="20"/>
                <w:color w:val="auto"/>
              </w:rPr>
            </w:pPr>
            <w:r>
              <w:rPr>
                <w:rFonts w:ascii="Arial" w:cs="Arial" w:eastAsia="Arial" w:hAnsi="Arial"/>
                <w:sz w:val="17"/>
                <w:szCs w:val="17"/>
                <w:color w:val="auto"/>
              </w:rPr>
              <w:t>Net income attributed to participating securities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w w:val="96"/>
              </w:rPr>
              <w:t>(2,741)</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income (loss) attributed to common stockholders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(1,893)</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color w:val="auto"/>
              </w:rPr>
              <w:t>Net income (loss) per common share, basic and diluted</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vMerge w:val="continue"/>
          </w:tcPr>
          <w:p>
            <w:pPr>
              <w:spacing w:after="0"/>
              <w:rPr>
                <w:sz w:val="17"/>
                <w:szCs w:val="17"/>
                <w:color w:val="auto"/>
              </w:rPr>
            </w:pP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shares outstanding, basic and diluted</w:t>
            </w:r>
          </w:p>
        </w:tc>
        <w:tc>
          <w:tcPr>
            <w:tcW w:w="2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8"/>
              </w:rPr>
              <w:t>17,368</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17,694</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Arial" w:cs="Arial" w:eastAsia="Arial" w:hAnsi="Arial"/>
                <w:sz w:val="17"/>
                <w:szCs w:val="17"/>
                <w:color w:val="auto"/>
              </w:rPr>
              <w:t>Pro forma net loss per common share, basic and diluted</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Pro forma weighted-average number of shares outstanding, basic and diluted</w:t>
            </w:r>
          </w:p>
        </w:tc>
        <w:tc>
          <w:tcPr>
            <w:tcW w:w="2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70,904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449"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ANAPTYSBIO,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7"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jc w:val="center"/>
        <w:ind w:left="9700"/>
        <w:spacing w:after="0" w:line="224"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37"/>
        </w:trPr>
        <w:tc>
          <w:tcPr>
            <w:tcW w:w="854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3"/>
              <w:spacing w:after="0" w:line="137"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5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ACTIVITIES</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40" w:type="dxa"/>
            <w:vAlign w:val="bottom"/>
          </w:tcPr>
          <w:p>
            <w:pPr>
              <w:spacing w:after="0"/>
              <w:rPr>
                <w:sz w:val="20"/>
                <w:szCs w:val="20"/>
                <w:color w:val="auto"/>
              </w:rPr>
            </w:pPr>
            <w:r>
              <w:rPr>
                <w:rFonts w:ascii="Arial" w:cs="Arial" w:eastAsia="Arial" w:hAnsi="Arial"/>
                <w:sz w:val="17"/>
                <w:szCs w:val="17"/>
                <w:color w:val="auto"/>
              </w:rPr>
              <w:t>Net income (loss)</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3,030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(1,893)</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Stock-based compensation</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10"/>
        </w:trPr>
        <w:tc>
          <w:tcPr>
            <w:tcW w:w="8540" w:type="dxa"/>
            <w:vAlign w:val="bottom"/>
          </w:tcPr>
          <w:p>
            <w:pPr>
              <w:ind w:left="360"/>
              <w:spacing w:after="0"/>
              <w:rPr>
                <w:sz w:val="20"/>
                <w:szCs w:val="20"/>
                <w:color w:val="auto"/>
              </w:rPr>
            </w:pPr>
            <w:r>
              <w:rPr>
                <w:rFonts w:ascii="Arial" w:cs="Arial" w:eastAsia="Arial" w:hAnsi="Arial"/>
                <w:sz w:val="17"/>
                <w:szCs w:val="17"/>
                <w:color w:val="auto"/>
              </w:rPr>
              <w:t>Change in fair value of liability for preferred stock warrants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1,528</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Noncash interest expense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1,270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0"/>
        </w:trPr>
        <w:tc>
          <w:tcPr>
            <w:tcW w:w="8540" w:type="dxa"/>
            <w:vAlign w:val="bottom"/>
          </w:tcPr>
          <w:p>
            <w:pPr>
              <w:ind w:left="360"/>
              <w:spacing w:after="0"/>
              <w:rPr>
                <w:sz w:val="20"/>
                <w:szCs w:val="20"/>
                <w:color w:val="auto"/>
              </w:rPr>
            </w:pPr>
            <w:r>
              <w:rPr>
                <w:rFonts w:ascii="Arial" w:cs="Arial" w:eastAsia="Arial" w:hAnsi="Arial"/>
                <w:sz w:val="17"/>
                <w:szCs w:val="17"/>
                <w:color w:val="auto"/>
              </w:rPr>
              <w:t>Loss on disposal of property and equipment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40" w:type="dxa"/>
            <w:vAlign w:val="bottom"/>
          </w:tcPr>
          <w:p>
            <w:pPr>
              <w:ind w:left="700"/>
              <w:spacing w:after="0"/>
              <w:rPr>
                <w:sz w:val="20"/>
                <w:szCs w:val="20"/>
                <w:color w:val="auto"/>
              </w:rPr>
            </w:pPr>
            <w:r>
              <w:rPr>
                <w:rFonts w:ascii="Arial" w:cs="Arial" w:eastAsia="Arial" w:hAnsi="Arial"/>
                <w:sz w:val="17"/>
                <w:szCs w:val="17"/>
                <w:color w:val="auto"/>
              </w:rPr>
              <w:t>Receivable from collaborative partners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w w:val="96"/>
              </w:rPr>
              <w:t>(1,662)</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Restricted cash</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0"/>
        </w:trPr>
        <w:tc>
          <w:tcPr>
            <w:tcW w:w="8540" w:type="dxa"/>
            <w:vAlign w:val="bottom"/>
          </w:tcPr>
          <w:p>
            <w:pPr>
              <w:ind w:left="700"/>
              <w:spacing w:after="0"/>
              <w:rPr>
                <w:sz w:val="20"/>
                <w:szCs w:val="20"/>
                <w:color w:val="auto"/>
              </w:rPr>
            </w:pPr>
            <w:r>
              <w:rPr>
                <w:rFonts w:ascii="Arial" w:cs="Arial" w:eastAsia="Arial" w:hAnsi="Arial"/>
                <w:sz w:val="17"/>
                <w:szCs w:val="17"/>
                <w:color w:val="auto"/>
              </w:rPr>
              <w:t>Prepaid expenses and other assets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(599)</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Accounts payable and other liabilities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10"/>
        </w:trPr>
        <w:tc>
          <w:tcPr>
            <w:tcW w:w="8540" w:type="dxa"/>
            <w:vAlign w:val="bottom"/>
          </w:tcPr>
          <w:p>
            <w:pPr>
              <w:ind w:left="700"/>
              <w:spacing w:after="0"/>
              <w:rPr>
                <w:sz w:val="20"/>
                <w:szCs w:val="20"/>
                <w:color w:val="auto"/>
              </w:rPr>
            </w:pPr>
            <w:r>
              <w:rPr>
                <w:rFonts w:ascii="Arial" w:cs="Arial" w:eastAsia="Arial" w:hAnsi="Arial"/>
                <w:sz w:val="17"/>
                <w:szCs w:val="17"/>
                <w:color w:val="auto"/>
              </w:rPr>
              <w:t>Tax accruals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Deferred revenue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8"/>
              </w:rPr>
              <w:t>10,980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(7,250)</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1060"/>
              <w:spacing w:after="0"/>
              <w:rPr>
                <w:sz w:val="20"/>
                <w:szCs w:val="20"/>
                <w:color w:val="auto"/>
              </w:rPr>
            </w:pPr>
            <w:r>
              <w:rPr>
                <w:rFonts w:ascii="Arial" w:cs="Arial" w:eastAsia="Arial" w:hAnsi="Arial"/>
                <w:sz w:val="17"/>
                <w:szCs w:val="17"/>
                <w:color w:val="auto"/>
              </w:rPr>
              <w:t>Net cash provided by (used in) operating activities</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w w:val="88"/>
              </w:rPr>
              <w:t>13,507</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(7,042)</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40" w:type="dxa"/>
            <w:vAlign w:val="bottom"/>
          </w:tcPr>
          <w:p>
            <w:pPr>
              <w:spacing w:after="0"/>
              <w:rPr>
                <w:sz w:val="20"/>
                <w:szCs w:val="20"/>
                <w:color w:val="auto"/>
              </w:rPr>
            </w:pPr>
            <w:r>
              <w:rPr>
                <w:rFonts w:ascii="Arial" w:cs="Arial" w:eastAsia="Arial" w:hAnsi="Arial"/>
                <w:sz w:val="17"/>
                <w:szCs w:val="17"/>
                <w:color w:val="auto"/>
              </w:rPr>
              <w:t>Proceeds from sale of investment securities available for sale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and equipment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1060"/>
              <w:spacing w:after="0"/>
              <w:rPr>
                <w:sz w:val="20"/>
                <w:szCs w:val="20"/>
                <w:color w:val="auto"/>
              </w:rPr>
            </w:pPr>
            <w:r>
              <w:rPr>
                <w:rFonts w:ascii="Arial" w:cs="Arial" w:eastAsia="Arial" w:hAnsi="Arial"/>
                <w:sz w:val="17"/>
                <w:szCs w:val="17"/>
                <w:color w:val="auto"/>
              </w:rPr>
              <w:t>Net cash used in investing activities</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1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40" w:type="dxa"/>
            <w:vAlign w:val="bottom"/>
          </w:tcPr>
          <w:p>
            <w:pPr>
              <w:spacing w:after="0"/>
              <w:rPr>
                <w:sz w:val="20"/>
                <w:szCs w:val="20"/>
                <w:color w:val="auto"/>
              </w:rPr>
            </w:pPr>
            <w:r>
              <w:rPr>
                <w:rFonts w:ascii="Arial" w:cs="Arial" w:eastAsia="Arial" w:hAnsi="Arial"/>
                <w:sz w:val="17"/>
                <w:szCs w:val="17"/>
                <w:color w:val="auto"/>
              </w:rPr>
              <w:t>Proceeds from issuance of common stock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Payments for deferred offering costs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10"/>
        </w:trPr>
        <w:tc>
          <w:tcPr>
            <w:tcW w:w="8540" w:type="dxa"/>
            <w:vAlign w:val="bottom"/>
          </w:tcPr>
          <w:p>
            <w:pPr>
              <w:spacing w:after="0"/>
              <w:rPr>
                <w:sz w:val="20"/>
                <w:szCs w:val="20"/>
                <w:color w:val="auto"/>
              </w:rPr>
            </w:pPr>
            <w:r>
              <w:rPr>
                <w:rFonts w:ascii="Arial" w:cs="Arial" w:eastAsia="Arial" w:hAnsi="Arial"/>
                <w:sz w:val="17"/>
                <w:szCs w:val="17"/>
                <w:color w:val="auto"/>
              </w:rPr>
              <w:t>Proceeds from the issuance of preferred stock, net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40,688</w:t>
            </w:r>
          </w:p>
        </w:tc>
        <w:tc>
          <w:tcPr>
            <w:tcW w:w="0" w:type="dxa"/>
            <w:vAlign w:val="bottom"/>
          </w:tcPr>
          <w:p>
            <w:pPr>
              <w:spacing w:after="0"/>
              <w:rPr>
                <w:sz w:val="1"/>
                <w:szCs w:val="1"/>
                <w:color w:val="auto"/>
              </w:rPr>
            </w:pPr>
          </w:p>
        </w:tc>
      </w:tr>
      <w:tr>
        <w:trPr>
          <w:trHeight w:val="26"/>
        </w:trPr>
        <w:tc>
          <w:tcPr>
            <w:tcW w:w="8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Net cash provided by financing activities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40,295</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1400"/>
              <w:spacing w:after="0"/>
              <w:rPr>
                <w:sz w:val="20"/>
                <w:szCs w:val="20"/>
                <w:color w:val="auto"/>
              </w:rPr>
            </w:pPr>
            <w:r>
              <w:rPr>
                <w:rFonts w:ascii="Arial" w:cs="Arial" w:eastAsia="Arial" w:hAnsi="Arial"/>
                <w:sz w:val="17"/>
                <w:szCs w:val="17"/>
                <w:color w:val="auto"/>
              </w:rPr>
              <w:t>Net increase (decrease) in cash</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w w:val="88"/>
              </w:rPr>
              <w:t>13,381</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33,057</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2,810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22,188</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7"/>
                <w:szCs w:val="17"/>
                <w:color w:val="auto"/>
              </w:rPr>
              <w:t>Cash and cash equivalents, end of period</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vMerge w:val="continue"/>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w w:val="88"/>
              </w:rPr>
              <w:t>16,191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55,245</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40" w:type="dxa"/>
            <w:vAlign w:val="bottom"/>
          </w:tcPr>
          <w:p>
            <w:pPr>
              <w:spacing w:after="0"/>
              <w:rPr>
                <w:sz w:val="20"/>
                <w:szCs w:val="20"/>
                <w:color w:val="auto"/>
              </w:rPr>
            </w:pPr>
            <w:r>
              <w:rPr>
                <w:rFonts w:ascii="Arial" w:cs="Arial" w:eastAsia="Arial" w:hAnsi="Arial"/>
                <w:sz w:val="17"/>
                <w:szCs w:val="17"/>
                <w:color w:val="auto"/>
              </w:rPr>
              <w:t>Conversion of convertible notes to preferred stock</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2,156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Amounts accrued for property and equipment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7"/>
                <w:szCs w:val="17"/>
                <w:color w:val="auto"/>
              </w:rPr>
              <w:t>Amounts accrued for deferred financing costs</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1,472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449"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ANAPTYSBIO, INC.</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232" w:lineRule="exact"/>
        <w:rPr>
          <w:sz w:val="20"/>
          <w:szCs w:val="20"/>
          <w:color w:val="auto"/>
        </w:rPr>
      </w:pPr>
    </w:p>
    <w:p>
      <w:pPr>
        <w:ind w:left="460" w:hanging="455"/>
        <w:spacing w:after="0"/>
        <w:tabs>
          <w:tab w:leader="none" w:pos="46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basis of Presentation</w:t>
      </w:r>
    </w:p>
    <w:p>
      <w:pPr>
        <w:spacing w:after="0" w:line="12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Liquidity</w:t>
      </w:r>
    </w:p>
    <w:p>
      <w:pPr>
        <w:spacing w:after="0" w:line="119"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The accompanying unaudited consolidated financial statements include the Company and its wholly-owned subsidiary. All intercompany accounts and transactions have been eliminated in consolidation.</w:t>
      </w:r>
    </w:p>
    <w:p>
      <w:pPr>
        <w:spacing w:after="0" w:line="158" w:lineRule="exact"/>
        <w:rPr>
          <w:sz w:val="20"/>
          <w:szCs w:val="20"/>
          <w:color w:val="auto"/>
        </w:rPr>
      </w:pPr>
    </w:p>
    <w:p>
      <w:pPr>
        <w:ind w:right="200" w:firstLine="457"/>
        <w:spacing w:after="0" w:line="302" w:lineRule="auto"/>
        <w:rPr>
          <w:sz w:val="20"/>
          <w:szCs w:val="20"/>
          <w:color w:val="auto"/>
        </w:rPr>
      </w:pPr>
      <w:r>
        <w:rPr>
          <w:rFonts w:ascii="Arial" w:cs="Arial" w:eastAsia="Arial" w:hAnsi="Arial"/>
          <w:sz w:val="15"/>
          <w:szCs w:val="15"/>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Actual results may materially differ from these estimates. Operating results for the nine months ended September 30, 2015 are not necessarily indicative of the results that may be expected for the year ending December 31, 2015. The financial statements should be read in conjunction with our audited financial statements for the year ended December 31, 2014, included elsewhere in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Stockholders’ Equity</w:t>
      </w:r>
    </w:p>
    <w:p>
      <w:pPr>
        <w:spacing w:after="0" w:line="119" w:lineRule="exact"/>
        <w:rPr>
          <w:sz w:val="20"/>
          <w:szCs w:val="20"/>
          <w:color w:val="auto"/>
        </w:rPr>
      </w:pPr>
    </w:p>
    <w:p>
      <w:pPr>
        <w:jc w:val="both"/>
        <w:ind w:right="180" w:firstLine="457"/>
        <w:spacing w:after="0" w:line="273" w:lineRule="auto"/>
        <w:rPr>
          <w:sz w:val="20"/>
          <w:szCs w:val="20"/>
          <w:color w:val="auto"/>
        </w:rPr>
      </w:pPr>
      <w:r>
        <w:rPr>
          <w:rFonts w:ascii="Arial" w:cs="Arial" w:eastAsia="Arial" w:hAnsi="Arial"/>
          <w:sz w:val="17"/>
          <w:szCs w:val="17"/>
          <w:color w:val="auto"/>
        </w:rPr>
        <w:t>Prior to the closing of the offering contemplated by this prospectus, we expect all of our convertible preferred stock outstanding to convert into shares of common stock at the then applicable conversion rate. The unaudited pro forma stockholders’ equity is based on the assumed conversion of shares of convertible preferred stock outstanding at September 30, 2015.</w:t>
      </w:r>
    </w:p>
    <w:p>
      <w:pPr>
        <w:spacing w:after="0" w:line="309" w:lineRule="exact"/>
        <w:rPr>
          <w:sz w:val="20"/>
          <w:szCs w:val="20"/>
          <w:color w:val="auto"/>
        </w:rPr>
      </w:pPr>
    </w:p>
    <w:p>
      <w:pPr>
        <w:ind w:left="460" w:hanging="455"/>
        <w:spacing w:after="0"/>
        <w:tabs>
          <w:tab w:leader="none" w:pos="46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9"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The accompanying consolidated financial statements have been prepared in accordance with GAAP. The preparation of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9" w:lineRule="exact"/>
        <w:rPr>
          <w:sz w:val="20"/>
          <w:szCs w:val="20"/>
          <w:color w:val="auto"/>
        </w:rPr>
      </w:pPr>
    </w:p>
    <w:p>
      <w:pPr>
        <w:ind w:right="520" w:firstLine="457"/>
        <w:spacing w:after="0" w:line="289" w:lineRule="auto"/>
        <w:rPr>
          <w:sz w:val="20"/>
          <w:szCs w:val="20"/>
          <w:color w:val="auto"/>
        </w:rPr>
      </w:pPr>
      <w:r>
        <w:rPr>
          <w:rFonts w:ascii="Arial" w:cs="Arial" w:eastAsia="Arial" w:hAnsi="Arial"/>
          <w:sz w:val="17"/>
          <w:szCs w:val="17"/>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19"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At December 31, 2014 and September 30, 2015, we held restricted cash of $85,000 and $60,000, respectively, used to secure a letter of credit provided as security for our operating lease for our facility.</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360"/>
          </w:cols>
          <w:pgMar w:left="240" w:top="449" w:right="29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19" w:lineRule="exact"/>
        <w:rPr>
          <w:sz w:val="20"/>
          <w:szCs w:val="20"/>
          <w:color w:val="auto"/>
        </w:rPr>
      </w:pPr>
    </w:p>
    <w:p>
      <w:pPr>
        <w:ind w:right="380" w:firstLine="457"/>
        <w:spacing w:after="0" w:line="289" w:lineRule="auto"/>
        <w:rPr>
          <w:sz w:val="20"/>
          <w:szCs w:val="20"/>
          <w:color w:val="auto"/>
        </w:rPr>
      </w:pPr>
      <w:r>
        <w:rPr>
          <w:rFonts w:ascii="Arial" w:cs="Arial" w:eastAsia="Arial" w:hAnsi="Arial"/>
          <w:sz w:val="17"/>
          <w:szCs w:val="17"/>
          <w:color w:val="auto"/>
        </w:rPr>
        <w:t>During the nine months ended September 30, 2015, we incurred an aggregate of $2.0 million in direct costs related to our anticipated public offering of common stock. These costs were deferred and recorded as a long-term asset at September 30, 2015.</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ind w:right="180" w:firstLine="457"/>
        <w:spacing w:after="0" w:line="297"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1) persuasive evidence that an arrangement exists; 2) delivery has occurred and title and the risks and rewards of ownership have been transferred to the client or services have been rendered; 3) the price is fixed or determinable; and 4) collectability is reasonably assured.</w:t>
      </w:r>
    </w:p>
    <w:p>
      <w:pPr>
        <w:spacing w:after="0" w:line="155"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 represents a</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61"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We recognize consideration allocated to an individual element when all other revenue recognition criteria are met for that element. Our multiple-element revenue arrangements may include the following:</w:t>
      </w:r>
    </w:p>
    <w:p>
      <w:pPr>
        <w:spacing w:after="0" w:line="60" w:lineRule="exact"/>
        <w:rPr>
          <w:sz w:val="20"/>
          <w:szCs w:val="20"/>
          <w:color w:val="auto"/>
        </w:rPr>
      </w:pPr>
    </w:p>
    <w:p>
      <w:pPr>
        <w:ind w:left="900" w:right="100" w:hanging="332"/>
        <w:spacing w:after="0" w:line="317" w:lineRule="auto"/>
        <w:tabs>
          <w:tab w:leader="none" w:pos="900" w:val="left"/>
        </w:tabs>
        <w:numPr>
          <w:ilvl w:val="0"/>
          <w:numId w:val="138"/>
        </w:numPr>
        <w:rPr>
          <w:rFonts w:ascii="Arial" w:cs="Arial" w:eastAsia="Arial" w:hAnsi="Arial"/>
          <w:sz w:val="15"/>
          <w:szCs w:val="15"/>
          <w:color w:val="auto"/>
        </w:rPr>
      </w:pPr>
      <w:r>
        <w:rPr>
          <w:rFonts w:ascii="Arial" w:cs="Arial" w:eastAsia="Arial" w:hAnsi="Arial"/>
          <w:sz w:val="15"/>
          <w:szCs w:val="15"/>
          <w:b w:val="1"/>
          <w:bCs w:val="1"/>
          <w:color w:val="auto"/>
        </w:rPr>
        <w:t>License arrangements</w:t>
      </w:r>
      <w:r>
        <w:rPr>
          <w:rFonts w:ascii="Arial" w:cs="Arial" w:eastAsia="Arial" w:hAnsi="Arial"/>
          <w:sz w:val="15"/>
          <w:szCs w:val="15"/>
          <w:color w:val="auto"/>
        </w:rPr>
        <w:t>. The deliverables under our collaboration and license agreements generally include exclusive or nonexclusive licenses to one</w:t>
      </w:r>
      <w:r>
        <w:rPr>
          <w:rFonts w:ascii="Arial" w:cs="Arial" w:eastAsia="Arial" w:hAnsi="Arial"/>
          <w:sz w:val="15"/>
          <w:szCs w:val="15"/>
          <w:b w:val="1"/>
          <w:bCs w:val="1"/>
          <w:color w:val="auto"/>
        </w:rPr>
        <w:t xml:space="preserve"> </w:t>
      </w:r>
      <w:r>
        <w:rPr>
          <w:rFonts w:ascii="Arial" w:cs="Arial" w:eastAsia="Arial" w:hAnsi="Arial"/>
          <w:sz w:val="15"/>
          <w:szCs w:val="15"/>
          <w:color w:val="auto"/>
        </w:rPr>
        <w:t>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44" w:lineRule="exact"/>
        <w:rPr>
          <w:rFonts w:ascii="Arial" w:cs="Arial" w:eastAsia="Arial" w:hAnsi="Arial"/>
          <w:sz w:val="15"/>
          <w:szCs w:val="15"/>
          <w:color w:val="auto"/>
        </w:rPr>
      </w:pPr>
    </w:p>
    <w:p>
      <w:pPr>
        <w:ind w:left="900" w:right="20" w:hanging="332"/>
        <w:spacing w:after="0" w:line="287"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may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6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81"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66" w:lineRule="exact"/>
        <w:rPr>
          <w:sz w:val="20"/>
          <w:szCs w:val="20"/>
          <w:color w:val="auto"/>
        </w:rPr>
      </w:pPr>
    </w:p>
    <w:p>
      <w:pPr>
        <w:ind w:left="900" w:right="340" w:hanging="332"/>
        <w:spacing w:after="0" w:line="289"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00"/>
          </w:cols>
          <w:pgMar w:left="240" w:top="449" w:right="25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hanging="332"/>
        <w:spacing w:after="0"/>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consideration relates solely to past performance;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consideration is reasonable relative to all of the deliverables and payment terms within the arrangement.</w:t>
      </w:r>
    </w:p>
    <w:p>
      <w:pPr>
        <w:spacing w:after="0" w:line="224"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Milestones that are not considered substantive are generally recognized in the same manner as the undelivered item(s), which is generally the period over which we provide research and development services.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option forfeitures prior to vesting and record stock-based compensation expense only for those awards that are expected to vest.</w:t>
      </w:r>
    </w:p>
    <w:p>
      <w:pPr>
        <w:spacing w:after="0" w:line="165" w:lineRule="exact"/>
        <w:rPr>
          <w:sz w:val="20"/>
          <w:szCs w:val="20"/>
          <w:color w:val="auto"/>
        </w:rPr>
      </w:pPr>
    </w:p>
    <w:p>
      <w:pPr>
        <w:ind w:right="500" w:firstLine="457"/>
        <w:spacing w:after="0" w:line="289" w:lineRule="auto"/>
        <w:rPr>
          <w:sz w:val="20"/>
          <w:szCs w:val="20"/>
          <w:color w:val="auto"/>
        </w:rPr>
      </w:pPr>
      <w:r>
        <w:rPr>
          <w:rFonts w:ascii="Arial" w:cs="Arial" w:eastAsia="Arial" w:hAnsi="Arial"/>
          <w:sz w:val="17"/>
          <w:szCs w:val="17"/>
          <w:color w:val="auto"/>
        </w:rPr>
        <w:t>Options granted to individual service providers who are not employees or directors are accounted for at estimated fair values using the Black-Scholes option-pricing model and are subject to periodic remeasurement over the period during which the services are rendered.</w:t>
      </w:r>
    </w:p>
    <w:p>
      <w:pPr>
        <w:spacing w:after="0" w:line="15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No tax benefits for stock-based compensation have been recognized in the statements of cash flows. We have not recognized, and do not expect to recognize in the near future, any tax benefit related to stock-based compensation cost as a result of our full valuation allowance on our net deferred tax assets and net operating loss carryforwards.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 for Shares of Preferred Stock</w:t>
      </w:r>
    </w:p>
    <w:p>
      <w:pPr>
        <w:spacing w:after="0" w:line="119"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9" w:lineRule="exact"/>
        <w:rPr>
          <w:sz w:val="20"/>
          <w:szCs w:val="20"/>
          <w:color w:val="auto"/>
        </w:rPr>
      </w:pPr>
    </w:p>
    <w:p>
      <w:pPr>
        <w:ind w:right="400" w:firstLine="457"/>
        <w:spacing w:after="0" w:line="289" w:lineRule="auto"/>
        <w:rPr>
          <w:sz w:val="20"/>
          <w:szCs w:val="20"/>
          <w:color w:val="auto"/>
        </w:rPr>
      </w:pPr>
      <w:r>
        <w:rPr>
          <w:rFonts w:ascii="Arial" w:cs="Arial" w:eastAsia="Arial" w:hAnsi="Arial"/>
          <w:sz w:val="17"/>
          <w:szCs w:val="17"/>
          <w:color w:val="auto"/>
        </w:rPr>
        <w:t>Our financial instruments consist principally of cash, cash equivalents, restricted cash, receivables from collaborative partners, accounts payable, notes payable and preferred stock warrant liabilities.</w:t>
      </w:r>
    </w:p>
    <w:p>
      <w:pPr>
        <w:spacing w:after="0" w:line="158" w:lineRule="exact"/>
        <w:rPr>
          <w:sz w:val="20"/>
          <w:szCs w:val="20"/>
          <w:color w:val="auto"/>
        </w:rPr>
      </w:pPr>
    </w:p>
    <w:p>
      <w:pPr>
        <w:ind w:right="20" w:firstLine="457"/>
        <w:spacing w:after="0" w:line="297"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1—Observable inputs that reflect quoted prices (unadjusted) for identical assets or liabilities in active markets.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2—Includes other inputs that are directly or indirectly observable in the marketplace.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00"/>
          </w:cols>
          <w:pgMar w:left="240" w:top="449" w:right="25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Functional Currency of Foreign Operations</w:t>
      </w:r>
    </w:p>
    <w:p>
      <w:pPr>
        <w:spacing w:after="0" w:line="119" w:lineRule="exact"/>
        <w:rPr>
          <w:sz w:val="20"/>
          <w:szCs w:val="20"/>
          <w:color w:val="auto"/>
        </w:rPr>
      </w:pPr>
    </w:p>
    <w:p>
      <w:pPr>
        <w:ind w:right="240" w:firstLine="457"/>
        <w:spacing w:after="0" w:line="283" w:lineRule="auto"/>
        <w:rPr>
          <w:sz w:val="20"/>
          <w:szCs w:val="20"/>
          <w:color w:val="auto"/>
        </w:rPr>
      </w:pPr>
      <w:r>
        <w:rPr>
          <w:rFonts w:ascii="Arial" w:cs="Arial" w:eastAsia="Arial" w:hAnsi="Arial"/>
          <w:sz w:val="16"/>
          <w:szCs w:val="16"/>
          <w:color w:val="auto"/>
        </w:rPr>
        <w:t>Our international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($0.3) million during the nine months ended September 30, 2015.</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Common Share and Pro Forma Net Loss Per Common Share</w:t>
      </w:r>
    </w:p>
    <w:p>
      <w:pPr>
        <w:spacing w:after="0" w:line="119" w:lineRule="exact"/>
        <w:rPr>
          <w:sz w:val="20"/>
          <w:szCs w:val="20"/>
          <w:color w:val="auto"/>
        </w:rPr>
      </w:pPr>
    </w:p>
    <w:p>
      <w:pPr>
        <w:ind w:right="260" w:firstLine="457"/>
        <w:spacing w:after="0" w:line="289" w:lineRule="auto"/>
        <w:rPr>
          <w:sz w:val="20"/>
          <w:szCs w:val="20"/>
          <w:color w:val="auto"/>
        </w:rPr>
      </w:pPr>
      <w:r>
        <w:rPr>
          <w:rFonts w:ascii="Arial" w:cs="Arial" w:eastAsia="Arial" w:hAnsi="Arial"/>
          <w:sz w:val="17"/>
          <w:szCs w:val="17"/>
          <w:color w:val="auto"/>
        </w:rPr>
        <w:t>Basic and diluted net loss per common share is computed by dividing net loss by the weighted-average number of common shares outstanding during the period without consideration of common stock equivalents.</w:t>
      </w:r>
    </w:p>
    <w:p>
      <w:pPr>
        <w:spacing w:after="0" w:line="158"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Computations for basic and diluted net loss per common share are below. The unaudited pro forma basic and diluted net loss per common share calculation assumes the conversion of all outstanding shares of convertible preferred stock into common stock as if such conversion had occurred on January 1, 2015 or the original issuance date, if later.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2"/>
              </w:rPr>
              <w:t>Net Income</w:t>
            </w: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260" w:type="dxa"/>
            <w:vAlign w:val="bottom"/>
            <w:gridSpan w:val="2"/>
          </w:tcPr>
          <w:p>
            <w:pPr>
              <w:jc w:val="right"/>
              <w:ind w:right="840"/>
              <w:spacing w:after="0" w:line="144" w:lineRule="exact"/>
              <w:rPr>
                <w:sz w:val="20"/>
                <w:szCs w:val="20"/>
                <w:color w:val="auto"/>
              </w:rPr>
            </w:pPr>
            <w:r>
              <w:rPr>
                <w:rFonts w:ascii="Arial" w:cs="Arial" w:eastAsia="Arial" w:hAnsi="Arial"/>
                <w:sz w:val="14"/>
                <w:szCs w:val="14"/>
                <w:b w:val="1"/>
                <w:bCs w:val="1"/>
                <w:color w:val="auto"/>
                <w:w w:val="95"/>
              </w:rPr>
              <w:t>(Loss)</w:t>
            </w: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7"/>
        </w:trPr>
        <w:tc>
          <w:tcPr>
            <w:tcW w:w="7920" w:type="dxa"/>
            <w:vAlign w:val="bottom"/>
            <w:vMerge w:val="continue"/>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(Denominator)</w:t>
            </w:r>
          </w:p>
        </w:tc>
        <w:tc>
          <w:tcPr>
            <w:tcW w:w="3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9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Nine Months Ended September 30, 2014</w:t>
            </w: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7"/>
                <w:szCs w:val="17"/>
                <w:color w:val="auto"/>
              </w:rPr>
              <w:t>Basic and diluted net income per common share: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3,030</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Arial" w:cs="Arial" w:eastAsia="Arial" w:hAnsi="Arial"/>
                <w:sz w:val="17"/>
                <w:szCs w:val="17"/>
                <w:color w:val="auto"/>
              </w:rPr>
              <w:t>Net income attributed to participating securities</w:t>
            </w:r>
          </w:p>
        </w:tc>
        <w:tc>
          <w:tcPr>
            <w:tcW w:w="1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7"/>
                <w:szCs w:val="17"/>
                <w:color w:val="auto"/>
              </w:rPr>
              <w:t>(2,741)</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Basic and diluted net income attributed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289</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17,368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7"/>
                <w:szCs w:val="17"/>
                <w:b w:val="1"/>
                <w:bCs w:val="1"/>
                <w:color w:val="auto"/>
              </w:rPr>
              <w:t>Nine Months Ended September 30, 2015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loss per common share: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7"/>
                <w:szCs w:val="17"/>
                <w:color w:val="auto"/>
              </w:rPr>
              <w:t>(1,893)</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17,694</w:t>
            </w:r>
          </w:p>
        </w:tc>
        <w:tc>
          <w:tcPr>
            <w:tcW w:w="4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(0.11)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for the Nine Months Ended September 30, 2015</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7"/>
                <w:szCs w:val="17"/>
                <w:color w:val="auto"/>
              </w:rPr>
              <w:t>Basic and diluted net loss per common share: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(1,893)</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17,694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Arial" w:cs="Arial" w:eastAsia="Arial" w:hAnsi="Arial"/>
                <w:sz w:val="17"/>
                <w:szCs w:val="17"/>
                <w:color w:val="auto"/>
              </w:rPr>
              <w:t>Pro forma adjustment to reflect the assumed conversion of convertible preferred shares</w:t>
            </w:r>
          </w:p>
        </w:tc>
        <w:tc>
          <w:tcPr>
            <w:tcW w:w="14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53,210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Pro forma basic and diluted net loss per common share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(1,893)</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70,904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(0.03)</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Common stock equivalents issuable upon the conversion or exercise of dilutive securities that could potentially reduce net income per common share in the future that were excluded from the determination of diluted net loss per common share as their effects were antidilutive are as follows: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7"/>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560" w:type="dxa"/>
            <w:vAlign w:val="bottom"/>
          </w:tcPr>
          <w:p>
            <w:pPr>
              <w:spacing w:after="0"/>
              <w:rPr>
                <w:sz w:val="14"/>
                <w:szCs w:val="14"/>
                <w:color w:val="auto"/>
              </w:rPr>
            </w:pPr>
          </w:p>
        </w:tc>
        <w:tc>
          <w:tcPr>
            <w:tcW w:w="17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37"/>
        </w:trPr>
        <w:tc>
          <w:tcPr>
            <w:tcW w:w="3360" w:type="dxa"/>
            <w:vAlign w:val="bottom"/>
            <w:tcBorders>
              <w:bottom w:val="single" w:sz="8" w:color="CCEEFF"/>
            </w:tcBorders>
            <w:vMerge w:val="continue"/>
          </w:tcPr>
          <w:p>
            <w:pPr>
              <w:spacing w:after="0"/>
              <w:rPr>
                <w:sz w:val="11"/>
                <w:szCs w:val="11"/>
                <w:color w:val="auto"/>
              </w:rPr>
            </w:pPr>
          </w:p>
        </w:tc>
        <w:tc>
          <w:tcPr>
            <w:tcW w:w="356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61"/>
              <w:spacing w:after="0" w:line="137"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6"/>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35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40,737</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4580" w:type="dxa"/>
            <w:vAlign w:val="bottom"/>
            <w:gridSpan w:val="3"/>
          </w:tcPr>
          <w:p>
            <w:pPr>
              <w:jc w:val="right"/>
              <w:ind w:right="440"/>
              <w:spacing w:after="0"/>
              <w:rPr>
                <w:sz w:val="20"/>
                <w:szCs w:val="20"/>
                <w:color w:val="auto"/>
              </w:rPr>
            </w:pPr>
            <w:r>
              <w:rPr>
                <w:rFonts w:ascii="Arial" w:cs="Arial" w:eastAsia="Arial" w:hAnsi="Arial"/>
                <w:sz w:val="17"/>
                <w:szCs w:val="17"/>
                <w:color w:val="auto"/>
              </w:rPr>
              <w:t>7,265</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9,468</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preferred stock</w:t>
            </w:r>
          </w:p>
        </w:tc>
        <w:tc>
          <w:tcPr>
            <w:tcW w:w="45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1,775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2,064</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7"/>
                <w:szCs w:val="17"/>
                <w:color w:val="auto"/>
              </w:rPr>
              <w:t>Warrants to purchase common stock</w:t>
            </w:r>
          </w:p>
        </w:tc>
        <w:tc>
          <w:tcPr>
            <w:tcW w:w="35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822</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50,599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65,564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360" w:type="dxa"/>
            <w:vAlign w:val="bottom"/>
          </w:tcPr>
          <w:p>
            <w:pPr>
              <w:spacing w:after="0"/>
              <w:rPr>
                <w:sz w:val="24"/>
                <w:szCs w:val="24"/>
                <w:color w:val="auto"/>
              </w:rPr>
            </w:pPr>
          </w:p>
        </w:tc>
        <w:tc>
          <w:tcPr>
            <w:tcW w:w="4580" w:type="dxa"/>
            <w:vAlign w:val="bottom"/>
            <w:gridSpan w:val="3"/>
          </w:tcPr>
          <w:p>
            <w:pPr>
              <w:jc w:val="right"/>
              <w:ind w:right="3440"/>
              <w:spacing w:after="0"/>
              <w:rPr>
                <w:sz w:val="20"/>
                <w:szCs w:val="20"/>
                <w:color w:val="auto"/>
              </w:rPr>
            </w:pPr>
            <w:r>
              <w:rPr>
                <w:rFonts w:ascii="Arial" w:cs="Arial" w:eastAsia="Arial" w:hAnsi="Arial"/>
                <w:sz w:val="17"/>
                <w:szCs w:val="17"/>
                <w:color w:val="auto"/>
              </w:rPr>
              <w:t>F-31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which outlines a single comprehensive model for entities to use in accounting for revenue from contracts with customers and supersedes most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was originally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7"/>
                <w:szCs w:val="17"/>
                <w:b w:val="1"/>
                <w:bCs w:val="1"/>
                <w:color w:val="auto"/>
              </w:rPr>
              <w:t>3.</w:t>
            </w:r>
          </w:p>
        </w:tc>
        <w:tc>
          <w:tcPr>
            <w:tcW w:w="7040" w:type="dxa"/>
            <w:vAlign w:val="bottom"/>
            <w:gridSpan w:val="3"/>
          </w:tcPr>
          <w:p>
            <w:pPr>
              <w:ind w:left="160"/>
              <w:spacing w:after="0"/>
              <w:rPr>
                <w:sz w:val="20"/>
                <w:szCs w:val="20"/>
                <w:color w:val="auto"/>
              </w:rPr>
            </w:pPr>
            <w:r>
              <w:rPr>
                <w:rFonts w:ascii="Arial" w:cs="Arial" w:eastAsia="Arial" w:hAnsi="Arial"/>
                <w:sz w:val="17"/>
                <w:szCs w:val="17"/>
                <w:b w:val="1"/>
                <w:bCs w:val="1"/>
                <w:color w:val="auto"/>
              </w:rPr>
              <w:t>Balance Sheet Accounts and Supplemental Disclosures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734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Property and Equipment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Arial" w:cs="Arial" w:eastAsia="Arial" w:hAnsi="Arial"/>
                <w:sz w:val="17"/>
                <w:szCs w:val="17"/>
                <w:color w:val="auto"/>
              </w:rPr>
              <w:t>Property and equipment consist of the following:</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24"/>
                <w:szCs w:val="24"/>
                <w:color w:val="auto"/>
              </w:rPr>
            </w:pPr>
          </w:p>
        </w:tc>
        <w:tc>
          <w:tcPr>
            <w:tcW w:w="1400" w:type="dxa"/>
            <w:vAlign w:val="bottom"/>
            <w:gridSpan w:val="7"/>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Laboratory equipment</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3,031</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3,214</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93"/>
              <w:spacing w:after="0"/>
              <w:rPr>
                <w:sz w:val="20"/>
                <w:szCs w:val="20"/>
                <w:color w:val="auto"/>
              </w:rPr>
            </w:pPr>
            <w:r>
              <w:rPr>
                <w:rFonts w:ascii="Arial" w:cs="Arial" w:eastAsia="Arial" w:hAnsi="Arial"/>
                <w:sz w:val="17"/>
                <w:szCs w:val="17"/>
                <w:color w:val="auto"/>
                <w:w w:val="84"/>
              </w:rPr>
              <w:t>565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572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w w:val="84"/>
              </w:rPr>
              <w:t>338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338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4"/>
          </w:tcPr>
          <w:p>
            <w:pPr>
              <w:jc w:val="right"/>
              <w:ind w:right="293"/>
              <w:spacing w:after="0"/>
              <w:rPr>
                <w:sz w:val="20"/>
                <w:szCs w:val="20"/>
                <w:color w:val="auto"/>
              </w:rPr>
            </w:pPr>
            <w:r>
              <w:rPr>
                <w:rFonts w:ascii="Arial" w:cs="Arial" w:eastAsia="Arial" w:hAnsi="Arial"/>
                <w:sz w:val="17"/>
                <w:szCs w:val="17"/>
                <w:color w:val="auto"/>
              </w:rPr>
              <w:t>3,934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7"/>
                <w:szCs w:val="17"/>
                <w:color w:val="auto"/>
              </w:rPr>
              <w:t>4,124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33"/>
              <w:spacing w:after="0"/>
              <w:rPr>
                <w:sz w:val="20"/>
                <w:szCs w:val="20"/>
                <w:color w:val="auto"/>
              </w:rPr>
            </w:pPr>
            <w:r>
              <w:rPr>
                <w:rFonts w:ascii="Arial" w:cs="Arial" w:eastAsia="Arial" w:hAnsi="Arial"/>
                <w:sz w:val="17"/>
                <w:szCs w:val="17"/>
                <w:color w:val="auto"/>
              </w:rPr>
              <w:t>(3,355)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(3,560)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60" w:type="dxa"/>
            <w:vAlign w:val="bottom"/>
            <w:vMerge w:val="restart"/>
          </w:tcPr>
          <w:p>
            <w:pPr>
              <w:ind w:left="340"/>
              <w:spacing w:after="0"/>
              <w:rPr>
                <w:sz w:val="20"/>
                <w:szCs w:val="20"/>
                <w:color w:val="auto"/>
              </w:rPr>
            </w:pPr>
            <w:r>
              <w:rPr>
                <w:rFonts w:ascii="Arial" w:cs="Arial" w:eastAsia="Arial" w:hAnsi="Arial"/>
                <w:sz w:val="17"/>
                <w:szCs w:val="17"/>
                <w:color w:val="auto"/>
              </w:rPr>
              <w:t>Total property and equipment, net</w:t>
            </w: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93"/>
              <w:spacing w:after="0"/>
              <w:rPr>
                <w:sz w:val="20"/>
                <w:szCs w:val="20"/>
                <w:color w:val="auto"/>
              </w:rPr>
            </w:pPr>
            <w:r>
              <w:rPr>
                <w:rFonts w:ascii="Arial" w:cs="Arial" w:eastAsia="Arial" w:hAnsi="Arial"/>
                <w:sz w:val="17"/>
                <w:szCs w:val="17"/>
                <w:color w:val="auto"/>
                <w:w w:val="84"/>
              </w:rPr>
              <w:t>579</w:t>
            </w:r>
          </w:p>
        </w:tc>
        <w:tc>
          <w:tcPr>
            <w:tcW w:w="30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564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4"/>
            <w:vMerge w:val="restart"/>
          </w:tcPr>
          <w:p>
            <w:pPr>
              <w:spacing w:after="0"/>
              <w:rPr>
                <w:sz w:val="20"/>
                <w:szCs w:val="20"/>
                <w:color w:val="auto"/>
              </w:rPr>
            </w:pPr>
            <w:r>
              <w:rPr>
                <w:rFonts w:ascii="Arial" w:cs="Arial" w:eastAsia="Arial" w:hAnsi="Arial"/>
                <w:sz w:val="17"/>
                <w:szCs w:val="17"/>
                <w:b w:val="1"/>
                <w:bCs w:val="1"/>
                <w:i w:val="1"/>
                <w:iCs w:val="1"/>
                <w:color w:val="auto"/>
              </w:rPr>
              <w:t>Accrued Expenses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73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0" w:type="dxa"/>
            <w:vAlign w:val="bottom"/>
          </w:tcPr>
          <w:p>
            <w:pPr>
              <w:spacing w:after="0"/>
              <w:rPr>
                <w:sz w:val="24"/>
                <w:szCs w:val="24"/>
                <w:color w:val="auto"/>
              </w:rPr>
            </w:pPr>
          </w:p>
        </w:tc>
        <w:tc>
          <w:tcPr>
            <w:tcW w:w="7040" w:type="dxa"/>
            <w:vAlign w:val="bottom"/>
            <w:gridSpan w:val="3"/>
          </w:tcPr>
          <w:p>
            <w:pPr>
              <w:ind w:left="160"/>
              <w:spacing w:after="0"/>
              <w:rPr>
                <w:sz w:val="20"/>
                <w:szCs w:val="20"/>
                <w:color w:val="auto"/>
              </w:rPr>
            </w:pPr>
            <w:r>
              <w:rPr>
                <w:rFonts w:ascii="Arial" w:cs="Arial" w:eastAsia="Arial" w:hAnsi="Arial"/>
                <w:sz w:val="17"/>
                <w:szCs w:val="17"/>
                <w:color w:val="auto"/>
              </w:rPr>
              <w:t>Accrued expenses consist of the following:</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20" w:type="dxa"/>
            <w:vAlign w:val="bottom"/>
            <w:tcBorders>
              <w:bottom w:val="single" w:sz="8" w:color="CCEEFF"/>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compensation and related expenses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center"/>
              <w:ind w:right="1"/>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Accrued professional fees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research and contract manufacturing expenses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293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815</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7"/>
                <w:szCs w:val="17"/>
                <w:color w:val="auto"/>
              </w:rPr>
              <w:t>171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Total accrued expenses</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left="36"/>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1,052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2,111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ind w:left="460" w:hanging="455"/>
        <w:spacing w:after="0"/>
        <w:tabs>
          <w:tab w:leader="none" w:pos="46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Collaborative Research and Development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TESARO Collaboration</w:t>
      </w:r>
    </w:p>
    <w:p>
      <w:pPr>
        <w:spacing w:after="0" w:line="119"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In March 2014, we entered into a Collaboration and Exclusive License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360"/>
          </w:cols>
          <w:pgMar w:left="240" w:top="449" w:right="29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In November 2014, we and TESARO entered into Amendment No. 1 to the Agreement to add an antibody discovery program against a fourth target for an upfront license fee of $2.0 million.</w:t>
      </w:r>
    </w:p>
    <w:p>
      <w:pPr>
        <w:spacing w:after="0" w:line="158"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 xml:space="preserve">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In June 2015, TESARO notified us that they had initiated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using good laboratory practices for the anti-PD-1 antagonist antibody (TSR-042), resulting in a $1.0 million milestone payment, which we received in July 2015.</w:t>
      </w:r>
    </w:p>
    <w:p>
      <w:pPr>
        <w:spacing w:after="0" w:line="185"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We determined that the upfront license fees, milestone payments that are not considered substantive and research funding under the agreement, as amended, should be accounted for as a single unit of accounting, and that the upfront license fees and such milestone payments should be deferred and recognized as revenue over the same period that the research and development services are performed. As a result, the $17.0 million and $2.0 million license fees have been deferred and are being recognized as revenue ratably over the research periods specified in the contract of 24 and 16 months, respectively. In addition, we recognized revenue of $0.7 million during the nine months ended September 30, 2015 for the achievement of the $1.0 million milestone, with the remaining $0.3 million of the milestone to be recognized ratably through the end of the specified contract, in March 2016. Revenue from the remaining contingent milestone payments will be recognized if and when such payments become due, subject to satisfaction of all of the criteria necessary to recognize revenue at that time.</w:t>
      </w:r>
    </w:p>
    <w:p>
      <w:pPr>
        <w:spacing w:after="0" w:line="157"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Revenue recognized during the nine months ended September 30, 2014 under the TESARO agreement aggregated $7.8 million, which includes $4.7 million for the amortization of the upfront fee and $3.1 million in funding for research and development services. Revenue recognized under this agreement aggregated $13.5 million during the nine months ended September 30, 2015, which includes $8.2 million for the amortization of the upfront fees and milestone payment, and $5.3 million in funding for research and development services. Amounts receivable from TESARO at December 31, 2014 and September 30, 2015 were $1.5 million and $1.9 million, respectively. Deferred revenue for this agreement was $12.0 million and $4.8 million at December 31, 2014 and September 30, 2015,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Celgene Antibody Generation Agreement</w:t>
      </w:r>
    </w:p>
    <w:p>
      <w:pPr>
        <w:spacing w:after="0" w:line="119"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In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upfront fee of $6.0 million, followed by a success fee of $0.5 million upon successful delivery of therapeutic antibodies against each of the targets involved.</w:t>
      </w:r>
    </w:p>
    <w:p>
      <w:pPr>
        <w:spacing w:after="0" w:line="178"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The upfront payment was recognized as revenue ratably over the estimated time to project completion through February 2014. Revenue recognized under this agreement during the nine months ended September 30, 2014 aggregated $0.6 million and includes $0.5 million for a success fee and $0.1 million for funding of research and development.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20"/>
          </w:cols>
          <w:pgMar w:left="240" w:top="449" w:right="23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Momenta Antibody Generation Agreement</w:t>
      </w:r>
    </w:p>
    <w:p>
      <w:pPr>
        <w:spacing w:after="0" w:line="119"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In December 2013, we entered into an Antibody Generation Agreement, which expired in 2014,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which occurred in the third quarter of 2014.</w:t>
      </w:r>
    </w:p>
    <w:p>
      <w:pPr>
        <w:spacing w:after="0" w:line="178"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The upfront payment was recognized as revenue ratably over the estimated time to project completion, or nine months, beginning January 2014 when the project commenced. Revenue recognized during the nine months ended September 30, 2014 aggregated $3.1 million, which represents amortization of the $1.1 million upfront fee and a $2.0 million success fee.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Collaborative Agreements</w:t>
      </w:r>
    </w:p>
    <w:p>
      <w:pPr>
        <w:spacing w:after="0" w:line="119" w:lineRule="exact"/>
        <w:rPr>
          <w:sz w:val="20"/>
          <w:szCs w:val="20"/>
          <w:color w:val="auto"/>
        </w:rPr>
      </w:pPr>
    </w:p>
    <w:p>
      <w:pPr>
        <w:jc w:val="both"/>
        <w:ind w:right="40" w:firstLine="457"/>
        <w:spacing w:after="0" w:line="297" w:lineRule="auto"/>
        <w:rPr>
          <w:sz w:val="20"/>
          <w:szCs w:val="20"/>
          <w:color w:val="auto"/>
        </w:rPr>
      </w:pPr>
      <w:r>
        <w:rPr>
          <w:rFonts w:ascii="Arial" w:cs="Arial" w:eastAsia="Arial" w:hAnsi="Arial"/>
          <w:sz w:val="16"/>
          <w:szCs w:val="16"/>
          <w:color w:val="auto"/>
        </w:rPr>
        <w:t>During the nine months ended September 30, 2014, we recognized revenue from other collaborative partners aggregating $0.6 million, for the development of antibodies for specified targets. Revenue from these agreements consisted of a final payment and the amortization of upfront payments that were recognized as the related services were provided. Our obligations under these collaborative agreements were completed by the end of 2014.</w:t>
      </w:r>
    </w:p>
    <w:p>
      <w:pPr>
        <w:spacing w:after="0" w:line="293" w:lineRule="exact"/>
        <w:rPr>
          <w:sz w:val="20"/>
          <w:szCs w:val="20"/>
          <w:color w:val="auto"/>
        </w:rPr>
      </w:pPr>
    </w:p>
    <w:p>
      <w:pPr>
        <w:ind w:left="460" w:hanging="455"/>
        <w:spacing w:after="0"/>
        <w:tabs>
          <w:tab w:leader="none" w:pos="46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Notes Payable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Notes Payable</w:t>
      </w:r>
    </w:p>
    <w:p>
      <w:pPr>
        <w:spacing w:after="0" w:line="119"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In December 2014, we entered into a Loan and Security Agreement with a bank and a financial institution whereby we may borrow up to $15.0 million in three separate draws of $5.0 million each. The Term A Loans, for an aggregate of $5.0 million, were drawn on December 24, 2014. The Term B Loans for an aggregate of $5.0 million are available for draw through December 31, 2015, contingent upon our first multi-dose PK/toxicology studies on at least two development programs and the Term C Loans for an aggregate of $5.0 million are available for draw through December 31, 2016, contingent upon receiving FDA approval on IND submission on at least two development programs. The Term A Loans each bear a fixed rate of interest of 6.97% and are due in 12 monthly interest-only payments through January 2016, followed by 36 equal monthly principal and interest payments, with final maturity in January 2019.</w:t>
      </w:r>
    </w:p>
    <w:p>
      <w:pPr>
        <w:spacing w:after="0" w:line="165" w:lineRule="exact"/>
        <w:rPr>
          <w:sz w:val="20"/>
          <w:szCs w:val="20"/>
          <w:color w:val="auto"/>
        </w:rPr>
      </w:pPr>
    </w:p>
    <w:p>
      <w:pPr>
        <w:ind w:right="20" w:firstLine="457"/>
        <w:spacing w:after="0" w:line="289" w:lineRule="auto"/>
        <w:rPr>
          <w:sz w:val="20"/>
          <w:szCs w:val="20"/>
          <w:color w:val="auto"/>
        </w:rPr>
      </w:pPr>
      <w:r>
        <w:rPr>
          <w:rFonts w:ascii="Arial" w:cs="Arial" w:eastAsia="Arial" w:hAnsi="Arial"/>
          <w:sz w:val="16"/>
          <w:szCs w:val="16"/>
          <w:color w:val="auto"/>
        </w:rPr>
        <w:t>Upon the issuance of the Term B Loans, the interest-only periods for both the Term A and B Loans are extended by six months through July 2016, followed by 30 equal monthly principal and interest payments, with final maturity of all Loans in January 2019. Upon the issuance of the Term C Loans, the interest-only periods for all Loans are further extended by six months through January 2017, followed by 24 equal monthly principal and interest payments, with final maturity of Loans in January 2019. If the Term B and C Loans are issued, they will bear interest at the greater of 6.95% or the 3-month LIBOR plus 6.72%.</w:t>
      </w:r>
    </w:p>
    <w:p>
      <w:pPr>
        <w:spacing w:after="0" w:line="161"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The costs incurred to issue the Term A Loans of $85,000 were deferred and are included in the discount to the carrying value of the Term A Loans in the accompanying balance sheet. The Term A Loans also include a final payment fee of $250,000 due at the earlier of prepayment or the maturity date of the Term A Loans. The deferred costs and the final payment fee will be amortized to interest expense over the expected term of the Term A Loans using the effective interest method.</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In connection with the Loan and Security Agreement,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$124,000 was recorded as a liability, and presented as an offset to the carrying value of the Term A Loans. The offset will be recognized as additional</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360"/>
          </w:cols>
          <w:pgMar w:left="240" w:top="449" w:right="29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 In July 2015, and upon the closing of our Series D Preferred Stock financing, the anti-dilution provision for these warrants expired and resulted in the reclassification from Preferred stock warrant liabilities to Additional paid in capital on the Consolidated Balance Sheets.</w:t>
      </w:r>
    </w:p>
    <w:p>
      <w:pPr>
        <w:spacing w:after="0" w:line="161"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At December 31, 2014 and September 30, 2015, the carrying amounts of the Term A Loans were $4.8 million and $4.9 million, net of discounts of $209,000 and $124,000, respectively. The effective interest rate on the Term A Loans at September 30, 2015 was 9.25%. As of September 30, 2015, future maturities of the Term A Loans were $1.4 million, $1.7 million, $1.8 million, and $153,000 in 2016, 2017, 2018 and 2019, respectively.</w:t>
      </w:r>
    </w:p>
    <w:p>
      <w:pPr>
        <w:spacing w:after="0" w:line="171" w:lineRule="exact"/>
        <w:rPr>
          <w:sz w:val="20"/>
          <w:szCs w:val="20"/>
          <w:color w:val="auto"/>
        </w:rPr>
      </w:pPr>
    </w:p>
    <w:p>
      <w:pPr>
        <w:jc w:val="both"/>
        <w:ind w:right="120" w:firstLine="457"/>
        <w:spacing w:after="0" w:line="273" w:lineRule="auto"/>
        <w:rPr>
          <w:sz w:val="20"/>
          <w:szCs w:val="20"/>
          <w:color w:val="auto"/>
        </w:rPr>
      </w:pPr>
      <w:r>
        <w:rPr>
          <w:rFonts w:ascii="Arial" w:cs="Arial" w:eastAsia="Arial" w:hAnsi="Arial"/>
          <w:sz w:val="17"/>
          <w:szCs w:val="17"/>
          <w:color w:val="auto"/>
        </w:rPr>
        <w:t>The Term A Loans are secured by a first priority interest in most of our assets, excluding intellectual property. We are also required to maintain a minimum of 50% of our operating and investment account balances at all times with one of the lenders. At September 30, 2015, we were in compliance with the covenants contained in the Loan and Security Agreement.</w:t>
      </w:r>
    </w:p>
    <w:p>
      <w:pPr>
        <w:spacing w:after="0" w:line="309" w:lineRule="exact"/>
        <w:rPr>
          <w:sz w:val="20"/>
          <w:szCs w:val="20"/>
          <w:color w:val="auto"/>
        </w:rPr>
      </w:pPr>
    </w:p>
    <w:p>
      <w:pPr>
        <w:ind w:left="460" w:hanging="455"/>
        <w:spacing w:after="0"/>
        <w:tabs>
          <w:tab w:leader="none" w:pos="46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 on a Recurring Basis</w:t>
      </w:r>
    </w:p>
    <w:p>
      <w:pPr>
        <w:spacing w:after="0" w:line="125"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The following table summarizes our assets and liabilities that require fair value measurements on a recurring basis and their respective input levels based on the fair value hierarchy: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1600" w:type="dxa"/>
            <w:vAlign w:val="bottom"/>
            <w:gridSpan w:val="3"/>
          </w:tcPr>
          <w:p>
            <w:pPr>
              <w:jc w:val="right"/>
              <w:ind w:right="860"/>
              <w:spacing w:after="0" w:line="115" w:lineRule="exact"/>
              <w:rPr>
                <w:sz w:val="20"/>
                <w:szCs w:val="20"/>
                <w:color w:val="auto"/>
              </w:rPr>
            </w:pPr>
            <w:r>
              <w:rPr>
                <w:rFonts w:ascii="Arial" w:cs="Arial" w:eastAsia="Arial" w:hAnsi="Arial"/>
                <w:sz w:val="13"/>
                <w:szCs w:val="13"/>
                <w:b w:val="1"/>
                <w:bCs w:val="1"/>
                <w:color w:val="auto"/>
              </w:rPr>
              <w:t>Significant</w:t>
            </w:r>
          </w:p>
        </w:tc>
        <w:tc>
          <w:tcPr>
            <w:tcW w:w="100" w:type="dxa"/>
            <w:vAlign w:val="bottom"/>
          </w:tcPr>
          <w:p>
            <w:pPr>
              <w:spacing w:after="0"/>
              <w:rPr>
                <w:sz w:val="9"/>
                <w:szCs w:val="9"/>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600" w:type="dxa"/>
            <w:vAlign w:val="bottom"/>
            <w:gridSpan w:val="3"/>
          </w:tcPr>
          <w:p>
            <w:pPr>
              <w:jc w:val="center"/>
              <w:ind w:right="760"/>
              <w:spacing w:after="0" w:line="144"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940"/>
              <w:spacing w:after="0" w:line="144" w:lineRule="exact"/>
              <w:rPr>
                <w:sz w:val="20"/>
                <w:szCs w:val="20"/>
                <w:color w:val="auto"/>
              </w:rPr>
            </w:pPr>
            <w:r>
              <w:rPr>
                <w:rFonts w:ascii="Arial" w:cs="Arial" w:eastAsia="Arial" w:hAnsi="Arial"/>
                <w:sz w:val="14"/>
                <w:szCs w:val="14"/>
                <w:b w:val="1"/>
                <w:bCs w:val="1"/>
                <w:color w:val="auto"/>
                <w:w w:val="86"/>
              </w:rPr>
              <w:t>Prices for</w:t>
            </w:r>
          </w:p>
        </w:tc>
        <w:tc>
          <w:tcPr>
            <w:tcW w:w="1600" w:type="dxa"/>
            <w:vAlign w:val="bottom"/>
            <w:gridSpan w:val="3"/>
          </w:tcPr>
          <w:p>
            <w:pPr>
              <w:jc w:val="right"/>
              <w:ind w:right="840"/>
              <w:spacing w:after="0" w:line="144" w:lineRule="exact"/>
              <w:rPr>
                <w:sz w:val="20"/>
                <w:szCs w:val="20"/>
                <w:color w:val="auto"/>
              </w:rPr>
            </w:pPr>
            <w:r>
              <w:rPr>
                <w:rFonts w:ascii="Arial" w:cs="Arial" w:eastAsia="Arial" w:hAnsi="Arial"/>
                <w:sz w:val="14"/>
                <w:szCs w:val="14"/>
                <w:b w:val="1"/>
                <w:bCs w:val="1"/>
                <w:color w:val="auto"/>
                <w:w w:val="96"/>
              </w:rPr>
              <w:t>Observable</w:t>
            </w:r>
          </w:p>
        </w:tc>
        <w:tc>
          <w:tcPr>
            <w:tcW w:w="960" w:type="dxa"/>
            <w:vAlign w:val="bottom"/>
            <w:gridSpan w:val="3"/>
          </w:tcPr>
          <w:p>
            <w:pPr>
              <w:jc w:val="center"/>
              <w:ind w:right="80"/>
              <w:spacing w:after="0" w:line="144"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4"/>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760" w:type="dxa"/>
            <w:vAlign w:val="bottom"/>
            <w:gridSpan w:val="3"/>
          </w:tcPr>
          <w:p>
            <w:pPr>
              <w:ind w:left="20"/>
              <w:spacing w:after="0" w:line="144" w:lineRule="exact"/>
              <w:rPr>
                <w:sz w:val="20"/>
                <w:szCs w:val="20"/>
                <w:color w:val="auto"/>
              </w:rPr>
            </w:pPr>
            <w:r>
              <w:rPr>
                <w:rFonts w:ascii="Arial" w:cs="Arial" w:eastAsia="Arial" w:hAnsi="Arial"/>
                <w:sz w:val="14"/>
                <w:szCs w:val="14"/>
                <w:b w:val="1"/>
                <w:bCs w:val="1"/>
                <w:color w:val="auto"/>
              </w:rPr>
              <w:t>Identical Assets</w:t>
            </w:r>
          </w:p>
        </w:tc>
        <w:tc>
          <w:tcPr>
            <w:tcW w:w="1600" w:type="dxa"/>
            <w:vAlign w:val="bottom"/>
            <w:gridSpan w:val="3"/>
          </w:tcPr>
          <w:p>
            <w:pPr>
              <w:jc w:val="center"/>
              <w:ind w:right="760"/>
              <w:spacing w:after="0" w:line="144"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7"/>
        </w:trPr>
        <w:tc>
          <w:tcPr>
            <w:tcW w:w="568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(Level 1)</w:t>
            </w:r>
          </w:p>
        </w:tc>
        <w:tc>
          <w:tcPr>
            <w:tcW w:w="16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70"/>
        </w:trPr>
        <w:tc>
          <w:tcPr>
            <w:tcW w:w="1640" w:type="dxa"/>
            <w:vAlign w:val="bottom"/>
            <w:tcBorders>
              <w:top w:val="single" w:sz="8" w:color="CCEEFF"/>
              <w:bottom w:val="single" w:sz="8" w:color="auto"/>
            </w:tcBorders>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2"/>
              </w:rPr>
              <w:t>At December 31, 2014</w:t>
            </w:r>
          </w:p>
        </w:tc>
        <w:tc>
          <w:tcPr>
            <w:tcW w:w="40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80" w:type="dxa"/>
            <w:vAlign w:val="bottom"/>
            <w:gridSpan w:val="3"/>
          </w:tcPr>
          <w:p>
            <w:pPr>
              <w:spacing w:after="0"/>
              <w:rPr>
                <w:sz w:val="20"/>
                <w:szCs w:val="20"/>
                <w:color w:val="auto"/>
              </w:rPr>
            </w:pPr>
            <w:r>
              <w:rPr>
                <w:rFonts w:ascii="Arial" w:cs="Arial" w:eastAsia="Arial" w:hAnsi="Arial"/>
                <w:sz w:val="17"/>
                <w:szCs w:val="17"/>
                <w:color w:val="auto"/>
              </w:rPr>
              <w:t>Money market funds</w:t>
            </w:r>
            <w:r>
              <w:rPr>
                <w:rFonts w:ascii="Arial" w:cs="Arial" w:eastAsia="Arial" w:hAnsi="Arial"/>
                <w:sz w:val="14"/>
                <w:szCs w:val="14"/>
                <w:color w:val="auto"/>
              </w:rPr>
              <w:t>(1)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w w:val="92"/>
              </w:rPr>
              <w:t>14,736</w:t>
            </w:r>
          </w:p>
        </w:tc>
        <w:tc>
          <w:tcPr>
            <w:tcW w:w="5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800"/>
              <w:spacing w:after="0"/>
              <w:rPr>
                <w:sz w:val="20"/>
                <w:szCs w:val="20"/>
                <w:color w:val="auto"/>
              </w:rPr>
            </w:pPr>
            <w:r>
              <w:rPr>
                <w:rFonts w:ascii="Arial" w:cs="Arial" w:eastAsia="Arial" w:hAnsi="Arial"/>
                <w:sz w:val="17"/>
                <w:szCs w:val="17"/>
                <w:color w:val="auto"/>
              </w:rPr>
              <w:t>14,736</w:t>
            </w:r>
          </w:p>
        </w:tc>
        <w:tc>
          <w:tcPr>
            <w:tcW w:w="500" w:type="dxa"/>
            <w:vAlign w:val="bottom"/>
          </w:tcPr>
          <w:p>
            <w:pPr>
              <w:jc w:val="center"/>
              <w:ind w:left="226"/>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Mutual funds</w:t>
            </w: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7,227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7,227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680" w:type="dxa"/>
            <w:vAlign w:val="bottom"/>
            <w:gridSpan w:val="3"/>
          </w:tcPr>
          <w:p>
            <w:pPr>
              <w:spacing w:after="0"/>
              <w:rPr>
                <w:sz w:val="20"/>
                <w:szCs w:val="20"/>
                <w:color w:val="auto"/>
              </w:rPr>
            </w:pPr>
            <w:r>
              <w:rPr>
                <w:rFonts w:ascii="Arial" w:cs="Arial" w:eastAsia="Arial" w:hAnsi="Arial"/>
                <w:sz w:val="17"/>
                <w:szCs w:val="17"/>
                <w:color w:val="auto"/>
              </w:rPr>
              <w:t>U.S. treasury security</w:t>
            </w: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7"/>
                <w:szCs w:val="17"/>
                <w:color w:val="auto"/>
              </w:rPr>
              <w:t>90</w:t>
            </w:r>
          </w:p>
        </w:tc>
        <w:tc>
          <w:tcPr>
            <w:tcW w:w="500" w:type="dxa"/>
            <w:vAlign w:val="bottom"/>
          </w:tcPr>
          <w:p>
            <w:pPr>
              <w:spacing w:after="0"/>
              <w:rPr>
                <w:sz w:val="18"/>
                <w:szCs w:val="18"/>
                <w:color w:val="auto"/>
              </w:rPr>
            </w:pPr>
          </w:p>
        </w:tc>
        <w:tc>
          <w:tcPr>
            <w:tcW w:w="110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Preferred stock warrant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569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85"/>
        </w:trPr>
        <w:tc>
          <w:tcPr>
            <w:tcW w:w="5680" w:type="dxa"/>
            <w:vAlign w:val="bottom"/>
            <w:gridSpan w:val="3"/>
          </w:tcPr>
          <w:p>
            <w:pPr>
              <w:spacing w:after="0"/>
              <w:rPr>
                <w:sz w:val="20"/>
                <w:szCs w:val="20"/>
                <w:color w:val="auto"/>
              </w:rPr>
            </w:pPr>
            <w:r>
              <w:rPr>
                <w:rFonts w:ascii="Arial" w:cs="Arial" w:eastAsia="Arial" w:hAnsi="Arial"/>
                <w:sz w:val="17"/>
                <w:szCs w:val="17"/>
                <w:b w:val="1"/>
                <w:bCs w:val="1"/>
                <w:color w:val="auto"/>
              </w:rPr>
              <w:t>At September 30, 2015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6"/>
              </w:rPr>
              <w:t>Money market funds</w:t>
            </w:r>
            <w:r>
              <w:rPr>
                <w:rFonts w:ascii="Arial" w:cs="Arial" w:eastAsia="Arial" w:hAnsi="Arial"/>
                <w:sz w:val="14"/>
                <w:szCs w:val="14"/>
                <w:color w:val="auto"/>
                <w:w w:val="96"/>
              </w:rPr>
              <w:t>(1)</w:t>
            </w:r>
          </w:p>
        </w:tc>
        <w:tc>
          <w:tcPr>
            <w:tcW w:w="4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6,737</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6,737</w:t>
            </w:r>
          </w:p>
        </w:tc>
        <w:tc>
          <w:tcPr>
            <w:tcW w:w="500" w:type="dxa"/>
            <w:vAlign w:val="bottom"/>
            <w:shd w:val="clear" w:color="auto" w:fill="CCEEFF"/>
          </w:tcPr>
          <w:p>
            <w:pPr>
              <w:jc w:val="center"/>
              <w:ind w:left="226"/>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680" w:type="dxa"/>
            <w:vAlign w:val="bottom"/>
            <w:gridSpan w:val="3"/>
          </w:tcPr>
          <w:p>
            <w:pPr>
              <w:spacing w:after="0"/>
              <w:rPr>
                <w:sz w:val="20"/>
                <w:szCs w:val="20"/>
                <w:color w:val="auto"/>
              </w:rPr>
            </w:pPr>
            <w:r>
              <w:rPr>
                <w:rFonts w:ascii="Arial" w:cs="Arial" w:eastAsia="Arial" w:hAnsi="Arial"/>
                <w:sz w:val="17"/>
                <w:szCs w:val="17"/>
                <w:color w:val="auto"/>
              </w:rPr>
              <w:t>Mutual funds</w:t>
            </w: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w w:val="92"/>
              </w:rPr>
              <w:t>44,208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7"/>
                <w:szCs w:val="17"/>
                <w:color w:val="auto"/>
              </w:rPr>
              <w:t>44,208</w:t>
            </w:r>
          </w:p>
        </w:tc>
        <w:tc>
          <w:tcPr>
            <w:tcW w:w="500" w:type="dxa"/>
            <w:vAlign w:val="bottom"/>
          </w:tcPr>
          <w:p>
            <w:pPr>
              <w:spacing w:after="0"/>
              <w:rPr>
                <w:sz w:val="18"/>
                <w:szCs w:val="18"/>
                <w:color w:val="auto"/>
              </w:rPr>
            </w:pPr>
          </w:p>
        </w:tc>
        <w:tc>
          <w:tcPr>
            <w:tcW w:w="110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security</w:t>
            </w: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90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680" w:type="dxa"/>
            <w:vAlign w:val="bottom"/>
            <w:gridSpan w:val="3"/>
          </w:tcPr>
          <w:p>
            <w:pPr>
              <w:spacing w:after="0"/>
              <w:rPr>
                <w:sz w:val="20"/>
                <w:szCs w:val="20"/>
                <w:color w:val="auto"/>
              </w:rPr>
            </w:pPr>
            <w:r>
              <w:rPr>
                <w:rFonts w:ascii="Arial" w:cs="Arial" w:eastAsia="Arial" w:hAnsi="Arial"/>
                <w:sz w:val="17"/>
                <w:szCs w:val="17"/>
                <w:color w:val="auto"/>
              </w:rPr>
              <w:t>Preferred stock warrant liabilities</w:t>
            </w: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rPr>
              <w:t>1,800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10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7"/>
                <w:szCs w:val="17"/>
                <w:color w:val="auto"/>
              </w:rPr>
              <w:t>1,800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32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39" w:lineRule="exact"/>
        <w:rPr>
          <w:sz w:val="20"/>
          <w:szCs w:val="20"/>
          <w:color w:val="auto"/>
        </w:rPr>
      </w:pPr>
    </w:p>
    <w:p>
      <w:pPr>
        <w:ind w:left="460" w:hanging="455"/>
        <w:spacing w:after="0"/>
        <w:tabs>
          <w:tab w:leader="none" w:pos="4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Included in cash and cash equivalents in the accompanying balance sheets.</w:t>
      </w:r>
    </w:p>
    <w:p>
      <w:pPr>
        <w:spacing w:after="0" w:line="26" w:lineRule="exact"/>
        <w:rPr>
          <w:rFonts w:ascii="Arial" w:cs="Arial" w:eastAsia="Arial" w:hAnsi="Arial"/>
          <w:sz w:val="17"/>
          <w:szCs w:val="17"/>
          <w:color w:val="auto"/>
        </w:rPr>
      </w:pPr>
    </w:p>
    <w:p>
      <w:pPr>
        <w:ind w:left="460" w:hanging="455"/>
        <w:spacing w:after="0"/>
        <w:tabs>
          <w:tab w:leader="none" w:pos="4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Included in cash and cash equivalents and restricted cash in the accompanying balance sheets.</w:t>
      </w:r>
    </w:p>
    <w:p>
      <w:pPr>
        <w:spacing w:after="0" w:line="212" w:lineRule="exact"/>
        <w:rPr>
          <w:sz w:val="20"/>
          <w:szCs w:val="20"/>
          <w:color w:val="auto"/>
        </w:rPr>
      </w:pPr>
    </w:p>
    <w:p>
      <w:pPr>
        <w:jc w:val="both"/>
        <w:ind w:right="100" w:firstLine="457"/>
        <w:spacing w:after="0" w:line="273"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For fair values determined by Level 1 inputs, which utilize quoted prices in active markets for identical assets, the level of judgment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estimate fair value is relatively low. The fair values of investments in money market funds, mutual funds and U.S. treasury securities were determined using Level 1 inputs.</w:t>
      </w:r>
    </w:p>
    <w:p>
      <w:pPr>
        <w:spacing w:after="0" w:line="171"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i w:val="1"/>
          <w:iCs w:val="1"/>
          <w:color w:val="auto"/>
        </w:rPr>
        <w:t xml:space="preserve">Warrant Liabilities. </w:t>
      </w:r>
      <w:r>
        <w:rPr>
          <w:rFonts w:ascii="Arial" w:cs="Arial" w:eastAsia="Arial" w:hAnsi="Arial"/>
          <w:sz w:val="17"/>
          <w:szCs w:val="17"/>
          <w:color w:val="auto"/>
        </w:rPr>
        <w:t>Our preferred stock warrants are accounted for as derivative liabilities and measured at fair value on a recurring basis as they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420"/>
          </w:cols>
          <w:pgMar w:left="240" w:top="449" w:right="2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 Black-</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Scholes option-pricing model as of the following dates: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7"/>
        </w:trPr>
        <w:tc>
          <w:tcPr>
            <w:tcW w:w="65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preferred stock</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7"/>
                <w:szCs w:val="17"/>
                <w:color w:val="auto"/>
              </w:rPr>
              <w:t>Exercise price</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7"/>
                <w:szCs w:val="17"/>
                <w:color w:val="auto"/>
              </w:rPr>
              <w:t>0.65</w:t>
            </w:r>
          </w:p>
        </w:tc>
        <w:tc>
          <w:tcPr>
            <w:tcW w:w="6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0.65</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1.26%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0.92%</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7"/>
                <w:szCs w:val="17"/>
                <w:color w:val="auto"/>
              </w:rPr>
              <w:t>Volatility</w:t>
            </w: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61.3%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7"/>
                <w:szCs w:val="17"/>
                <w:color w:val="auto"/>
              </w:rPr>
              <w:t>Contractual term (in years)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measurement date fair value per share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0.28</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Prior to 2015, we determined the fair value of our preferred stock warrants on an annual basis. In accordance with accounting guidance for interim reporting, we have recognized $44,000 as a ratable portion of the annual expense for the change in fair value in the statement of operations for the nine months ended September 30, 2014.</w:t>
      </w:r>
    </w:p>
    <w:p>
      <w:pPr>
        <w:spacing w:after="0" w:line="171"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A 10% increase in the fair values of preferred stock at December 31, 2014 and September 30, 2015 would result in increases in the estimated fair values of the preferred stock warrant liabilities of $89,000 and $0.2 million,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in liabilities measured at fair value on a recurring basis using significant unobservable inputs (Level 3 Inputs):</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7"/>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spacing w:after="0"/>
              <w:rPr>
                <w:sz w:val="14"/>
                <w:szCs w:val="14"/>
                <w:color w:val="auto"/>
              </w:rPr>
            </w:pPr>
          </w:p>
        </w:tc>
        <w:tc>
          <w:tcPr>
            <w:tcW w:w="16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37"/>
        </w:trPr>
        <w:tc>
          <w:tcPr>
            <w:tcW w:w="6100" w:type="dxa"/>
            <w:vAlign w:val="bottom"/>
            <w:tcBorders>
              <w:bottom w:val="single" w:sz="8" w:color="CCEEFF"/>
            </w:tcBorders>
            <w:vMerge w:val="continue"/>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
              <w:spacing w:after="0" w:line="137"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Preferred Stock Warrant Liabilities:</w:t>
            </w:r>
          </w:p>
        </w:tc>
        <w:tc>
          <w:tcPr>
            <w:tcW w:w="1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7"/>
                <w:szCs w:val="17"/>
                <w:color w:val="auto"/>
              </w:rPr>
              <w:t>Beginning balance</w:t>
            </w:r>
          </w:p>
        </w:tc>
        <w:tc>
          <w:tcPr>
            <w:tcW w:w="2540" w:type="dxa"/>
            <w:vAlign w:val="bottom"/>
            <w:gridSpan w:val="3"/>
          </w:tcPr>
          <w:p>
            <w:pPr>
              <w:jc w:val="right"/>
              <w:ind w:right="260"/>
              <w:spacing w:after="0"/>
              <w:rPr>
                <w:sz w:val="20"/>
                <w:szCs w:val="20"/>
                <w:color w:val="auto"/>
              </w:rPr>
            </w:pPr>
            <w:r>
              <w:rPr>
                <w:rFonts w:ascii="Arial" w:cs="Arial" w:eastAsia="Arial" w:hAnsi="Arial"/>
                <w:sz w:val="17"/>
                <w:szCs w:val="17"/>
                <w:color w:val="auto"/>
              </w:rPr>
              <w:t>$(386)</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Unrealized net losses included in other income (expense), net</w:t>
            </w:r>
          </w:p>
        </w:tc>
        <w:tc>
          <w:tcPr>
            <w:tcW w:w="25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(1,528)</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7"/>
                <w:szCs w:val="17"/>
                <w:color w:val="auto"/>
              </w:rPr>
              <w:t>Reclassification of warrant liabilities to equity</w:t>
            </w:r>
          </w:p>
        </w:tc>
        <w:tc>
          <w:tcPr>
            <w:tcW w:w="1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Ending balance</w:t>
            </w:r>
          </w:p>
        </w:tc>
        <w:tc>
          <w:tcPr>
            <w:tcW w:w="25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(430)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(1,800)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60" w:firstLine="457"/>
        <w:spacing w:after="0" w:line="325" w:lineRule="auto"/>
        <w:rPr>
          <w:sz w:val="20"/>
          <w:szCs w:val="20"/>
          <w:color w:val="auto"/>
        </w:rPr>
      </w:pPr>
      <w:r>
        <w:rPr>
          <w:rFonts w:ascii="Arial" w:cs="Arial" w:eastAsia="Arial" w:hAnsi="Arial"/>
          <w:sz w:val="15"/>
          <w:szCs w:val="15"/>
          <w:color w:val="auto"/>
        </w:rPr>
        <w:t>In July 2015, the Company reclassified 288,462 Series C Preferred Stock warrants from Preferred stock warrant liabilities to Additional paid in capital on the Consolidated Balance Sheets, at fair value on the date of transfer. The reclassification occurred upon the expiration of a feature within the warrant contract that had previously precluded equity classification. As a result, these warrants are no longer remeasured at fair value on a recurring basis as of September 30, 2015.</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Other Financial Instruments</w:t>
      </w:r>
    </w:p>
    <w:p>
      <w:pPr>
        <w:spacing w:after="0" w:line="119"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The carrying amounts of certain of our financial instruments, including cash and cash equivalents, receivable from collaborative partner, accounts payable and accrued expenses approximate fair value due to their short-term nature. The carrying amount of our notes payable of $4.9 million at September 30, 2015 approximates fair value due to the close proximity of their issuance in December 2014.</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420"/>
          </w:cols>
          <w:pgMar w:left="240" w:top="449" w:right="2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hanging="455"/>
        <w:spacing w:after="0"/>
        <w:tabs>
          <w:tab w:leader="none" w:pos="46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Series D Convertible Preferred Stock</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13, 2015, we issued and sold 38,436,851 shares of Series D Convertible Preferred Stock at $1.06 per share for net proceeds of $40.7 million.</w:t>
      </w:r>
    </w:p>
    <w:p>
      <w:pPr>
        <w:spacing w:after="0" w:line="235"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The holders of the Series D Convertible Preferred Stock are entitled to: 1) one vote for each share of common stock into which the Series D Convertible Preferred Stock could then be converted, 2) receive noncumulative dividends at a rate of 8% per annum, which are in priority and preference to all other series of preferred stock and common stock, 3) in preference to all other series of preferred stock and common stock, distributions upon liquidation of $1.06 per share plus all declared and unpaid dividends, and 4) convert into an equal number of shares of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Amendments to Certificate of Incorporation and 2006 Equity Incentive Plan</w:t>
      </w:r>
    </w:p>
    <w:p>
      <w:pPr>
        <w:spacing w:after="0" w:line="11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On July 13, 2015, we amended our amended and restated certificate of incorporation to increase the total number of shares authorized for issuance from 141,506,903 shares to 203,208,537 shares. Of these shares, 120,500,000 shares are designated as common stock and 82,708,537 shares are designated as preferred stock, which are designated as follows:</w:t>
      </w:r>
    </w:p>
    <w:p>
      <w:pPr>
        <w:spacing w:after="0" w:line="210"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6580" w:type="dxa"/>
            <w:vAlign w:val="bottom"/>
          </w:tcPr>
          <w:p>
            <w:pPr>
              <w:spacing w:after="0"/>
              <w:rPr>
                <w:sz w:val="20"/>
                <w:szCs w:val="20"/>
                <w:color w:val="auto"/>
              </w:rPr>
            </w:pPr>
            <w:r>
              <w:rPr>
                <w:rFonts w:ascii="Arial" w:cs="Arial" w:eastAsia="Arial" w:hAnsi="Arial"/>
                <w:sz w:val="17"/>
                <w:szCs w:val="17"/>
                <w:color w:val="auto"/>
              </w:rPr>
              <w:t>Series B</w:t>
            </w:r>
          </w:p>
        </w:tc>
        <w:tc>
          <w:tcPr>
            <w:tcW w:w="1060" w:type="dxa"/>
            <w:vAlign w:val="bottom"/>
          </w:tcPr>
          <w:p>
            <w:pPr>
              <w:jc w:val="right"/>
              <w:spacing w:after="0"/>
              <w:rPr>
                <w:sz w:val="20"/>
                <w:szCs w:val="20"/>
                <w:color w:val="auto"/>
              </w:rPr>
            </w:pPr>
            <w:r>
              <w:rPr>
                <w:rFonts w:ascii="Arial" w:cs="Arial" w:eastAsia="Arial" w:hAnsi="Arial"/>
                <w:sz w:val="17"/>
                <w:szCs w:val="17"/>
                <w:color w:val="auto"/>
              </w:rPr>
              <w:t>25,524,510</w:t>
            </w:r>
          </w:p>
        </w:tc>
        <w:tc>
          <w:tcPr>
            <w:tcW w:w="100" w:type="dxa"/>
            <w:vAlign w:val="bottom"/>
          </w:tcPr>
          <w:p>
            <w:pPr>
              <w:spacing w:after="0"/>
              <w:rPr>
                <w:sz w:val="18"/>
                <w:szCs w:val="18"/>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Series B-1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1,996,153</w:t>
            </w:r>
          </w:p>
        </w:tc>
        <w:tc>
          <w:tcPr>
            <w:tcW w:w="100" w:type="dxa"/>
            <w:vAlign w:val="bottom"/>
            <w:shd w:val="clear" w:color="auto" w:fill="CCEEFF"/>
          </w:tcPr>
          <w:p>
            <w:pPr>
              <w:spacing w:after="0"/>
              <w:rPr>
                <w:sz w:val="18"/>
                <w:szCs w:val="18"/>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7"/>
                <w:szCs w:val="17"/>
                <w:color w:val="auto"/>
              </w:rPr>
              <w:t>Series B-2</w:t>
            </w:r>
          </w:p>
        </w:tc>
        <w:tc>
          <w:tcPr>
            <w:tcW w:w="1060" w:type="dxa"/>
            <w:vAlign w:val="bottom"/>
          </w:tcPr>
          <w:p>
            <w:pPr>
              <w:jc w:val="right"/>
              <w:spacing w:after="0"/>
              <w:rPr>
                <w:sz w:val="20"/>
                <w:szCs w:val="20"/>
                <w:color w:val="auto"/>
              </w:rPr>
            </w:pPr>
            <w:r>
              <w:rPr>
                <w:rFonts w:ascii="Arial" w:cs="Arial" w:eastAsia="Arial" w:hAnsi="Arial"/>
                <w:sz w:val="17"/>
                <w:szCs w:val="17"/>
                <w:color w:val="auto"/>
              </w:rPr>
              <w:t>222,216</w:t>
            </w:r>
          </w:p>
        </w:tc>
        <w:tc>
          <w:tcPr>
            <w:tcW w:w="100" w:type="dxa"/>
            <w:vAlign w:val="bottom"/>
          </w:tcPr>
          <w:p>
            <w:pPr>
              <w:spacing w:after="0"/>
              <w:rPr>
                <w:sz w:val="18"/>
                <w:szCs w:val="18"/>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Series C</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13,210,753</w:t>
            </w:r>
          </w:p>
        </w:tc>
        <w:tc>
          <w:tcPr>
            <w:tcW w:w="100" w:type="dxa"/>
            <w:vAlign w:val="bottom"/>
            <w:shd w:val="clear" w:color="auto" w:fill="CCEEFF"/>
          </w:tcPr>
          <w:p>
            <w:pPr>
              <w:spacing w:after="0"/>
              <w:rPr>
                <w:sz w:val="18"/>
                <w:szCs w:val="18"/>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7"/>
                <w:szCs w:val="17"/>
                <w:color w:val="auto"/>
              </w:rPr>
              <w:t>Series C-1</w:t>
            </w:r>
          </w:p>
        </w:tc>
        <w:tc>
          <w:tcPr>
            <w:tcW w:w="1060" w:type="dxa"/>
            <w:vAlign w:val="bottom"/>
          </w:tcPr>
          <w:p>
            <w:pPr>
              <w:jc w:val="right"/>
              <w:spacing w:after="0"/>
              <w:rPr>
                <w:sz w:val="20"/>
                <w:szCs w:val="20"/>
                <w:color w:val="auto"/>
              </w:rPr>
            </w:pPr>
            <w:r>
              <w:rPr>
                <w:rFonts w:ascii="Arial" w:cs="Arial" w:eastAsia="Arial" w:hAnsi="Arial"/>
                <w:sz w:val="17"/>
                <w:szCs w:val="17"/>
                <w:color w:val="auto"/>
              </w:rPr>
              <w:t>3,318,054</w:t>
            </w:r>
          </w:p>
        </w:tc>
        <w:tc>
          <w:tcPr>
            <w:tcW w:w="100" w:type="dxa"/>
            <w:vAlign w:val="bottom"/>
          </w:tcPr>
          <w:p>
            <w:pPr>
              <w:spacing w:after="0"/>
              <w:rPr>
                <w:sz w:val="18"/>
                <w:szCs w:val="18"/>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Series 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38,436,851</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340"/>
              <w:spacing w:after="0"/>
              <w:rPr>
                <w:sz w:val="20"/>
                <w:szCs w:val="20"/>
                <w:color w:val="auto"/>
              </w:rPr>
            </w:pPr>
            <w:r>
              <w:rPr>
                <w:rFonts w:ascii="Arial" w:cs="Arial" w:eastAsia="Arial" w:hAnsi="Arial"/>
                <w:sz w:val="17"/>
                <w:szCs w:val="17"/>
                <w:color w:val="auto"/>
              </w:rPr>
              <w:t>Total designated Preferred Stock</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82,708,537</w:t>
            </w:r>
          </w:p>
        </w:tc>
        <w:tc>
          <w:tcPr>
            <w:tcW w:w="10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7"/>
          <w:szCs w:val="17"/>
          <w:color w:val="auto"/>
        </w:rPr>
        <w:t>Additionally, the amended and restated certificate of incorporation provided for the split of Series B and Series B-1 Preferred Stock into ten shares for every nine shares outstanding. The consolidated financial statements and accompanying footnotes have been retroactively restated to reflect the Series B and Series B-1 Preferred Stock splits.</w:t>
      </w:r>
    </w:p>
    <w:p>
      <w:pPr>
        <w:spacing w:after="0" w:line="309" w:lineRule="exact"/>
        <w:rPr>
          <w:sz w:val="20"/>
          <w:szCs w:val="20"/>
          <w:color w:val="auto"/>
        </w:rPr>
      </w:pPr>
    </w:p>
    <w:p>
      <w:pPr>
        <w:ind w:left="460" w:hanging="455"/>
        <w:spacing w:after="0"/>
        <w:tabs>
          <w:tab w:leader="none" w:pos="46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w:t>
      </w:r>
    </w:p>
    <w:p>
      <w:pPr>
        <w:spacing w:after="0" w:line="23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On April 29, 2015, our stockholders approved an amendment to the Plan which provided for an increase in the number of shares of common stock available for issuance under the plan by 3.8 million and on July 9, 2015, we amended our 2006 Equity Incentive Plan to increase the number of shares reserved for issuance under the plan by 4.8 million shares. As of September 30, 2015, awards for up to 16.8 million shares of common stock are reserved for issuance under the Plan, of which 13.6 million are reserved for issuance upon exercise of granted and outstanding options and 3.2 million shares are available for future grants.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360"/>
          </w:cols>
          <w:pgMar w:left="240" w:top="449" w:right="29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9"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nine months ended September 30, 2015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rPr>
                <w:sz w:val="12"/>
                <w:szCs w:val="12"/>
                <w:color w:val="auto"/>
              </w:rPr>
            </w:pPr>
          </w:p>
        </w:tc>
        <w:tc>
          <w:tcPr>
            <w:tcW w:w="160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85"/>
              </w:rPr>
              <w:t>Shares</w:t>
            </w:r>
          </w:p>
        </w:tc>
        <w:tc>
          <w:tcPr>
            <w:tcW w:w="1360" w:type="dxa"/>
            <w:vAlign w:val="bottom"/>
            <w:gridSpan w:val="3"/>
            <w:vMerge w:val="continue"/>
          </w:tcPr>
          <w:p>
            <w:pPr>
              <w:spacing w:after="0"/>
              <w:rPr>
                <w:sz w:val="12"/>
                <w:szCs w:val="12"/>
                <w:color w:val="auto"/>
              </w:rPr>
            </w:pPr>
          </w:p>
        </w:tc>
        <w:tc>
          <w:tcPr>
            <w:tcW w:w="110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60" w:type="dxa"/>
            <w:vAlign w:val="bottom"/>
            <w:gridSpan w:val="3"/>
          </w:tcPr>
          <w:p>
            <w:pPr>
              <w:jc w:val="center"/>
              <w:ind w:right="760"/>
              <w:spacing w:after="0" w:line="144" w:lineRule="exact"/>
              <w:rPr>
                <w:sz w:val="20"/>
                <w:szCs w:val="20"/>
                <w:color w:val="auto"/>
              </w:rPr>
            </w:pPr>
            <w:r>
              <w:rPr>
                <w:rFonts w:ascii="Arial" w:cs="Arial" w:eastAsia="Arial" w:hAnsi="Arial"/>
                <w:sz w:val="14"/>
                <w:szCs w:val="14"/>
                <w:b w:val="1"/>
                <w:bCs w:val="1"/>
                <w:color w:val="auto"/>
                <w:w w:val="86"/>
              </w:rPr>
              <w:t>Average</w:t>
            </w:r>
          </w:p>
        </w:tc>
        <w:tc>
          <w:tcPr>
            <w:tcW w:w="110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2"/>
              </w:rPr>
              <w:t>Remaining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rPr>
                <w:sz w:val="12"/>
                <w:szCs w:val="12"/>
                <w:color w:val="auto"/>
              </w:rPr>
            </w:pPr>
          </w:p>
        </w:tc>
        <w:tc>
          <w:tcPr>
            <w:tcW w:w="1600" w:type="dxa"/>
            <w:vAlign w:val="bottom"/>
            <w:gridSpan w:val="2"/>
          </w:tcPr>
          <w:p>
            <w:pPr>
              <w:jc w:val="center"/>
              <w:ind w:right="760"/>
              <w:spacing w:after="0" w:line="144" w:lineRule="exact"/>
              <w:rPr>
                <w:sz w:val="20"/>
                <w:szCs w:val="20"/>
                <w:color w:val="auto"/>
              </w:rPr>
            </w:pPr>
            <w:r>
              <w:rPr>
                <w:rFonts w:ascii="Arial" w:cs="Arial" w:eastAsia="Arial" w:hAnsi="Arial"/>
                <w:sz w:val="14"/>
                <w:szCs w:val="14"/>
                <w:b w:val="1"/>
                <w:bCs w:val="1"/>
                <w:color w:val="auto"/>
                <w:w w:val="88"/>
              </w:rPr>
              <w:t>Subject to</w:t>
            </w:r>
          </w:p>
        </w:tc>
        <w:tc>
          <w:tcPr>
            <w:tcW w:w="1360" w:type="dxa"/>
            <w:vAlign w:val="bottom"/>
            <w:gridSpan w:val="3"/>
          </w:tcPr>
          <w:p>
            <w:pPr>
              <w:jc w:val="center"/>
              <w:ind w:right="740"/>
              <w:spacing w:after="0" w:line="144" w:lineRule="exact"/>
              <w:rPr>
                <w:sz w:val="20"/>
                <w:szCs w:val="20"/>
                <w:color w:val="auto"/>
              </w:rPr>
            </w:pPr>
            <w:r>
              <w:rPr>
                <w:rFonts w:ascii="Arial" w:cs="Arial" w:eastAsia="Arial" w:hAnsi="Arial"/>
                <w:sz w:val="14"/>
                <w:szCs w:val="14"/>
                <w:b w:val="1"/>
                <w:bCs w:val="1"/>
                <w:color w:val="auto"/>
                <w:w w:val="86"/>
              </w:rPr>
              <w:t>Exercise</w:t>
            </w:r>
          </w:p>
        </w:tc>
        <w:tc>
          <w:tcPr>
            <w:tcW w:w="11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2"/>
              </w:rPr>
              <w:t>Contractual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12"/>
                <w:szCs w:val="12"/>
                <w:color w:val="auto"/>
              </w:rPr>
            </w:pPr>
          </w:p>
        </w:tc>
        <w:tc>
          <w:tcPr>
            <w:tcW w:w="1600" w:type="dxa"/>
            <w:vAlign w:val="bottom"/>
            <w:gridSpan w:val="2"/>
          </w:tcPr>
          <w:p>
            <w:pPr>
              <w:jc w:val="center"/>
              <w:ind w:right="740"/>
              <w:spacing w:after="0" w:line="144" w:lineRule="exact"/>
              <w:rPr>
                <w:sz w:val="20"/>
                <w:szCs w:val="20"/>
                <w:color w:val="auto"/>
              </w:rPr>
            </w:pPr>
            <w:r>
              <w:rPr>
                <w:rFonts w:ascii="Arial" w:cs="Arial" w:eastAsia="Arial" w:hAnsi="Arial"/>
                <w:sz w:val="14"/>
                <w:szCs w:val="14"/>
                <w:b w:val="1"/>
                <w:bCs w:val="1"/>
                <w:color w:val="auto"/>
                <w:w w:val="86"/>
              </w:rPr>
              <w:t>Options</w:t>
            </w:r>
          </w:p>
        </w:tc>
        <w:tc>
          <w:tcPr>
            <w:tcW w:w="1360" w:type="dxa"/>
            <w:vAlign w:val="bottom"/>
            <w:gridSpan w:val="3"/>
          </w:tcPr>
          <w:p>
            <w:pPr>
              <w:jc w:val="center"/>
              <w:ind w:right="740"/>
              <w:spacing w:after="0" w:line="144" w:lineRule="exact"/>
              <w:rPr>
                <w:sz w:val="20"/>
                <w:szCs w:val="20"/>
                <w:color w:val="auto"/>
              </w:rPr>
            </w:pPr>
            <w:r>
              <w:rPr>
                <w:rFonts w:ascii="Arial" w:cs="Arial" w:eastAsia="Arial" w:hAnsi="Arial"/>
                <w:sz w:val="14"/>
                <w:szCs w:val="14"/>
                <w:b w:val="1"/>
                <w:bCs w:val="1"/>
                <w:color w:val="auto"/>
                <w:w w:val="90"/>
              </w:rPr>
              <w:t>Price per</w:t>
            </w:r>
          </w:p>
        </w:tc>
        <w:tc>
          <w:tcPr>
            <w:tcW w:w="11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3"/>
              </w:rPr>
              <w:t>Term</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7"/>
        </w:trPr>
        <w:tc>
          <w:tcPr>
            <w:tcW w:w="6040" w:type="dxa"/>
            <w:vAlign w:val="bottom"/>
          </w:tcPr>
          <w:p>
            <w:pPr>
              <w:spacing w:after="0"/>
              <w:rPr>
                <w:sz w:val="14"/>
                <w:szCs w:val="14"/>
                <w:color w:val="auto"/>
              </w:rPr>
            </w:pPr>
          </w:p>
        </w:tc>
        <w:tc>
          <w:tcPr>
            <w:tcW w:w="1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4"/>
                <w:szCs w:val="14"/>
                <w:color w:val="auto"/>
              </w:rPr>
            </w:pPr>
          </w:p>
        </w:tc>
        <w:tc>
          <w:tcPr>
            <w:tcW w:w="12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Share</w:t>
            </w: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years)</w:t>
            </w:r>
          </w:p>
        </w:tc>
        <w:tc>
          <w:tcPr>
            <w:tcW w:w="38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8,718</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7"/>
                <w:szCs w:val="17"/>
                <w:color w:val="auto"/>
              </w:rPr>
              <w:t>Grant</w:t>
            </w:r>
          </w:p>
        </w:tc>
        <w:tc>
          <w:tcPr>
            <w:tcW w:w="1600" w:type="dxa"/>
            <w:vAlign w:val="bottom"/>
            <w:gridSpan w:val="2"/>
          </w:tcPr>
          <w:p>
            <w:pPr>
              <w:jc w:val="right"/>
              <w:ind w:right="740"/>
              <w:spacing w:after="0"/>
              <w:rPr>
                <w:sz w:val="20"/>
                <w:szCs w:val="20"/>
                <w:color w:val="auto"/>
              </w:rPr>
            </w:pPr>
            <w:r>
              <w:rPr>
                <w:rFonts w:ascii="Arial" w:cs="Arial" w:eastAsia="Arial" w:hAnsi="Arial"/>
                <w:sz w:val="17"/>
                <w:szCs w:val="17"/>
                <w:color w:val="auto"/>
              </w:rPr>
              <w:t>6,029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740"/>
              <w:spacing w:after="0"/>
              <w:rPr>
                <w:sz w:val="20"/>
                <w:szCs w:val="20"/>
                <w:color w:val="auto"/>
              </w:rPr>
            </w:pPr>
            <w:r>
              <w:rPr>
                <w:rFonts w:ascii="Arial" w:cs="Arial" w:eastAsia="Arial" w:hAnsi="Arial"/>
                <w:sz w:val="17"/>
                <w:szCs w:val="17"/>
                <w:color w:val="auto"/>
              </w:rPr>
              <w:t>0.96</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(938)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0.16</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7"/>
                <w:szCs w:val="17"/>
                <w:color w:val="auto"/>
              </w:rPr>
              <w:t>Forfeitures and cancellations</w:t>
            </w:r>
          </w:p>
        </w:tc>
        <w:tc>
          <w:tcPr>
            <w:tcW w:w="1600" w:type="dxa"/>
            <w:vAlign w:val="bottom"/>
            <w:gridSpan w:val="2"/>
          </w:tcPr>
          <w:p>
            <w:pPr>
              <w:jc w:val="right"/>
              <w:ind w:right="680"/>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740"/>
              <w:spacing w:after="0"/>
              <w:rPr>
                <w:sz w:val="20"/>
                <w:szCs w:val="20"/>
                <w:color w:val="auto"/>
              </w:rPr>
            </w:pPr>
            <w:r>
              <w:rPr>
                <w:rFonts w:ascii="Arial" w:cs="Arial" w:eastAsia="Arial" w:hAnsi="Arial"/>
                <w:sz w:val="17"/>
                <w:szCs w:val="17"/>
                <w:color w:val="auto"/>
              </w:rPr>
              <w:t>0.16</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Outstanding and exercisable at September 30, 2015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0.51</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9,584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7"/>
                <w:szCs w:val="17"/>
                <w:color w:val="auto"/>
              </w:rPr>
              <w:t>Options vested or expected to vest at September 30, 2015</w:t>
            </w: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7"/>
                <w:szCs w:val="17"/>
                <w:color w:val="auto"/>
                <w:w w:val="84"/>
              </w:rPr>
              <w:t>$</w:t>
            </w:r>
          </w:p>
        </w:tc>
        <w:tc>
          <w:tcPr>
            <w:tcW w:w="1260" w:type="dxa"/>
            <w:vAlign w:val="bottom"/>
            <w:gridSpan w:val="2"/>
            <w:vMerge w:val="restart"/>
          </w:tcPr>
          <w:p>
            <w:pPr>
              <w:jc w:val="right"/>
              <w:ind w:right="740"/>
              <w:spacing w:after="0"/>
              <w:rPr>
                <w:sz w:val="20"/>
                <w:szCs w:val="20"/>
                <w:color w:val="auto"/>
              </w:rPr>
            </w:pPr>
            <w:r>
              <w:rPr>
                <w:rFonts w:ascii="Arial" w:cs="Arial" w:eastAsia="Arial" w:hAnsi="Arial"/>
                <w:sz w:val="17"/>
                <w:szCs w:val="17"/>
                <w:color w:val="auto"/>
              </w:rPr>
              <w:t>0.49</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7"/>
                <w:szCs w:val="17"/>
                <w:color w:val="auto"/>
              </w:rPr>
              <w:t>8.1</w:t>
            </w:r>
          </w:p>
        </w:tc>
        <w:tc>
          <w:tcPr>
            <w:tcW w:w="4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8,477</w:t>
            </w:r>
          </w:p>
        </w:tc>
        <w:tc>
          <w:tcPr>
            <w:tcW w:w="0" w:type="dxa"/>
            <w:vAlign w:val="bottom"/>
          </w:tcPr>
          <w:p>
            <w:pPr>
              <w:spacing w:after="0" w:line="20" w:lineRule="exact"/>
              <w:rPr>
                <w:sz w:val="1"/>
                <w:szCs w:val="1"/>
                <w:color w:val="auto"/>
              </w:rPr>
            </w:pPr>
          </w:p>
        </w:tc>
      </w:tr>
      <w:tr>
        <w:trPr>
          <w:trHeight w:val="202"/>
        </w:trPr>
        <w:tc>
          <w:tcPr>
            <w:tcW w:w="6040" w:type="dxa"/>
            <w:vAlign w:val="bottom"/>
            <w:vMerge w:val="continue"/>
          </w:tcPr>
          <w:p>
            <w:pPr>
              <w:spacing w:after="0"/>
              <w:rPr>
                <w:sz w:val="17"/>
                <w:szCs w:val="17"/>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7"/>
                <w:szCs w:val="17"/>
                <w:color w:val="auto"/>
              </w:rPr>
              <w:t>12,647</w:t>
            </w:r>
          </w:p>
        </w:tc>
        <w:tc>
          <w:tcPr>
            <w:tcW w:w="10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cash received from the exercise of stock options was $0.1 million during the nine months ended September 30, 2015.</w:t>
      </w:r>
    </w:p>
    <w:p>
      <w:pPr>
        <w:spacing w:after="0" w:line="224" w:lineRule="exact"/>
        <w:rPr>
          <w:sz w:val="20"/>
          <w:szCs w:val="20"/>
          <w:color w:val="auto"/>
        </w:rPr>
      </w:pPr>
    </w:p>
    <w:p>
      <w:pPr>
        <w:jc w:val="both"/>
        <w:ind w:right="260" w:firstLine="457"/>
        <w:spacing w:after="0" w:line="273" w:lineRule="auto"/>
        <w:rPr>
          <w:sz w:val="20"/>
          <w:szCs w:val="20"/>
          <w:color w:val="auto"/>
        </w:rPr>
      </w:pPr>
      <w:r>
        <w:rPr>
          <w:rFonts w:ascii="Arial" w:cs="Arial" w:eastAsia="Arial" w:hAnsi="Arial"/>
          <w:sz w:val="17"/>
          <w:szCs w:val="17"/>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9"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The estimated fair values of stock option awards granted to employees were determined on the date of grant using the Black-Scholes option valuation model with the following assumptions: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7"/>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700" w:type="dxa"/>
            <w:vAlign w:val="bottom"/>
            <w:tcBorders>
              <w:bottom w:val="single" w:sz="8" w:color="CCEEFF"/>
            </w:tcBorders>
            <w:vMerge w:val="continue"/>
          </w:tcPr>
          <w:p>
            <w:pPr>
              <w:spacing w:after="0"/>
              <w:rPr>
                <w:sz w:val="11"/>
                <w:szCs w:val="11"/>
                <w:color w:val="auto"/>
              </w:rPr>
            </w:pPr>
          </w:p>
        </w:tc>
        <w:tc>
          <w:tcPr>
            <w:tcW w:w="4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6"/>
              <w:spacing w:after="0" w:line="137" w:lineRule="exact"/>
              <w:rPr>
                <w:sz w:val="20"/>
                <w:szCs w:val="20"/>
                <w:color w:val="auto"/>
              </w:rPr>
            </w:pPr>
            <w:r>
              <w:rPr>
                <w:rFonts w:ascii="Arial" w:cs="Arial" w:eastAsia="Arial" w:hAnsi="Arial"/>
                <w:sz w:val="14"/>
                <w:szCs w:val="14"/>
                <w:b w:val="1"/>
                <w:bCs w:val="1"/>
                <w:color w:val="auto"/>
                <w:w w:val="83"/>
              </w:rPr>
              <w:t>2015</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280" w:type="dxa"/>
            <w:vAlign w:val="bottom"/>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Expected volatility</w:t>
            </w:r>
          </w:p>
        </w:tc>
        <w:tc>
          <w:tcPr>
            <w:tcW w:w="1280" w:type="dxa"/>
            <w:vAlign w:val="bottom"/>
            <w:gridSpan w:val="2"/>
          </w:tcPr>
          <w:p>
            <w:pPr>
              <w:jc w:val="right"/>
              <w:ind w:right="610"/>
              <w:spacing w:after="0"/>
              <w:rPr>
                <w:sz w:val="20"/>
                <w:szCs w:val="20"/>
                <w:color w:val="auto"/>
              </w:rPr>
            </w:pPr>
            <w:r>
              <w:rPr>
                <w:rFonts w:ascii="Arial" w:cs="Arial" w:eastAsia="Arial" w:hAnsi="Arial"/>
                <w:sz w:val="17"/>
                <w:szCs w:val="17"/>
                <w:color w:val="auto"/>
              </w:rPr>
              <w:t>66.8%</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280" w:type="dxa"/>
            <w:vAlign w:val="bottom"/>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280" w:type="dxa"/>
            <w:vAlign w:val="bottom"/>
            <w:gridSpan w:val="2"/>
          </w:tcPr>
          <w:p>
            <w:pPr>
              <w:jc w:val="right"/>
              <w:ind w:right="770"/>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grant date fair value per share</w:t>
            </w:r>
          </w:p>
        </w:tc>
        <w:tc>
          <w:tcPr>
            <w:tcW w:w="1280" w:type="dxa"/>
            <w:vAlign w:val="bottom"/>
            <w:gridSpan w:val="2"/>
            <w:shd w:val="clear" w:color="auto" w:fill="CCEEFF"/>
          </w:tcPr>
          <w:p>
            <w:pPr>
              <w:jc w:val="right"/>
              <w:ind w:right="770"/>
              <w:spacing w:after="0"/>
              <w:rPr>
                <w:sz w:val="20"/>
                <w:szCs w:val="20"/>
                <w:color w:val="auto"/>
              </w:rPr>
            </w:pPr>
            <w:r>
              <w:rPr>
                <w:rFonts w:ascii="Arial" w:cs="Arial" w:eastAsia="Arial" w:hAnsi="Arial"/>
                <w:sz w:val="17"/>
                <w:szCs w:val="17"/>
                <w:color w:val="auto"/>
                <w:w w:val="88"/>
              </w:rPr>
              <w:t>$ 0.15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0.61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0" w:firstLine="457"/>
        <w:spacing w:after="0" w:line="305" w:lineRule="auto"/>
        <w:rPr>
          <w:sz w:val="20"/>
          <w:szCs w:val="20"/>
          <w:color w:val="auto"/>
        </w:rPr>
      </w:pPr>
      <w:r>
        <w:rPr>
          <w:rFonts w:ascii="Arial" w:cs="Arial" w:eastAsia="Arial" w:hAnsi="Arial"/>
          <w:sz w:val="15"/>
          <w:szCs w:val="15"/>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449" w:right="2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non-cash stock-based compensation expense for all stock awards that was recognized in the statements of operations is as follows:</w:t>
      </w: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7"/>
        </w:trPr>
        <w:tc>
          <w:tcPr>
            <w:tcW w:w="6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4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1"/>
              <w:spacing w:after="0" w:line="137" w:lineRule="exact"/>
              <w:rPr>
                <w:sz w:val="20"/>
                <w:szCs w:val="20"/>
                <w:color w:val="auto"/>
              </w:rPr>
            </w:pPr>
            <w:r>
              <w:rPr>
                <w:rFonts w:ascii="Arial" w:cs="Arial" w:eastAsia="Arial" w:hAnsi="Arial"/>
                <w:sz w:val="14"/>
                <w:szCs w:val="14"/>
                <w:b w:val="1"/>
                <w:bCs w:val="1"/>
                <w:color w:val="auto"/>
                <w:w w:val="89"/>
              </w:rPr>
              <w:t>2014</w:t>
            </w:r>
          </w:p>
        </w:tc>
        <w:tc>
          <w:tcPr>
            <w:tcW w:w="7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7"/>
              <w:spacing w:after="0" w:line="137"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At September 30, 2015, there was $3.9 million of unrecognized compensation cost related to unvested stock option awards, which is expected to be recognized over a remaining weighted average vesting period of 3.7 years.</w:t>
      </w:r>
    </w:p>
    <w:p>
      <w:pPr>
        <w:spacing w:after="0" w:line="296" w:lineRule="exact"/>
        <w:rPr>
          <w:sz w:val="20"/>
          <w:szCs w:val="20"/>
          <w:color w:val="auto"/>
        </w:rPr>
      </w:pPr>
    </w:p>
    <w:p>
      <w:pPr>
        <w:ind w:left="460" w:hanging="455"/>
        <w:spacing w:after="0"/>
        <w:tabs>
          <w:tab w:leader="none" w:pos="460"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2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5"/>
          <w:szCs w:val="15"/>
          <w:color w:val="auto"/>
        </w:rPr>
        <w:t>We have evaluated subsequent events from the balance sheet date through November 13, 2015, the date at which the financial statements were issued.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Milestone Under TESARO Collaboration</w:t>
      </w:r>
    </w:p>
    <w:p>
      <w:pPr>
        <w:spacing w:after="0" w:line="119"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 xml:space="preserve">In October 2015, TESARO notified us that they had initiated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using good laboratory practices for the anti-TIM-3 antagonist antibody resulting in the achievement of a $1.0 million milestone payment.</w:t>
      </w:r>
    </w:p>
    <w:p>
      <w:pPr>
        <w:spacing w:after="0" w:line="9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920"/>
          </w:cols>
          <w:pgMar w:left="240" w:top="449" w:right="7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666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66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760"/>
        <w:spacing w:after="0"/>
        <w:rPr>
          <w:sz w:val="20"/>
          <w:szCs w:val="20"/>
          <w:color w:val="auto"/>
        </w:rPr>
      </w:pPr>
      <w:r>
        <w:rPr>
          <w:rFonts w:ascii="Arial" w:cs="Arial" w:eastAsia="Arial" w:hAnsi="Arial"/>
          <w:sz w:val="31"/>
          <w:szCs w:val="3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544830</wp:posOffset>
            </wp:positionV>
            <wp:extent cx="2053590" cy="540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0535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40"/>
        <w:spacing w:after="0"/>
        <w:rPr>
          <w:sz w:val="20"/>
          <w:szCs w:val="20"/>
          <w:color w:val="auto"/>
        </w:rPr>
      </w:pPr>
      <w:r>
        <w:rPr>
          <w:rFonts w:ascii="Arial" w:cs="Arial" w:eastAsia="Arial" w:hAnsi="Arial"/>
          <w:sz w:val="35"/>
          <w:szCs w:val="35"/>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60"/>
        <w:spacing w:after="0"/>
        <w:rPr>
          <w:sz w:val="20"/>
          <w:szCs w:val="20"/>
          <w:color w:val="auto"/>
        </w:rPr>
      </w:pPr>
      <w:r>
        <w:rPr>
          <w:rFonts w:ascii="Arial" w:cs="Arial" w:eastAsia="Arial" w:hAnsi="Arial"/>
          <w:sz w:val="31"/>
          <w:szCs w:val="3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661670</wp:posOffset>
            </wp:positionV>
            <wp:extent cx="43573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5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2799"/>
        <w:spacing w:after="0"/>
        <w:rPr>
          <w:sz w:val="20"/>
          <w:szCs w:val="20"/>
          <w:color w:val="auto"/>
        </w:rPr>
      </w:pPr>
      <w:r>
        <w:rPr>
          <w:rFonts w:ascii="Arial" w:cs="Arial" w:eastAsia="Arial" w:hAnsi="Arial"/>
          <w:sz w:val="24"/>
          <w:szCs w:val="24"/>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189865</wp:posOffset>
            </wp:positionV>
            <wp:extent cx="43573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5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20"/>
        <w:spacing w:after="0"/>
        <w:rPr>
          <w:sz w:val="20"/>
          <w:szCs w:val="20"/>
          <w:color w:val="auto"/>
        </w:rPr>
      </w:pPr>
      <w:r>
        <w:rPr>
          <w:rFonts w:ascii="Arial" w:cs="Arial" w:eastAsia="Arial" w:hAnsi="Arial"/>
          <w:sz w:val="31"/>
          <w:szCs w:val="31"/>
          <w:b w:val="1"/>
          <w:bCs w:val="1"/>
          <w:color w:val="auto"/>
        </w:rPr>
        <w:t>Credit Suisse</w:t>
      </w:r>
    </w:p>
    <w:p>
      <w:pPr>
        <w:spacing w:after="0" w:line="259" w:lineRule="exact"/>
        <w:rPr>
          <w:sz w:val="20"/>
          <w:szCs w:val="20"/>
          <w:color w:val="auto"/>
        </w:rPr>
      </w:pPr>
    </w:p>
    <w:p>
      <w:pPr>
        <w:jc w:val="center"/>
        <w:ind w:right="-1220"/>
        <w:spacing w:after="0"/>
        <w:rPr>
          <w:sz w:val="20"/>
          <w:szCs w:val="20"/>
          <w:color w:val="auto"/>
        </w:rPr>
      </w:pPr>
      <w:r>
        <w:rPr>
          <w:rFonts w:ascii="Arial" w:cs="Arial" w:eastAsia="Arial" w:hAnsi="Arial"/>
          <w:sz w:val="31"/>
          <w:szCs w:val="31"/>
          <w:b w:val="1"/>
          <w:bCs w:val="1"/>
          <w:color w:val="auto"/>
        </w:rPr>
        <w:t>Stifel</w:t>
      </w:r>
    </w:p>
    <w:p>
      <w:pPr>
        <w:spacing w:after="0" w:line="250"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JMP Securities</w:t>
      </w:r>
    </w:p>
    <w:p>
      <w:pPr>
        <w:spacing w:after="0" w:line="243"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624840</wp:posOffset>
            </wp:positionV>
            <wp:extent cx="72504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50"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25" w:lineRule="exact"/>
        <w:rPr>
          <w:sz w:val="20"/>
          <w:szCs w:val="20"/>
          <w:color w:val="auto"/>
        </w:rPr>
      </w:pPr>
    </w:p>
    <w:p>
      <w:pPr>
        <w:ind w:right="220" w:firstLine="457"/>
        <w:spacing w:after="0" w:line="322" w:lineRule="auto"/>
        <w:rPr>
          <w:sz w:val="20"/>
          <w:szCs w:val="20"/>
          <w:color w:val="auto"/>
        </w:rPr>
      </w:pPr>
      <w:r>
        <w:rPr>
          <w:rFonts w:ascii="Arial" w:cs="Arial" w:eastAsia="Arial" w:hAnsi="Arial"/>
          <w:sz w:val="16"/>
          <w:szCs w:val="16"/>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144"/>
        </w:trPr>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680" w:type="dxa"/>
            <w:vAlign w:val="bottom"/>
            <w:gridSpan w:val="3"/>
          </w:tcPr>
          <w:p>
            <w:pPr>
              <w:jc w:val="center"/>
              <w:ind w:right="80"/>
              <w:spacing w:after="0" w:line="144" w:lineRule="exact"/>
              <w:rPr>
                <w:sz w:val="20"/>
                <w:szCs w:val="20"/>
                <w:color w:val="auto"/>
              </w:rPr>
            </w:pPr>
            <w:r>
              <w:rPr>
                <w:rFonts w:ascii="Arial" w:cs="Arial" w:eastAsia="Arial" w:hAnsi="Arial"/>
                <w:sz w:val="14"/>
                <w:szCs w:val="14"/>
                <w:b w:val="1"/>
                <w:bCs w:val="1"/>
                <w:color w:val="auto"/>
                <w:w w:val="92"/>
              </w:rPr>
              <w:t>Paid or</w:t>
            </w:r>
          </w:p>
        </w:tc>
      </w:tr>
      <w:tr>
        <w:trPr>
          <w:trHeight w:val="167"/>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to be Paid</w:t>
            </w:r>
          </w:p>
        </w:tc>
      </w:tr>
      <w:tr>
        <w:trPr>
          <w:trHeight w:val="203"/>
        </w:trPr>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10,023</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FINRA filing fee</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13,438</w:t>
            </w:r>
          </w:p>
        </w:tc>
      </w:tr>
      <w:tr>
        <w:trPr>
          <w:trHeight w:val="210"/>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Blue sky qualification fees and expenses</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Printing and engraving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Accounting fees and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Transfer agent and registrar fees and expenses</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Miscellaneous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77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42"/>
        </w:trPr>
        <w:tc>
          <w:tcPr>
            <w:tcW w:w="2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620" w:type="dxa"/>
            <w:vAlign w:val="bottom"/>
            <w:gridSpan w:val="3"/>
          </w:tcPr>
          <w:p>
            <w:pPr>
              <w:ind w:left="180"/>
              <w:spacing w:after="0"/>
              <w:rPr>
                <w:sz w:val="20"/>
                <w:szCs w:val="20"/>
                <w:color w:val="auto"/>
              </w:rPr>
            </w:pPr>
            <w:r>
              <w:rPr>
                <w:rFonts w:ascii="Arial" w:cs="Arial" w:eastAsia="Arial" w:hAnsi="Arial"/>
                <w:sz w:val="17"/>
                <w:szCs w:val="17"/>
                <w:color w:val="auto"/>
              </w:rPr>
              <w:t>To be completed by amendment.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33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INDEMNIFICATION OF DIRECTORS AND OFFICERS.</w:t>
      </w:r>
    </w:p>
    <w:p>
      <w:pPr>
        <w:spacing w:after="0" w:line="125" w:lineRule="exact"/>
        <w:rPr>
          <w:sz w:val="20"/>
          <w:szCs w:val="20"/>
          <w:color w:val="auto"/>
        </w:rPr>
      </w:pPr>
    </w:p>
    <w:p>
      <w:pPr>
        <w:jc w:val="both"/>
        <w:ind w:firstLine="457"/>
        <w:spacing w:after="0" w:line="297"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55"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79" w:lineRule="exact"/>
        <w:rPr>
          <w:sz w:val="20"/>
          <w:szCs w:val="20"/>
          <w:color w:val="auto"/>
        </w:rPr>
      </w:pPr>
    </w:p>
    <w:p>
      <w:pPr>
        <w:ind w:left="900" w:hanging="332"/>
        <w:spacing w:after="0"/>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Registrant or its stockholders;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acts or omissions not in good faith or that involve intentional misconduct or a knowing violation of law;</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under Section 174 of the Delaware General Corporation Law (regarding unlawful dividends and stock purchases); or</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As permitted by the Delaware General Corporation Law, the Registrant’s restated bylaws to be effective upon the closing of this offering, provide that:</w:t>
      </w:r>
    </w:p>
    <w:p>
      <w:pPr>
        <w:spacing w:after="0" w:line="132" w:lineRule="exact"/>
        <w:rPr>
          <w:sz w:val="20"/>
          <w:szCs w:val="20"/>
          <w:color w:val="auto"/>
        </w:rPr>
      </w:pPr>
    </w:p>
    <w:p>
      <w:pPr>
        <w:ind w:left="900" w:right="200" w:hanging="332"/>
        <w:spacing w:after="0" w:line="289"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 is required to indemnify its directors and executive officers to the fullest extent permitted by the Delaware General Corporation Law, subject to limited exceptions;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00"/>
          </w:cols>
          <w:pgMar w:left="240" w:top="449" w:right="25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200" w:hanging="332"/>
        <w:spacing w:after="0" w:line="289"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rights conferred in the restated bylaws are not exclusive.</w:t>
      </w:r>
    </w:p>
    <w:p>
      <w:pPr>
        <w:spacing w:after="0" w:line="224"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Prior to the closing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Registrant currently carries liability insurance for its directors and officers.</w:t>
      </w:r>
    </w:p>
    <w:p>
      <w:pPr>
        <w:spacing w:after="0" w:line="224"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Reference is made to the following documents filed as exhibits to this Registration Statement regarding relevant indemnification provisions described above and elsewhere herein: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Document</w:t>
            </w:r>
          </w:p>
        </w:tc>
        <w:tc>
          <w:tcPr>
            <w:tcW w:w="97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80" w:type="dxa"/>
            <w:vAlign w:val="bottom"/>
            <w:tcBorders>
              <w:bottom w:val="single" w:sz="8" w:color="CCEEFF"/>
            </w:tcBorders>
          </w:tcPr>
          <w:p>
            <w:pPr>
              <w:spacing w:after="0"/>
              <w:rPr>
                <w:sz w:val="15"/>
                <w:szCs w:val="15"/>
                <w:color w:val="auto"/>
              </w:rPr>
            </w:pPr>
          </w:p>
        </w:tc>
      </w:tr>
      <w:tr>
        <w:trPr>
          <w:trHeight w:val="203"/>
        </w:trPr>
        <w:tc>
          <w:tcPr>
            <w:tcW w:w="10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Form of Underwriting Agreement.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7"/>
                <w:szCs w:val="17"/>
                <w:color w:val="auto"/>
              </w:rPr>
            </w:pPr>
          </w:p>
        </w:tc>
      </w:tr>
      <w:tr>
        <w:trPr>
          <w:trHeight w:val="210"/>
        </w:trPr>
        <w:tc>
          <w:tcPr>
            <w:tcW w:w="10840" w:type="dxa"/>
            <w:vAlign w:val="bottom"/>
            <w:gridSpan w:val="2"/>
          </w:tcPr>
          <w:p>
            <w:pPr>
              <w:spacing w:after="0"/>
              <w:rPr>
                <w:sz w:val="20"/>
                <w:szCs w:val="20"/>
                <w:color w:val="auto"/>
              </w:rPr>
            </w:pPr>
            <w:r>
              <w:rPr>
                <w:rFonts w:ascii="Arial" w:cs="Arial" w:eastAsia="Arial" w:hAnsi="Arial"/>
                <w:sz w:val="17"/>
                <w:szCs w:val="17"/>
                <w:color w:val="auto"/>
              </w:rPr>
              <w:t>Form of Restated Certificate of Incorporation to be effective upon the closing of this offering.</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3.2</w:t>
            </w:r>
          </w:p>
        </w:tc>
      </w:tr>
      <w:tr>
        <w:trPr>
          <w:trHeight w:val="210"/>
        </w:trPr>
        <w:tc>
          <w:tcPr>
            <w:tcW w:w="10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Form of Restated Bylaws to be effective upon the closing of this offering.</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w:t>
            </w:r>
          </w:p>
        </w:tc>
      </w:tr>
      <w:tr>
        <w:trPr>
          <w:trHeight w:val="210"/>
        </w:trPr>
        <w:tc>
          <w:tcPr>
            <w:tcW w:w="10840" w:type="dxa"/>
            <w:vAlign w:val="bottom"/>
            <w:gridSpan w:val="2"/>
          </w:tcPr>
          <w:p>
            <w:pPr>
              <w:spacing w:after="0"/>
              <w:rPr>
                <w:sz w:val="20"/>
                <w:szCs w:val="20"/>
                <w:color w:val="auto"/>
              </w:rPr>
            </w:pPr>
            <w:r>
              <w:rPr>
                <w:rFonts w:ascii="Arial" w:cs="Arial" w:eastAsia="Arial" w:hAnsi="Arial"/>
                <w:sz w:val="17"/>
                <w:szCs w:val="17"/>
                <w:color w:val="auto"/>
              </w:rPr>
              <w:t>Amended and Restated Investors’ Rights Agreement dated July 13, 2015 among the Registrant and certain of its stockholders, as amended.</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4.2</w:t>
            </w:r>
          </w:p>
        </w:tc>
      </w:tr>
      <w:tr>
        <w:trPr>
          <w:trHeight w:val="210"/>
        </w:trPr>
        <w:tc>
          <w:tcPr>
            <w:tcW w:w="10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Form of Indemnification Agreement.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10.1</w:t>
            </w:r>
          </w:p>
        </w:tc>
      </w:tr>
    </w:tbl>
    <w:p>
      <w:pPr>
        <w:spacing w:after="0" w:line="335"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25" w:lineRule="exact"/>
        <w:rPr>
          <w:sz w:val="20"/>
          <w:szCs w:val="20"/>
          <w:color w:val="auto"/>
        </w:rPr>
      </w:pPr>
    </w:p>
    <w:p>
      <w:pPr>
        <w:jc w:val="both"/>
        <w:ind w:right="20" w:firstLine="457"/>
        <w:spacing w:after="0" w:line="289" w:lineRule="auto"/>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 Securities Act, and the consideration, if any, received by us for such securities: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 Stock Option Grants</w:t>
      </w:r>
    </w:p>
    <w:p>
      <w:pPr>
        <w:spacing w:after="0" w:line="119"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Between November 30, 2012 and November 30, 2015, the Registrant granted options to purchase 10,368,532 shares of common stock under our 2006 Equity Incentive Plan to our directors, officers, employees, consultants, and other service providers with per share exercise prices ranging from $0.10 to $1.22. In this same period, the Registrant issued 1,020,694 shares of common stock upon exercise of stock options previously issued under the 2006 Equity Incentive Plan to our directors, officers, employees, consultants, and other service providers for cash consideration in the aggregate amount of $159,875. 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420"/>
          </w:cols>
          <w:pgMar w:left="240" w:top="449" w:right="23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 Warrants to Purchase Common Stock</w:t>
      </w:r>
    </w:p>
    <w:p>
      <w:pPr>
        <w:spacing w:after="0" w:line="119" w:lineRule="exact"/>
        <w:rPr>
          <w:sz w:val="20"/>
          <w:szCs w:val="20"/>
          <w:color w:val="auto"/>
        </w:rPr>
      </w:pPr>
    </w:p>
    <w:p>
      <w:pPr>
        <w:jc w:val="both"/>
        <w:ind w:right="300" w:firstLine="457"/>
        <w:spacing w:after="0" w:line="273" w:lineRule="auto"/>
        <w:rPr>
          <w:sz w:val="20"/>
          <w:szCs w:val="20"/>
          <w:color w:val="auto"/>
        </w:rPr>
      </w:pPr>
      <w:r>
        <w:rPr>
          <w:rFonts w:ascii="Arial" w:cs="Arial" w:eastAsia="Arial" w:hAnsi="Arial"/>
          <w:sz w:val="17"/>
          <w:szCs w:val="17"/>
          <w:color w:val="auto"/>
        </w:rPr>
        <w:t>In August 2013, the Registrant issued a warrant to an accredited investor to purchase 822,386 shares of Registrant’s common stock. The common stock warrant has a per share exercise price of $0.65. The securities issued in this transaction were exempt from the registration requirements of the Securities Act in reliance upon Section 4(2) under the Securities Act.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 Warrants to Purchase Preferred Stock</w:t>
      </w:r>
    </w:p>
    <w:p>
      <w:pPr>
        <w:spacing w:after="0" w:line="11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In December 2014, the Registrant issued warrants to accredited investors to purchase an aggregate of 288,462 shares of the Registrant’s Series C convertible preferred stock. The preferred stock warrants have a per share exercise price of $0.65. The securities issued in this transaction were exempt from the registration requirements of the Securities Act in reliance upon Section 4(2) under the Securities Act.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 Sales of Preferred Stock</w:t>
      </w:r>
    </w:p>
    <w:p>
      <w:pPr>
        <w:spacing w:after="0" w:line="119" w:lineRule="exact"/>
        <w:rPr>
          <w:sz w:val="20"/>
          <w:szCs w:val="20"/>
          <w:color w:val="auto"/>
        </w:rPr>
      </w:pPr>
    </w:p>
    <w:p>
      <w:pPr>
        <w:ind w:right="180" w:firstLine="461"/>
        <w:spacing w:after="0" w:line="267" w:lineRule="auto"/>
        <w:tabs>
          <w:tab w:leader="none" w:pos="63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August 2013, the Registrant issued an aggregate of 14,258,530 shares of Registrant’s common stock to an accredited investor upon the conversion of 3,000,000 previously-held shares of Series A convertible preferred stock and 6,019,065 previously-held shares of Series B convertible preferred stock. The securities issued in this transaction were exempt from the registration requirements of the Securities Act in reliance upon on Rule 506 promulgated under the Securities Act.</w:t>
      </w:r>
    </w:p>
    <w:p>
      <w:pPr>
        <w:spacing w:after="0" w:line="177" w:lineRule="exact"/>
        <w:rPr>
          <w:rFonts w:ascii="Arial" w:cs="Arial" w:eastAsia="Arial" w:hAnsi="Arial"/>
          <w:sz w:val="17"/>
          <w:szCs w:val="17"/>
          <w:color w:val="auto"/>
        </w:rPr>
      </w:pPr>
    </w:p>
    <w:p>
      <w:pPr>
        <w:ind w:left="640" w:hanging="179"/>
        <w:spacing w:after="0"/>
        <w:tabs>
          <w:tab w:leader="none" w:pos="6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April 2014, the Registrant issued an aggregate of 3,318,054 shares of the Registrant’s Series C-1 convertible preferred stock at a purchase price of</w:t>
      </w:r>
    </w:p>
    <w:p>
      <w:pPr>
        <w:spacing w:after="0" w:line="38"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$0.65 per share for an aggregate purchase price of $2.2 million to 12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79" w:lineRule="exact"/>
        <w:rPr>
          <w:sz w:val="20"/>
          <w:szCs w:val="20"/>
          <w:color w:val="auto"/>
        </w:rPr>
      </w:pPr>
    </w:p>
    <w:p>
      <w:pPr>
        <w:ind w:right="60" w:firstLine="461"/>
        <w:spacing w:after="0" w:line="267" w:lineRule="auto"/>
        <w:tabs>
          <w:tab w:leader="none" w:pos="63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July 2015, the Registrant issued an aggregate of 38,436,851 shares of the Registrant’s Series D convertible preferred stock at a purchase price of $1.06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78"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Exhibits.</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See Exhibit Index immediately following signature page.</w:t>
      </w:r>
    </w:p>
    <w:p>
      <w:pPr>
        <w:spacing w:after="0" w:line="250" w:lineRule="exact"/>
        <w:rPr>
          <w:sz w:val="20"/>
          <w:szCs w:val="20"/>
          <w:color w:val="auto"/>
        </w:rPr>
      </w:pPr>
    </w:p>
    <w:p>
      <w:pPr>
        <w:ind w:left="900" w:hanging="450"/>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224" w:lineRule="exact"/>
        <w:rPr>
          <w:sz w:val="20"/>
          <w:szCs w:val="20"/>
          <w:color w:val="auto"/>
        </w:rPr>
      </w:pPr>
    </w:p>
    <w:p>
      <w:pPr>
        <w:jc w:val="center"/>
        <w:ind w:left="260" w:right="440"/>
        <w:spacing w:after="0" w:line="466" w:lineRule="auto"/>
        <w:rPr>
          <w:sz w:val="20"/>
          <w:szCs w:val="20"/>
          <w:color w:val="auto"/>
        </w:rPr>
      </w:pPr>
      <w:r>
        <w:rPr>
          <w:rFonts w:ascii="Arial" w:cs="Arial" w:eastAsia="Arial" w:hAnsi="Arial"/>
          <w:sz w:val="17"/>
          <w:szCs w:val="17"/>
          <w:color w:val="auto"/>
        </w:rPr>
        <w:t>No financial statement schedules are provided because the information called for is not required or is shown either in the financial statements or notes. II-3</w:t>
      </w:r>
    </w:p>
    <w:p>
      <w:pPr>
        <w:sectPr>
          <w:pgSz w:w="11900" w:h="16838" w:orient="portrait"/>
          <w:cols w:equalWidth="0" w:num="1">
            <w:col w:w="11400"/>
          </w:cols>
          <w:pgMar w:left="240" w:top="449" w:right="25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125" w:lineRule="exact"/>
        <w:rPr>
          <w:sz w:val="20"/>
          <w:szCs w:val="20"/>
          <w:color w:val="auto"/>
        </w:rPr>
      </w:pPr>
    </w:p>
    <w:p>
      <w:pPr>
        <w:ind w:right="400" w:firstLine="457"/>
        <w:spacing w:after="0" w:line="289"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8"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Registrant hereby undertakes that:</w:t>
      </w:r>
    </w:p>
    <w:p>
      <w:pPr>
        <w:spacing w:after="0" w:line="119" w:lineRule="exact"/>
        <w:rPr>
          <w:sz w:val="20"/>
          <w:szCs w:val="20"/>
          <w:color w:val="auto"/>
        </w:rPr>
      </w:pPr>
    </w:p>
    <w:p>
      <w:pPr>
        <w:ind w:right="40" w:firstLine="461"/>
        <w:spacing w:after="0" w:line="273" w:lineRule="auto"/>
        <w:tabs>
          <w:tab w:leader="none" w:pos="69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1" w:lineRule="exact"/>
        <w:rPr>
          <w:rFonts w:ascii="Arial" w:cs="Arial" w:eastAsia="Arial" w:hAnsi="Arial"/>
          <w:sz w:val="17"/>
          <w:szCs w:val="17"/>
          <w:color w:val="auto"/>
        </w:rPr>
      </w:pPr>
    </w:p>
    <w:p>
      <w:pPr>
        <w:jc w:val="both"/>
        <w:ind w:firstLine="461"/>
        <w:spacing w:after="0" w:line="273" w:lineRule="auto"/>
        <w:tabs>
          <w:tab w:leader="none" w:pos="70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380"/>
          </w:cols>
          <w:pgMar w:left="240" w:top="449" w:right="27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Pursuant to the requirements of the Securities Act, the Registrant has duly caused this amendment to the registration statement on Form S-1 to be signed on its behalf by the undersigned, thereunto duly authorized, in San Diego, California, on the 23</w:t>
      </w:r>
      <w:r>
        <w:rPr>
          <w:rFonts w:ascii="Arial" w:cs="Arial" w:eastAsia="Arial" w:hAnsi="Arial"/>
          <w:sz w:val="14"/>
          <w:szCs w:val="14"/>
          <w:color w:val="auto"/>
        </w:rPr>
        <w:t>rd</w:t>
      </w:r>
      <w:r>
        <w:rPr>
          <w:rFonts w:ascii="Arial" w:cs="Arial" w:eastAsia="Arial" w:hAnsi="Arial"/>
          <w:sz w:val="17"/>
          <w:szCs w:val="17"/>
          <w:color w:val="auto"/>
        </w:rPr>
        <w:t xml:space="preserve"> day of December, 2015.</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ANAPTYSBIO, INC.</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16510</wp:posOffset>
            </wp:positionV>
            <wp:extent cx="27190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19070" cy="8255"/>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Hamza Suria</w:t>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7"/>
          <w:szCs w:val="17"/>
          <w:i w:val="1"/>
          <w:iCs w:val="1"/>
          <w:color w:val="auto"/>
        </w:rPr>
        <w:t>Chief Executive Officer</w:t>
      </w:r>
    </w:p>
    <w:p>
      <w:pPr>
        <w:spacing w:after="0" w:line="206"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POWER OF ATTORNEY</w:t>
      </w:r>
    </w:p>
    <w:p>
      <w:pPr>
        <w:spacing w:after="0" w:line="230"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i w:val="1"/>
          <w:iCs w:val="1"/>
          <w:color w:val="auto"/>
        </w:rPr>
        <w:t xml:space="preserve">KNOW ALL PERSONS BY THESE PRESENTS, </w:t>
      </w:r>
      <w:r>
        <w:rPr>
          <w:rFonts w:ascii="Arial" w:cs="Arial" w:eastAsia="Arial" w:hAnsi="Arial"/>
          <w:sz w:val="16"/>
          <w:szCs w:val="16"/>
          <w:color w:val="auto"/>
        </w:rPr>
        <w:t>that each person whose signature appears below hereby constitutes and appoints Hamza Suria and Robert E.</w:t>
      </w:r>
      <w:r>
        <w:rPr>
          <w:rFonts w:ascii="Arial" w:cs="Arial" w:eastAsia="Arial" w:hAnsi="Arial"/>
          <w:sz w:val="16"/>
          <w:szCs w:val="16"/>
          <w:i w:val="1"/>
          <w:iCs w:val="1"/>
          <w:color w:val="auto"/>
        </w:rPr>
        <w:t xml:space="preserve"> </w:t>
      </w:r>
      <w:r>
        <w:rPr>
          <w:rFonts w:ascii="Arial" w:cs="Arial" w:eastAsia="Arial" w:hAnsi="Arial"/>
          <w:sz w:val="16"/>
          <w:szCs w:val="16"/>
          <w:color w:val="auto"/>
        </w:rPr>
        <w:t>Hoffman, and each of them,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her might or could do in person, hereby ratifying and confirming all that said attorneys-in-fact, proxies and agents, or their or his or her substitute or substitutes, may lawfully do or cause to be done by virtue hereof.</w:t>
      </w:r>
    </w:p>
    <w:p>
      <w:pPr>
        <w:spacing w:after="0" w:line="168" w:lineRule="exact"/>
        <w:rPr>
          <w:sz w:val="20"/>
          <w:szCs w:val="20"/>
          <w:color w:val="auto"/>
        </w:rPr>
      </w:pPr>
    </w:p>
    <w:p>
      <w:pPr>
        <w:ind w:right="700" w:firstLine="457"/>
        <w:spacing w:after="0" w:line="289" w:lineRule="auto"/>
        <w:rPr>
          <w:sz w:val="20"/>
          <w:szCs w:val="20"/>
          <w:color w:val="auto"/>
        </w:rPr>
      </w:pPr>
      <w:r>
        <w:rPr>
          <w:rFonts w:ascii="Arial" w:cs="Arial" w:eastAsia="Arial" w:hAnsi="Arial"/>
          <w:sz w:val="17"/>
          <w:szCs w:val="17"/>
          <w:color w:val="auto"/>
        </w:rPr>
        <w:t>Pursuant to the requirements of the Securities Act of 1933, this registration statement on Form S-1 has been signed by the following persons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7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0"/>
              </w:rPr>
              <w:t>Title</w:t>
            </w:r>
          </w:p>
        </w:tc>
        <w:tc>
          <w:tcPr>
            <w:tcW w:w="2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1440"/>
              <w:spacing w:after="0"/>
              <w:rPr>
                <w:sz w:val="20"/>
                <w:szCs w:val="20"/>
                <w:color w:val="auto"/>
              </w:rPr>
            </w:pPr>
            <w:r>
              <w:rPr>
                <w:rFonts w:ascii="Arial" w:cs="Arial" w:eastAsia="Arial" w:hAnsi="Arial"/>
                <w:sz w:val="17"/>
                <w:szCs w:val="17"/>
                <w:color w:val="auto"/>
              </w:rPr>
              <w:t>/s/</w:t>
            </w:r>
          </w:p>
        </w:tc>
        <w:tc>
          <w:tcPr>
            <w:tcW w:w="6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vMerge w:val="restart"/>
          </w:tcPr>
          <w:p>
            <w:pPr>
              <w:ind w:left="100"/>
              <w:spacing w:after="0"/>
              <w:rPr>
                <w:sz w:val="20"/>
                <w:szCs w:val="20"/>
                <w:color w:val="auto"/>
              </w:rPr>
            </w:pPr>
            <w:r>
              <w:rPr>
                <w:rFonts w:ascii="Arial" w:cs="Arial" w:eastAsia="Arial" w:hAnsi="Arial"/>
                <w:sz w:val="17"/>
                <w:szCs w:val="17"/>
                <w:color w:val="auto"/>
              </w:rPr>
              <w:t>Officer and Director</w:t>
            </w: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Hamza Suria</w:t>
            </w:r>
          </w:p>
        </w:tc>
        <w:tc>
          <w:tcPr>
            <w:tcW w:w="2860" w:type="dxa"/>
            <w:vAlign w:val="bottom"/>
            <w:gridSpan w:val="2"/>
          </w:tcPr>
          <w:p>
            <w:pPr>
              <w:ind w:left="1040"/>
              <w:spacing w:after="0" w:line="189" w:lineRule="exact"/>
              <w:rPr>
                <w:sz w:val="20"/>
                <w:szCs w:val="20"/>
                <w:color w:val="auto"/>
              </w:rPr>
            </w:pPr>
            <w:r>
              <w:rPr>
                <w:rFonts w:ascii="Arial" w:cs="Arial" w:eastAsia="Arial" w:hAnsi="Arial"/>
                <w:sz w:val="17"/>
                <w:szCs w:val="17"/>
                <w:color w:val="auto"/>
                <w:w w:val="90"/>
              </w:rPr>
              <w:t>President, Chief Executive</w:t>
            </w:r>
          </w:p>
        </w:tc>
        <w:tc>
          <w:tcPr>
            <w:tcW w:w="2180" w:type="dxa"/>
            <w:vAlign w:val="bottom"/>
            <w:vMerge w:val="continue"/>
          </w:tcPr>
          <w:p>
            <w:pPr>
              <w:spacing w:after="0"/>
              <w:rPr>
                <w:sz w:val="16"/>
                <w:szCs w:val="16"/>
                <w:color w:val="auto"/>
              </w:rPr>
            </w:pPr>
          </w:p>
        </w:tc>
        <w:tc>
          <w:tcPr>
            <w:tcW w:w="2040" w:type="dxa"/>
            <w:vAlign w:val="bottom"/>
            <w:gridSpan w:val="3"/>
          </w:tcPr>
          <w:p>
            <w:pPr>
              <w:jc w:val="center"/>
              <w:ind w:left="593"/>
              <w:spacing w:after="0" w:line="189" w:lineRule="exact"/>
              <w:rPr>
                <w:sz w:val="20"/>
                <w:szCs w:val="20"/>
                <w:color w:val="auto"/>
              </w:rPr>
            </w:pPr>
            <w:r>
              <w:rPr>
                <w:rFonts w:ascii="Arial" w:cs="Arial" w:eastAsia="Arial" w:hAnsi="Arial"/>
                <w:sz w:val="17"/>
                <w:szCs w:val="17"/>
                <w:color w:val="auto"/>
                <w:w w:val="91"/>
              </w:rPr>
              <w:t>December 23, 2015</w:t>
            </w:r>
          </w:p>
        </w:tc>
        <w:tc>
          <w:tcPr>
            <w:tcW w:w="0" w:type="dxa"/>
            <w:vAlign w:val="bottom"/>
          </w:tcPr>
          <w:p>
            <w:pPr>
              <w:spacing w:after="0"/>
              <w:rPr>
                <w:sz w:val="1"/>
                <w:szCs w:val="1"/>
                <w:color w:val="auto"/>
              </w:rPr>
            </w:pPr>
          </w:p>
        </w:tc>
      </w:tr>
      <w:tr>
        <w:trPr>
          <w:trHeight w:val="215"/>
        </w:trPr>
        <w:tc>
          <w:tcPr>
            <w:tcW w:w="4000" w:type="dxa"/>
            <w:vAlign w:val="bottom"/>
            <w:gridSpan w:val="3"/>
          </w:tcPr>
          <w:p>
            <w:pPr>
              <w:jc w:val="center"/>
              <w:spacing w:after="0"/>
              <w:rPr>
                <w:sz w:val="20"/>
                <w:szCs w:val="20"/>
                <w:color w:val="auto"/>
              </w:rPr>
            </w:pPr>
            <w:r>
              <w:rPr>
                <w:rFonts w:ascii="Arial" w:cs="Arial" w:eastAsia="Arial" w:hAnsi="Arial"/>
                <w:sz w:val="17"/>
                <w:szCs w:val="17"/>
                <w:color w:val="auto"/>
                <w:w w:val="93"/>
              </w:rPr>
              <w:t>Hamza Suria</w:t>
            </w:r>
          </w:p>
        </w:tc>
        <w:tc>
          <w:tcPr>
            <w:tcW w:w="5040" w:type="dxa"/>
            <w:vAlign w:val="bottom"/>
            <w:gridSpan w:val="3"/>
          </w:tcPr>
          <w:p>
            <w:pPr>
              <w:jc w:val="center"/>
              <w:ind w:left="293"/>
              <w:spacing w:after="0"/>
              <w:rPr>
                <w:sz w:val="20"/>
                <w:szCs w:val="20"/>
                <w:color w:val="auto"/>
              </w:rPr>
            </w:pPr>
            <w:r>
              <w:rPr>
                <w:rFonts w:ascii="Arial" w:cs="Arial" w:eastAsia="Arial" w:hAnsi="Arial"/>
                <w:sz w:val="17"/>
                <w:szCs w:val="17"/>
                <w:color w:val="auto"/>
                <w:w w:val="96"/>
              </w:rPr>
              <w:t>(Principal Executive Officer)</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2300" w:type="dxa"/>
            <w:vAlign w:val="bottom"/>
            <w:tcBorders>
              <w:bottom w:val="single" w:sz="8" w:color="auto"/>
            </w:tcBorders>
            <w:gridSpan w:val="2"/>
          </w:tcPr>
          <w:p>
            <w:pPr>
              <w:jc w:val="center"/>
              <w:ind w:left="161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spacing w:after="0"/>
              <w:rPr>
                <w:sz w:val="24"/>
                <w:szCs w:val="24"/>
                <w:color w:val="auto"/>
              </w:rPr>
            </w:pPr>
          </w:p>
        </w:tc>
        <w:tc>
          <w:tcPr>
            <w:tcW w:w="5040" w:type="dxa"/>
            <w:vAlign w:val="bottom"/>
            <w:gridSpan w:val="3"/>
          </w:tcPr>
          <w:p>
            <w:pPr>
              <w:jc w:val="center"/>
              <w:ind w:left="293"/>
              <w:spacing w:after="0"/>
              <w:rPr>
                <w:sz w:val="20"/>
                <w:szCs w:val="20"/>
                <w:color w:val="auto"/>
              </w:rPr>
            </w:pPr>
            <w:r>
              <w:rPr>
                <w:rFonts w:ascii="Arial" w:cs="Arial" w:eastAsia="Arial" w:hAnsi="Arial"/>
                <w:sz w:val="17"/>
                <w:szCs w:val="17"/>
                <w:color w:val="auto"/>
                <w:w w:val="96"/>
              </w:rPr>
              <w:t>Chief Financial Officer</w:t>
            </w:r>
          </w:p>
        </w:tc>
        <w:tc>
          <w:tcPr>
            <w:tcW w:w="2040" w:type="dxa"/>
            <w:vAlign w:val="bottom"/>
            <w:gridSpan w:val="3"/>
          </w:tcPr>
          <w:p>
            <w:pPr>
              <w:jc w:val="center"/>
              <w:ind w:left="593"/>
              <w:spacing w:after="0"/>
              <w:rPr>
                <w:sz w:val="20"/>
                <w:szCs w:val="20"/>
                <w:color w:val="auto"/>
              </w:rPr>
            </w:pPr>
            <w:r>
              <w:rPr>
                <w:rFonts w:ascii="Arial" w:cs="Arial" w:eastAsia="Arial" w:hAnsi="Arial"/>
                <w:sz w:val="17"/>
                <w:szCs w:val="17"/>
                <w:color w:val="auto"/>
                <w:w w:val="91"/>
              </w:rPr>
              <w:t>December 23, 2015</w:t>
            </w:r>
          </w:p>
        </w:tc>
        <w:tc>
          <w:tcPr>
            <w:tcW w:w="0" w:type="dxa"/>
            <w:vAlign w:val="bottom"/>
          </w:tcPr>
          <w:p>
            <w:pPr>
              <w:spacing w:after="0"/>
              <w:rPr>
                <w:sz w:val="1"/>
                <w:szCs w:val="1"/>
                <w:color w:val="auto"/>
              </w:rPr>
            </w:pPr>
          </w:p>
        </w:tc>
      </w:tr>
      <w:tr>
        <w:trPr>
          <w:trHeight w:val="215"/>
        </w:trPr>
        <w:tc>
          <w:tcPr>
            <w:tcW w:w="4000" w:type="dxa"/>
            <w:vAlign w:val="bottom"/>
            <w:gridSpan w:val="3"/>
          </w:tcPr>
          <w:p>
            <w:pPr>
              <w:jc w:val="center"/>
              <w:spacing w:after="0"/>
              <w:rPr>
                <w:sz w:val="20"/>
                <w:szCs w:val="20"/>
                <w:color w:val="auto"/>
              </w:rPr>
            </w:pPr>
            <w:r>
              <w:rPr>
                <w:rFonts w:ascii="Arial" w:cs="Arial" w:eastAsia="Arial" w:hAnsi="Arial"/>
                <w:sz w:val="17"/>
                <w:szCs w:val="17"/>
                <w:color w:val="auto"/>
                <w:w w:val="95"/>
              </w:rPr>
              <w:t>Robert E. Hoffman</w:t>
            </w:r>
          </w:p>
        </w:tc>
        <w:tc>
          <w:tcPr>
            <w:tcW w:w="5040" w:type="dxa"/>
            <w:vAlign w:val="bottom"/>
            <w:gridSpan w:val="3"/>
          </w:tcPr>
          <w:p>
            <w:pPr>
              <w:jc w:val="center"/>
              <w:ind w:left="293"/>
              <w:spacing w:after="0"/>
              <w:rPr>
                <w:sz w:val="20"/>
                <w:szCs w:val="20"/>
                <w:color w:val="auto"/>
              </w:rPr>
            </w:pPr>
            <w:r>
              <w:rPr>
                <w:rFonts w:ascii="Arial" w:cs="Arial" w:eastAsia="Arial" w:hAnsi="Arial"/>
                <w:sz w:val="17"/>
                <w:szCs w:val="17"/>
                <w:color w:val="auto"/>
                <w:w w:val="96"/>
              </w:rPr>
              <w:t>(Principal Accounting and Financial Officer)</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300" w:type="dxa"/>
            <w:vAlign w:val="bottom"/>
            <w:tcBorders>
              <w:bottom w:val="single" w:sz="8" w:color="auto"/>
            </w:tcBorders>
            <w:gridSpan w:val="2"/>
          </w:tcPr>
          <w:p>
            <w:pPr>
              <w:jc w:val="center"/>
              <w:ind w:left="161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spacing w:after="0"/>
              <w:rPr>
                <w:sz w:val="24"/>
                <w:szCs w:val="24"/>
                <w:color w:val="auto"/>
              </w:rPr>
            </w:pPr>
          </w:p>
        </w:tc>
        <w:tc>
          <w:tcPr>
            <w:tcW w:w="5040" w:type="dxa"/>
            <w:vAlign w:val="bottom"/>
            <w:gridSpan w:val="3"/>
          </w:tcPr>
          <w:p>
            <w:pPr>
              <w:jc w:val="center"/>
              <w:ind w:left="293"/>
              <w:spacing w:after="0"/>
              <w:rPr>
                <w:sz w:val="20"/>
                <w:szCs w:val="20"/>
                <w:color w:val="auto"/>
              </w:rPr>
            </w:pPr>
            <w:r>
              <w:rPr>
                <w:rFonts w:ascii="Arial" w:cs="Arial" w:eastAsia="Arial" w:hAnsi="Arial"/>
                <w:sz w:val="17"/>
                <w:szCs w:val="17"/>
                <w:color w:val="auto"/>
                <w:w w:val="97"/>
              </w:rPr>
              <w:t>Director</w:t>
            </w:r>
          </w:p>
        </w:tc>
        <w:tc>
          <w:tcPr>
            <w:tcW w:w="2040" w:type="dxa"/>
            <w:vAlign w:val="bottom"/>
            <w:gridSpan w:val="3"/>
          </w:tcPr>
          <w:p>
            <w:pPr>
              <w:jc w:val="center"/>
              <w:ind w:left="593"/>
              <w:spacing w:after="0"/>
              <w:rPr>
                <w:sz w:val="20"/>
                <w:szCs w:val="20"/>
                <w:color w:val="auto"/>
              </w:rPr>
            </w:pPr>
            <w:r>
              <w:rPr>
                <w:rFonts w:ascii="Arial" w:cs="Arial" w:eastAsia="Arial" w:hAnsi="Arial"/>
                <w:sz w:val="17"/>
                <w:szCs w:val="17"/>
                <w:color w:val="auto"/>
                <w:w w:val="91"/>
              </w:rPr>
              <w:t>December 23, 2015</w:t>
            </w:r>
          </w:p>
        </w:tc>
        <w:tc>
          <w:tcPr>
            <w:tcW w:w="0" w:type="dxa"/>
            <w:vAlign w:val="bottom"/>
          </w:tcPr>
          <w:p>
            <w:pPr>
              <w:spacing w:after="0"/>
              <w:rPr>
                <w:sz w:val="1"/>
                <w:szCs w:val="1"/>
                <w:color w:val="auto"/>
              </w:rPr>
            </w:pPr>
          </w:p>
        </w:tc>
      </w:tr>
      <w:tr>
        <w:trPr>
          <w:trHeight w:val="215"/>
        </w:trPr>
        <w:tc>
          <w:tcPr>
            <w:tcW w:w="4000" w:type="dxa"/>
            <w:vAlign w:val="bottom"/>
            <w:gridSpan w:val="3"/>
          </w:tcPr>
          <w:p>
            <w:pPr>
              <w:jc w:val="center"/>
              <w:spacing w:after="0"/>
              <w:rPr>
                <w:sz w:val="20"/>
                <w:szCs w:val="20"/>
                <w:color w:val="auto"/>
              </w:rPr>
            </w:pPr>
            <w:r>
              <w:rPr>
                <w:rFonts w:ascii="Arial" w:cs="Arial" w:eastAsia="Arial" w:hAnsi="Arial"/>
                <w:sz w:val="17"/>
                <w:szCs w:val="17"/>
                <w:color w:val="auto"/>
                <w:w w:val="94"/>
              </w:rPr>
              <w:t>Tiba Aynechi, Ph.D.</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300" w:type="dxa"/>
            <w:vAlign w:val="bottom"/>
            <w:tcBorders>
              <w:bottom w:val="single" w:sz="8" w:color="auto"/>
            </w:tcBorders>
            <w:gridSpan w:val="2"/>
          </w:tcPr>
          <w:p>
            <w:pPr>
              <w:jc w:val="center"/>
              <w:ind w:left="161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spacing w:after="0"/>
              <w:rPr>
                <w:sz w:val="24"/>
                <w:szCs w:val="24"/>
                <w:color w:val="auto"/>
              </w:rPr>
            </w:pPr>
          </w:p>
        </w:tc>
        <w:tc>
          <w:tcPr>
            <w:tcW w:w="5040" w:type="dxa"/>
            <w:vAlign w:val="bottom"/>
            <w:gridSpan w:val="3"/>
          </w:tcPr>
          <w:p>
            <w:pPr>
              <w:jc w:val="center"/>
              <w:ind w:left="293"/>
              <w:spacing w:after="0"/>
              <w:rPr>
                <w:sz w:val="20"/>
                <w:szCs w:val="20"/>
                <w:color w:val="auto"/>
              </w:rPr>
            </w:pPr>
            <w:r>
              <w:rPr>
                <w:rFonts w:ascii="Arial" w:cs="Arial" w:eastAsia="Arial" w:hAnsi="Arial"/>
                <w:sz w:val="17"/>
                <w:szCs w:val="17"/>
                <w:color w:val="auto"/>
                <w:w w:val="97"/>
              </w:rPr>
              <w:t>Director</w:t>
            </w:r>
          </w:p>
        </w:tc>
        <w:tc>
          <w:tcPr>
            <w:tcW w:w="2040" w:type="dxa"/>
            <w:vAlign w:val="bottom"/>
            <w:gridSpan w:val="3"/>
          </w:tcPr>
          <w:p>
            <w:pPr>
              <w:jc w:val="center"/>
              <w:ind w:left="593"/>
              <w:spacing w:after="0"/>
              <w:rPr>
                <w:sz w:val="20"/>
                <w:szCs w:val="20"/>
                <w:color w:val="auto"/>
              </w:rPr>
            </w:pPr>
            <w:r>
              <w:rPr>
                <w:rFonts w:ascii="Arial" w:cs="Arial" w:eastAsia="Arial" w:hAnsi="Arial"/>
                <w:sz w:val="17"/>
                <w:szCs w:val="17"/>
                <w:color w:val="auto"/>
                <w:w w:val="91"/>
              </w:rPr>
              <w:t>December 23, 2015</w:t>
            </w:r>
          </w:p>
        </w:tc>
        <w:tc>
          <w:tcPr>
            <w:tcW w:w="0" w:type="dxa"/>
            <w:vAlign w:val="bottom"/>
          </w:tcPr>
          <w:p>
            <w:pPr>
              <w:spacing w:after="0"/>
              <w:rPr>
                <w:sz w:val="1"/>
                <w:szCs w:val="1"/>
                <w:color w:val="auto"/>
              </w:rPr>
            </w:pPr>
          </w:p>
        </w:tc>
      </w:tr>
      <w:tr>
        <w:trPr>
          <w:trHeight w:val="215"/>
        </w:trPr>
        <w:tc>
          <w:tcPr>
            <w:tcW w:w="4000" w:type="dxa"/>
            <w:vAlign w:val="bottom"/>
            <w:gridSpan w:val="3"/>
          </w:tcPr>
          <w:p>
            <w:pPr>
              <w:jc w:val="center"/>
              <w:spacing w:after="0"/>
              <w:rPr>
                <w:sz w:val="20"/>
                <w:szCs w:val="20"/>
                <w:color w:val="auto"/>
              </w:rPr>
            </w:pPr>
            <w:r>
              <w:rPr>
                <w:rFonts w:ascii="Arial" w:cs="Arial" w:eastAsia="Arial" w:hAnsi="Arial"/>
                <w:sz w:val="17"/>
                <w:szCs w:val="17"/>
                <w:color w:val="auto"/>
                <w:w w:val="93"/>
              </w:rPr>
              <w:t>Carol G. Gallagher, Pharm.D.</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300" w:type="dxa"/>
            <w:vAlign w:val="bottom"/>
            <w:tcBorders>
              <w:bottom w:val="single" w:sz="8" w:color="auto"/>
            </w:tcBorders>
            <w:gridSpan w:val="2"/>
          </w:tcPr>
          <w:p>
            <w:pPr>
              <w:jc w:val="center"/>
              <w:ind w:left="161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spacing w:after="0"/>
              <w:rPr>
                <w:sz w:val="24"/>
                <w:szCs w:val="24"/>
                <w:color w:val="auto"/>
              </w:rPr>
            </w:pPr>
          </w:p>
        </w:tc>
        <w:tc>
          <w:tcPr>
            <w:tcW w:w="5040" w:type="dxa"/>
            <w:vAlign w:val="bottom"/>
            <w:gridSpan w:val="3"/>
          </w:tcPr>
          <w:p>
            <w:pPr>
              <w:jc w:val="center"/>
              <w:ind w:left="293"/>
              <w:spacing w:after="0"/>
              <w:rPr>
                <w:sz w:val="20"/>
                <w:szCs w:val="20"/>
                <w:color w:val="auto"/>
              </w:rPr>
            </w:pPr>
            <w:r>
              <w:rPr>
                <w:rFonts w:ascii="Arial" w:cs="Arial" w:eastAsia="Arial" w:hAnsi="Arial"/>
                <w:sz w:val="17"/>
                <w:szCs w:val="17"/>
                <w:color w:val="auto"/>
                <w:w w:val="97"/>
              </w:rPr>
              <w:t>Director</w:t>
            </w:r>
          </w:p>
        </w:tc>
        <w:tc>
          <w:tcPr>
            <w:tcW w:w="2040" w:type="dxa"/>
            <w:vAlign w:val="bottom"/>
            <w:gridSpan w:val="3"/>
          </w:tcPr>
          <w:p>
            <w:pPr>
              <w:jc w:val="center"/>
              <w:ind w:left="593"/>
              <w:spacing w:after="0"/>
              <w:rPr>
                <w:sz w:val="20"/>
                <w:szCs w:val="20"/>
                <w:color w:val="auto"/>
              </w:rPr>
            </w:pPr>
            <w:r>
              <w:rPr>
                <w:rFonts w:ascii="Arial" w:cs="Arial" w:eastAsia="Arial" w:hAnsi="Arial"/>
                <w:sz w:val="17"/>
                <w:szCs w:val="17"/>
                <w:color w:val="auto"/>
                <w:w w:val="91"/>
              </w:rPr>
              <w:t>December 23, 2015</w:t>
            </w:r>
          </w:p>
        </w:tc>
        <w:tc>
          <w:tcPr>
            <w:tcW w:w="0" w:type="dxa"/>
            <w:vAlign w:val="bottom"/>
          </w:tcPr>
          <w:p>
            <w:pPr>
              <w:spacing w:after="0"/>
              <w:rPr>
                <w:sz w:val="1"/>
                <w:szCs w:val="1"/>
                <w:color w:val="auto"/>
              </w:rPr>
            </w:pPr>
          </w:p>
        </w:tc>
      </w:tr>
      <w:tr>
        <w:trPr>
          <w:trHeight w:val="215"/>
        </w:trPr>
        <w:tc>
          <w:tcPr>
            <w:tcW w:w="4000" w:type="dxa"/>
            <w:vAlign w:val="bottom"/>
            <w:gridSpan w:val="3"/>
          </w:tcPr>
          <w:p>
            <w:pPr>
              <w:jc w:val="center"/>
              <w:spacing w:after="0"/>
              <w:rPr>
                <w:sz w:val="20"/>
                <w:szCs w:val="20"/>
                <w:color w:val="auto"/>
              </w:rPr>
            </w:pPr>
            <w:r>
              <w:rPr>
                <w:rFonts w:ascii="Arial" w:cs="Arial" w:eastAsia="Arial" w:hAnsi="Arial"/>
                <w:sz w:val="17"/>
                <w:szCs w:val="17"/>
                <w:color w:val="auto"/>
                <w:w w:val="94"/>
              </w:rPr>
              <w:t>Nicholas B. Lydon, Ph.D., FRS</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300" w:type="dxa"/>
            <w:vAlign w:val="bottom"/>
            <w:tcBorders>
              <w:bottom w:val="single" w:sz="8" w:color="auto"/>
            </w:tcBorders>
            <w:gridSpan w:val="2"/>
          </w:tcPr>
          <w:p>
            <w:pPr>
              <w:jc w:val="center"/>
              <w:ind w:left="161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spacing w:after="0"/>
              <w:rPr>
                <w:sz w:val="24"/>
                <w:szCs w:val="24"/>
                <w:color w:val="auto"/>
              </w:rPr>
            </w:pPr>
          </w:p>
        </w:tc>
        <w:tc>
          <w:tcPr>
            <w:tcW w:w="5040" w:type="dxa"/>
            <w:vAlign w:val="bottom"/>
            <w:gridSpan w:val="3"/>
          </w:tcPr>
          <w:p>
            <w:pPr>
              <w:jc w:val="center"/>
              <w:ind w:left="293"/>
              <w:spacing w:after="0"/>
              <w:rPr>
                <w:sz w:val="20"/>
                <w:szCs w:val="20"/>
                <w:color w:val="auto"/>
              </w:rPr>
            </w:pPr>
            <w:r>
              <w:rPr>
                <w:rFonts w:ascii="Arial" w:cs="Arial" w:eastAsia="Arial" w:hAnsi="Arial"/>
                <w:sz w:val="17"/>
                <w:szCs w:val="17"/>
                <w:color w:val="auto"/>
                <w:w w:val="97"/>
              </w:rPr>
              <w:t>Director</w:t>
            </w:r>
          </w:p>
        </w:tc>
        <w:tc>
          <w:tcPr>
            <w:tcW w:w="2040" w:type="dxa"/>
            <w:vAlign w:val="bottom"/>
            <w:gridSpan w:val="3"/>
          </w:tcPr>
          <w:p>
            <w:pPr>
              <w:jc w:val="center"/>
              <w:ind w:left="593"/>
              <w:spacing w:after="0"/>
              <w:rPr>
                <w:sz w:val="20"/>
                <w:szCs w:val="20"/>
                <w:color w:val="auto"/>
              </w:rPr>
            </w:pPr>
            <w:r>
              <w:rPr>
                <w:rFonts w:ascii="Arial" w:cs="Arial" w:eastAsia="Arial" w:hAnsi="Arial"/>
                <w:sz w:val="17"/>
                <w:szCs w:val="17"/>
                <w:color w:val="auto"/>
                <w:w w:val="91"/>
              </w:rPr>
              <w:t>December 23, 2015</w:t>
            </w:r>
          </w:p>
        </w:tc>
        <w:tc>
          <w:tcPr>
            <w:tcW w:w="0" w:type="dxa"/>
            <w:vAlign w:val="bottom"/>
          </w:tcPr>
          <w:p>
            <w:pPr>
              <w:spacing w:after="0"/>
              <w:rPr>
                <w:sz w:val="1"/>
                <w:szCs w:val="1"/>
                <w:color w:val="auto"/>
              </w:rPr>
            </w:pPr>
          </w:p>
        </w:tc>
      </w:tr>
      <w:tr>
        <w:trPr>
          <w:trHeight w:val="215"/>
        </w:trPr>
        <w:tc>
          <w:tcPr>
            <w:tcW w:w="4000" w:type="dxa"/>
            <w:vAlign w:val="bottom"/>
            <w:gridSpan w:val="3"/>
          </w:tcPr>
          <w:p>
            <w:pPr>
              <w:jc w:val="center"/>
              <w:spacing w:after="0"/>
              <w:rPr>
                <w:sz w:val="20"/>
                <w:szCs w:val="20"/>
                <w:color w:val="auto"/>
              </w:rPr>
            </w:pPr>
            <w:r>
              <w:rPr>
                <w:rFonts w:ascii="Arial" w:cs="Arial" w:eastAsia="Arial" w:hAnsi="Arial"/>
                <w:sz w:val="17"/>
                <w:szCs w:val="17"/>
                <w:color w:val="auto"/>
                <w:w w:val="96"/>
              </w:rPr>
              <w:t>Hollings Renton</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300" w:type="dxa"/>
            <w:vAlign w:val="bottom"/>
            <w:tcBorders>
              <w:bottom w:val="single" w:sz="8" w:color="auto"/>
            </w:tcBorders>
            <w:gridSpan w:val="2"/>
          </w:tcPr>
          <w:p>
            <w:pPr>
              <w:jc w:val="center"/>
              <w:ind w:left="161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spacing w:after="0"/>
              <w:rPr>
                <w:sz w:val="24"/>
                <w:szCs w:val="24"/>
                <w:color w:val="auto"/>
              </w:rPr>
            </w:pPr>
          </w:p>
        </w:tc>
        <w:tc>
          <w:tcPr>
            <w:tcW w:w="5040" w:type="dxa"/>
            <w:vAlign w:val="bottom"/>
            <w:gridSpan w:val="3"/>
          </w:tcPr>
          <w:p>
            <w:pPr>
              <w:jc w:val="center"/>
              <w:ind w:left="293"/>
              <w:spacing w:after="0"/>
              <w:rPr>
                <w:sz w:val="20"/>
                <w:szCs w:val="20"/>
                <w:color w:val="auto"/>
              </w:rPr>
            </w:pPr>
            <w:r>
              <w:rPr>
                <w:rFonts w:ascii="Arial" w:cs="Arial" w:eastAsia="Arial" w:hAnsi="Arial"/>
                <w:sz w:val="17"/>
                <w:szCs w:val="17"/>
                <w:color w:val="auto"/>
                <w:w w:val="97"/>
              </w:rPr>
              <w:t>Director</w:t>
            </w:r>
          </w:p>
        </w:tc>
        <w:tc>
          <w:tcPr>
            <w:tcW w:w="2040" w:type="dxa"/>
            <w:vAlign w:val="bottom"/>
            <w:gridSpan w:val="3"/>
          </w:tcPr>
          <w:p>
            <w:pPr>
              <w:jc w:val="center"/>
              <w:ind w:left="593"/>
              <w:spacing w:after="0"/>
              <w:rPr>
                <w:sz w:val="20"/>
                <w:szCs w:val="20"/>
                <w:color w:val="auto"/>
              </w:rPr>
            </w:pPr>
            <w:r>
              <w:rPr>
                <w:rFonts w:ascii="Arial" w:cs="Arial" w:eastAsia="Arial" w:hAnsi="Arial"/>
                <w:sz w:val="17"/>
                <w:szCs w:val="17"/>
                <w:color w:val="auto"/>
                <w:w w:val="91"/>
              </w:rPr>
              <w:t>December 23, 2015</w:t>
            </w:r>
          </w:p>
        </w:tc>
        <w:tc>
          <w:tcPr>
            <w:tcW w:w="0" w:type="dxa"/>
            <w:vAlign w:val="bottom"/>
          </w:tcPr>
          <w:p>
            <w:pPr>
              <w:spacing w:after="0"/>
              <w:rPr>
                <w:sz w:val="1"/>
                <w:szCs w:val="1"/>
                <w:color w:val="auto"/>
              </w:rPr>
            </w:pPr>
          </w:p>
        </w:tc>
      </w:tr>
      <w:tr>
        <w:trPr>
          <w:trHeight w:val="215"/>
        </w:trPr>
        <w:tc>
          <w:tcPr>
            <w:tcW w:w="4000" w:type="dxa"/>
            <w:vAlign w:val="bottom"/>
            <w:gridSpan w:val="3"/>
          </w:tcPr>
          <w:p>
            <w:pPr>
              <w:jc w:val="center"/>
              <w:spacing w:after="0"/>
              <w:rPr>
                <w:sz w:val="20"/>
                <w:szCs w:val="20"/>
                <w:color w:val="auto"/>
              </w:rPr>
            </w:pPr>
            <w:r>
              <w:rPr>
                <w:rFonts w:ascii="Arial" w:cs="Arial" w:eastAsia="Arial" w:hAnsi="Arial"/>
                <w:sz w:val="17"/>
                <w:szCs w:val="17"/>
                <w:color w:val="auto"/>
                <w:w w:val="93"/>
              </w:rPr>
              <w:t>John Schmid</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9"/>
              </w:rPr>
              <w:t>/s/ James A. Schoeneck</w:t>
            </w:r>
          </w:p>
        </w:tc>
        <w:tc>
          <w:tcPr>
            <w:tcW w:w="5040" w:type="dxa"/>
            <w:vAlign w:val="bottom"/>
            <w:gridSpan w:val="3"/>
          </w:tcPr>
          <w:p>
            <w:pPr>
              <w:jc w:val="center"/>
              <w:ind w:left="293"/>
              <w:spacing w:after="0"/>
              <w:rPr>
                <w:sz w:val="20"/>
                <w:szCs w:val="20"/>
                <w:color w:val="auto"/>
              </w:rPr>
            </w:pPr>
            <w:r>
              <w:rPr>
                <w:rFonts w:ascii="Arial" w:cs="Arial" w:eastAsia="Arial" w:hAnsi="Arial"/>
                <w:sz w:val="17"/>
                <w:szCs w:val="17"/>
                <w:color w:val="auto"/>
                <w:w w:val="97"/>
              </w:rPr>
              <w:t>Director</w:t>
            </w:r>
          </w:p>
        </w:tc>
        <w:tc>
          <w:tcPr>
            <w:tcW w:w="2040" w:type="dxa"/>
            <w:vAlign w:val="bottom"/>
            <w:gridSpan w:val="3"/>
          </w:tcPr>
          <w:p>
            <w:pPr>
              <w:jc w:val="center"/>
              <w:ind w:left="593"/>
              <w:spacing w:after="0"/>
              <w:rPr>
                <w:sz w:val="20"/>
                <w:szCs w:val="20"/>
                <w:color w:val="auto"/>
              </w:rPr>
            </w:pPr>
            <w:r>
              <w:rPr>
                <w:rFonts w:ascii="Arial" w:cs="Arial" w:eastAsia="Arial" w:hAnsi="Arial"/>
                <w:sz w:val="17"/>
                <w:szCs w:val="17"/>
                <w:color w:val="auto"/>
                <w:w w:val="91"/>
              </w:rPr>
              <w:t>December 23, 2015</w:t>
            </w:r>
          </w:p>
        </w:tc>
        <w:tc>
          <w:tcPr>
            <w:tcW w:w="0" w:type="dxa"/>
            <w:vAlign w:val="bottom"/>
          </w:tcPr>
          <w:p>
            <w:pPr>
              <w:spacing w:after="0"/>
              <w:rPr>
                <w:sz w:val="1"/>
                <w:szCs w:val="1"/>
                <w:color w:val="auto"/>
              </w:rPr>
            </w:pPr>
          </w:p>
        </w:tc>
      </w:tr>
      <w:tr>
        <w:trPr>
          <w:trHeight w:val="215"/>
        </w:trPr>
        <w:tc>
          <w:tcPr>
            <w:tcW w:w="4000" w:type="dxa"/>
            <w:vAlign w:val="bottom"/>
            <w:gridSpan w:val="3"/>
          </w:tcPr>
          <w:p>
            <w:pPr>
              <w:jc w:val="center"/>
              <w:spacing w:after="0"/>
              <w:rPr>
                <w:sz w:val="20"/>
                <w:szCs w:val="20"/>
                <w:color w:val="auto"/>
              </w:rPr>
            </w:pPr>
            <w:r>
              <w:rPr>
                <w:rFonts w:ascii="Arial" w:cs="Arial" w:eastAsia="Arial" w:hAnsi="Arial"/>
                <w:sz w:val="17"/>
                <w:szCs w:val="17"/>
                <w:color w:val="auto"/>
                <w:w w:val="90"/>
              </w:rPr>
              <w:t>James A. Schoeneck</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40" w:type="dxa"/>
            <w:vAlign w:val="bottom"/>
            <w:gridSpan w:val="3"/>
          </w:tcPr>
          <w:p>
            <w:pPr>
              <w:ind w:left="1580"/>
              <w:spacing w:after="0"/>
              <w:rPr>
                <w:sz w:val="20"/>
                <w:szCs w:val="20"/>
                <w:color w:val="auto"/>
              </w:rPr>
            </w:pPr>
            <w:r>
              <w:rPr>
                <w:rFonts w:ascii="Arial" w:cs="Arial" w:eastAsia="Arial" w:hAnsi="Arial"/>
                <w:sz w:val="17"/>
                <w:szCs w:val="17"/>
                <w:color w:val="auto"/>
              </w:rPr>
              <w:t>II-5</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9" w:right="25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0"/>
              </w:rPr>
              <w:t>Title</w:t>
            </w:r>
          </w:p>
        </w:tc>
        <w:tc>
          <w:tcPr>
            <w:tcW w:w="15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60"/>
        </w:trPr>
        <w:tc>
          <w:tcPr>
            <w:tcW w:w="170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800" w:type="dxa"/>
            <w:vAlign w:val="bottom"/>
            <w:gridSpan w:val="3"/>
          </w:tcPr>
          <w:p>
            <w:pPr>
              <w:jc w:val="center"/>
              <w:ind w:left="413"/>
              <w:spacing w:after="0"/>
              <w:rPr>
                <w:sz w:val="20"/>
                <w:szCs w:val="20"/>
                <w:color w:val="auto"/>
              </w:rPr>
            </w:pPr>
            <w:r>
              <w:rPr>
                <w:rFonts w:ascii="Arial" w:cs="Arial" w:eastAsia="Arial" w:hAnsi="Arial"/>
                <w:sz w:val="17"/>
                <w:szCs w:val="17"/>
                <w:color w:val="auto"/>
                <w:w w:val="97"/>
              </w:rPr>
              <w:t>Director</w:t>
            </w:r>
          </w:p>
        </w:tc>
        <w:tc>
          <w:tcPr>
            <w:tcW w:w="2720" w:type="dxa"/>
            <w:vAlign w:val="bottom"/>
            <w:gridSpan w:val="3"/>
          </w:tcPr>
          <w:p>
            <w:pPr>
              <w:jc w:val="center"/>
              <w:ind w:left="1273"/>
              <w:spacing w:after="0"/>
              <w:rPr>
                <w:sz w:val="20"/>
                <w:szCs w:val="20"/>
                <w:color w:val="auto"/>
              </w:rPr>
            </w:pPr>
            <w:r>
              <w:rPr>
                <w:rFonts w:ascii="Arial" w:cs="Arial" w:eastAsia="Arial" w:hAnsi="Arial"/>
                <w:sz w:val="17"/>
                <w:szCs w:val="17"/>
                <w:color w:val="auto"/>
                <w:w w:val="91"/>
              </w:rPr>
              <w:t>December 23, 2015</w:t>
            </w:r>
          </w:p>
        </w:tc>
      </w:tr>
      <w:tr>
        <w:trPr>
          <w:trHeight w:val="215"/>
        </w:trPr>
        <w:tc>
          <w:tcPr>
            <w:tcW w:w="320" w:type="dxa"/>
            <w:vAlign w:val="bottom"/>
          </w:tcPr>
          <w:p>
            <w:pPr>
              <w:spacing w:after="0"/>
              <w:rPr>
                <w:sz w:val="18"/>
                <w:szCs w:val="18"/>
                <w:color w:val="auto"/>
              </w:rPr>
            </w:pPr>
          </w:p>
        </w:tc>
        <w:tc>
          <w:tcPr>
            <w:tcW w:w="3680" w:type="dxa"/>
            <w:vAlign w:val="bottom"/>
            <w:gridSpan w:val="3"/>
          </w:tcPr>
          <w:p>
            <w:pPr>
              <w:jc w:val="center"/>
              <w:ind w:right="320"/>
              <w:spacing w:after="0"/>
              <w:rPr>
                <w:sz w:val="20"/>
                <w:szCs w:val="20"/>
                <w:color w:val="auto"/>
              </w:rPr>
            </w:pPr>
            <w:r>
              <w:rPr>
                <w:rFonts w:ascii="Arial" w:cs="Arial" w:eastAsia="Arial" w:hAnsi="Arial"/>
                <w:sz w:val="17"/>
                <w:szCs w:val="17"/>
                <w:color w:val="auto"/>
                <w:w w:val="93"/>
              </w:rPr>
              <w:t>James N. Topper, M.D., Ph.D.</w:t>
            </w:r>
          </w:p>
        </w:tc>
        <w:tc>
          <w:tcPr>
            <w:tcW w:w="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420"/>
        </w:trPr>
        <w:tc>
          <w:tcPr>
            <w:tcW w:w="4000" w:type="dxa"/>
            <w:vAlign w:val="bottom"/>
            <w:gridSpan w:val="4"/>
          </w:tcPr>
          <w:p>
            <w:pPr>
              <w:spacing w:after="0"/>
              <w:rPr>
                <w:sz w:val="20"/>
                <w:szCs w:val="20"/>
                <w:color w:val="auto"/>
              </w:rPr>
            </w:pPr>
            <w:r>
              <w:rPr>
                <w:rFonts w:ascii="Arial" w:cs="Arial" w:eastAsia="Arial" w:hAnsi="Arial"/>
                <w:sz w:val="17"/>
                <w:szCs w:val="17"/>
                <w:color w:val="auto"/>
              </w:rPr>
              <w:t>* Pursuant to Power of Attorney</w:t>
            </w: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9"/>
        </w:trPr>
        <w:tc>
          <w:tcPr>
            <w:tcW w:w="4000" w:type="dxa"/>
            <w:vAlign w:val="bottom"/>
            <w:gridSpan w:val="4"/>
          </w:tcPr>
          <w:p>
            <w:pPr>
              <w:spacing w:after="0"/>
              <w:rPr>
                <w:sz w:val="20"/>
                <w:szCs w:val="20"/>
                <w:color w:val="auto"/>
              </w:rPr>
            </w:pPr>
            <w:r>
              <w:rPr>
                <w:rFonts w:ascii="Arial" w:cs="Arial" w:eastAsia="Arial" w:hAnsi="Arial"/>
                <w:sz w:val="17"/>
                <w:szCs w:val="17"/>
                <w:color w:val="auto"/>
              </w:rPr>
              <w:t>By:  /s/ Hamza Suria</w:t>
            </w: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0"/>
        </w:trPr>
        <w:tc>
          <w:tcPr>
            <w:tcW w:w="320" w:type="dxa"/>
            <w:vAlign w:val="bottom"/>
          </w:tcPr>
          <w:p>
            <w:pPr>
              <w:spacing w:after="0"/>
              <w:rPr>
                <w:sz w:val="16"/>
                <w:szCs w:val="16"/>
                <w:color w:val="auto"/>
              </w:rPr>
            </w:pPr>
          </w:p>
        </w:tc>
        <w:tc>
          <w:tcPr>
            <w:tcW w:w="3680" w:type="dxa"/>
            <w:vAlign w:val="bottom"/>
            <w:tcBorders>
              <w:top w:val="single" w:sz="8" w:color="auto"/>
            </w:tcBorders>
            <w:gridSpan w:val="3"/>
          </w:tcPr>
          <w:p>
            <w:pPr>
              <w:ind w:left="60"/>
              <w:spacing w:after="0" w:line="190" w:lineRule="exact"/>
              <w:rPr>
                <w:sz w:val="20"/>
                <w:szCs w:val="20"/>
                <w:color w:val="auto"/>
              </w:rPr>
            </w:pPr>
            <w:r>
              <w:rPr>
                <w:rFonts w:ascii="Arial" w:cs="Arial" w:eastAsia="Arial" w:hAnsi="Arial"/>
                <w:sz w:val="17"/>
                <w:szCs w:val="17"/>
                <w:color w:val="auto"/>
              </w:rPr>
              <w:t>Hamza Suria</w:t>
            </w:r>
          </w:p>
        </w:tc>
        <w:tc>
          <w:tcPr>
            <w:tcW w:w="560" w:type="dxa"/>
            <w:vAlign w:val="bottom"/>
            <w:tcBorders>
              <w:top w:val="single" w:sz="8" w:color="auto"/>
            </w:tcBorders>
          </w:tcPr>
          <w:p>
            <w:pPr>
              <w:spacing w:after="0"/>
              <w:rPr>
                <w:sz w:val="16"/>
                <w:szCs w:val="16"/>
                <w:color w:val="auto"/>
              </w:rPr>
            </w:pP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2"/>
        </w:trPr>
        <w:tc>
          <w:tcPr>
            <w:tcW w:w="320" w:type="dxa"/>
            <w:vAlign w:val="bottom"/>
          </w:tcPr>
          <w:p>
            <w:pPr>
              <w:spacing w:after="0"/>
              <w:rPr>
                <w:sz w:val="19"/>
                <w:szCs w:val="19"/>
                <w:color w:val="auto"/>
              </w:rPr>
            </w:pPr>
          </w:p>
        </w:tc>
        <w:tc>
          <w:tcPr>
            <w:tcW w:w="3680" w:type="dxa"/>
            <w:vAlign w:val="bottom"/>
            <w:gridSpan w:val="3"/>
          </w:tcPr>
          <w:p>
            <w:pPr>
              <w:ind w:left="60"/>
              <w:spacing w:after="0"/>
              <w:rPr>
                <w:sz w:val="20"/>
                <w:szCs w:val="20"/>
                <w:color w:val="auto"/>
              </w:rPr>
            </w:pPr>
            <w:r>
              <w:rPr>
                <w:rFonts w:ascii="Arial" w:cs="Arial" w:eastAsia="Arial" w:hAnsi="Arial"/>
                <w:sz w:val="17"/>
                <w:szCs w:val="17"/>
                <w:color w:val="auto"/>
              </w:rPr>
              <w:t>Attorney-in-fact</w:t>
            </w:r>
          </w:p>
        </w:tc>
        <w:tc>
          <w:tcPr>
            <w:tcW w:w="5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54"/>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0" w:type="dxa"/>
            <w:vAlign w:val="bottom"/>
            <w:gridSpan w:val="3"/>
          </w:tcPr>
          <w:p>
            <w:pPr>
              <w:ind w:left="1020"/>
              <w:spacing w:after="0"/>
              <w:rPr>
                <w:sz w:val="20"/>
                <w:szCs w:val="20"/>
                <w:color w:val="auto"/>
              </w:rPr>
            </w:pPr>
            <w:r>
              <w:rPr>
                <w:rFonts w:ascii="Arial" w:cs="Arial" w:eastAsia="Arial" w:hAnsi="Arial"/>
                <w:sz w:val="17"/>
                <w:szCs w:val="17"/>
                <w:color w:val="auto"/>
              </w:rPr>
              <w:t>II-6</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080"/>
          </w:cols>
          <w:pgMar w:left="240" w:top="449" w:right="57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40" w:type="dxa"/>
            <w:vAlign w:val="bottom"/>
            <w:gridSpan w:val="3"/>
          </w:tcPr>
          <w:p>
            <w:pPr>
              <w:ind w:left="4060"/>
              <w:spacing w:after="0"/>
              <w:rPr>
                <w:sz w:val="20"/>
                <w:szCs w:val="20"/>
                <w:color w:val="auto"/>
              </w:rPr>
            </w:pPr>
            <w:r>
              <w:rPr>
                <w:rFonts w:ascii="Arial" w:cs="Arial" w:eastAsia="Arial" w:hAnsi="Arial"/>
                <w:sz w:val="17"/>
                <w:szCs w:val="17"/>
                <w:b w:val="1"/>
                <w:bCs w:val="1"/>
                <w:color w:val="auto"/>
              </w:rPr>
              <w:t>EXHIBIT INDEX</w:t>
            </w:r>
          </w:p>
        </w:tc>
      </w:tr>
      <w:tr>
        <w:trPr>
          <w:trHeight w:val="358"/>
        </w:trPr>
        <w:tc>
          <w:tcPr>
            <w:tcW w:w="60" w:type="dxa"/>
            <w:vAlign w:val="bottom"/>
          </w:tcPr>
          <w:p>
            <w:pPr>
              <w:spacing w:after="0"/>
              <w:rPr>
                <w:sz w:val="24"/>
                <w:szCs w:val="2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Exhibit</w:t>
            </w:r>
          </w:p>
        </w:tc>
        <w:tc>
          <w:tcPr>
            <w:tcW w:w="4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80"/>
        </w:trPr>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Number</w:t>
            </w:r>
          </w:p>
        </w:tc>
        <w:tc>
          <w:tcPr>
            <w:tcW w:w="4660" w:type="dxa"/>
            <w:vAlign w:val="bottom"/>
          </w:tcPr>
          <w:p>
            <w:pPr>
              <w:spacing w:after="0"/>
              <w:rPr>
                <w:sz w:val="15"/>
                <w:szCs w:val="15"/>
                <w:color w:val="auto"/>
              </w:rPr>
            </w:pPr>
          </w:p>
        </w:tc>
        <w:tc>
          <w:tcPr>
            <w:tcW w:w="56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80"/>
        </w:trPr>
        <w:tc>
          <w:tcPr>
            <w:tcW w:w="6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7"/>
                <w:szCs w:val="17"/>
                <w:color w:val="auto"/>
              </w:rPr>
              <w:t>1.1†</w:t>
            </w: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Form of Underwriting Agreement, including Form of Lock-Up Agreement.</w:t>
            </w:r>
          </w:p>
        </w:tc>
      </w:tr>
      <w:tr>
        <w:trPr>
          <w:trHeight w:val="314"/>
        </w:trPr>
        <w:tc>
          <w:tcPr>
            <w:tcW w:w="540" w:type="dxa"/>
            <w:vAlign w:val="bottom"/>
            <w:gridSpan w:val="2"/>
          </w:tcPr>
          <w:p>
            <w:pPr>
              <w:ind w:left="100"/>
              <w:spacing w:after="0"/>
              <w:rPr>
                <w:sz w:val="20"/>
                <w:szCs w:val="20"/>
                <w:color w:val="auto"/>
              </w:rPr>
            </w:pPr>
            <w:r>
              <w:rPr>
                <w:rFonts w:ascii="Arial" w:cs="Arial" w:eastAsia="Arial" w:hAnsi="Arial"/>
                <w:sz w:val="17"/>
                <w:szCs w:val="17"/>
                <w:color w:val="auto"/>
              </w:rPr>
              <w:t>3.1*</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Amended and Restated Certificate of Incorporation, as amended to date, as currently in effect.</w:t>
            </w:r>
          </w:p>
        </w:tc>
      </w:tr>
      <w:tr>
        <w:trPr>
          <w:trHeight w:val="314"/>
        </w:trPr>
        <w:tc>
          <w:tcPr>
            <w:tcW w:w="540" w:type="dxa"/>
            <w:vAlign w:val="bottom"/>
            <w:gridSpan w:val="2"/>
          </w:tcPr>
          <w:p>
            <w:pPr>
              <w:ind w:left="100"/>
              <w:spacing w:after="0"/>
              <w:rPr>
                <w:sz w:val="20"/>
                <w:szCs w:val="20"/>
                <w:color w:val="auto"/>
              </w:rPr>
            </w:pPr>
            <w:r>
              <w:rPr>
                <w:rFonts w:ascii="Arial" w:cs="Arial" w:eastAsia="Arial" w:hAnsi="Arial"/>
                <w:sz w:val="17"/>
                <w:szCs w:val="17"/>
                <w:color w:val="auto"/>
              </w:rPr>
              <w:t>3.2*</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Form of Restated Certificate of Incorporation to be effective upon the closing of this offering.</w:t>
            </w:r>
          </w:p>
        </w:tc>
      </w:tr>
      <w:tr>
        <w:trPr>
          <w:trHeight w:val="314"/>
        </w:trPr>
        <w:tc>
          <w:tcPr>
            <w:tcW w:w="540" w:type="dxa"/>
            <w:vAlign w:val="bottom"/>
            <w:gridSpan w:val="2"/>
          </w:tcPr>
          <w:p>
            <w:pPr>
              <w:ind w:left="100"/>
              <w:spacing w:after="0"/>
              <w:rPr>
                <w:sz w:val="20"/>
                <w:szCs w:val="20"/>
                <w:color w:val="auto"/>
              </w:rPr>
            </w:pPr>
            <w:r>
              <w:rPr>
                <w:rFonts w:ascii="Arial" w:cs="Arial" w:eastAsia="Arial" w:hAnsi="Arial"/>
                <w:sz w:val="17"/>
                <w:szCs w:val="17"/>
                <w:color w:val="auto"/>
              </w:rPr>
              <w:t>3.3*</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Bylaws, as currently in effect.</w:t>
            </w:r>
          </w:p>
        </w:tc>
      </w:tr>
      <w:tr>
        <w:trPr>
          <w:trHeight w:val="314"/>
        </w:trPr>
        <w:tc>
          <w:tcPr>
            <w:tcW w:w="540" w:type="dxa"/>
            <w:vAlign w:val="bottom"/>
            <w:gridSpan w:val="2"/>
          </w:tcPr>
          <w:p>
            <w:pPr>
              <w:ind w:left="100"/>
              <w:spacing w:after="0"/>
              <w:rPr>
                <w:sz w:val="20"/>
                <w:szCs w:val="20"/>
                <w:color w:val="auto"/>
              </w:rPr>
            </w:pPr>
            <w:r>
              <w:rPr>
                <w:rFonts w:ascii="Arial" w:cs="Arial" w:eastAsia="Arial" w:hAnsi="Arial"/>
                <w:sz w:val="17"/>
                <w:szCs w:val="17"/>
                <w:color w:val="auto"/>
              </w:rPr>
              <w:t>3.4*</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Form of Restated Bylaws to be effective upon the closing of this offering.</w:t>
            </w:r>
          </w:p>
        </w:tc>
      </w:tr>
      <w:tr>
        <w:trPr>
          <w:trHeight w:val="314"/>
        </w:trPr>
        <w:tc>
          <w:tcPr>
            <w:tcW w:w="540" w:type="dxa"/>
            <w:vAlign w:val="bottom"/>
            <w:gridSpan w:val="2"/>
          </w:tcPr>
          <w:p>
            <w:pPr>
              <w:ind w:left="100"/>
              <w:spacing w:after="0"/>
              <w:rPr>
                <w:sz w:val="20"/>
                <w:szCs w:val="20"/>
                <w:color w:val="auto"/>
              </w:rPr>
            </w:pPr>
            <w:r>
              <w:rPr>
                <w:rFonts w:ascii="Arial" w:cs="Arial" w:eastAsia="Arial" w:hAnsi="Arial"/>
                <w:sz w:val="17"/>
                <w:szCs w:val="17"/>
                <w:color w:val="auto"/>
              </w:rPr>
              <w:t>4.1</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Form of Common Stock Certificate.</w:t>
            </w:r>
          </w:p>
        </w:tc>
      </w:tr>
      <w:tr>
        <w:trPr>
          <w:trHeight w:val="314"/>
        </w:trPr>
        <w:tc>
          <w:tcPr>
            <w:tcW w:w="540" w:type="dxa"/>
            <w:vAlign w:val="bottom"/>
            <w:gridSpan w:val="2"/>
          </w:tcPr>
          <w:p>
            <w:pPr>
              <w:ind w:left="100"/>
              <w:spacing w:after="0"/>
              <w:rPr>
                <w:sz w:val="20"/>
                <w:szCs w:val="20"/>
                <w:color w:val="auto"/>
              </w:rPr>
            </w:pPr>
            <w:r>
              <w:rPr>
                <w:rFonts w:ascii="Arial" w:cs="Arial" w:eastAsia="Arial" w:hAnsi="Arial"/>
                <w:sz w:val="17"/>
                <w:szCs w:val="17"/>
                <w:color w:val="auto"/>
              </w:rPr>
              <w:t>4.2*</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w w:val="92"/>
              </w:rPr>
              <w:t>Fourth Amended and Restated Investors’ Rights Agreement, dated July 13, 2015, by and among the Registrant and certain of its stockholders.</w:t>
            </w:r>
          </w:p>
        </w:tc>
      </w:tr>
      <w:tr>
        <w:trPr>
          <w:trHeight w:val="314"/>
        </w:trPr>
        <w:tc>
          <w:tcPr>
            <w:tcW w:w="6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7"/>
                <w:szCs w:val="17"/>
                <w:color w:val="auto"/>
              </w:rPr>
              <w:t>5.1†</w:t>
            </w: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Opinion of Fenwick &amp; West LLP.</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10.1*</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Form of Indemnity Agreement.</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10.2*</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2006 Equity Incentive Plan and forms of award agreements.</w:t>
            </w:r>
          </w:p>
        </w:tc>
      </w:tr>
      <w:tr>
        <w:trPr>
          <w:trHeight w:val="314"/>
        </w:trPr>
        <w:tc>
          <w:tcPr>
            <w:tcW w:w="980" w:type="dxa"/>
            <w:vAlign w:val="bottom"/>
            <w:gridSpan w:val="3"/>
          </w:tcPr>
          <w:p>
            <w:pPr>
              <w:spacing w:after="0"/>
              <w:rPr>
                <w:sz w:val="20"/>
                <w:szCs w:val="20"/>
                <w:color w:val="auto"/>
              </w:rPr>
            </w:pPr>
            <w:r>
              <w:rPr>
                <w:rFonts w:ascii="Arial" w:cs="Arial" w:eastAsia="Arial" w:hAnsi="Arial"/>
                <w:sz w:val="17"/>
                <w:szCs w:val="17"/>
                <w:color w:val="auto"/>
              </w:rPr>
              <w:t>10.3†</w:t>
            </w: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w w:val="94"/>
              </w:rPr>
              <w:t>2016 Equity Incentive Plan, to become effective on the date the registration statement is declared effective, and forms of award agreements.</w:t>
            </w:r>
          </w:p>
        </w:tc>
      </w:tr>
      <w:tr>
        <w:trPr>
          <w:trHeight w:val="302"/>
        </w:trPr>
        <w:tc>
          <w:tcPr>
            <w:tcW w:w="980" w:type="dxa"/>
            <w:vAlign w:val="bottom"/>
            <w:gridSpan w:val="3"/>
          </w:tcPr>
          <w:p>
            <w:pPr>
              <w:spacing w:after="0"/>
              <w:rPr>
                <w:sz w:val="20"/>
                <w:szCs w:val="20"/>
                <w:color w:val="auto"/>
              </w:rPr>
            </w:pPr>
            <w:r>
              <w:rPr>
                <w:rFonts w:ascii="Arial" w:cs="Arial" w:eastAsia="Arial" w:hAnsi="Arial"/>
                <w:sz w:val="17"/>
                <w:szCs w:val="17"/>
                <w:color w:val="auto"/>
              </w:rPr>
              <w:t>10.4†</w:t>
            </w: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w w:val="96"/>
              </w:rPr>
              <w:t>2016 Employee Stock Purchase Plan, to become effective on the date the registration statement is declared effective, and forms of award</w:t>
            </w:r>
          </w:p>
        </w:tc>
      </w:tr>
      <w:tr>
        <w:trPr>
          <w:trHeight w:val="222"/>
        </w:trPr>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agreements.</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10.5*</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Employment Agreement, effective as of January 1, 2012, by and between the Registrant and Hamza Suria, as amended.</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10.6</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Employment Agreement, effective as of July 13, 2015, by and between the Registrant and Robert Hoffman, as amended.</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10.7*</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Employment Agreement, effective as of October 20, 2014, by and between the Registrant and Marco Londei.</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10.8</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Office Lease, dated April 19, 2011, by and between the Registrant and Kilroy Realty, L.P., as amended.</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10.9*+</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Antibody Generation Agreement, dated December 22, 2011, by and between the Registrant and Celgene Corporation, as modified.</w:t>
            </w:r>
          </w:p>
        </w:tc>
      </w:tr>
      <w:tr>
        <w:trPr>
          <w:trHeight w:val="302"/>
        </w:trPr>
        <w:tc>
          <w:tcPr>
            <w:tcW w:w="980" w:type="dxa"/>
            <w:vAlign w:val="bottom"/>
            <w:gridSpan w:val="3"/>
          </w:tcPr>
          <w:p>
            <w:pPr>
              <w:spacing w:after="0"/>
              <w:rPr>
                <w:sz w:val="20"/>
                <w:szCs w:val="20"/>
                <w:color w:val="auto"/>
              </w:rPr>
            </w:pPr>
            <w:r>
              <w:rPr>
                <w:rFonts w:ascii="Arial" w:cs="Arial" w:eastAsia="Arial" w:hAnsi="Arial"/>
                <w:sz w:val="17"/>
                <w:szCs w:val="17"/>
                <w:color w:val="auto"/>
              </w:rPr>
              <w:t>10.10*+</w:t>
            </w: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Collaboration and Exclusive License Agreement, dated March 10, 2014, by and among the Registrant, TESARO, Inc. and TESARO</w:t>
            </w:r>
          </w:p>
        </w:tc>
      </w:tr>
      <w:tr>
        <w:trPr>
          <w:trHeight w:val="222"/>
        </w:trPr>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Development, Ltd., as amended.</w:t>
            </w:r>
          </w:p>
        </w:tc>
      </w:tr>
      <w:tr>
        <w:trPr>
          <w:trHeight w:val="314"/>
        </w:trPr>
        <w:tc>
          <w:tcPr>
            <w:tcW w:w="980" w:type="dxa"/>
            <w:vAlign w:val="bottom"/>
            <w:gridSpan w:val="3"/>
          </w:tcPr>
          <w:p>
            <w:pPr>
              <w:spacing w:after="0"/>
              <w:rPr>
                <w:sz w:val="20"/>
                <w:szCs w:val="20"/>
                <w:color w:val="auto"/>
              </w:rPr>
            </w:pPr>
            <w:r>
              <w:rPr>
                <w:rFonts w:ascii="Arial" w:cs="Arial" w:eastAsia="Arial" w:hAnsi="Arial"/>
                <w:sz w:val="17"/>
                <w:szCs w:val="17"/>
                <w:color w:val="auto"/>
              </w:rPr>
              <w:t>10.11*+</w:t>
            </w: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License Agreement, dated August 30, 2006, by and between the Registrant and Medical Research Council, as amended.</w:t>
            </w:r>
          </w:p>
        </w:tc>
      </w:tr>
      <w:tr>
        <w:trPr>
          <w:trHeight w:val="314"/>
        </w:trPr>
        <w:tc>
          <w:tcPr>
            <w:tcW w:w="980" w:type="dxa"/>
            <w:vAlign w:val="bottom"/>
            <w:gridSpan w:val="3"/>
          </w:tcPr>
          <w:p>
            <w:pPr>
              <w:spacing w:after="0"/>
              <w:rPr>
                <w:sz w:val="20"/>
                <w:szCs w:val="20"/>
                <w:color w:val="auto"/>
              </w:rPr>
            </w:pPr>
            <w:r>
              <w:rPr>
                <w:rFonts w:ascii="Arial" w:cs="Arial" w:eastAsia="Arial" w:hAnsi="Arial"/>
                <w:sz w:val="17"/>
                <w:szCs w:val="17"/>
                <w:color w:val="auto"/>
              </w:rPr>
              <w:t>10.12*+</w:t>
            </w: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w w:val="93"/>
              </w:rPr>
              <w:t>Non-Exclusive Research and Commercial License Agreement, dated May 15, 2009, by and between the Registrant and Millipore Corporation.</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10.13*</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w w:val="98"/>
              </w:rPr>
              <w:t>Loan and Security Agreement, dated December 24, 2014, by and among the Registrant, Oxford Finance LLC and Silicon Valley Bank.</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21.1*</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Subsidiaries of the Registrant.</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23.1</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Consent of KPMG LLP, an independent registered public accounting firm.</w:t>
            </w:r>
          </w:p>
        </w:tc>
      </w:tr>
      <w:tr>
        <w:trPr>
          <w:trHeight w:val="314"/>
        </w:trPr>
        <w:tc>
          <w:tcPr>
            <w:tcW w:w="980" w:type="dxa"/>
            <w:vAlign w:val="bottom"/>
            <w:gridSpan w:val="3"/>
          </w:tcPr>
          <w:p>
            <w:pPr>
              <w:spacing w:after="0"/>
              <w:rPr>
                <w:sz w:val="20"/>
                <w:szCs w:val="20"/>
                <w:color w:val="auto"/>
              </w:rPr>
            </w:pPr>
            <w:r>
              <w:rPr>
                <w:rFonts w:ascii="Arial" w:cs="Arial" w:eastAsia="Arial" w:hAnsi="Arial"/>
                <w:sz w:val="17"/>
                <w:szCs w:val="17"/>
                <w:color w:val="auto"/>
              </w:rPr>
              <w:t>23.2†</w:t>
            </w: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Consent of Fenwick &amp; West LLP (included in Exhibit 5.1).</w:t>
            </w:r>
          </w:p>
        </w:tc>
      </w:tr>
      <w:tr>
        <w:trPr>
          <w:trHeight w:val="314"/>
        </w:trPr>
        <w:tc>
          <w:tcPr>
            <w:tcW w:w="540" w:type="dxa"/>
            <w:vAlign w:val="bottom"/>
            <w:gridSpan w:val="2"/>
          </w:tcPr>
          <w:p>
            <w:pPr>
              <w:spacing w:after="0"/>
              <w:rPr>
                <w:sz w:val="20"/>
                <w:szCs w:val="20"/>
                <w:color w:val="auto"/>
              </w:rPr>
            </w:pPr>
            <w:r>
              <w:rPr>
                <w:rFonts w:ascii="Arial" w:cs="Arial" w:eastAsia="Arial" w:hAnsi="Arial"/>
                <w:sz w:val="17"/>
                <w:szCs w:val="17"/>
                <w:color w:val="auto"/>
              </w:rPr>
              <w:t>24.1*</w:t>
            </w:r>
          </w:p>
        </w:tc>
        <w:tc>
          <w:tcPr>
            <w:tcW w:w="440" w:type="dxa"/>
            <w:vAlign w:val="bottom"/>
          </w:tcPr>
          <w:p>
            <w:pPr>
              <w:spacing w:after="0"/>
              <w:rPr>
                <w:sz w:val="24"/>
                <w:szCs w:val="24"/>
                <w:color w:val="auto"/>
              </w:rPr>
            </w:pPr>
          </w:p>
        </w:tc>
        <w:tc>
          <w:tcPr>
            <w:tcW w:w="10340" w:type="dxa"/>
            <w:vAlign w:val="bottom"/>
            <w:gridSpan w:val="3"/>
          </w:tcPr>
          <w:p>
            <w:pPr>
              <w:ind w:left="380"/>
              <w:spacing w:after="0"/>
              <w:rPr>
                <w:sz w:val="20"/>
                <w:szCs w:val="20"/>
                <w:color w:val="auto"/>
              </w:rPr>
            </w:pPr>
            <w:r>
              <w:rPr>
                <w:rFonts w:ascii="Arial" w:cs="Arial" w:eastAsia="Arial" w:hAnsi="Arial"/>
                <w:sz w:val="17"/>
                <w:szCs w:val="17"/>
                <w:color w:val="auto"/>
              </w:rPr>
              <w:t>Power of Attorney. Reference is made to the signature page hereto.</w:t>
            </w:r>
          </w:p>
        </w:tc>
      </w:tr>
    </w:tbl>
    <w:p>
      <w:pPr>
        <w:sectPr>
          <w:pgSz w:w="11900" w:h="16838" w:orient="portrait"/>
          <w:cols w:equalWidth="0" w:num="1">
            <w:col w:w="11320"/>
          </w:cols>
          <w:pgMar w:left="240" w:top="449" w:right="33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286385</wp:posOffset>
            </wp:positionV>
            <wp:extent cx="7232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Previously filed.</w:t>
      </w:r>
    </w:p>
    <w:p>
      <w:pPr>
        <w:spacing w:after="0" w:line="26"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To be filed by amendment.</w:t>
      </w:r>
    </w:p>
    <w:p>
      <w:pPr>
        <w:spacing w:after="0" w:line="14" w:lineRule="exact"/>
        <w:rPr>
          <w:sz w:val="20"/>
          <w:szCs w:val="20"/>
          <w:color w:val="auto"/>
        </w:rPr>
      </w:pPr>
    </w:p>
    <w:p>
      <w:pPr>
        <w:ind w:left="220" w:hanging="215"/>
        <w:spacing w:after="0" w:line="274" w:lineRule="auto"/>
        <w:tabs>
          <w:tab w:leader="none" w:pos="2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340"/>
          </w:cols>
          <w:pgMar w:left="240" w:top="449" w:right="3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312025" cy="48812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12025" cy="488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color w:val="FFFFFF"/>
        </w:rPr>
        <w:t>ABNUMBER</w:t>
      </w:r>
    </w:p>
    <w:p>
      <w:pPr>
        <w:spacing w:after="0" w:line="182" w:lineRule="auto"/>
        <w:rPr>
          <w:sz w:val="20"/>
          <w:szCs w:val="20"/>
          <w:color w:val="auto"/>
        </w:rPr>
      </w:pPr>
      <w:r>
        <w:rPr>
          <w:rFonts w:ascii="Arial" w:cs="Arial" w:eastAsia="Arial" w:hAnsi="Arial"/>
          <w:sz w:val="9"/>
          <w:szCs w:val="9"/>
          <w:color w:val="FFFFFF"/>
        </w:rPr>
        <w:t>LAWSINCORPORATEDOFTHESTATEUNDER THE</w:t>
      </w:r>
    </w:p>
    <w:p>
      <w:pPr>
        <w:spacing w:after="0" w:line="205" w:lineRule="auto"/>
        <w:rPr>
          <w:sz w:val="20"/>
          <w:szCs w:val="20"/>
          <w:color w:val="auto"/>
        </w:rPr>
      </w:pPr>
      <w:r>
        <w:rPr>
          <w:rFonts w:ascii="Arial" w:cs="Arial" w:eastAsia="Arial" w:hAnsi="Arial"/>
          <w:sz w:val="4"/>
          <w:szCs w:val="4"/>
          <w:color w:val="FFFFFF"/>
        </w:rPr>
        <w:t>AnaptysBioOFDELAWARE</w:t>
      </w:r>
    </w:p>
    <w:p>
      <w:pPr>
        <w:spacing w:after="0" w:line="205" w:lineRule="auto"/>
        <w:rPr>
          <w:sz w:val="20"/>
          <w:szCs w:val="20"/>
          <w:color w:val="auto"/>
        </w:rPr>
      </w:pPr>
      <w:r>
        <w:rPr>
          <w:rFonts w:ascii="Arial" w:cs="Arial" w:eastAsia="Arial" w:hAnsi="Arial"/>
          <w:sz w:val="4"/>
          <w:szCs w:val="4"/>
          <w:color w:val="FFFFFF"/>
        </w:rPr>
        <w:t>SHARES</w:t>
      </w:r>
    </w:p>
    <w:p>
      <w:pPr>
        <w:spacing w:after="0" w:line="182" w:lineRule="auto"/>
        <w:rPr>
          <w:sz w:val="20"/>
          <w:szCs w:val="20"/>
          <w:color w:val="auto"/>
        </w:rPr>
      </w:pPr>
      <w:r>
        <w:rPr>
          <w:rFonts w:ascii="Arial" w:cs="Arial" w:eastAsia="Arial" w:hAnsi="Arial"/>
          <w:sz w:val="9"/>
          <w:szCs w:val="9"/>
          <w:color w:val="FFFFFF"/>
        </w:rPr>
        <w:t>CUSIP 032724 10 6</w:t>
      </w:r>
    </w:p>
    <w:p>
      <w:pPr>
        <w:spacing w:after="0" w:line="205" w:lineRule="auto"/>
        <w:rPr>
          <w:sz w:val="20"/>
          <w:szCs w:val="20"/>
          <w:color w:val="auto"/>
        </w:rPr>
      </w:pPr>
      <w:r>
        <w:rPr>
          <w:rFonts w:ascii="Arial" w:cs="Arial" w:eastAsia="Arial" w:hAnsi="Arial"/>
          <w:sz w:val="4"/>
          <w:szCs w:val="4"/>
          <w:color w:val="FFFFFF"/>
          <w:vertAlign w:val="superscript"/>
        </w:rPr>
        <w:t>This</w:t>
      </w:r>
      <w:r>
        <w:rPr>
          <w:rFonts w:ascii="Arial" w:cs="Arial" w:eastAsia="Arial" w:hAnsi="Arial"/>
          <w:sz w:val="2"/>
          <w:szCs w:val="2"/>
          <w:color w:val="FFFFFF"/>
        </w:rPr>
        <w:t>SEE certifiesREVERSEthatFOR CERTAIN DEFINITIONS</w:t>
      </w:r>
    </w:p>
    <w:p>
      <w:pPr>
        <w:ind w:left="120"/>
        <w:spacing w:after="0" w:line="205" w:lineRule="auto"/>
        <w:rPr>
          <w:sz w:val="20"/>
          <w:szCs w:val="20"/>
          <w:color w:val="auto"/>
        </w:rPr>
      </w:pPr>
      <w:r>
        <w:rPr>
          <w:rFonts w:ascii="Arial" w:cs="Arial" w:eastAsia="Arial" w:hAnsi="Arial"/>
          <w:sz w:val="4"/>
          <w:szCs w:val="4"/>
          <w:color w:val="FFFFFF"/>
        </w:rPr>
        <w:t>the record holder of</w:t>
      </w:r>
    </w:p>
    <w:p>
      <w:pPr>
        <w:ind w:right="5280"/>
        <w:spacing w:after="0" w:line="182" w:lineRule="auto"/>
        <w:rPr>
          <w:sz w:val="20"/>
          <w:szCs w:val="20"/>
          <w:color w:val="auto"/>
        </w:rPr>
      </w:pPr>
      <w:r>
        <w:rPr>
          <w:rFonts w:ascii="Arial" w:cs="Arial" w:eastAsia="Arial" w:hAnsi="Arial"/>
          <w:sz w:val="9"/>
          <w:szCs w:val="9"/>
          <w:color w:val="FFFFFF"/>
        </w:rPr>
        <w:t>FULLY PAID AND NONASSESSABLE SHARES OF COMMON STOCK, $0.001 PAR VALUE PER SHARE, OF AnaptysBio, Inc.</w:t>
      </w:r>
    </w:p>
    <w:p>
      <w:pPr>
        <w:ind w:left="560" w:right="300" w:hanging="548"/>
        <w:spacing w:after="0" w:line="189" w:lineRule="auto"/>
        <w:rPr>
          <w:sz w:val="20"/>
          <w:szCs w:val="20"/>
          <w:color w:val="auto"/>
        </w:rPr>
      </w:pPr>
      <w:r>
        <w:rPr>
          <w:rFonts w:ascii="Arial" w:cs="Arial" w:eastAsia="Arial" w:hAnsi="Arial"/>
          <w:sz w:val="13"/>
          <w:szCs w:val="13"/>
          <w:color w:val="FFFFFF"/>
          <w:vertAlign w:val="subscript"/>
        </w:rPr>
        <w:t>registered</w:t>
      </w:r>
      <w:r>
        <w:rPr>
          <w:rFonts w:ascii="Arial" w:cs="Arial" w:eastAsia="Arial" w:hAnsi="Arial"/>
          <w:sz w:val="8"/>
          <w:szCs w:val="8"/>
          <w:color w:val="FFFFFF"/>
        </w:rPr>
        <w:t>tranferable on the books of the corporation in person or by duly authorized attorney upon surrender of this Certificate properly endorsed. This Certificate is not valid until countersigned by the Transfer Agent and by the Registrar.</w:t>
      </w:r>
    </w:p>
    <w:p>
      <w:pPr>
        <w:spacing w:after="0" w:line="205" w:lineRule="auto"/>
        <w:rPr>
          <w:sz w:val="20"/>
          <w:szCs w:val="20"/>
          <w:color w:val="auto"/>
        </w:rPr>
      </w:pPr>
      <w:r>
        <w:rPr>
          <w:rFonts w:ascii="Arial" w:cs="Arial" w:eastAsia="Arial" w:hAnsi="Arial"/>
          <w:sz w:val="4"/>
          <w:szCs w:val="4"/>
          <w:color w:val="FFFFFF"/>
        </w:rPr>
        <w:t>Dated:WITNESS the facsimile seal of the Corporation and the facsimile signatures of its duly authorized officers.</w:t>
      </w:r>
    </w:p>
    <w:p>
      <w:pPr>
        <w:spacing w:after="0" w:line="205" w:lineRule="auto"/>
        <w:rPr>
          <w:sz w:val="20"/>
          <w:szCs w:val="20"/>
          <w:color w:val="auto"/>
        </w:rPr>
      </w:pPr>
      <w:r>
        <w:rPr>
          <w:rFonts w:ascii="Arial" w:cs="Arial" w:eastAsia="Arial" w:hAnsi="Arial"/>
          <w:sz w:val="4"/>
          <w:szCs w:val="4"/>
          <w:color w:val="FFFFFF"/>
        </w:rPr>
        <w:t>President, Chief Executive Officer &amp; Secretary</w:t>
      </w:r>
    </w:p>
    <w:p>
      <w:pPr>
        <w:spacing w:after="0" w:line="189" w:lineRule="auto"/>
        <w:rPr>
          <w:sz w:val="20"/>
          <w:szCs w:val="20"/>
          <w:color w:val="auto"/>
        </w:rPr>
      </w:pPr>
      <w:r>
        <w:rPr>
          <w:rFonts w:ascii="Arial" w:cs="Arial" w:eastAsia="Arial" w:hAnsi="Arial"/>
          <w:sz w:val="13"/>
          <w:szCs w:val="13"/>
          <w:color w:val="FFFFFF"/>
        </w:rPr>
        <w:t>ANAPTYSBIO,CORPORATE INC.</w:t>
      </w:r>
    </w:p>
    <w:p>
      <w:pPr>
        <w:spacing w:after="0" w:line="182" w:lineRule="auto"/>
        <w:rPr>
          <w:sz w:val="20"/>
          <w:szCs w:val="20"/>
          <w:color w:val="auto"/>
        </w:rPr>
      </w:pPr>
      <w:r>
        <w:rPr>
          <w:rFonts w:ascii="Arial" w:cs="Arial" w:eastAsia="Arial" w:hAnsi="Arial"/>
          <w:sz w:val="9"/>
          <w:szCs w:val="9"/>
          <w:color w:val="FFFFFF"/>
        </w:rPr>
        <w:t>NOVEMBERSEAL 16, 2005</w:t>
      </w:r>
    </w:p>
    <w:p>
      <w:pPr>
        <w:spacing w:after="0" w:line="206" w:lineRule="auto"/>
        <w:rPr>
          <w:sz w:val="20"/>
          <w:szCs w:val="20"/>
          <w:color w:val="auto"/>
        </w:rPr>
      </w:pPr>
      <w:r>
        <w:rPr>
          <w:rFonts w:ascii="Arial" w:cs="Arial" w:eastAsia="Arial" w:hAnsi="Arial"/>
          <w:sz w:val="4"/>
          <w:szCs w:val="4"/>
          <w:color w:val="FFFFFF"/>
          <w:vertAlign w:val="subscript"/>
        </w:rPr>
        <w:t>COUNTERSIGNED</w:t>
      </w:r>
      <w:r>
        <w:rPr>
          <w:rFonts w:ascii="Arial" w:cs="Arial" w:eastAsia="Arial" w:hAnsi="Arial"/>
          <w:sz w:val="2"/>
          <w:szCs w:val="2"/>
          <w:color w:val="FFFFFF"/>
        </w:rPr>
        <w:t>*hiefDELAWAREFinancial*Officer</w:t>
      </w:r>
    </w:p>
    <w:p>
      <w:pPr>
        <w:jc w:val="center"/>
        <w:ind w:right="8000"/>
        <w:spacing w:after="0" w:line="205" w:lineRule="auto"/>
        <w:rPr>
          <w:sz w:val="20"/>
          <w:szCs w:val="20"/>
          <w:color w:val="auto"/>
        </w:rPr>
      </w:pPr>
      <w:r>
        <w:rPr>
          <w:rFonts w:ascii="Arial" w:cs="Arial" w:eastAsia="Arial" w:hAnsi="Arial"/>
          <w:sz w:val="4"/>
          <w:szCs w:val="4"/>
          <w:color w:val="FFFFFF"/>
        </w:rPr>
        <w:t>AND REGISTERED:</w:t>
      </w:r>
    </w:p>
    <w:p>
      <w:pPr>
        <w:spacing w:after="0" w:line="182" w:lineRule="auto"/>
        <w:rPr>
          <w:sz w:val="20"/>
          <w:szCs w:val="20"/>
          <w:color w:val="auto"/>
        </w:rPr>
      </w:pPr>
      <w:r>
        <w:rPr>
          <w:rFonts w:ascii="Arial" w:cs="Arial" w:eastAsia="Arial" w:hAnsi="Arial"/>
          <w:sz w:val="9"/>
          <w:szCs w:val="9"/>
          <w:color w:val="FFFFFF"/>
        </w:rPr>
        <w:t>AMERICAN STOCK TRANSFER &amp; TRUST COMPANY, LLC</w:t>
      </w:r>
    </w:p>
    <w:p>
      <w:pPr>
        <w:spacing w:after="0" w:line="206" w:lineRule="auto"/>
        <w:rPr>
          <w:sz w:val="20"/>
          <w:szCs w:val="20"/>
          <w:color w:val="auto"/>
        </w:rPr>
      </w:pPr>
      <w:r>
        <w:rPr>
          <w:rFonts w:ascii="Arial" w:cs="Arial" w:eastAsia="Arial" w:hAnsi="Arial"/>
          <w:sz w:val="4"/>
          <w:szCs w:val="4"/>
          <w:color w:val="FFFFFF"/>
        </w:rPr>
        <w:t>BY:(BROOKLYN, NY) TRANSFER AGENT AND REGISTRAR</w:t>
      </w:r>
    </w:p>
    <w:p>
      <w:pPr>
        <w:spacing w:after="0"/>
        <w:rPr>
          <w:sz w:val="20"/>
          <w:szCs w:val="20"/>
          <w:color w:val="auto"/>
        </w:rPr>
      </w:pPr>
      <w:r>
        <w:rPr>
          <w:rFonts w:ascii="Arial" w:cs="Arial" w:eastAsia="Arial" w:hAnsi="Arial"/>
          <w:sz w:val="13"/>
          <w:szCs w:val="13"/>
          <w:color w:val="FFFFFF"/>
        </w:rPr>
        <w:t>AUTHORIZED SIGNATURE</w:t>
      </w:r>
    </w:p>
    <w:p>
      <w:pPr>
        <w:sectPr>
          <w:pgSz w:w="11900" w:h="16838" w:orient="portrait"/>
          <w:cols w:equalWidth="0" w:num="1">
            <w:col w:w="11420"/>
          </w:cols>
          <w:pgMar w:left="240" w:top="127" w:right="239" w:bottom="1440" w:gutter="0" w:footer="0" w:header="0"/>
        </w:sectPr>
      </w:pPr>
    </w:p>
    <w:bookmarkStart w:id="213" w:name="page214"/>
    <w:bookmarkEnd w:id="2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68268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975" cy="682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380" w:type="dxa"/>
            <w:vAlign w:val="bottom"/>
            <w:gridSpan w:val="4"/>
          </w:tcPr>
          <w:p>
            <w:pPr>
              <w:spacing w:after="0"/>
              <w:rPr>
                <w:sz w:val="20"/>
                <w:szCs w:val="20"/>
                <w:color w:val="auto"/>
              </w:rPr>
            </w:pPr>
            <w:r>
              <w:rPr>
                <w:rFonts w:ascii="Arial" w:cs="Arial" w:eastAsia="Arial" w:hAnsi="Arial"/>
                <w:sz w:val="13"/>
                <w:szCs w:val="13"/>
                <w:color w:val="FFFFFF"/>
                <w:w w:val="90"/>
              </w:rPr>
              <w:t>The Corporation shall furnish without charge to each stockholder who so requests a statement of the powers, designations, preferences and relative, participating, optional or other special rights of each class of stock of</w:t>
            </w:r>
          </w:p>
        </w:tc>
        <w:tc>
          <w:tcPr>
            <w:tcW w:w="0" w:type="dxa"/>
            <w:vAlign w:val="bottom"/>
          </w:tcPr>
          <w:p>
            <w:pPr>
              <w:spacing w:after="0"/>
              <w:rPr>
                <w:sz w:val="1"/>
                <w:szCs w:val="1"/>
                <w:color w:val="auto"/>
              </w:rPr>
            </w:pP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the Corporation or series thereof and the qualifications, limitations or restrictions of such preferences and/or rights. Such requests shall be made to the Corporation’s Secretary at the principal office of the Corporation.</w:t>
            </w:r>
          </w:p>
        </w:tc>
        <w:tc>
          <w:tcPr>
            <w:tcW w:w="0" w:type="dxa"/>
            <w:vAlign w:val="bottom"/>
          </w:tcPr>
          <w:p>
            <w:pPr>
              <w:spacing w:after="0" w:line="20" w:lineRule="exact"/>
              <w:rPr>
                <w:sz w:val="1"/>
                <w:szCs w:val="1"/>
                <w:color w:val="auto"/>
              </w:rPr>
            </w:pP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KEEP THIS CERTIFICATE IN A SAFE PLACE. IF IT IS LOST, STOLEN, OR DESTROYED THE CORPORATION WILL REQUIRE A BOND INDEMNITY AS A CONDITION TO THE ISSUANCE OF A</w:t>
            </w:r>
          </w:p>
        </w:tc>
        <w:tc>
          <w:tcPr>
            <w:tcW w:w="0" w:type="dxa"/>
            <w:vAlign w:val="bottom"/>
          </w:tcPr>
          <w:p>
            <w:pPr>
              <w:spacing w:after="0" w:line="20" w:lineRule="exact"/>
              <w:rPr>
                <w:sz w:val="1"/>
                <w:szCs w:val="1"/>
                <w:color w:val="auto"/>
              </w:rPr>
            </w:pPr>
          </w:p>
        </w:tc>
      </w:tr>
      <w:tr>
        <w:trPr>
          <w:trHeight w:val="39"/>
        </w:trPr>
        <w:tc>
          <w:tcPr>
            <w:tcW w:w="1840" w:type="dxa"/>
            <w:vAlign w:val="bottom"/>
          </w:tcPr>
          <w:p>
            <w:pPr>
              <w:spacing w:after="0" w:line="40" w:lineRule="exact"/>
              <w:rPr>
                <w:sz w:val="20"/>
                <w:szCs w:val="20"/>
                <w:color w:val="auto"/>
              </w:rPr>
            </w:pPr>
            <w:r>
              <w:rPr>
                <w:rFonts w:ascii="Arial" w:cs="Arial" w:eastAsia="Arial" w:hAnsi="Arial"/>
                <w:sz w:val="4"/>
                <w:szCs w:val="4"/>
                <w:color w:val="FFFFFF"/>
              </w:rPr>
              <w:t>REPLACEMENT CERTIFICATE.</w:t>
            </w:r>
          </w:p>
        </w:tc>
        <w:tc>
          <w:tcPr>
            <w:tcW w:w="4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80" w:type="dxa"/>
            <w:vAlign w:val="bottom"/>
            <w:gridSpan w:val="4"/>
          </w:tcPr>
          <w:p>
            <w:pPr>
              <w:ind w:left="80"/>
              <w:spacing w:after="0" w:line="40" w:lineRule="exact"/>
              <w:rPr>
                <w:sz w:val="20"/>
                <w:szCs w:val="20"/>
                <w:color w:val="auto"/>
              </w:rPr>
            </w:pPr>
            <w:r>
              <w:rPr>
                <w:rFonts w:ascii="Arial" w:cs="Arial" w:eastAsia="Arial" w:hAnsi="Arial"/>
                <w:sz w:val="4"/>
                <w:szCs w:val="4"/>
                <w:color w:val="FFFFFF"/>
              </w:rPr>
              <w:t>he following abbreviations, when used in the inscription on the face of this certificate, shall be construed as though they were written out in full according to applicable laws or regulations:</w:t>
            </w: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ind w:left="300"/>
              <w:spacing w:after="0" w:line="40" w:lineRule="exact"/>
              <w:rPr>
                <w:sz w:val="20"/>
                <w:szCs w:val="20"/>
                <w:color w:val="auto"/>
              </w:rPr>
            </w:pPr>
            <w:r>
              <w:rPr>
                <w:rFonts w:ascii="Arial" w:cs="Arial" w:eastAsia="Arial" w:hAnsi="Arial"/>
                <w:sz w:val="4"/>
                <w:szCs w:val="4"/>
                <w:color w:val="FFFFFF"/>
              </w:rPr>
              <w:t>COM – as tenants in common UNIF GIFT MIN ACT – Custodian</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spacing w:after="0" w:line="40" w:lineRule="exact"/>
              <w:rPr>
                <w:sz w:val="20"/>
                <w:szCs w:val="20"/>
                <w:color w:val="auto"/>
              </w:rPr>
            </w:pPr>
            <w:r>
              <w:rPr>
                <w:rFonts w:ascii="Arial" w:cs="Arial" w:eastAsia="Arial" w:hAnsi="Arial"/>
                <w:sz w:val="4"/>
                <w:szCs w:val="4"/>
                <w:color w:val="FFFFFF"/>
              </w:rPr>
              <w:t>TEN ENT – as tenants by the entireties (Cust) (Minor)</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spacing w:after="0" w:line="40" w:lineRule="exact"/>
              <w:rPr>
                <w:sz w:val="20"/>
                <w:szCs w:val="20"/>
                <w:color w:val="auto"/>
              </w:rPr>
            </w:pPr>
            <w:r>
              <w:rPr>
                <w:rFonts w:ascii="Arial" w:cs="Arial" w:eastAsia="Arial" w:hAnsi="Arial"/>
                <w:sz w:val="4"/>
                <w:szCs w:val="4"/>
                <w:color w:val="FFFFFF"/>
              </w:rPr>
              <w:t>JT TEN – as joint tenants with right of survivorship and not as tenants in common</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spacing w:after="0" w:line="40" w:lineRule="exact"/>
              <w:rPr>
                <w:sz w:val="20"/>
                <w:szCs w:val="20"/>
                <w:color w:val="auto"/>
              </w:rPr>
            </w:pPr>
            <w:r>
              <w:rPr>
                <w:rFonts w:ascii="Arial" w:cs="Arial" w:eastAsia="Arial" w:hAnsi="Arial"/>
                <w:sz w:val="4"/>
                <w:szCs w:val="4"/>
                <w:color w:val="FFFFFF"/>
              </w:rPr>
              <w:t>under Uniform Gifts to Minors Act (State)</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spacing w:after="0" w:line="40" w:lineRule="exact"/>
              <w:rPr>
                <w:sz w:val="20"/>
                <w:szCs w:val="20"/>
                <w:color w:val="auto"/>
              </w:rPr>
            </w:pPr>
            <w:r>
              <w:rPr>
                <w:rFonts w:ascii="Arial" w:cs="Arial" w:eastAsia="Arial" w:hAnsi="Arial"/>
                <w:sz w:val="4"/>
                <w:szCs w:val="4"/>
                <w:color w:val="FFFFFF"/>
              </w:rPr>
              <w:t>COM PROP – as community property</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spacing w:after="0" w:line="40" w:lineRule="exact"/>
              <w:rPr>
                <w:sz w:val="20"/>
                <w:szCs w:val="20"/>
                <w:color w:val="auto"/>
              </w:rPr>
            </w:pPr>
            <w:r>
              <w:rPr>
                <w:rFonts w:ascii="Arial" w:cs="Arial" w:eastAsia="Arial" w:hAnsi="Arial"/>
                <w:sz w:val="4"/>
                <w:szCs w:val="4"/>
                <w:color w:val="FFFFFF"/>
              </w:rPr>
              <w:t>UNIF TRF MIN ACT – Custodian (until age)</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40" w:type="dxa"/>
            <w:vAlign w:val="bottom"/>
          </w:tcPr>
          <w:p>
            <w:pPr>
              <w:ind w:left="40"/>
              <w:spacing w:after="0" w:line="40" w:lineRule="exact"/>
              <w:rPr>
                <w:sz w:val="20"/>
                <w:szCs w:val="20"/>
                <w:color w:val="auto"/>
              </w:rPr>
            </w:pPr>
            <w:r>
              <w:rPr>
                <w:rFonts w:ascii="Arial" w:cs="Arial" w:eastAsia="Arial" w:hAnsi="Arial"/>
                <w:sz w:val="4"/>
                <w:szCs w:val="4"/>
                <w:color w:val="FFFFFF"/>
              </w:rPr>
              <w:t>Cust) under Uniform Transfers</w:t>
            </w:r>
          </w:p>
        </w:tc>
        <w:tc>
          <w:tcPr>
            <w:tcW w:w="4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40" w:type="dxa"/>
            <w:vAlign w:val="bottom"/>
          </w:tcPr>
          <w:p>
            <w:pPr>
              <w:spacing w:after="0" w:line="40" w:lineRule="exact"/>
              <w:rPr>
                <w:sz w:val="20"/>
                <w:szCs w:val="20"/>
                <w:color w:val="auto"/>
              </w:rPr>
            </w:pPr>
            <w:r>
              <w:rPr>
                <w:rFonts w:ascii="Arial" w:cs="Arial" w:eastAsia="Arial" w:hAnsi="Arial"/>
                <w:sz w:val="4"/>
                <w:szCs w:val="4"/>
                <w:color w:val="FFFFFF"/>
              </w:rPr>
              <w:t>(Minor) to Minors Act (State)</w:t>
            </w:r>
          </w:p>
        </w:tc>
        <w:tc>
          <w:tcPr>
            <w:tcW w:w="4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spacing w:after="0" w:line="40" w:lineRule="exact"/>
              <w:rPr>
                <w:sz w:val="20"/>
                <w:szCs w:val="20"/>
                <w:color w:val="auto"/>
              </w:rPr>
            </w:pPr>
            <w:r>
              <w:rPr>
                <w:rFonts w:ascii="Arial" w:cs="Arial" w:eastAsia="Arial" w:hAnsi="Arial"/>
                <w:sz w:val="4"/>
                <w:szCs w:val="4"/>
                <w:color w:val="FFFFFF"/>
              </w:rPr>
              <w:t>Additional abbreviations may also be used though not in the above list.</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40" w:type="dxa"/>
            <w:vAlign w:val="bottom"/>
          </w:tcPr>
          <w:p>
            <w:pPr>
              <w:spacing w:after="0" w:line="40" w:lineRule="exact"/>
              <w:rPr>
                <w:sz w:val="20"/>
                <w:szCs w:val="20"/>
                <w:color w:val="auto"/>
              </w:rPr>
            </w:pPr>
            <w:r>
              <w:rPr>
                <w:rFonts w:ascii="Arial" w:cs="Arial" w:eastAsia="Arial" w:hAnsi="Arial"/>
                <w:sz w:val="4"/>
                <w:szCs w:val="4"/>
                <w:color w:val="FFFFFF"/>
              </w:rPr>
              <w:t>FOR VALUE RECEIVED,</w:t>
            </w:r>
          </w:p>
        </w:tc>
        <w:tc>
          <w:tcPr>
            <w:tcW w:w="4120" w:type="dxa"/>
            <w:vAlign w:val="bottom"/>
          </w:tcPr>
          <w:p>
            <w:pPr>
              <w:ind w:left="20"/>
              <w:spacing w:after="0" w:line="40" w:lineRule="exact"/>
              <w:rPr>
                <w:sz w:val="20"/>
                <w:szCs w:val="20"/>
                <w:color w:val="auto"/>
              </w:rPr>
            </w:pPr>
            <w:r>
              <w:rPr>
                <w:rFonts w:ascii="Arial" w:cs="Arial" w:eastAsia="Arial" w:hAnsi="Arial"/>
                <w:sz w:val="4"/>
                <w:szCs w:val="4"/>
                <w:color w:val="FFFFFF"/>
              </w:rPr>
              <w:t>hereby sell(s), assign(s) and transfer(s) unto</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ind w:left="520"/>
              <w:spacing w:after="0" w:line="40" w:lineRule="exact"/>
              <w:rPr>
                <w:sz w:val="20"/>
                <w:szCs w:val="20"/>
                <w:color w:val="auto"/>
              </w:rPr>
            </w:pPr>
            <w:r>
              <w:rPr>
                <w:rFonts w:ascii="Arial" w:cs="Arial" w:eastAsia="Arial" w:hAnsi="Arial"/>
                <w:sz w:val="4"/>
                <w:szCs w:val="4"/>
                <w:color w:val="FFFFFF"/>
              </w:rPr>
              <w:t>INSERT SOCIAL SECURITY OR OTHER IDENTIFYING NUMBER OF ASSIGNEE</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spacing w:after="0" w:line="40" w:lineRule="exact"/>
              <w:rPr>
                <w:sz w:val="20"/>
                <w:szCs w:val="20"/>
                <w:color w:val="auto"/>
              </w:rPr>
            </w:pPr>
            <w:r>
              <w:rPr>
                <w:rFonts w:ascii="Arial" w:cs="Arial" w:eastAsia="Arial" w:hAnsi="Arial"/>
                <w:sz w:val="4"/>
                <w:szCs w:val="4"/>
                <w:color w:val="FFFFFF"/>
              </w:rPr>
              <w:t>(PLEASE PRINT OR TYPEWRITE NAME AND ADDRESS, INCLUDING ZIP CODE, OF ASSIGNEE)</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shares of the capital stock represented by within Certificate, and do hereby irrevocably constitute and appoint attorney-in-fact to transfer the said stock on the books of the within named Corporation with full power of</w:t>
            </w:r>
          </w:p>
        </w:tc>
        <w:tc>
          <w:tcPr>
            <w:tcW w:w="0" w:type="dxa"/>
            <w:vAlign w:val="bottom"/>
          </w:tcPr>
          <w:p>
            <w:pPr>
              <w:spacing w:after="0" w:line="20" w:lineRule="exact"/>
              <w:rPr>
                <w:sz w:val="1"/>
                <w:szCs w:val="1"/>
                <w:color w:val="auto"/>
              </w:rPr>
            </w:pPr>
          </w:p>
        </w:tc>
      </w:tr>
      <w:tr>
        <w:trPr>
          <w:trHeight w:val="39"/>
        </w:trPr>
        <w:tc>
          <w:tcPr>
            <w:tcW w:w="1840" w:type="dxa"/>
            <w:vAlign w:val="bottom"/>
          </w:tcPr>
          <w:p>
            <w:pPr>
              <w:spacing w:after="0" w:line="40" w:lineRule="exact"/>
              <w:rPr>
                <w:sz w:val="20"/>
                <w:szCs w:val="20"/>
                <w:color w:val="auto"/>
              </w:rPr>
            </w:pPr>
            <w:r>
              <w:rPr>
                <w:rFonts w:ascii="Arial" w:cs="Arial" w:eastAsia="Arial" w:hAnsi="Arial"/>
                <w:sz w:val="4"/>
                <w:szCs w:val="4"/>
                <w:color w:val="FFFFFF"/>
              </w:rPr>
              <w:t>the substitution in the premises.</w:t>
            </w:r>
          </w:p>
        </w:tc>
        <w:tc>
          <w:tcPr>
            <w:tcW w:w="4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40" w:type="dxa"/>
            <w:vAlign w:val="bottom"/>
          </w:tcPr>
          <w:p>
            <w:pPr>
              <w:spacing w:after="0" w:line="40" w:lineRule="exact"/>
              <w:rPr>
                <w:sz w:val="20"/>
                <w:szCs w:val="20"/>
                <w:color w:val="auto"/>
              </w:rPr>
            </w:pPr>
            <w:r>
              <w:rPr>
                <w:rFonts w:ascii="Arial" w:cs="Arial" w:eastAsia="Arial" w:hAnsi="Arial"/>
                <w:sz w:val="4"/>
                <w:szCs w:val="4"/>
                <w:color w:val="FFFFFF"/>
              </w:rPr>
              <w:t>Dated</w:t>
            </w:r>
          </w:p>
        </w:tc>
        <w:tc>
          <w:tcPr>
            <w:tcW w:w="4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840" w:type="dxa"/>
            <w:vAlign w:val="bottom"/>
          </w:tcPr>
          <w:p>
            <w:pPr>
              <w:spacing w:after="0" w:line="79" w:lineRule="exact"/>
              <w:rPr>
                <w:sz w:val="20"/>
                <w:szCs w:val="20"/>
                <w:color w:val="auto"/>
              </w:rPr>
            </w:pPr>
            <w:r>
              <w:rPr>
                <w:rFonts w:ascii="Arial" w:cs="Arial" w:eastAsia="Arial" w:hAnsi="Arial"/>
                <w:sz w:val="9"/>
                <w:szCs w:val="9"/>
                <w:color w:val="FFFFFF"/>
              </w:rPr>
              <w:t>X</w:t>
            </w:r>
          </w:p>
        </w:tc>
        <w:tc>
          <w:tcPr>
            <w:tcW w:w="4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1380" w:type="dxa"/>
            <w:vAlign w:val="bottom"/>
            <w:gridSpan w:val="4"/>
          </w:tcPr>
          <w:p>
            <w:pPr>
              <w:spacing w:after="0" w:line="40" w:lineRule="exact"/>
              <w:rPr>
                <w:sz w:val="20"/>
                <w:szCs w:val="20"/>
                <w:color w:val="auto"/>
              </w:rPr>
            </w:pPr>
            <w:r>
              <w:rPr>
                <w:rFonts w:ascii="Arial" w:cs="Arial" w:eastAsia="Arial" w:hAnsi="Arial"/>
                <w:sz w:val="4"/>
                <w:szCs w:val="4"/>
                <w:color w:val="FFFFFF"/>
              </w:rPr>
              <w:t>Signature(s) Guaranteed: NOTICE: THE SIGNATURE TO THIS ASSIGNMENT MUST CORRESPOND WITH THE NAME AS WRITTEN UPON THE FACE OF THE CERTIFICATE IN EVERY PARTICULAR,</w:t>
            </w: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spacing w:after="0" w:line="40" w:lineRule="exact"/>
              <w:rPr>
                <w:sz w:val="20"/>
                <w:szCs w:val="20"/>
                <w:color w:val="auto"/>
              </w:rPr>
            </w:pPr>
            <w:r>
              <w:rPr>
                <w:rFonts w:ascii="Arial" w:cs="Arial" w:eastAsia="Arial" w:hAnsi="Arial"/>
                <w:sz w:val="4"/>
                <w:szCs w:val="4"/>
                <w:color w:val="FFFFFF"/>
              </w:rPr>
              <w:t>WITHOUT ALTERATION OR ENLARGEMENT OR ANY CHANGE WHATSOEVER.</w:t>
            </w:r>
          </w:p>
        </w:tc>
        <w:tc>
          <w:tcPr>
            <w:tcW w:w="26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40" w:type="dxa"/>
            <w:vAlign w:val="bottom"/>
          </w:tcPr>
          <w:p>
            <w:pPr>
              <w:spacing w:after="0" w:line="40" w:lineRule="exact"/>
              <w:rPr>
                <w:sz w:val="20"/>
                <w:szCs w:val="20"/>
                <w:color w:val="auto"/>
              </w:rPr>
            </w:pPr>
            <w:r>
              <w:rPr>
                <w:rFonts w:ascii="Arial" w:cs="Arial" w:eastAsia="Arial" w:hAnsi="Arial"/>
                <w:sz w:val="4"/>
                <w:szCs w:val="4"/>
                <w:color w:val="FFFFFF"/>
              </w:rPr>
              <w:t>By</w:t>
            </w:r>
          </w:p>
        </w:tc>
        <w:tc>
          <w:tcPr>
            <w:tcW w:w="4120" w:type="dxa"/>
            <w:vAlign w:val="bottom"/>
          </w:tcPr>
          <w:p>
            <w:pPr>
              <w:spacing w:after="0"/>
              <w:rPr>
                <w:sz w:val="3"/>
                <w:szCs w:val="3"/>
                <w:color w:val="auto"/>
              </w:rPr>
            </w:pPr>
          </w:p>
        </w:tc>
        <w:tc>
          <w:tcPr>
            <w:tcW w:w="2660" w:type="dxa"/>
            <w:vAlign w:val="bottom"/>
            <w:vMerge w:val="restart"/>
          </w:tcPr>
          <w:p>
            <w:pPr>
              <w:ind w:left="300"/>
              <w:spacing w:after="0" w:line="79" w:lineRule="exact"/>
              <w:rPr>
                <w:sz w:val="20"/>
                <w:szCs w:val="20"/>
                <w:color w:val="auto"/>
              </w:rPr>
            </w:pPr>
            <w:r>
              <w:rPr>
                <w:rFonts w:ascii="Arial" w:cs="Arial" w:eastAsia="Arial" w:hAnsi="Arial"/>
                <w:sz w:val="9"/>
                <w:szCs w:val="9"/>
                <w:color w:val="FFFFFF"/>
              </w:rPr>
              <w:t>STOCKBROKERS, SAVINGS AND</w:t>
            </w:r>
          </w:p>
        </w:tc>
        <w:tc>
          <w:tcPr>
            <w:tcW w:w="2760" w:type="dxa"/>
            <w:vAlign w:val="bottom"/>
            <w:vMerge w:val="restart"/>
          </w:tcPr>
          <w:p>
            <w:pPr>
              <w:ind w:left="20"/>
              <w:spacing w:after="0" w:line="79" w:lineRule="exact"/>
              <w:rPr>
                <w:sz w:val="20"/>
                <w:szCs w:val="20"/>
                <w:color w:val="auto"/>
              </w:rPr>
            </w:pPr>
            <w:r>
              <w:rPr>
                <w:rFonts w:ascii="Arial" w:cs="Arial" w:eastAsia="Arial" w:hAnsi="Arial"/>
                <w:sz w:val="9"/>
                <w:szCs w:val="9"/>
                <w:color w:val="FFFFFF"/>
              </w:rPr>
              <w:t>ASSOCIATIONS AND CREDIT UNIONS WITH</w:t>
            </w:r>
          </w:p>
        </w:tc>
        <w:tc>
          <w:tcPr>
            <w:tcW w:w="0" w:type="dxa"/>
            <w:vAlign w:val="bottom"/>
          </w:tcPr>
          <w:p>
            <w:pPr>
              <w:spacing w:after="0" w:line="20" w:lineRule="exact"/>
              <w:rPr>
                <w:sz w:val="1"/>
                <w:szCs w:val="1"/>
                <w:color w:val="auto"/>
              </w:rPr>
            </w:pPr>
          </w:p>
        </w:tc>
      </w:tr>
      <w:tr>
        <w:trPr>
          <w:trHeight w:val="39"/>
        </w:trPr>
        <w:tc>
          <w:tcPr>
            <w:tcW w:w="5960" w:type="dxa"/>
            <w:vAlign w:val="bottom"/>
            <w:gridSpan w:val="2"/>
          </w:tcPr>
          <w:p>
            <w:pPr>
              <w:spacing w:after="0" w:line="40" w:lineRule="exact"/>
              <w:rPr>
                <w:sz w:val="20"/>
                <w:szCs w:val="20"/>
                <w:color w:val="auto"/>
              </w:rPr>
            </w:pPr>
            <w:r>
              <w:rPr>
                <w:rFonts w:ascii="Arial" w:cs="Arial" w:eastAsia="Arial" w:hAnsi="Arial"/>
                <w:sz w:val="4"/>
                <w:szCs w:val="4"/>
                <w:color w:val="FFFFFF"/>
              </w:rPr>
              <w:t>THE SIGNATURE(S) SHOULD BE GUARANTEED BYELIGIBLE GUARANTOR INSTITUTION,</w:t>
            </w:r>
          </w:p>
        </w:tc>
        <w:tc>
          <w:tcPr>
            <w:tcW w:w="2660" w:type="dxa"/>
            <w:vAlign w:val="bottom"/>
            <w:vMerge w:val="continue"/>
          </w:tcPr>
          <w:p>
            <w:pPr>
              <w:spacing w:after="0"/>
              <w:rPr>
                <w:sz w:val="3"/>
                <w:szCs w:val="3"/>
                <w:color w:val="auto"/>
              </w:rPr>
            </w:pPr>
          </w:p>
        </w:tc>
        <w:tc>
          <w:tcPr>
            <w:tcW w:w="2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620" w:type="dxa"/>
            <w:vAlign w:val="bottom"/>
            <w:gridSpan w:val="3"/>
          </w:tcPr>
          <w:p>
            <w:pPr>
              <w:spacing w:after="0" w:line="40" w:lineRule="exact"/>
              <w:rPr>
                <w:sz w:val="20"/>
                <w:szCs w:val="20"/>
                <w:color w:val="auto"/>
              </w:rPr>
            </w:pPr>
            <w:r>
              <w:rPr>
                <w:rFonts w:ascii="Arial" w:cs="Arial" w:eastAsia="Arial" w:hAnsi="Arial"/>
                <w:sz w:val="4"/>
                <w:szCs w:val="4"/>
                <w:color w:val="FFFFFF"/>
              </w:rPr>
              <w:t>MEMBERSHIP INAPPROVED SIGNATURE GUARANTEE MEDALLION PROGRAM), PURSUANT(BANKS,TO.E.C. RULE 17Ad-15. GUARANTEES LOANBY</w:t>
            </w:r>
          </w:p>
        </w:tc>
        <w:tc>
          <w:tcPr>
            <w:tcW w:w="2760" w:type="dxa"/>
            <w:vAlign w:val="bottom"/>
          </w:tcPr>
          <w:p>
            <w:pPr>
              <w:spacing w:after="0" w:line="40" w:lineRule="exact"/>
              <w:rPr>
                <w:sz w:val="20"/>
                <w:szCs w:val="20"/>
                <w:color w:val="auto"/>
              </w:rPr>
            </w:pPr>
            <w:r>
              <w:rPr>
                <w:rFonts w:ascii="Arial" w:cs="Arial" w:eastAsia="Arial" w:hAnsi="Arial"/>
                <w:sz w:val="4"/>
                <w:szCs w:val="4"/>
                <w:color w:val="FFFFFF"/>
              </w:rPr>
              <w:t>NOTARY PUBLIC ARE NOT ACCEPTABLE.</w:t>
            </w:r>
          </w:p>
        </w:tc>
        <w:tc>
          <w:tcPr>
            <w:tcW w:w="0" w:type="dxa"/>
            <w:vAlign w:val="bottom"/>
          </w:tcPr>
          <w:p>
            <w:pPr>
              <w:spacing w:after="0" w:line="20" w:lineRule="exact"/>
              <w:rPr>
                <w:sz w:val="1"/>
                <w:szCs w:val="1"/>
                <w:color w:val="auto"/>
              </w:rPr>
            </w:pPr>
          </w:p>
        </w:tc>
      </w:tr>
      <w:tr>
        <w:trPr>
          <w:trHeight w:val="204"/>
        </w:trPr>
        <w:tc>
          <w:tcPr>
            <w:tcW w:w="5960" w:type="dxa"/>
            <w:vAlign w:val="bottom"/>
            <w:gridSpan w:val="2"/>
          </w:tcPr>
          <w:p>
            <w:pPr>
              <w:spacing w:after="0"/>
              <w:rPr>
                <w:sz w:val="20"/>
                <w:szCs w:val="20"/>
                <w:color w:val="auto"/>
              </w:rPr>
            </w:pPr>
            <w:r>
              <w:rPr>
                <w:rFonts w:ascii="Arial" w:cs="Arial" w:eastAsia="Arial" w:hAnsi="Arial"/>
                <w:sz w:val="13"/>
                <w:szCs w:val="13"/>
                <w:color w:val="FFFFFF"/>
              </w:rPr>
              <w:t>SIGNATURE GUARANTEES MUST NOT BE DATED.</w:t>
            </w:r>
          </w:p>
        </w:tc>
        <w:tc>
          <w:tcPr>
            <w:tcW w:w="2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1440" w:gutter="0" w:footer="0" w:header="0"/>
        </w:sectPr>
      </w:pPr>
    </w:p>
    <w:bookmarkStart w:id="214" w:name="page215"/>
    <w:bookmarkEnd w:id="214"/>
    <w:p>
      <w:pPr>
        <w:jc w:val="right"/>
        <w:spacing w:after="0"/>
        <w:rPr>
          <w:sz w:val="20"/>
          <w:szCs w:val="20"/>
          <w:color w:val="auto"/>
        </w:rPr>
      </w:pPr>
      <w:r>
        <w:rPr>
          <w:rFonts w:ascii="Arial" w:cs="Arial" w:eastAsia="Arial" w:hAnsi="Arial"/>
          <w:sz w:val="17"/>
          <w:szCs w:val="17"/>
          <w:b w:val="1"/>
          <w:bCs w:val="1"/>
          <w:color w:val="auto"/>
        </w:rPr>
        <w:t>Exhibit 10.6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ANAPTYSBIO,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224" w:lineRule="exact"/>
        <w:rPr>
          <w:sz w:val="20"/>
          <w:szCs w:val="20"/>
          <w:color w:val="auto"/>
        </w:rPr>
      </w:pPr>
    </w:p>
    <w:p>
      <w:pPr>
        <w:ind w:right="140" w:firstLine="457"/>
        <w:spacing w:after="0" w:line="276"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EMPLOYMENT AGREEMENT</w:t>
      </w:r>
      <w:r>
        <w:rPr>
          <w:rFonts w:ascii="Arial" w:cs="Arial" w:eastAsia="Arial" w:hAnsi="Arial"/>
          <w:sz w:val="17"/>
          <w:szCs w:val="17"/>
          <w:color w:val="auto"/>
        </w:rPr>
        <w:t xml:space="preserve">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effective from July 13, 2015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among Anaptysbio,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Robert Hoffman (“</w:t>
      </w:r>
      <w:r>
        <w:rPr>
          <w:rFonts w:ascii="Arial" w:cs="Arial" w:eastAsia="Arial" w:hAnsi="Arial"/>
          <w:sz w:val="17"/>
          <w:szCs w:val="17"/>
          <w:b w:val="1"/>
          <w:bCs w:val="1"/>
          <w:i w:val="1"/>
          <w:iCs w:val="1"/>
          <w:color w:val="auto"/>
        </w:rPr>
        <w:t>CFO</w:t>
      </w:r>
      <w:r>
        <w:rPr>
          <w:rFonts w:ascii="Arial" w:cs="Arial" w:eastAsia="Arial" w:hAnsi="Arial"/>
          <w:sz w:val="17"/>
          <w:szCs w:val="17"/>
          <w:color w:val="auto"/>
        </w:rPr>
        <w:t>”). The Company and CFO are hereinafter collectively referred to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referred to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w:t>
      </w:r>
    </w:p>
    <w:p>
      <w:pPr>
        <w:spacing w:after="0" w:line="230"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The Company desires to continue to employ CFO and CFO is willing to continue to accept such employment by Company, on the terms and subject to the conditions set forth in this Agreement.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30" w:lineRule="exact"/>
        <w:rPr>
          <w:sz w:val="20"/>
          <w:szCs w:val="20"/>
          <w:color w:val="auto"/>
        </w:rPr>
      </w:pPr>
    </w:p>
    <w:p>
      <w:pPr>
        <w:ind w:right="460" w:firstLine="457"/>
        <w:spacing w:after="0" w:line="289" w:lineRule="auto"/>
        <w:rPr>
          <w:sz w:val="20"/>
          <w:szCs w:val="20"/>
          <w:color w:val="auto"/>
        </w:rPr>
      </w:pPr>
      <w:r>
        <w:rPr>
          <w:rFonts w:ascii="Arial" w:cs="Arial" w:eastAsia="Arial" w:hAnsi="Arial"/>
          <w:sz w:val="17"/>
          <w:szCs w:val="17"/>
          <w:color w:val="auto"/>
        </w:rPr>
        <w:t>In consideration of the foregoing Recitals and the mutual promises and covenants herein contained, and for other good and valuable consideration, the Parties, intending to be legally bound, agree as follows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 EMPLOYMENT.</w:t>
      </w:r>
    </w:p>
    <w:p>
      <w:pPr>
        <w:spacing w:after="0" w:line="119" w:lineRule="exact"/>
        <w:rPr>
          <w:sz w:val="20"/>
          <w:szCs w:val="20"/>
          <w:color w:val="auto"/>
        </w:rPr>
      </w:pPr>
    </w:p>
    <w:p>
      <w:pPr>
        <w:ind w:right="120" w:firstLine="913"/>
        <w:spacing w:after="0" w:line="296" w:lineRule="auto"/>
        <w:rPr>
          <w:sz w:val="20"/>
          <w:szCs w:val="20"/>
          <w:color w:val="auto"/>
        </w:rPr>
      </w:pPr>
      <w:r>
        <w:rPr>
          <w:rFonts w:ascii="Arial" w:cs="Arial" w:eastAsia="Arial" w:hAnsi="Arial"/>
          <w:sz w:val="17"/>
          <w:szCs w:val="17"/>
          <w:b w:val="1"/>
          <w:bCs w:val="1"/>
          <w:color w:val="auto"/>
        </w:rPr>
        <w:t>1.1. Title</w:t>
      </w:r>
      <w:r>
        <w:rPr>
          <w:rFonts w:ascii="Arial" w:cs="Arial" w:eastAsia="Arial" w:hAnsi="Arial"/>
          <w:sz w:val="17"/>
          <w:szCs w:val="17"/>
          <w:color w:val="auto"/>
        </w:rPr>
        <w:t>. Effective as of the Effective Date, CFO’s position shall be Chief Financial Officer of the Company, subject to the terms and conditions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this Agreement.</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1.2. Term</w:t>
      </w:r>
      <w:r>
        <w:rPr>
          <w:rFonts w:ascii="Arial" w:cs="Arial" w:eastAsia="Arial" w:hAnsi="Arial"/>
          <w:sz w:val="16"/>
          <w:szCs w:val="16"/>
          <w:color w:val="auto"/>
        </w:rPr>
        <w:t>. The term of this Agreement shall begin on the Effective Date and shall continue until it is terminated pursuant to Section 4 herein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w:t>
      </w:r>
      <w:r>
        <w:rPr>
          <w:rFonts w:ascii="Arial" w:cs="Arial" w:eastAsia="Arial" w:hAnsi="Arial"/>
          <w:sz w:val="17"/>
          <w:szCs w:val="17"/>
          <w:color w:val="auto"/>
        </w:rPr>
        <w:t>”).</w:t>
      </w:r>
    </w:p>
    <w:p>
      <w:pPr>
        <w:spacing w:after="0" w:line="206" w:lineRule="exact"/>
        <w:rPr>
          <w:sz w:val="20"/>
          <w:szCs w:val="20"/>
          <w:color w:val="auto"/>
        </w:rPr>
      </w:pPr>
    </w:p>
    <w:p>
      <w:pPr>
        <w:ind w:right="20" w:firstLine="913"/>
        <w:spacing w:after="0" w:line="296" w:lineRule="auto"/>
        <w:rPr>
          <w:sz w:val="20"/>
          <w:szCs w:val="20"/>
          <w:color w:val="auto"/>
        </w:rPr>
      </w:pPr>
      <w:r>
        <w:rPr>
          <w:rFonts w:ascii="Arial" w:cs="Arial" w:eastAsia="Arial" w:hAnsi="Arial"/>
          <w:sz w:val="17"/>
          <w:szCs w:val="17"/>
          <w:b w:val="1"/>
          <w:bCs w:val="1"/>
          <w:color w:val="auto"/>
        </w:rPr>
        <w:t>1.3. Duties</w:t>
      </w:r>
      <w:r>
        <w:rPr>
          <w:rFonts w:ascii="Arial" w:cs="Arial" w:eastAsia="Arial" w:hAnsi="Arial"/>
          <w:sz w:val="17"/>
          <w:szCs w:val="17"/>
          <w:color w:val="auto"/>
        </w:rPr>
        <w:t>. CFO shall do and perform all services, acts or things necessary or advisable to manage and conduct the business of the Company and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normally associated with the position of Chief Financial Officer. CFO shall report to the Chief Executive Officer.</w:t>
      </w:r>
    </w:p>
    <w:p>
      <w:pPr>
        <w:spacing w:after="0" w:line="146" w:lineRule="exact"/>
        <w:rPr>
          <w:sz w:val="20"/>
          <w:szCs w:val="20"/>
          <w:color w:val="auto"/>
        </w:rPr>
      </w:pPr>
    </w:p>
    <w:p>
      <w:pPr>
        <w:jc w:val="both"/>
        <w:ind w:right="60" w:firstLine="913"/>
        <w:spacing w:after="0" w:line="276" w:lineRule="auto"/>
        <w:rPr>
          <w:sz w:val="20"/>
          <w:szCs w:val="20"/>
          <w:color w:val="auto"/>
        </w:rPr>
      </w:pPr>
      <w:r>
        <w:rPr>
          <w:rFonts w:ascii="Arial" w:cs="Arial" w:eastAsia="Arial" w:hAnsi="Arial"/>
          <w:sz w:val="17"/>
          <w:szCs w:val="17"/>
          <w:b w:val="1"/>
          <w:bCs w:val="1"/>
          <w:color w:val="auto"/>
        </w:rPr>
        <w:t>1.4. Policies and Practices</w:t>
      </w:r>
      <w:r>
        <w:rPr>
          <w:rFonts w:ascii="Arial" w:cs="Arial" w:eastAsia="Arial" w:hAnsi="Arial"/>
          <w:sz w:val="17"/>
          <w:szCs w:val="17"/>
          <w:color w:val="auto"/>
        </w:rPr>
        <w:t>. The employment relationship between the Parties shall be governed by this Agreement and by the policies and practices</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164" w:lineRule="exact"/>
        <w:rPr>
          <w:sz w:val="20"/>
          <w:szCs w:val="20"/>
          <w:color w:val="auto"/>
        </w:rPr>
      </w:pPr>
    </w:p>
    <w:p>
      <w:pPr>
        <w:jc w:val="both"/>
        <w:ind w:right="80" w:firstLine="913"/>
        <w:spacing w:after="0" w:line="276" w:lineRule="auto"/>
        <w:rPr>
          <w:sz w:val="20"/>
          <w:szCs w:val="20"/>
          <w:color w:val="auto"/>
        </w:rPr>
      </w:pPr>
      <w:r>
        <w:rPr>
          <w:rFonts w:ascii="Arial" w:cs="Arial" w:eastAsia="Arial" w:hAnsi="Arial"/>
          <w:sz w:val="17"/>
          <w:szCs w:val="17"/>
          <w:b w:val="1"/>
          <w:bCs w:val="1"/>
          <w:color w:val="auto"/>
        </w:rPr>
        <w:t xml:space="preserve">1.5. Location. </w:t>
      </w:r>
      <w:r>
        <w:rPr>
          <w:rFonts w:ascii="Arial" w:cs="Arial" w:eastAsia="Arial" w:hAnsi="Arial"/>
          <w:sz w:val="17"/>
          <w:szCs w:val="17"/>
          <w:color w:val="auto"/>
        </w:rPr>
        <w:t>Unless the Parties otherwise agree in writing, during the Term CFO shall perform the services CFO is required to perform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at the Company’s offices in San Diego, California,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the Company may from time to time require CFO to travel temporarily to other locations in connection with the Company’s business.</w:t>
      </w:r>
    </w:p>
    <w:p>
      <w:pPr>
        <w:sectPr>
          <w:pgSz w:w="11900" w:h="16838" w:orient="portrait"/>
          <w:cols w:equalWidth="0" w:num="1">
            <w:col w:w="11420"/>
          </w:cols>
          <w:pgMar w:left="240" w:top="121" w:right="239" w:bottom="1440" w:gutter="0" w:footer="0" w:header="0"/>
        </w:sectPr>
      </w:pPr>
    </w:p>
    <w:bookmarkStart w:id="215" w:name="page216"/>
    <w:bookmarkEnd w:id="215"/>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 LOYALTY; NONCOMPETITION; NONSOLICITATION.</w:t>
      </w:r>
    </w:p>
    <w:p>
      <w:pPr>
        <w:spacing w:after="0" w:line="119" w:lineRule="exact"/>
        <w:rPr>
          <w:sz w:val="20"/>
          <w:szCs w:val="20"/>
          <w:color w:val="auto"/>
        </w:rPr>
      </w:pPr>
    </w:p>
    <w:p>
      <w:pPr>
        <w:ind w:right="100" w:firstLine="913"/>
        <w:spacing w:after="0" w:line="296" w:lineRule="auto"/>
        <w:rPr>
          <w:sz w:val="20"/>
          <w:szCs w:val="20"/>
          <w:color w:val="auto"/>
        </w:rPr>
      </w:pPr>
      <w:r>
        <w:rPr>
          <w:rFonts w:ascii="Arial" w:cs="Arial" w:eastAsia="Arial" w:hAnsi="Arial"/>
          <w:sz w:val="17"/>
          <w:szCs w:val="17"/>
          <w:b w:val="1"/>
          <w:bCs w:val="1"/>
          <w:color w:val="auto"/>
        </w:rPr>
        <w:t xml:space="preserve">2.1. Loyalty. </w:t>
      </w:r>
      <w:r>
        <w:rPr>
          <w:rFonts w:ascii="Arial" w:cs="Arial" w:eastAsia="Arial" w:hAnsi="Arial"/>
          <w:sz w:val="17"/>
          <w:szCs w:val="17"/>
          <w:color w:val="auto"/>
        </w:rPr>
        <w:t>During CFO’s employment with the Company, CFO shall devote CFO’s full business energies, interest, abilities and productive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proper and efficient performance of CFO’s duties under this Agreement.</w:t>
      </w:r>
    </w:p>
    <w:p>
      <w:pPr>
        <w:spacing w:after="0" w:line="146" w:lineRule="exact"/>
        <w:rPr>
          <w:sz w:val="20"/>
          <w:szCs w:val="20"/>
          <w:color w:val="auto"/>
        </w:rPr>
      </w:pPr>
    </w:p>
    <w:p>
      <w:pPr>
        <w:ind w:firstLine="913"/>
        <w:spacing w:after="0" w:line="281" w:lineRule="auto"/>
        <w:rPr>
          <w:sz w:val="20"/>
          <w:szCs w:val="20"/>
          <w:color w:val="auto"/>
        </w:rPr>
      </w:pPr>
      <w:r>
        <w:rPr>
          <w:rFonts w:ascii="Arial" w:cs="Arial" w:eastAsia="Arial" w:hAnsi="Arial"/>
          <w:sz w:val="16"/>
          <w:szCs w:val="16"/>
          <w:b w:val="1"/>
          <w:bCs w:val="1"/>
          <w:color w:val="auto"/>
        </w:rPr>
        <w:t>2.2. Agreement not to Participate in Company’s Competitors</w:t>
      </w:r>
      <w:r>
        <w:rPr>
          <w:rFonts w:ascii="Arial" w:cs="Arial" w:eastAsia="Arial" w:hAnsi="Arial"/>
          <w:sz w:val="16"/>
          <w:szCs w:val="16"/>
          <w:color w:val="auto"/>
        </w:rPr>
        <w:t>. During CFO’s employment with the Company, CFO agrees not to acquire, assume</w:t>
      </w:r>
      <w:r>
        <w:rPr>
          <w:rFonts w:ascii="Arial" w:cs="Arial" w:eastAsia="Arial" w:hAnsi="Arial"/>
          <w:sz w:val="16"/>
          <w:szCs w:val="16"/>
          <w:b w:val="1"/>
          <w:bCs w:val="1"/>
          <w:color w:val="auto"/>
        </w:rPr>
        <w:t xml:space="preserve"> </w:t>
      </w:r>
      <w:r>
        <w:rPr>
          <w:rFonts w:ascii="Arial" w:cs="Arial" w:eastAsia="Arial" w:hAnsi="Arial"/>
          <w:sz w:val="16"/>
          <w:szCs w:val="16"/>
          <w:color w:val="auto"/>
        </w:rPr>
        <w:t>or participate in, directly or indirectly, any position, investment or interest known by CFO to be adverse or antagonistic to the Company, its business, or prospects, financial or otherwise, or in any company, person, or entity that is, directly or indirectly, in competition with the business of the Company or any of its Affiliates (as defined below). Ownership by CFO, in professionally managed funds over which CFO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specific entity, any other entity that, directly or indirectly, through one or more intermediaries, controls, is controlled by or is under common control with such specified entity.</w:t>
      </w:r>
    </w:p>
    <w:p>
      <w:pPr>
        <w:spacing w:after="0" w:line="162" w:lineRule="exact"/>
        <w:rPr>
          <w:sz w:val="20"/>
          <w:szCs w:val="20"/>
          <w:color w:val="auto"/>
        </w:rPr>
      </w:pPr>
    </w:p>
    <w:p>
      <w:pPr>
        <w:ind w:right="20" w:firstLine="913"/>
        <w:spacing w:after="0" w:line="265" w:lineRule="auto"/>
        <w:rPr>
          <w:sz w:val="20"/>
          <w:szCs w:val="20"/>
          <w:color w:val="auto"/>
        </w:rPr>
      </w:pPr>
      <w:r>
        <w:rPr>
          <w:rFonts w:ascii="Arial" w:cs="Arial" w:eastAsia="Arial" w:hAnsi="Arial"/>
          <w:sz w:val="17"/>
          <w:szCs w:val="17"/>
          <w:b w:val="1"/>
          <w:bCs w:val="1"/>
          <w:color w:val="auto"/>
        </w:rPr>
        <w:t>2.3. Covenant not to Compete</w:t>
      </w:r>
      <w:r>
        <w:rPr>
          <w:rFonts w:ascii="Arial" w:cs="Arial" w:eastAsia="Arial" w:hAnsi="Arial"/>
          <w:sz w:val="17"/>
          <w:szCs w:val="17"/>
          <w:color w:val="auto"/>
        </w:rPr>
        <w:t>. During CFO’s employment with the Company, CFO shall net engage in competition with the Company and/or any of</w:t>
      </w:r>
      <w:r>
        <w:rPr>
          <w:rFonts w:ascii="Arial" w:cs="Arial" w:eastAsia="Arial" w:hAnsi="Arial"/>
          <w:sz w:val="17"/>
          <w:szCs w:val="17"/>
          <w:b w:val="1"/>
          <w:bCs w:val="1"/>
          <w:color w:val="auto"/>
        </w:rPr>
        <w:t xml:space="preserve"> </w:t>
      </w:r>
      <w:r>
        <w:rPr>
          <w:rFonts w:ascii="Arial" w:cs="Arial" w:eastAsia="Arial" w:hAnsi="Arial"/>
          <w:sz w:val="17"/>
          <w:szCs w:val="17"/>
          <w:color w:val="auto"/>
        </w:rPr>
        <w:t>its Affiliates in any manner or capacity, as adviser, principal, agent, affiliate, promoter, partner, officer, director, employee, stockholder, owner, co-owner, consultant, in any phase of the business of developing, manufacturing and marketing of products or services that directly compete with the products or services of the Company, except with the prior written consent of the Board. CFO shall be entitled to request written consent of the Board with respect to potential advisory and/or director opportunities presented to CFO by a third party, which CFO believes in good faith will not interfere or compete with the on-going business of the Company, during CFO’s employment.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 COMPENSATION OF CFO.</w:t>
      </w:r>
    </w:p>
    <w:p>
      <w:pPr>
        <w:spacing w:after="0" w:line="119" w:lineRule="exact"/>
        <w:rPr>
          <w:sz w:val="20"/>
          <w:szCs w:val="20"/>
          <w:color w:val="auto"/>
        </w:rPr>
      </w:pPr>
    </w:p>
    <w:p>
      <w:pPr>
        <w:jc w:val="both"/>
        <w:ind w:right="140" w:firstLine="913"/>
        <w:spacing w:after="0" w:line="276" w:lineRule="auto"/>
        <w:rPr>
          <w:sz w:val="20"/>
          <w:szCs w:val="20"/>
          <w:color w:val="auto"/>
        </w:rPr>
      </w:pPr>
      <w:r>
        <w:rPr>
          <w:rFonts w:ascii="Arial" w:cs="Arial" w:eastAsia="Arial" w:hAnsi="Arial"/>
          <w:sz w:val="17"/>
          <w:szCs w:val="17"/>
          <w:b w:val="1"/>
          <w:bCs w:val="1"/>
          <w:color w:val="auto"/>
        </w:rPr>
        <w:t>3.1. Base Salary</w:t>
      </w:r>
      <w:r>
        <w:rPr>
          <w:rFonts w:ascii="Arial" w:cs="Arial" w:eastAsia="Arial" w:hAnsi="Arial"/>
          <w:sz w:val="17"/>
          <w:szCs w:val="17"/>
          <w:color w:val="auto"/>
        </w:rPr>
        <w:t>. The Company shall pay CFO a base salary at the annualized rate of $325,000 (the “</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less payroll deductions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withholdings, payable in regular periodic installments in accordance with the Company’s normal payroll practices. The Base Salary shall be prorated for any partial year of employment on the basis of a 365-day fiscal year.</w:t>
      </w:r>
    </w:p>
    <w:p>
      <w:pPr>
        <w:spacing w:after="0" w:line="164"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b w:val="1"/>
          <w:bCs w:val="1"/>
          <w:color w:val="auto"/>
        </w:rPr>
        <w:t>3.2. Discretionary Bonus</w:t>
      </w:r>
      <w:r>
        <w:rPr>
          <w:rFonts w:ascii="Arial" w:cs="Arial" w:eastAsia="Arial" w:hAnsi="Arial"/>
          <w:sz w:val="16"/>
          <w:szCs w:val="16"/>
          <w:color w:val="auto"/>
        </w:rPr>
        <w:t>. At the sole discretion of the Board and Chief Executive Officer, promptly following each calendar year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CFO shall be eligible to receive a discretionary cash bonus of up to 25% of CFO’s then-current base salary (the “</w:t>
      </w:r>
      <w:r>
        <w:rPr>
          <w:rFonts w:ascii="Arial" w:cs="Arial" w:eastAsia="Arial" w:hAnsi="Arial"/>
          <w:sz w:val="16"/>
          <w:szCs w:val="16"/>
          <w:b w:val="1"/>
          <w:bCs w:val="1"/>
          <w:i w:val="1"/>
          <w:iCs w:val="1"/>
          <w:color w:val="auto"/>
        </w:rPr>
        <w:t>Bonus</w:t>
      </w:r>
      <w:r>
        <w:rPr>
          <w:rFonts w:ascii="Arial" w:cs="Arial" w:eastAsia="Arial" w:hAnsi="Arial"/>
          <w:sz w:val="16"/>
          <w:szCs w:val="16"/>
          <w:color w:val="auto"/>
        </w:rPr>
        <w:t>”), based on CFO’s achievement relative to certain performance goals (“</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to be established by the Chief Executive Officer in writing in a manner reasonably consistent with the Company’s priorities. The determination of whether CFO has met the Performance Goals for any given year, and if so, the amount of any Bonus that will be paid for such year (if any), shall be determined by the Board and Chief Executive Officer in their sole and absolute discretion. In order to be eligible to earn or receive any Bonus, CFO must remain employed by the Company through and including the date of payment of such Bonus.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5" w:right="239" w:bottom="1440" w:gutter="0" w:footer="0" w:header="0"/>
        </w:sectPr>
      </w:pPr>
    </w:p>
    <w:bookmarkStart w:id="216" w:name="page217"/>
    <w:bookmarkEnd w:id="216"/>
    <w:p>
      <w:pPr>
        <w:ind w:firstLine="913"/>
        <w:spacing w:after="0" w:line="29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2975" cy="38100"/>
                    </a:xfrm>
                    <a:prstGeom prst="rect">
                      <a:avLst/>
                    </a:prstGeom>
                    <a:noFill/>
                  </pic:spPr>
                </pic:pic>
              </a:graphicData>
            </a:graphic>
          </wp:anchor>
        </w:drawing>
        <w:t>3.3. Additional Discretionary Bonus(es)</w:t>
      </w:r>
      <w:r>
        <w:rPr>
          <w:rFonts w:ascii="Arial" w:cs="Arial" w:eastAsia="Arial" w:hAnsi="Arial"/>
          <w:sz w:val="17"/>
          <w:szCs w:val="17"/>
          <w:color w:val="auto"/>
        </w:rPr>
        <w:t>. CFO shall be eligible to receive to following additional performance-based cash bonuses as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and Chief Executive Officer in their sole and absolute discretion.</w:t>
      </w:r>
    </w:p>
    <w:p>
      <w:pPr>
        <w:spacing w:after="0" w:line="146" w:lineRule="exact"/>
        <w:rPr>
          <w:sz w:val="20"/>
          <w:szCs w:val="20"/>
          <w:color w:val="auto"/>
        </w:rPr>
      </w:pPr>
    </w:p>
    <w:p>
      <w:pPr>
        <w:ind w:right="100" w:firstLine="913"/>
        <w:spacing w:after="0" w:line="282" w:lineRule="auto"/>
        <w:rPr>
          <w:sz w:val="20"/>
          <w:szCs w:val="20"/>
          <w:color w:val="auto"/>
        </w:rPr>
      </w:pPr>
      <w:r>
        <w:rPr>
          <w:rFonts w:ascii="Arial" w:cs="Arial" w:eastAsia="Arial" w:hAnsi="Arial"/>
          <w:sz w:val="16"/>
          <w:szCs w:val="16"/>
          <w:b w:val="1"/>
          <w:bCs w:val="1"/>
          <w:color w:val="auto"/>
        </w:rPr>
        <w:t>3.4. Stock Option</w:t>
      </w:r>
      <w:r>
        <w:rPr>
          <w:rFonts w:ascii="Arial" w:cs="Arial" w:eastAsia="Arial" w:hAnsi="Arial"/>
          <w:sz w:val="16"/>
          <w:szCs w:val="16"/>
          <w:color w:val="auto"/>
        </w:rPr>
        <w:t>. As soon as practicable following the Effective Date, CFO will be granted an option to purchase up to 754,055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Common Stock (the “</w:t>
      </w:r>
      <w:r>
        <w:rPr>
          <w:rFonts w:ascii="Arial" w:cs="Arial" w:eastAsia="Arial" w:hAnsi="Arial"/>
          <w:sz w:val="16"/>
          <w:szCs w:val="16"/>
          <w:b w:val="1"/>
          <w:bCs w:val="1"/>
          <w:i w:val="1"/>
          <w:iCs w:val="1"/>
          <w:color w:val="auto"/>
        </w:rPr>
        <w:t>Base Option</w:t>
      </w:r>
      <w:r>
        <w:rPr>
          <w:rFonts w:ascii="Arial" w:cs="Arial" w:eastAsia="Arial" w:hAnsi="Arial"/>
          <w:sz w:val="16"/>
          <w:szCs w:val="16"/>
          <w:color w:val="auto"/>
        </w:rPr>
        <w:t>”) pursuant to the terms of the Company’s 2006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The Base Option shall be subject to vesting such that, subject to CFO’s, continued employment with the Company, 1/4 of the shares subject to the Base Option shall vest as of the first anniversary of the Effective Date and 1/48</w:t>
      </w:r>
      <w:r>
        <w:rPr>
          <w:rFonts w:ascii="Arial" w:cs="Arial" w:eastAsia="Arial" w:hAnsi="Arial"/>
          <w:sz w:val="13"/>
          <w:szCs w:val="13"/>
          <w:color w:val="auto"/>
        </w:rPr>
        <w:t>th</w:t>
      </w:r>
      <w:r>
        <w:rPr>
          <w:rFonts w:ascii="Arial" w:cs="Arial" w:eastAsia="Arial" w:hAnsi="Arial"/>
          <w:sz w:val="16"/>
          <w:szCs w:val="16"/>
          <w:color w:val="auto"/>
        </w:rPr>
        <w:t xml:space="preserve"> of the shares subject to the Base Option shall vest in equal monthly installments on the monthly anniversary of the Effective Date of each month for the 36 months thereafter. The exercise price per share of the Base Option will be equal to the fair market value of a single share of Common Stock on the date the Base Option is granted, as determined in good faith by the Board. The Base Option will be governed by the Plan and shall be granted pursuant to a separate stock option grant notice and stock option agreement.</w:t>
      </w:r>
    </w:p>
    <w:p>
      <w:pPr>
        <w:spacing w:after="0" w:line="163"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b w:val="1"/>
          <w:bCs w:val="1"/>
          <w:color w:val="auto"/>
        </w:rPr>
        <w:t>3.5. Expense Reimbursements</w:t>
      </w:r>
      <w:r>
        <w:rPr>
          <w:rFonts w:ascii="Arial" w:cs="Arial" w:eastAsia="Arial" w:hAnsi="Arial"/>
          <w:sz w:val="17"/>
          <w:szCs w:val="17"/>
          <w:color w:val="auto"/>
        </w:rPr>
        <w:t>. The Company will reimburse CFO for all reasonable business expenses CFO incurs in conducting his duties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pursuant to the Company’s usual expense reimbursement policies; provided that CFO supplies the appropriate substantiation for such expenses no later than the end of the calendar month following the month in which such expenses were incurred by CFO.</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3.6. Changes to Compensation</w:t>
      </w:r>
      <w:r>
        <w:rPr>
          <w:rFonts w:ascii="Arial" w:cs="Arial" w:eastAsia="Arial" w:hAnsi="Arial"/>
          <w:sz w:val="16"/>
          <w:szCs w:val="16"/>
          <w:color w:val="auto"/>
        </w:rPr>
        <w:t>. CFO’s compensation will be reviewed annually and may be changed from time to time in the Company’s sole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discretion.</w:t>
      </w:r>
    </w:p>
    <w:p>
      <w:pPr>
        <w:spacing w:after="0" w:line="206" w:lineRule="exact"/>
        <w:rPr>
          <w:sz w:val="20"/>
          <w:szCs w:val="20"/>
          <w:color w:val="auto"/>
        </w:rPr>
      </w:pPr>
    </w:p>
    <w:p>
      <w:pPr>
        <w:ind w:right="580" w:firstLine="913"/>
        <w:spacing w:after="0" w:line="296" w:lineRule="auto"/>
        <w:rPr>
          <w:sz w:val="20"/>
          <w:szCs w:val="20"/>
          <w:color w:val="auto"/>
        </w:rPr>
      </w:pPr>
      <w:r>
        <w:rPr>
          <w:rFonts w:ascii="Arial" w:cs="Arial" w:eastAsia="Arial" w:hAnsi="Arial"/>
          <w:sz w:val="17"/>
          <w:szCs w:val="17"/>
          <w:b w:val="1"/>
          <w:bCs w:val="1"/>
          <w:color w:val="auto"/>
        </w:rPr>
        <w:t>3.7. Employment Taxes</w:t>
      </w:r>
      <w:r>
        <w:rPr>
          <w:rFonts w:ascii="Arial" w:cs="Arial" w:eastAsia="Arial" w:hAnsi="Arial"/>
          <w:sz w:val="17"/>
          <w:szCs w:val="17"/>
          <w:color w:val="auto"/>
        </w:rPr>
        <w:t>. All of CFO’s compensation shall be subject to customary withholding taxes and any other employment taxes as are</w:t>
      </w:r>
      <w:r>
        <w:rPr>
          <w:rFonts w:ascii="Arial" w:cs="Arial" w:eastAsia="Arial" w:hAnsi="Arial"/>
          <w:sz w:val="17"/>
          <w:szCs w:val="17"/>
          <w:b w:val="1"/>
          <w:bCs w:val="1"/>
          <w:color w:val="auto"/>
        </w:rPr>
        <w:t xml:space="preserve"> </w:t>
      </w:r>
      <w:r>
        <w:rPr>
          <w:rFonts w:ascii="Arial" w:cs="Arial" w:eastAsia="Arial" w:hAnsi="Arial"/>
          <w:sz w:val="17"/>
          <w:szCs w:val="17"/>
          <w:color w:val="auto"/>
        </w:rPr>
        <w:t>commonly required to be collected or withheld by the Company.</w:t>
      </w:r>
    </w:p>
    <w:p>
      <w:pPr>
        <w:spacing w:after="0" w:line="146" w:lineRule="exact"/>
        <w:rPr>
          <w:sz w:val="20"/>
          <w:szCs w:val="20"/>
          <w:color w:val="auto"/>
        </w:rPr>
      </w:pPr>
    </w:p>
    <w:p>
      <w:pPr>
        <w:ind w:right="240" w:firstLine="913"/>
        <w:spacing w:after="0" w:line="330" w:lineRule="auto"/>
        <w:rPr>
          <w:sz w:val="20"/>
          <w:szCs w:val="20"/>
          <w:color w:val="auto"/>
        </w:rPr>
      </w:pPr>
      <w:r>
        <w:rPr>
          <w:rFonts w:ascii="Arial" w:cs="Arial" w:eastAsia="Arial" w:hAnsi="Arial"/>
          <w:sz w:val="16"/>
          <w:szCs w:val="16"/>
          <w:b w:val="1"/>
          <w:bCs w:val="1"/>
          <w:color w:val="auto"/>
        </w:rPr>
        <w:t>3.8. Benefits</w:t>
      </w:r>
      <w:r>
        <w:rPr>
          <w:rFonts w:ascii="Arial" w:cs="Arial" w:eastAsia="Arial" w:hAnsi="Arial"/>
          <w:sz w:val="16"/>
          <w:szCs w:val="16"/>
          <w:color w:val="auto"/>
        </w:rPr>
        <w:t>. CFO shall, in accordance with Company policy and the terms of the applicable plan documents, be eligible to participate in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benefit plan or arrangement that may be in effect from time to time and made available to the Company’s senior management employees.</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3.9. Holidays and Vacation</w:t>
      </w:r>
      <w:r>
        <w:rPr>
          <w:rFonts w:ascii="Arial" w:cs="Arial" w:eastAsia="Arial" w:hAnsi="Arial"/>
          <w:sz w:val="16"/>
          <w:szCs w:val="16"/>
          <w:color w:val="auto"/>
        </w:rPr>
        <w:t>. CFO shall be eligible for paid holiday and vacation time in, accordance with Company policy as in effect from time to</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265" w:right="299" w:bottom="1440" w:gutter="0" w:footer="0" w:header="0"/>
        </w:sectPr>
      </w:pPr>
    </w:p>
    <w:bookmarkStart w:id="217" w:name="page218"/>
    <w:bookmarkEnd w:id="217"/>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4. TERMINATION.</w:t>
      </w:r>
    </w:p>
    <w:p>
      <w:pPr>
        <w:spacing w:after="0" w:line="119" w:lineRule="exact"/>
        <w:rPr>
          <w:sz w:val="20"/>
          <w:szCs w:val="20"/>
          <w:color w:val="auto"/>
        </w:rPr>
      </w:pPr>
    </w:p>
    <w:p>
      <w:pPr>
        <w:ind w:right="60" w:firstLine="913"/>
        <w:spacing w:after="0" w:line="296" w:lineRule="auto"/>
        <w:rPr>
          <w:sz w:val="20"/>
          <w:szCs w:val="20"/>
          <w:color w:val="auto"/>
        </w:rPr>
      </w:pPr>
      <w:r>
        <w:rPr>
          <w:rFonts w:ascii="Arial" w:cs="Arial" w:eastAsia="Arial" w:hAnsi="Arial"/>
          <w:sz w:val="17"/>
          <w:szCs w:val="17"/>
          <w:b w:val="1"/>
          <w:bCs w:val="1"/>
          <w:color w:val="auto"/>
        </w:rPr>
        <w:t>4.1. Termination by the Company</w:t>
      </w:r>
      <w:r>
        <w:rPr>
          <w:rFonts w:ascii="Arial" w:cs="Arial" w:eastAsia="Arial" w:hAnsi="Arial"/>
          <w:sz w:val="17"/>
          <w:szCs w:val="17"/>
          <w:color w:val="auto"/>
        </w:rPr>
        <w:t>. CFO’s employment with the Company is at will and may be terminated by the Company at any time and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or for no reason, including, but not limited to, under the following conditions:</w:t>
      </w:r>
    </w:p>
    <w:p>
      <w:pPr>
        <w:spacing w:after="0" w:line="42" w:lineRule="exact"/>
        <w:rPr>
          <w:sz w:val="20"/>
          <w:szCs w:val="20"/>
          <w:color w:val="auto"/>
        </w:rPr>
      </w:pPr>
    </w:p>
    <w:p>
      <w:pPr>
        <w:ind w:firstLine="1484"/>
        <w:spacing w:after="0" w:line="276" w:lineRule="auto"/>
        <w:rPr>
          <w:sz w:val="20"/>
          <w:szCs w:val="20"/>
          <w:color w:val="auto"/>
        </w:rPr>
      </w:pPr>
      <w:r>
        <w:rPr>
          <w:rFonts w:ascii="Arial" w:cs="Arial" w:eastAsia="Arial" w:hAnsi="Arial"/>
          <w:sz w:val="17"/>
          <w:szCs w:val="17"/>
          <w:b w:val="1"/>
          <w:bCs w:val="1"/>
          <w:color w:val="auto"/>
        </w:rPr>
        <w:t xml:space="preserve">4.1.1 Termination by the Company for Cause. </w:t>
      </w:r>
      <w:r>
        <w:rPr>
          <w:rFonts w:ascii="Arial" w:cs="Arial" w:eastAsia="Arial" w:hAnsi="Arial"/>
          <w:sz w:val="17"/>
          <w:szCs w:val="17"/>
          <w:color w:val="auto"/>
        </w:rPr>
        <w:t>The Company may terminate CFO’s employment under this Agreement for “Cause”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below) by delivery of written notice to CFO. Any notice of termination given pursuant to this section shall effect termination as of the date of the notice, or as of such other date specified in the notice.</w:t>
      </w:r>
    </w:p>
    <w:p>
      <w:pPr>
        <w:spacing w:after="0" w:line="164" w:lineRule="exact"/>
        <w:rPr>
          <w:sz w:val="20"/>
          <w:szCs w:val="20"/>
          <w:color w:val="auto"/>
        </w:rPr>
      </w:pPr>
    </w:p>
    <w:p>
      <w:pPr>
        <w:ind w:right="80" w:firstLine="1484"/>
        <w:spacing w:after="0" w:line="368" w:lineRule="auto"/>
        <w:rPr>
          <w:sz w:val="20"/>
          <w:szCs w:val="20"/>
          <w:color w:val="auto"/>
        </w:rPr>
      </w:pPr>
      <w:r>
        <w:rPr>
          <w:rFonts w:ascii="Arial" w:cs="Arial" w:eastAsia="Arial" w:hAnsi="Arial"/>
          <w:sz w:val="15"/>
          <w:szCs w:val="15"/>
          <w:b w:val="1"/>
          <w:bCs w:val="1"/>
          <w:color w:val="auto"/>
        </w:rPr>
        <w:t xml:space="preserve">4.1.2 Termination by the Company without Cause. </w:t>
      </w:r>
      <w:r>
        <w:rPr>
          <w:rFonts w:ascii="Arial" w:cs="Arial" w:eastAsia="Arial" w:hAnsi="Arial"/>
          <w:sz w:val="15"/>
          <w:szCs w:val="15"/>
          <w:color w:val="auto"/>
        </w:rPr>
        <w:t>The Company may terminate CFO’s employment under this Agreement without Cause</w:t>
      </w:r>
      <w:r>
        <w:rPr>
          <w:rFonts w:ascii="Arial" w:cs="Arial" w:eastAsia="Arial" w:hAnsi="Arial"/>
          <w:sz w:val="15"/>
          <w:szCs w:val="15"/>
          <w:b w:val="1"/>
          <w:bCs w:val="1"/>
          <w:color w:val="auto"/>
        </w:rPr>
        <w:t xml:space="preserve"> </w:t>
      </w:r>
      <w:r>
        <w:rPr>
          <w:rFonts w:ascii="Arial" w:cs="Arial" w:eastAsia="Arial" w:hAnsi="Arial"/>
          <w:sz w:val="15"/>
          <w:szCs w:val="15"/>
          <w:color w:val="auto"/>
        </w:rPr>
        <w:t>at any time and for any reason, or for no reason. Such termination shall be effective on the date CFO is so informed, or as otherwise specified by the Company.</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4.2. Termination by CFO. </w:t>
      </w:r>
      <w:r>
        <w:rPr>
          <w:rFonts w:ascii="Arial" w:cs="Arial" w:eastAsia="Arial" w:hAnsi="Arial"/>
          <w:sz w:val="16"/>
          <w:szCs w:val="16"/>
          <w:color w:val="auto"/>
        </w:rPr>
        <w:t>CFO may terminate his employment with the Company at any time and for any reason, or for no reason, upon thirty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(30) days written notice to the Company.</w:t>
      </w:r>
    </w:p>
    <w:p>
      <w:pPr>
        <w:spacing w:after="0" w:line="206" w:lineRule="exact"/>
        <w:rPr>
          <w:sz w:val="20"/>
          <w:szCs w:val="20"/>
          <w:color w:val="auto"/>
        </w:rPr>
      </w:pPr>
    </w:p>
    <w:p>
      <w:pPr>
        <w:ind w:right="360" w:firstLine="913"/>
        <w:spacing w:after="0" w:line="296" w:lineRule="auto"/>
        <w:rPr>
          <w:sz w:val="20"/>
          <w:szCs w:val="20"/>
          <w:color w:val="auto"/>
        </w:rPr>
      </w:pPr>
      <w:r>
        <w:rPr>
          <w:rFonts w:ascii="Arial" w:cs="Arial" w:eastAsia="Arial" w:hAnsi="Arial"/>
          <w:sz w:val="17"/>
          <w:szCs w:val="17"/>
          <w:b w:val="1"/>
          <w:bCs w:val="1"/>
          <w:color w:val="auto"/>
        </w:rPr>
        <w:t>4.3. Termination for Death or Disability</w:t>
      </w:r>
      <w:r>
        <w:rPr>
          <w:rFonts w:ascii="Arial" w:cs="Arial" w:eastAsia="Arial" w:hAnsi="Arial"/>
          <w:sz w:val="17"/>
          <w:szCs w:val="17"/>
          <w:color w:val="auto"/>
        </w:rPr>
        <w:t>. CFO’s employment with the Company shall automatically terminate effective upon the date of CFO’s</w:t>
      </w:r>
      <w:r>
        <w:rPr>
          <w:rFonts w:ascii="Arial" w:cs="Arial" w:eastAsia="Arial" w:hAnsi="Arial"/>
          <w:sz w:val="17"/>
          <w:szCs w:val="17"/>
          <w:b w:val="1"/>
          <w:bCs w:val="1"/>
          <w:color w:val="auto"/>
        </w:rPr>
        <w:t xml:space="preserve"> </w:t>
      </w:r>
      <w:r>
        <w:rPr>
          <w:rFonts w:ascii="Arial" w:cs="Arial" w:eastAsia="Arial" w:hAnsi="Arial"/>
          <w:sz w:val="17"/>
          <w:szCs w:val="17"/>
          <w:color w:val="auto"/>
        </w:rPr>
        <w:t>death or Disability (as defined in the Plan).</w:t>
      </w:r>
    </w:p>
    <w:p>
      <w:pPr>
        <w:spacing w:after="0" w:line="146" w:lineRule="exact"/>
        <w:rPr>
          <w:sz w:val="20"/>
          <w:szCs w:val="20"/>
          <w:color w:val="auto"/>
        </w:rPr>
      </w:pPr>
    </w:p>
    <w:p>
      <w:pPr>
        <w:ind w:right="560" w:firstLine="913"/>
        <w:spacing w:after="0" w:line="296" w:lineRule="auto"/>
        <w:rPr>
          <w:sz w:val="20"/>
          <w:szCs w:val="20"/>
          <w:color w:val="auto"/>
        </w:rPr>
      </w:pPr>
      <w:r>
        <w:rPr>
          <w:rFonts w:ascii="Arial" w:cs="Arial" w:eastAsia="Arial" w:hAnsi="Arial"/>
          <w:sz w:val="17"/>
          <w:szCs w:val="17"/>
          <w:b w:val="1"/>
          <w:bCs w:val="1"/>
          <w:color w:val="auto"/>
        </w:rPr>
        <w:t>4.4. Termination by Mutual Agreement of the Parties</w:t>
      </w:r>
      <w:r>
        <w:rPr>
          <w:rFonts w:ascii="Arial" w:cs="Arial" w:eastAsia="Arial" w:hAnsi="Arial"/>
          <w:sz w:val="17"/>
          <w:szCs w:val="17"/>
          <w:color w:val="auto"/>
        </w:rPr>
        <w:t>. CFO’s employment with the Company may be terminated at any time upon a mutual</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writing of the Parties, Any such termination of employment shall have the consequences specified in such agreement.</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4.5. Compensation upon Termination</w:t>
      </w:r>
      <w:r>
        <w:rPr>
          <w:rFonts w:ascii="Arial" w:cs="Arial" w:eastAsia="Arial" w:hAnsi="Arial"/>
          <w:sz w:val="17"/>
          <w:szCs w:val="17"/>
          <w:color w:val="auto"/>
        </w:rPr>
        <w:t>.</w:t>
      </w:r>
    </w:p>
    <w:p>
      <w:pPr>
        <w:spacing w:after="0" w:line="224" w:lineRule="exact"/>
        <w:rPr>
          <w:sz w:val="20"/>
          <w:szCs w:val="20"/>
          <w:color w:val="auto"/>
        </w:rPr>
      </w:pPr>
    </w:p>
    <w:p>
      <w:pPr>
        <w:jc w:val="both"/>
        <w:ind w:right="320" w:firstLine="1484"/>
        <w:spacing w:after="0" w:line="270" w:lineRule="auto"/>
        <w:rPr>
          <w:sz w:val="20"/>
          <w:szCs w:val="20"/>
          <w:color w:val="auto"/>
        </w:rPr>
      </w:pPr>
      <w:r>
        <w:rPr>
          <w:rFonts w:ascii="Arial" w:cs="Arial" w:eastAsia="Arial" w:hAnsi="Arial"/>
          <w:sz w:val="17"/>
          <w:szCs w:val="17"/>
          <w:b w:val="1"/>
          <w:bCs w:val="1"/>
          <w:color w:val="auto"/>
        </w:rPr>
        <w:t>4.5.1 Death or Disability</w:t>
      </w:r>
      <w:r>
        <w:rPr>
          <w:rFonts w:ascii="Arial" w:cs="Arial" w:eastAsia="Arial" w:hAnsi="Arial"/>
          <w:sz w:val="17"/>
          <w:szCs w:val="17"/>
          <w:color w:val="auto"/>
        </w:rPr>
        <w:t>. If CFO’s employment is terminated by death or Disability, the Company shall pay to CFO, or to CFO’s heirs,</w:t>
      </w:r>
      <w:r>
        <w:rPr>
          <w:rFonts w:ascii="Arial" w:cs="Arial" w:eastAsia="Arial" w:hAnsi="Arial"/>
          <w:sz w:val="17"/>
          <w:szCs w:val="17"/>
          <w:b w:val="1"/>
          <w:bCs w:val="1"/>
          <w:color w:val="auto"/>
        </w:rPr>
        <w:t xml:space="preserve"> </w:t>
      </w:r>
      <w:r>
        <w:rPr>
          <w:rFonts w:ascii="Arial" w:cs="Arial" w:eastAsia="Arial" w:hAnsi="Arial"/>
          <w:sz w:val="17"/>
          <w:szCs w:val="17"/>
          <w:color w:val="auto"/>
        </w:rPr>
        <w:t>CFO’s base salary and accrued and unused vacation benefits earned through the date of termination at the rate in effect at the time of termination, less standard deductions and withholdings. The Company shall thereafter have no further obligations to CFO and/or CFO’s heirs under this Agreement, except as otherwise provided by law.</w:t>
      </w:r>
    </w:p>
    <w:p>
      <w:pPr>
        <w:spacing w:after="0" w:line="168" w:lineRule="exact"/>
        <w:rPr>
          <w:sz w:val="20"/>
          <w:szCs w:val="20"/>
          <w:color w:val="auto"/>
        </w:rPr>
      </w:pPr>
    </w:p>
    <w:p>
      <w:pPr>
        <w:ind w:right="60" w:firstLine="1484"/>
        <w:spacing w:after="0" w:line="301" w:lineRule="auto"/>
        <w:rPr>
          <w:sz w:val="20"/>
          <w:szCs w:val="20"/>
          <w:color w:val="auto"/>
        </w:rPr>
      </w:pPr>
      <w:r>
        <w:rPr>
          <w:rFonts w:ascii="Arial" w:cs="Arial" w:eastAsia="Arial" w:hAnsi="Arial"/>
          <w:sz w:val="16"/>
          <w:szCs w:val="16"/>
          <w:b w:val="1"/>
          <w:bCs w:val="1"/>
          <w:color w:val="auto"/>
        </w:rPr>
        <w:t xml:space="preserve">4.5.2 Termination For Cause. </w:t>
      </w:r>
      <w:r>
        <w:rPr>
          <w:rFonts w:ascii="Arial" w:cs="Arial" w:eastAsia="Arial" w:hAnsi="Arial"/>
          <w:sz w:val="16"/>
          <w:szCs w:val="16"/>
          <w:color w:val="auto"/>
        </w:rPr>
        <w:t>If the Company terminates CFO’s employment for Cause, then the Company shall pay CFO’s base salary and</w:t>
      </w:r>
      <w:r>
        <w:rPr>
          <w:rFonts w:ascii="Arial" w:cs="Arial" w:eastAsia="Arial" w:hAnsi="Arial"/>
          <w:sz w:val="16"/>
          <w:szCs w:val="16"/>
          <w:b w:val="1"/>
          <w:bCs w:val="1"/>
          <w:color w:val="auto"/>
        </w:rPr>
        <w:t xml:space="preserve"> </w:t>
      </w:r>
      <w:r>
        <w:rPr>
          <w:rFonts w:ascii="Arial" w:cs="Arial" w:eastAsia="Arial" w:hAnsi="Arial"/>
          <w:sz w:val="16"/>
          <w:szCs w:val="16"/>
          <w:color w:val="auto"/>
        </w:rPr>
        <w:t>accrued and unused vacation benefits earned through the date of termination, at the rate in effect at the time of termination, less standard deductions and withholdings. The Company shall thereafter have no further obligations to CFO under this Agreement, except as otherwise provided by law.</w:t>
      </w:r>
    </w:p>
    <w:p>
      <w:pPr>
        <w:spacing w:after="0" w:line="146" w:lineRule="exact"/>
        <w:rPr>
          <w:sz w:val="20"/>
          <w:szCs w:val="20"/>
          <w:color w:val="auto"/>
        </w:rPr>
      </w:pPr>
    </w:p>
    <w:p>
      <w:pPr>
        <w:ind w:right="200" w:firstLine="1484"/>
        <w:spacing w:after="0" w:line="306" w:lineRule="auto"/>
        <w:rPr>
          <w:sz w:val="20"/>
          <w:szCs w:val="20"/>
          <w:color w:val="auto"/>
        </w:rPr>
      </w:pPr>
      <w:r>
        <w:rPr>
          <w:rFonts w:ascii="Arial" w:cs="Arial" w:eastAsia="Arial" w:hAnsi="Arial"/>
          <w:sz w:val="15"/>
          <w:szCs w:val="15"/>
          <w:b w:val="1"/>
          <w:bCs w:val="1"/>
          <w:color w:val="auto"/>
        </w:rPr>
        <w:t>4.5.3 Termination by Company Without Cause or by CFO for Good Reason Not In Connection with a Change in Control</w:t>
      </w:r>
      <w:r>
        <w:rPr>
          <w:rFonts w:ascii="Arial" w:cs="Arial" w:eastAsia="Arial" w:hAnsi="Arial"/>
          <w:sz w:val="15"/>
          <w:szCs w:val="15"/>
          <w:color w:val="auto"/>
        </w:rPr>
        <w:t>. If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Company terminates CFO’s employment without Cause or if CFO resigns his employment for Good Reason, in either case at any time other than upon the occurrence of, or within the 13 months immediately following, the effective date of a Change in Control, the Company shall pay CFO’s base salary and accrued and unused vacation benefits earned through the date of termination, at the rate in effect at the time of termination, less standard deductions and withholdings. In addition, if CFO furnishes to the Company an executed waiver and release of claims in the form attached hereto as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(or in such other form as may he specified by the Company) (the “</w:t>
      </w:r>
      <w:r>
        <w:rPr>
          <w:rFonts w:ascii="Arial" w:cs="Arial" w:eastAsia="Arial" w:hAnsi="Arial"/>
          <w:sz w:val="15"/>
          <w:szCs w:val="15"/>
          <w:b w:val="1"/>
          <w:bCs w:val="1"/>
          <w:i w:val="1"/>
          <w:iCs w:val="1"/>
          <w:color w:val="auto"/>
        </w:rPr>
        <w:t>Release</w:t>
      </w:r>
      <w:r>
        <w:rPr>
          <w:rFonts w:ascii="Arial" w:cs="Arial" w:eastAsia="Arial" w:hAnsi="Arial"/>
          <w:sz w:val="15"/>
          <w:szCs w:val="15"/>
          <w:color w:val="auto"/>
        </w:rPr>
        <w:t>”) within the time period specified therein, but in no event later than 45 days following CFO’s termination, and if CFO</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65" w:right="239" w:bottom="1440" w:gutter="0" w:footer="0" w:header="0"/>
        </w:sectPr>
      </w:pPr>
    </w:p>
    <w:bookmarkStart w:id="218" w:name="page219"/>
    <w:bookmarkEnd w:id="218"/>
    <w:p>
      <w:pPr>
        <w:ind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allows such Release to become effective in accordance with its terms, then (i) CFO shall be entitled to severance in the form of continuation of his base salary, at the base salary rate in effect at the time of termination (the “</w:t>
      </w:r>
      <w:r>
        <w:rPr>
          <w:rFonts w:ascii="Arial" w:cs="Arial" w:eastAsia="Arial" w:hAnsi="Arial"/>
          <w:sz w:val="16"/>
          <w:szCs w:val="16"/>
          <w:b w:val="1"/>
          <w:bCs w:val="1"/>
          <w:i w:val="1"/>
          <w:iCs w:val="1"/>
          <w:color w:val="auto"/>
        </w:rPr>
        <w:t>Severance Payments</w:t>
      </w:r>
      <w:r>
        <w:rPr>
          <w:rFonts w:ascii="Arial" w:cs="Arial" w:eastAsia="Arial" w:hAnsi="Arial"/>
          <w:sz w:val="16"/>
          <w:szCs w:val="16"/>
          <w:color w:val="auto"/>
        </w:rPr>
        <w:t>”), for a period of six (6) months following the termination date (the “</w:t>
      </w:r>
      <w:r>
        <w:rPr>
          <w:rFonts w:ascii="Arial" w:cs="Arial" w:eastAsia="Arial" w:hAnsi="Arial"/>
          <w:sz w:val="16"/>
          <w:szCs w:val="16"/>
          <w:b w:val="1"/>
          <w:bCs w:val="1"/>
          <w:i w:val="1"/>
          <w:iCs w:val="1"/>
          <w:color w:val="auto"/>
        </w:rPr>
        <w:t>Severance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and (ii) the Company will pay directly to the insurance provider the premium for COBRA continuation coverage for CFO and CFO’s family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Period or until he obtains new employment, whichever comes first (the “</w:t>
      </w:r>
      <w:r>
        <w:rPr>
          <w:rFonts w:ascii="Arial" w:cs="Arial" w:eastAsia="Arial" w:hAnsi="Arial"/>
          <w:sz w:val="16"/>
          <w:szCs w:val="16"/>
          <w:b w:val="1"/>
          <w:bCs w:val="1"/>
          <w:i w:val="1"/>
          <w:iCs w:val="1"/>
          <w:color w:val="auto"/>
        </w:rPr>
        <w:t>COBRA Coverage</w:t>
      </w:r>
      <w:r>
        <w:rPr>
          <w:rFonts w:ascii="Arial" w:cs="Arial" w:eastAsia="Arial" w:hAnsi="Arial"/>
          <w:sz w:val="16"/>
          <w:szCs w:val="16"/>
          <w:color w:val="auto"/>
        </w:rPr>
        <w:t>”).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The Company shall thereafter have no further obligations to CFO under this Agreement, except as otherwise provided by law.</w:t>
      </w:r>
    </w:p>
    <w:p>
      <w:pPr>
        <w:spacing w:after="0" w:line="162" w:lineRule="exact"/>
        <w:rPr>
          <w:sz w:val="20"/>
          <w:szCs w:val="20"/>
          <w:color w:val="auto"/>
        </w:rPr>
      </w:pPr>
    </w:p>
    <w:p>
      <w:pPr>
        <w:ind w:firstLine="1484"/>
        <w:spacing w:after="0" w:line="262" w:lineRule="auto"/>
        <w:rPr>
          <w:sz w:val="20"/>
          <w:szCs w:val="20"/>
          <w:color w:val="auto"/>
        </w:rPr>
      </w:pPr>
      <w:r>
        <w:rPr>
          <w:rFonts w:ascii="Arial" w:cs="Arial" w:eastAsia="Arial" w:hAnsi="Arial"/>
          <w:sz w:val="17"/>
          <w:szCs w:val="17"/>
          <w:b w:val="1"/>
          <w:bCs w:val="1"/>
          <w:color w:val="auto"/>
        </w:rPr>
        <w:t>4.5.4 Termination by Company Without Cause or by CFO for Good Reason In Connection with a Change in Control</w:t>
      </w:r>
      <w:r>
        <w:rPr>
          <w:rFonts w:ascii="Arial" w:cs="Arial" w:eastAsia="Arial" w:hAnsi="Arial"/>
          <w:sz w:val="17"/>
          <w:szCs w:val="17"/>
          <w:color w:val="auto"/>
        </w:rPr>
        <w:t>. If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terminates CFO’s employment without Cause or if CFO resigns his employment for Good Reason, in either case upon the occurrence of, or within the 13 months immediately following, the effective date of a Change in Control, the Company shall pay CFO’s base salary and accrued and unused vacation benefits earned through the date of termination, at the rate in effect at the time of termination, less standard deductions and withholdings. In addition, if CFO furnishes to the Company an executed Release within the time period specified therein, but in no event later than 45 days following CFO’s termination, and if CFO allows such Release to become effective in accordance with its terms, then CFO shall be entitled to: (1) the Severance Payments and COBRA coverage described in Section 4 5.3 above and (2) accelerated vesting of any unvested shares subject to the Base Option such that CFO shall become vested in 100% of the shares subject to such Base Option on the effective date of the Release. The Company shall thereafter have no further obligations to CFO under this Agreement, except as otherwise provided by law.</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4.6. Definitions. </w:t>
      </w:r>
      <w:r>
        <w:rPr>
          <w:rFonts w:ascii="Arial" w:cs="Arial" w:eastAsia="Arial" w:hAnsi="Arial"/>
          <w:sz w:val="17"/>
          <w:szCs w:val="17"/>
          <w:color w:val="auto"/>
        </w:rPr>
        <w:t>For purposes of this Agreement, the following terms shall have the following meanings:</w:t>
      </w:r>
    </w:p>
    <w:p>
      <w:pPr>
        <w:spacing w:after="0" w:line="119" w:lineRule="exact"/>
        <w:rPr>
          <w:sz w:val="20"/>
          <w:szCs w:val="20"/>
          <w:color w:val="auto"/>
        </w:rPr>
      </w:pPr>
    </w:p>
    <w:p>
      <w:pPr>
        <w:ind w:firstLine="1484"/>
        <w:spacing w:after="0" w:line="280" w:lineRule="auto"/>
        <w:rPr>
          <w:sz w:val="20"/>
          <w:szCs w:val="20"/>
          <w:color w:val="auto"/>
        </w:rPr>
      </w:pPr>
      <w:r>
        <w:rPr>
          <w:rFonts w:ascii="Arial" w:cs="Arial" w:eastAsia="Arial" w:hAnsi="Arial"/>
          <w:sz w:val="16"/>
          <w:szCs w:val="16"/>
          <w:b w:val="1"/>
          <w:bCs w:val="1"/>
          <w:color w:val="auto"/>
        </w:rPr>
        <w:t>4.6.1 Cause</w:t>
      </w:r>
      <w:r>
        <w:rPr>
          <w:rFonts w:ascii="Arial" w:cs="Arial" w:eastAsia="Arial" w:hAnsi="Arial"/>
          <w:sz w:val="16"/>
          <w:szCs w:val="16"/>
          <w:color w:val="auto"/>
        </w:rPr>
        <w: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the occurrence of any one or more of the following: (i) CFO’s commission of any crime involving fraud,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dishonesty or moral turpitude; (ii) CFO’s attempted commission of or participation in a fraud or act of dishonesty against the Company that results in (or might have reasonably resulted in) material harm to the business of the Company; (iii) CFO’s intentional, material violation of any contract or agreement between CFO and the Company or any statutory duty CFO owes to the Company; or (iv) CFO’s conduct that constitutes gross insubordination, incompetence or habitual neglect of duties and that results in (or might have reasonably resulted in) material harm to the business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action or conduct described in clauses (iii) and (iv) above will constitute “Cause” only if such action or conduct continues after the Company has provided CFO with written notice thereof and thirty (30) days to cure, or otherwise remedy to the extent possible under direct control of the CFO, the same. An occurrence of “Cause” as set forth in the preceding sentence shall be based upon a good faith determination by the Board. CFO’s Disability shall not constitute Cause as set forth herein. The determination that a termination is for Cause shall be by the Board in its sole and exclusive judgment and discretion.</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271" w:right="319" w:bottom="1440" w:gutter="0" w:footer="0" w:header="0"/>
        </w:sectPr>
      </w:pPr>
    </w:p>
    <w:bookmarkStart w:id="219" w:name="page220"/>
    <w:bookmarkEnd w:id="219"/>
    <w:p>
      <w:pPr>
        <w:ind w:firstLine="1484"/>
        <w:spacing w:after="0" w:line="28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4.6.2 </w:t>
      </w: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mean any of the following actions: (i) the assignment to CFO of any duties or responsibilities that results in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material diminution in CFO’s function as in effect immediately prior to the effective date of the Change in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change in CFO’s title or reporting relationships shall not provide the basis for a voluntary termination with Good Reason; (ii) a reduction by the Company in CFO’s annual base salary as in effect on the effective date of the Change in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that Good Reason shall not be deemed to have occurred in the event of a reduction in CFO’s annual base salary that is pursuant to a salary reduction program affecting substantially all of the employees of the Company and that does not adversely affect CFO to a greater extent than other similarly situated employees; or (iii) a relocation of CFO’s primary business office to a location more than 50 miles from the location of CFO’s primary business office as of the effective date of the Change in Control, except for required travel by CFO on the Company’s business to an extent substantially consistent with CFO’s business travel obligations prior to the effective date of the Change in Control.</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4.7. Survival of Certain Sections</w:t>
      </w:r>
      <w:r>
        <w:rPr>
          <w:rFonts w:ascii="Arial" w:cs="Arial" w:eastAsia="Arial" w:hAnsi="Arial"/>
          <w:sz w:val="17"/>
          <w:szCs w:val="17"/>
          <w:color w:val="auto"/>
        </w:rPr>
        <w:t>. Sections 2, 3.4 and 4 through 18 of this Agreement will survive the termination of this Agreement.</w:t>
      </w:r>
    </w:p>
    <w:p>
      <w:pPr>
        <w:spacing w:after="0" w:line="224" w:lineRule="exact"/>
        <w:rPr>
          <w:sz w:val="20"/>
          <w:szCs w:val="20"/>
          <w:color w:val="auto"/>
        </w:rPr>
      </w:pPr>
    </w:p>
    <w:p>
      <w:pPr>
        <w:ind w:right="160" w:firstLine="913"/>
        <w:spacing w:after="0" w:line="280" w:lineRule="auto"/>
        <w:rPr>
          <w:sz w:val="20"/>
          <w:szCs w:val="20"/>
          <w:color w:val="auto"/>
        </w:rPr>
      </w:pPr>
      <w:r>
        <w:rPr>
          <w:rFonts w:ascii="Arial" w:cs="Arial" w:eastAsia="Arial" w:hAnsi="Arial"/>
          <w:sz w:val="16"/>
          <w:szCs w:val="16"/>
          <w:b w:val="1"/>
          <w:bCs w:val="1"/>
          <w:color w:val="auto"/>
        </w:rPr>
        <w:t>4.8. Parachute Payment</w:t>
      </w:r>
      <w:r>
        <w:rPr>
          <w:rFonts w:ascii="Arial" w:cs="Arial" w:eastAsia="Arial" w:hAnsi="Arial"/>
          <w:sz w:val="16"/>
          <w:szCs w:val="16"/>
          <w:color w:val="auto"/>
        </w:rPr>
        <w:t>. If any payment or benefit CFO would receive pursuant to this Agreement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would (i) constitute a “</w:t>
      </w:r>
      <w:r>
        <w:rPr>
          <w:rFonts w:ascii="Arial" w:cs="Arial" w:eastAsia="Arial" w:hAnsi="Arial"/>
          <w:sz w:val="16"/>
          <w:szCs w:val="16"/>
          <w:b w:val="1"/>
          <w:bCs w:val="1"/>
          <w:i w:val="1"/>
          <w:iCs w:val="1"/>
          <w:color w:val="auto"/>
        </w:rPr>
        <w:t>Parachute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within the meaning of Section 280G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(ii) but for this sentence, be subject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be equal to the Reduced Amount.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CFO’s receipt, on an after-tax basis, of the greatest economic benefit notwithstanding that all or sonic portion of the Payment may be subject to the Excise Tax. If a reduction in payments or benefits constituting Parachute Payments is necessary so that the Payment equals the Reduced Amount, reduction shall occur in the manner that results in the greatest economic benefit for CFO. If more than one method of reduction will result in the same economic benefit, the items so reduced will be reduced pro rata.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it is subsequently determined by the Internal Revenue Service that some portion of the Reduced Amount (as determined pursuant to clause</w:t>
      </w:r>
    </w:p>
    <w:p>
      <w:pPr>
        <w:spacing w:after="0" w:line="38" w:lineRule="exact"/>
        <w:rPr>
          <w:sz w:val="20"/>
          <w:szCs w:val="20"/>
          <w:color w:val="auto"/>
        </w:rPr>
      </w:pPr>
    </w:p>
    <w:p>
      <w:pPr>
        <w:ind w:right="140" w:firstLine="5"/>
        <w:spacing w:after="0" w:line="265" w:lineRule="auto"/>
        <w:tabs>
          <w:tab w:leader="none" w:pos="247"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the preceding paragraph) is subject to the Excise Tax, CFO agrees to promptly return to the Company a sufficient amount of the Payment so that no portion of the Reduced Amount is subject to the Excise Tax. For the avoidance of doubt, if the Reduced Amount is determined in accordance with clause (y) in the preceding paragraph, CFO will have no obligation to return any portion of the Payment pursuant to the preceding sentence.</w:t>
      </w:r>
    </w:p>
    <w:p>
      <w:pPr>
        <w:spacing w:after="0" w:line="179"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Unless CFO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Cite Company shall appoint a nationally recognized accounting, law or consulting firm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5" w:right="239" w:bottom="1440" w:gutter="0" w:footer="0" w:header="0"/>
        </w:sectPr>
      </w:pPr>
    </w:p>
    <w:bookmarkStart w:id="220" w:name="page221"/>
    <w:bookmarkEnd w:id="220"/>
    <w:p>
      <w:pPr>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make the determinations required hereunder, The Company shall bear all expenses with respect to the determinations by such accounting, law or consulting firm required to be made hereunder.</w:t>
      </w:r>
    </w:p>
    <w:p>
      <w:pPr>
        <w:spacing w:after="0" w:line="158" w:lineRule="exact"/>
        <w:rPr>
          <w:sz w:val="20"/>
          <w:szCs w:val="20"/>
          <w:color w:val="auto"/>
        </w:rPr>
      </w:pPr>
    </w:p>
    <w:p>
      <w:pPr>
        <w:ind w:right="420" w:firstLine="913"/>
        <w:spacing w:after="0" w:line="325" w:lineRule="auto"/>
        <w:rPr>
          <w:sz w:val="20"/>
          <w:szCs w:val="20"/>
          <w:color w:val="auto"/>
        </w:rPr>
      </w:pPr>
      <w:r>
        <w:rPr>
          <w:rFonts w:ascii="Arial" w:cs="Arial" w:eastAsia="Arial" w:hAnsi="Arial"/>
          <w:sz w:val="15"/>
          <w:szCs w:val="15"/>
          <w:color w:val="auto"/>
        </w:rPr>
        <w:t>The Company shall use commercially reasonable efforts such that the accounting, law or consulting firm engaged to make the determinations hereunder shall provide its calculations, together with detailed supporting documentation, to CFO and the Company within 15 calendar days after the date on which CFO’s right to a Payment is triggered (if requested at that time by CFO or the Company) or such other time as requested by CFO or the Company.</w:t>
      </w:r>
    </w:p>
    <w:p>
      <w:pPr>
        <w:spacing w:after="0" w:line="131" w:lineRule="exact"/>
        <w:rPr>
          <w:sz w:val="20"/>
          <w:szCs w:val="20"/>
          <w:color w:val="auto"/>
        </w:rPr>
      </w:pPr>
    </w:p>
    <w:p>
      <w:pPr>
        <w:ind w:right="200" w:firstLine="913"/>
        <w:spacing w:after="0" w:line="265" w:lineRule="auto"/>
        <w:rPr>
          <w:sz w:val="20"/>
          <w:szCs w:val="20"/>
          <w:color w:val="auto"/>
        </w:rPr>
      </w:pPr>
      <w:r>
        <w:rPr>
          <w:rFonts w:ascii="Arial" w:cs="Arial" w:eastAsia="Arial" w:hAnsi="Arial"/>
          <w:sz w:val="17"/>
          <w:szCs w:val="17"/>
          <w:b w:val="1"/>
          <w:bCs w:val="1"/>
          <w:color w:val="auto"/>
        </w:rPr>
        <w:t>4.9. Application of Internal Revenue Code Section 409A</w:t>
      </w:r>
      <w:r>
        <w:rPr>
          <w:rFonts w:ascii="Arial" w:cs="Arial" w:eastAsia="Arial" w:hAnsi="Arial"/>
          <w:sz w:val="17"/>
          <w:szCs w:val="17"/>
          <w:color w:val="auto"/>
        </w:rPr>
        <w:t>. Notwithstanding anything to the contrary set forth herein, any payments and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under this Agreement (the “</w:t>
      </w:r>
      <w:r>
        <w:rPr>
          <w:rFonts w:ascii="Arial" w:cs="Arial" w:eastAsia="Arial" w:hAnsi="Arial"/>
          <w:sz w:val="17"/>
          <w:szCs w:val="17"/>
          <w:b w:val="1"/>
          <w:bCs w:val="1"/>
          <w:i w:val="1"/>
          <w:iCs w:val="1"/>
          <w:color w:val="auto"/>
        </w:rPr>
        <w:t>Severance Benefits</w:t>
      </w:r>
      <w:r>
        <w:rPr>
          <w:rFonts w:ascii="Arial" w:cs="Arial" w:eastAsia="Arial" w:hAnsi="Arial"/>
          <w:sz w:val="17"/>
          <w:szCs w:val="17"/>
          <w:color w:val="auto"/>
        </w:rPr>
        <w:t>”) that constitute “deferred compensation” within the meaning of Section 409A of the Code and the regulations and other guidance thereunder and any state law of similar effect (collectively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shall not commence in connection with CFO’s termination of employment unless and until CFO has also incurred a “separation from service” (as such term is defined in. Treasury Regulation Section 1.409A-1(h)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unless the Company reasonably determines that such amounts may be provided to CFO without causing CFO to incur the additional 20% tax under Section 409A.</w:t>
      </w:r>
    </w:p>
    <w:p>
      <w:pPr>
        <w:spacing w:after="0" w:line="178"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 1.409A-1(b)(5) and 1.409A-1(b)(9). However, if the Company (or, if applicable, the successor entity thereto) determines that the Severance Benefits constitute “deferred compensation” under Section 409A and CFO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CFO’s Separation From Service, or (ii) the date of CFO’s death (such applicable date, the “</w:t>
      </w:r>
      <w:r>
        <w:rPr>
          <w:rFonts w:ascii="Arial" w:cs="Arial" w:eastAsia="Arial" w:hAnsi="Arial"/>
          <w:sz w:val="15"/>
          <w:szCs w:val="15"/>
          <w:b w:val="1"/>
          <w:bCs w:val="1"/>
          <w:i w:val="1"/>
          <w:iCs w:val="1"/>
          <w:color w:val="auto"/>
        </w:rPr>
        <w:t>Specified Employee Initial Payment Date</w:t>
      </w:r>
      <w:r>
        <w:rPr>
          <w:rFonts w:ascii="Arial" w:cs="Arial" w:eastAsia="Arial" w:hAnsi="Arial"/>
          <w:sz w:val="15"/>
          <w:szCs w:val="15"/>
          <w:color w:val="auto"/>
        </w:rPr>
        <w:t>”), the Company (or the successor entity thereto, as applicable) shall (A) pay to CFO a lump sum amount equal to the sum of the Severance Benefit payments that CFO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58" w:lineRule="exact"/>
        <w:rPr>
          <w:sz w:val="20"/>
          <w:szCs w:val="20"/>
          <w:color w:val="auto"/>
        </w:rPr>
      </w:pPr>
    </w:p>
    <w:p>
      <w:pPr>
        <w:ind w:firstLine="913"/>
        <w:spacing w:after="0" w:line="265" w:lineRule="auto"/>
        <w:rPr>
          <w:sz w:val="20"/>
          <w:szCs w:val="20"/>
          <w:color w:val="auto"/>
        </w:rPr>
      </w:pPr>
      <w:r>
        <w:rPr>
          <w:rFonts w:ascii="Arial" w:cs="Arial" w:eastAsia="Arial" w:hAnsi="Arial"/>
          <w:sz w:val="17"/>
          <w:szCs w:val="17"/>
          <w:color w:val="auto"/>
        </w:rPr>
        <w:t>Notwithstanding anything to the contrary set forth herein, CFO shall receive the Severance Benefits described above, if and only if CFO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71" w:right="259" w:bottom="1440" w:gutter="0" w:footer="0" w:header="0"/>
        </w:sectPr>
      </w:pPr>
    </w:p>
    <w:bookmarkStart w:id="221" w:name="page222"/>
    <w:bookmarkEnd w:id="221"/>
    <w:p>
      <w:pPr>
        <w:ind w:right="1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Specified Employee Initial Payment Date pursuant to the preceding paragraph, on the first regular payroll pay day following the effective date of the Release, the Company will pay CFO the Severance Benefits CFO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5. CONFIDENTIAL AND PROPRIETARY INFORMATION.</w:t>
      </w:r>
    </w:p>
    <w:p>
      <w:pPr>
        <w:spacing w:after="0" w:line="125" w:lineRule="exact"/>
        <w:rPr>
          <w:sz w:val="20"/>
          <w:szCs w:val="20"/>
          <w:color w:val="auto"/>
        </w:rPr>
      </w:pPr>
    </w:p>
    <w:p>
      <w:pPr>
        <w:ind w:right="320" w:firstLine="913"/>
        <w:spacing w:after="0" w:line="289" w:lineRule="auto"/>
        <w:rPr>
          <w:sz w:val="20"/>
          <w:szCs w:val="20"/>
          <w:color w:val="auto"/>
        </w:rPr>
      </w:pPr>
      <w:r>
        <w:rPr>
          <w:rFonts w:ascii="Arial" w:cs="Arial" w:eastAsia="Arial" w:hAnsi="Arial"/>
          <w:sz w:val="17"/>
          <w:szCs w:val="17"/>
          <w:color w:val="auto"/>
        </w:rPr>
        <w:t>CFO has already executed, as a condition of CFO’s employment with the Company, the Company’s standard form of Proprietary Information and Inventions Agreement (the “</w:t>
      </w:r>
      <w:r>
        <w:rPr>
          <w:rFonts w:ascii="Arial" w:cs="Arial" w:eastAsia="Arial" w:hAnsi="Arial"/>
          <w:sz w:val="17"/>
          <w:szCs w:val="17"/>
          <w:b w:val="1"/>
          <w:bCs w:val="1"/>
          <w:i w:val="1"/>
          <w:iCs w:val="1"/>
          <w:color w:val="auto"/>
        </w:rPr>
        <w:t>PIIA</w:t>
      </w:r>
      <w:r>
        <w:rPr>
          <w:rFonts w:ascii="Arial" w:cs="Arial" w:eastAsia="Arial" w:hAnsi="Arial"/>
          <w:sz w:val="17"/>
          <w:szCs w:val="17"/>
          <w:color w:val="auto"/>
        </w:rPr>
        <w:t>”). The PIA remains in full force and effect.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 ASSIGNMENT AND BINDING EFFECT.</w:t>
      </w:r>
    </w:p>
    <w:p>
      <w:pPr>
        <w:spacing w:after="0" w:line="125" w:lineRule="exact"/>
        <w:rPr>
          <w:sz w:val="20"/>
          <w:szCs w:val="20"/>
          <w:color w:val="auto"/>
        </w:rPr>
      </w:pPr>
    </w:p>
    <w:p>
      <w:pPr>
        <w:ind w:firstLine="913"/>
        <w:spacing w:after="0" w:line="263" w:lineRule="auto"/>
        <w:rPr>
          <w:sz w:val="20"/>
          <w:szCs w:val="20"/>
          <w:color w:val="auto"/>
        </w:rPr>
      </w:pPr>
      <w:r>
        <w:rPr>
          <w:rFonts w:ascii="Arial" w:cs="Arial" w:eastAsia="Arial" w:hAnsi="Arial"/>
          <w:sz w:val="17"/>
          <w:szCs w:val="17"/>
          <w:color w:val="auto"/>
        </w:rPr>
        <w:t>This Agreement shall he binding upon and inure to the benefit of CFO and CFO’s heirs, executors, personal representatives, assigns, administrators and legal representatives, Because of the unique and personal nature of CFO’s duties under this Agreement, neither this Agreement nor any rights or obligations under this Agreement shall be assignable by CFO.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7. NOTICES.</w:t>
      </w:r>
    </w:p>
    <w:p>
      <w:pPr>
        <w:spacing w:after="0" w:line="125" w:lineRule="exact"/>
        <w:rPr>
          <w:sz w:val="20"/>
          <w:szCs w:val="20"/>
          <w:color w:val="auto"/>
        </w:rPr>
      </w:pPr>
    </w:p>
    <w:p>
      <w:pPr>
        <w:ind w:right="280" w:firstLine="913"/>
        <w:spacing w:after="0" w:line="273" w:lineRule="auto"/>
        <w:rPr>
          <w:sz w:val="20"/>
          <w:szCs w:val="20"/>
          <w:color w:val="auto"/>
        </w:rPr>
      </w:pPr>
      <w:r>
        <w:rPr>
          <w:rFonts w:ascii="Arial" w:cs="Arial" w:eastAsia="Arial" w:hAnsi="Arial"/>
          <w:sz w:val="17"/>
          <w:szCs w:val="17"/>
          <w:color w:val="auto"/>
        </w:rPr>
        <w:t>All notices or demands of any kind required or permitted to be given by the Company or CFO uncles this Agreement shall be given in writing and shall be personally delivered (and receipted for) or faxed during normal business hours or mailed by certified mail, return receipt requested, postage prepaid, addressed as follows: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If to the Company</w:t>
      </w:r>
      <w:r>
        <w:rPr>
          <w:rFonts w:ascii="Arial" w:cs="Arial" w:eastAsia="Arial" w:hAnsi="Arial"/>
          <w:sz w:val="17"/>
          <w:szCs w:val="17"/>
          <w:color w:val="auto"/>
        </w:rPr>
        <w:t>:</w:t>
      </w:r>
    </w:p>
    <w:p>
      <w:pPr>
        <w:spacing w:after="0" w:line="1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10421 Pacific Center Court, Suite 200</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San Diego, CA 92121</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Attention: Chief Executive Officer</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If to CFO:</w:t>
      </w:r>
    </w:p>
    <w:p>
      <w:pPr>
        <w:spacing w:after="0" w:line="1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Robert Hoffman</w:t>
      </w:r>
    </w:p>
    <w:p>
      <w:pPr>
        <w:spacing w:after="0" w:line="224" w:lineRule="exact"/>
        <w:rPr>
          <w:sz w:val="20"/>
          <w:szCs w:val="20"/>
          <w:color w:val="auto"/>
        </w:rPr>
      </w:pPr>
    </w:p>
    <w:p>
      <w:pPr>
        <w:ind w:right="240"/>
        <w:spacing w:after="0" w:line="359" w:lineRule="auto"/>
        <w:rPr>
          <w:sz w:val="20"/>
          <w:szCs w:val="20"/>
          <w:color w:val="auto"/>
        </w:rPr>
      </w:pPr>
      <w:r>
        <w:rPr>
          <w:rFonts w:ascii="Arial" w:cs="Arial" w:eastAsia="Arial" w:hAnsi="Arial"/>
          <w:sz w:val="15"/>
          <w:szCs w:val="15"/>
          <w:color w:val="auto"/>
        </w:rPr>
        <w:t>Any such written notice shall be deemed given on the earlier of the date on which such notice is personally delivered or three day, after its deposit in the United States mail as specified above. Either Party may change its address for notices by giving notice to the other Party in the manner specified in this Section.</w:t>
      </w:r>
    </w:p>
    <w:p>
      <w:pPr>
        <w:spacing w:after="0" w:line="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271" w:right="259" w:bottom="1440" w:gutter="0" w:footer="0" w:header="0"/>
        </w:sectPr>
      </w:pPr>
    </w:p>
    <w:bookmarkStart w:id="222" w:name="page223"/>
    <w:bookmarkEnd w:id="222"/>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8. CHOICE OF LAW.</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This Agreement shall be construed and interpreted in accordance with the internal laws of the State of California without regard to its conflict of laws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principles.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9. INTEGRATION.</w:t>
      </w:r>
    </w:p>
    <w:p>
      <w:pPr>
        <w:spacing w:after="0" w:line="119" w:lineRule="exact"/>
        <w:rPr>
          <w:sz w:val="20"/>
          <w:szCs w:val="20"/>
          <w:color w:val="auto"/>
        </w:rPr>
      </w:pPr>
    </w:p>
    <w:p>
      <w:pPr>
        <w:ind w:right="380" w:firstLine="913"/>
        <w:spacing w:after="0" w:line="276" w:lineRule="auto"/>
        <w:rPr>
          <w:sz w:val="20"/>
          <w:szCs w:val="20"/>
          <w:color w:val="auto"/>
        </w:rPr>
      </w:pPr>
      <w:r>
        <w:rPr>
          <w:rFonts w:ascii="Arial" w:cs="Arial" w:eastAsia="Arial" w:hAnsi="Arial"/>
          <w:sz w:val="17"/>
          <w:szCs w:val="17"/>
          <w:color w:val="auto"/>
        </w:rPr>
        <w:t xml:space="preserve">This Agreement, including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and the PIIA, contains the complete, final and exclusive agreement of the Parties relating to the terms and conditions of CFO’s employment and the termination of CFO’s employment, and supersedes any and all prior and/or contemporaneous oral and written employment agreements or arrangements between the Parties.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 AMENDMENT.</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Agreement cannot be amended or modified except by a written agreement signed by CFO and the Company.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11. WAIVER.</w:t>
      </w:r>
    </w:p>
    <w:p>
      <w:pPr>
        <w:spacing w:after="0" w:line="125"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12. SEVERABILITY.</w:t>
      </w:r>
    </w:p>
    <w:p>
      <w:pPr>
        <w:spacing w:after="0" w:line="125" w:lineRule="exact"/>
        <w:rPr>
          <w:sz w:val="20"/>
          <w:szCs w:val="20"/>
          <w:color w:val="auto"/>
        </w:rPr>
      </w:pPr>
    </w:p>
    <w:p>
      <w:pPr>
        <w:ind w:right="80" w:firstLine="913"/>
        <w:spacing w:after="0" w:line="267" w:lineRule="auto"/>
        <w:rPr>
          <w:sz w:val="20"/>
          <w:szCs w:val="20"/>
          <w:color w:val="auto"/>
        </w:rPr>
      </w:pPr>
      <w:r>
        <w:rPr>
          <w:rFonts w:ascii="Arial" w:cs="Arial" w:eastAsia="Arial" w:hAnsi="Arial"/>
          <w:sz w:val="17"/>
          <w:szCs w:val="17"/>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13. INTERPRETATION; CONSTRUCTION.</w:t>
      </w:r>
    </w:p>
    <w:p>
      <w:pPr>
        <w:spacing w:after="0" w:line="125" w:lineRule="exact"/>
        <w:rPr>
          <w:sz w:val="20"/>
          <w:szCs w:val="20"/>
          <w:color w:val="auto"/>
        </w:rPr>
      </w:pPr>
    </w:p>
    <w:p>
      <w:pPr>
        <w:ind w:right="40" w:firstLine="913"/>
        <w:spacing w:after="0" w:line="265" w:lineRule="auto"/>
        <w:rPr>
          <w:sz w:val="20"/>
          <w:szCs w:val="20"/>
          <w:color w:val="auto"/>
        </w:rPr>
      </w:pPr>
      <w:r>
        <w:rPr>
          <w:rFonts w:ascii="Arial" w:cs="Arial" w:eastAsia="Arial" w:hAnsi="Arial"/>
          <w:sz w:val="17"/>
          <w:szCs w:val="17"/>
          <w:color w:val="auto"/>
        </w:rPr>
        <w:t>The headings set forth in this Agreement are for convenience of reference only and shall not be used in interpreting this Agreement. This Agreement has been drafted by legal counsel representing the Company, but CFO has been encouraged to consult with, and has consulted with, CFO’s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265" w:right="299" w:bottom="1440" w:gutter="0" w:footer="0" w:header="0"/>
        </w:sectPr>
      </w:pPr>
    </w:p>
    <w:bookmarkStart w:id="223" w:name="page224"/>
    <w:bookmarkEnd w:id="223"/>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14. REPRESENTATIONS AND WARRANTIES.</w:t>
      </w:r>
    </w:p>
    <w:p>
      <w:pPr>
        <w:spacing w:after="0" w:line="125"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CFO represents and warrants that CFO is not restricted or prohibited, contractually or otherwise, from entering into and performing each of the terms and covenants contained in this Agreement, and that CFO’s execution and performance of this Agreement will not violate or breach any other agreements between CFO and any other person or entity.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15. COUNTERPARTS.</w:t>
      </w:r>
    </w:p>
    <w:p>
      <w:pPr>
        <w:spacing w:after="0" w:line="125" w:lineRule="exact"/>
        <w:rPr>
          <w:sz w:val="20"/>
          <w:szCs w:val="20"/>
          <w:color w:val="auto"/>
        </w:rPr>
      </w:pPr>
    </w:p>
    <w:p>
      <w:pPr>
        <w:ind w:right="180" w:firstLine="913"/>
        <w:spacing w:after="0" w:line="289" w:lineRule="auto"/>
        <w:rPr>
          <w:sz w:val="20"/>
          <w:szCs w:val="20"/>
          <w:color w:val="auto"/>
        </w:rPr>
      </w:pPr>
      <w:r>
        <w:rPr>
          <w:rFonts w:ascii="Arial" w:cs="Arial" w:eastAsia="Arial" w:hAnsi="Arial"/>
          <w:sz w:val="17"/>
          <w:szCs w:val="17"/>
          <w:color w:val="auto"/>
        </w:rPr>
        <w:t>This Agreement may be executed in two counterparts, each of which shall be deemed an original, all of which together shall contribute one and the same instrument.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16. ARBITRATION.</w:t>
      </w:r>
    </w:p>
    <w:p>
      <w:pPr>
        <w:spacing w:after="0" w:line="125" w:lineRule="exact"/>
        <w:rPr>
          <w:sz w:val="20"/>
          <w:szCs w:val="20"/>
          <w:color w:val="auto"/>
        </w:rPr>
      </w:pPr>
    </w:p>
    <w:p>
      <w:pPr>
        <w:ind w:firstLine="913"/>
        <w:spacing w:after="0" w:line="260" w:lineRule="auto"/>
        <w:rPr>
          <w:sz w:val="20"/>
          <w:szCs w:val="20"/>
          <w:color w:val="auto"/>
        </w:rPr>
      </w:pPr>
      <w:r>
        <w:rPr>
          <w:rFonts w:ascii="Arial" w:cs="Arial" w:eastAsia="Arial" w:hAnsi="Arial"/>
          <w:sz w:val="17"/>
          <w:szCs w:val="17"/>
          <w:color w:val="auto"/>
        </w:rPr>
        <w:t>To ensure the rapid and economical resolution of disputes that may arise in connection with CFO’s employment with the Company, CFO and the Company agree that any and all disputes, claims, or causes of action, in law or equity, arising from or relating to CFO’s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CFO and the Company hereby waive any right to a jury trial. Both CFO and the Company shall be entitled to all rights and remedies that either CFO or the Company would be entitled to pursue in a court of law. The Company shall pay any JAMS filing fee and shall pay the arbitrator’s fee. Nothing in this Agreement is intended to prevent either CFO or the Company from obtaining injunctive relief in court to prevent irreparable harm pending the conclusion of any such arbitration. Notwithstanding the foregoing, CFO and the Company each have the right to resolve any issue or dispute involving confidential, proprietary or trade secret information, or intellectual property rights, by Court action instead of arbitration.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 TRADE SECRETS OF OTHERS.</w:t>
      </w:r>
    </w:p>
    <w:p>
      <w:pPr>
        <w:spacing w:after="0" w:line="125"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It is the understanding of both the Company and CFO that CFO shall not divulge to the Company and/or its subsidiaries any confidential information or trade secrets belonging to others, including CFO’s former employers, nor shall the Company and/or its Affiliates seek to “ elicit from CFO any such information. Consistent with the foregoing, CFO shall not provide to the Company and/or its Affiliates, and the Company and/or its Affiliates shall not request, any documents or copies of documents containing such information.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18. ADVERTISING WAIVER.</w:t>
      </w:r>
    </w:p>
    <w:p>
      <w:pPr>
        <w:spacing w:after="0" w:line="125" w:lineRule="exact"/>
        <w:rPr>
          <w:sz w:val="20"/>
          <w:szCs w:val="20"/>
          <w:color w:val="auto"/>
        </w:rPr>
      </w:pPr>
    </w:p>
    <w:p>
      <w:pPr>
        <w:ind w:right="20" w:firstLine="913"/>
        <w:spacing w:after="0" w:line="289" w:lineRule="auto"/>
        <w:rPr>
          <w:sz w:val="20"/>
          <w:szCs w:val="20"/>
          <w:color w:val="auto"/>
        </w:rPr>
      </w:pPr>
      <w:r>
        <w:rPr>
          <w:rFonts w:ascii="Arial" w:cs="Arial" w:eastAsia="Arial" w:hAnsi="Arial"/>
          <w:sz w:val="17"/>
          <w:szCs w:val="17"/>
          <w:color w:val="auto"/>
        </w:rPr>
        <w:t>CFO agrees to permit the Company, and persons or other organizations authorized by the Company, to use, publish and distribute advertising or sales promotional literature concerning the products and/or services of the Company, or the machinery and equipment used</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266" w:right="299" w:bottom="1440" w:gutter="0" w:footer="0" w:header="0"/>
        </w:sectPr>
      </w:pPr>
    </w:p>
    <w:bookmarkStart w:id="224" w:name="page225"/>
    <w:bookmarkEnd w:id="224"/>
    <w:p>
      <w:pPr>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the provision thereof, in which CFO’s name and/or pictures of CFO taken in the course of CFO’s provision of services to the Company appear. CFO hereby waives and releases any claim or right CFO may otherwise have arising out of such use, publication or distribution.</w:t>
      </w:r>
    </w:p>
    <w:p>
      <w:pPr>
        <w:spacing w:after="0" w:line="26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[REMAINDER OF THIS PAGE INTENTIONALLY LEFT BLANK]</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060"/>
          </w:cols>
          <w:pgMar w:left="240" w:top="271" w:right="599" w:bottom="1440" w:gutter="0" w:footer="0" w:header="0"/>
        </w:sectPr>
      </w:pPr>
    </w:p>
    <w:bookmarkStart w:id="225" w:name="page226"/>
    <w:bookmarkEnd w:id="225"/>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w:t>
      </w:r>
      <w:r>
        <w:rPr>
          <w:rFonts w:ascii="Arial" w:cs="Arial" w:eastAsia="Arial" w:hAnsi="Arial"/>
          <w:sz w:val="17"/>
          <w:szCs w:val="17"/>
          <w:color w:val="auto"/>
        </w:rPr>
        <w:t>, the Parties have executed this Agreement as of the dates below.</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NAPTYS</w:t>
      </w:r>
      <w:r>
        <w:rPr>
          <w:rFonts w:ascii="Arial" w:cs="Arial" w:eastAsia="Arial" w:hAnsi="Arial"/>
          <w:sz w:val="17"/>
          <w:szCs w:val="17"/>
          <w:b w:val="1"/>
          <w:bCs w:val="1"/>
          <w:color w:val="auto"/>
        </w:rPr>
        <w:t>B</w:t>
      </w:r>
      <w:r>
        <w:rPr>
          <w:rFonts w:ascii="Arial" w:cs="Arial" w:eastAsia="Arial" w:hAnsi="Arial"/>
          <w:sz w:val="14"/>
          <w:szCs w:val="14"/>
          <w:b w:val="1"/>
          <w:bCs w:val="1"/>
          <w:color w:val="auto"/>
        </w:rPr>
        <w:t>IO</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30"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/s/ Hamza Suria</w:t>
      </w:r>
    </w:p>
    <w:p>
      <w:pPr>
        <w:spacing w:after="0" w:line="2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7"/>
          <w:szCs w:val="17"/>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-123190</wp:posOffset>
            </wp:positionV>
            <wp:extent cx="25946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Dated:</w:t>
        <w:tab/>
        <w:t>June 15</w:t>
      </w:r>
      <w:r>
        <w:rPr>
          <w:rFonts w:ascii="Arial" w:cs="Arial" w:eastAsia="Arial" w:hAnsi="Arial"/>
          <w:sz w:val="14"/>
          <w:szCs w:val="14"/>
          <w:color w:val="auto"/>
        </w:rPr>
        <w:t>th</w:t>
      </w:r>
      <w:r>
        <w:rPr>
          <w:rFonts w:ascii="Arial" w:cs="Arial" w:eastAsia="Arial" w:hAnsi="Arial"/>
          <w:sz w:val="17"/>
          <w:szCs w:val="17"/>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17780</wp:posOffset>
            </wp:positionV>
            <wp:extent cx="25196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196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-123190</wp:posOffset>
            </wp:positionV>
            <wp:extent cx="25946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FO</w:t>
      </w:r>
      <w:r>
        <w:rPr>
          <w:rFonts w:ascii="Arial" w:cs="Arial" w:eastAsia="Arial" w:hAnsi="Arial"/>
          <w:sz w:val="17"/>
          <w:szCs w:val="17"/>
          <w:b w:val="1"/>
          <w:bCs w:val="1"/>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 Robert Hoffman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OBERT</w:t>
      </w:r>
      <w:r>
        <w:rPr>
          <w:rFonts w:ascii="Arial" w:cs="Arial" w:eastAsia="Arial" w:hAnsi="Arial"/>
          <w:sz w:val="17"/>
          <w:szCs w:val="17"/>
          <w:b w:val="1"/>
          <w:bCs w:val="1"/>
          <w:color w:val="auto"/>
        </w:rPr>
        <w:t xml:space="preserve"> H</w:t>
      </w:r>
      <w:r>
        <w:rPr>
          <w:rFonts w:ascii="Arial" w:cs="Arial" w:eastAsia="Arial" w:hAnsi="Arial"/>
          <w:sz w:val="14"/>
          <w:szCs w:val="14"/>
          <w:b w:val="1"/>
          <w:bCs w:val="1"/>
          <w:color w:val="auto"/>
        </w:rPr>
        <w:t>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28936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Dated:</w:t>
        <w:tab/>
        <w:t>June 15</w:t>
      </w:r>
      <w:r>
        <w:rPr>
          <w:rFonts w:ascii="Arial" w:cs="Arial" w:eastAsia="Arial" w:hAnsi="Arial"/>
          <w:sz w:val="14"/>
          <w:szCs w:val="14"/>
          <w:color w:val="auto"/>
        </w:rPr>
        <w:t>th</w:t>
      </w:r>
      <w:r>
        <w:rPr>
          <w:rFonts w:ascii="Arial" w:cs="Arial" w:eastAsia="Arial" w:hAnsi="Arial"/>
          <w:sz w:val="17"/>
          <w:szCs w:val="17"/>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17145</wp:posOffset>
            </wp:positionV>
            <wp:extent cx="25196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19680" cy="8255"/>
                    </a:xfrm>
                    <a:prstGeom prst="rect">
                      <a:avLst/>
                    </a:prstGeom>
                    <a:noFill/>
                  </pic:spPr>
                </pic:pic>
              </a:graphicData>
            </a:graphic>
          </wp:anchor>
        </w:drawing>
      </w:r>
    </w:p>
    <w:p>
      <w:pPr>
        <w:spacing w:after="0" w:line="322" w:lineRule="exact"/>
        <w:rPr>
          <w:sz w:val="20"/>
          <w:szCs w:val="20"/>
          <w:color w:val="auto"/>
        </w:rPr>
      </w:pPr>
    </w:p>
    <w:p>
      <w:pPr>
        <w:jc w:val="right"/>
        <w:ind w:right="2399"/>
        <w:spacing w:after="0"/>
        <w:rPr>
          <w:sz w:val="20"/>
          <w:szCs w:val="20"/>
          <w:color w:val="auto"/>
        </w:rPr>
      </w:pPr>
      <w:r>
        <w:rPr>
          <w:rFonts w:ascii="Arial" w:cs="Arial" w:eastAsia="Arial" w:hAnsi="Arial"/>
          <w:sz w:val="17"/>
          <w:szCs w:val="17"/>
          <w:color w:val="auto"/>
        </w:rPr>
        <w:t>[SIGNATURE PAGE TO EMPLOYMENT AGREEMENT]</w:t>
      </w:r>
    </w:p>
    <w:p>
      <w:pPr>
        <w:sectPr>
          <w:pgSz w:w="11900" w:h="16838" w:orient="portrait"/>
          <w:cols w:equalWidth="0" w:num="1">
            <w:col w:w="10219"/>
          </w:cols>
          <w:pgMar w:left="240" w:top="265" w:right="1440" w:bottom="1440" w:gutter="0" w:footer="0" w:header="0"/>
        </w:sectPr>
      </w:pPr>
    </w:p>
    <w:bookmarkStart w:id="226" w:name="page227"/>
    <w:bookmarkEnd w:id="226"/>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RELEASE AND WAIVER OF CLAIMS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TO BE SIGNED ON OR FOLLOWING TILE SEPARATION DATE ONLY</w:t>
      </w:r>
    </w:p>
    <w:p>
      <w:pPr>
        <w:spacing w:after="0" w:line="230"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 xml:space="preserve">In consideration of the payments and other benefits set forth in the Employment Agreement effective , 2015, which this form is attached, I, Robert Hoffman, hereby furnish </w:t>
      </w:r>
      <w:r>
        <w:rPr>
          <w:rFonts w:ascii="Arial" w:cs="Arial" w:eastAsia="Arial" w:hAnsi="Arial"/>
          <w:sz w:val="17"/>
          <w:szCs w:val="17"/>
          <w:b w:val="1"/>
          <w:bCs w:val="1"/>
          <w:color w:val="auto"/>
        </w:rPr>
        <w:t>ANAPTYSBIO, INC</w:t>
      </w:r>
      <w:r>
        <w:rPr>
          <w:rFonts w:ascii="Arial" w:cs="Arial" w:eastAsia="Arial" w:hAnsi="Arial"/>
          <w:sz w:val="17"/>
          <w:szCs w:val="17"/>
          <w:color w:val="auto"/>
        </w:rPr>
        <w:t>.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with the following release and waiver (“</w:t>
      </w:r>
      <w:r>
        <w:rPr>
          <w:rFonts w:ascii="Arial" w:cs="Arial" w:eastAsia="Arial" w:hAnsi="Arial"/>
          <w:sz w:val="17"/>
          <w:szCs w:val="17"/>
          <w:b w:val="1"/>
          <w:bCs w:val="1"/>
          <w:i w:val="1"/>
          <w:iCs w:val="1"/>
          <w:color w:val="auto"/>
        </w:rPr>
        <w:t>Release and Waiver</w:t>
      </w:r>
      <w:r>
        <w:rPr>
          <w:rFonts w:ascii="Arial" w:cs="Arial" w:eastAsia="Arial" w:hAnsi="Arial"/>
          <w:sz w:val="17"/>
          <w:szCs w:val="17"/>
          <w:color w:val="auto"/>
        </w:rPr>
        <w:t>”),</w:t>
      </w:r>
    </w:p>
    <w:p>
      <w:pPr>
        <w:spacing w:after="0" w:line="158"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In exchange for the consideration provided to me by the Employment Agreement that I am not otherwise entitled to receive, I hereby generally and completely release the Company and its current and former directors, office’s, employees, stockholders, partners, agents, attorneys, predecessors, successors, parent and subsidiary entities, insurers, affiliates, and assigns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or on the date that I sign this Agreement (collectively, the “</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(e)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or 1990, the federal Age Discrimination in Employment Act of 1967 (as amended) (the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the California Labor Code, and the California Fair Employment and Housing Act (as amended). Notwithstanding the foregoing, the following are not included in the Released Claims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(a) any rights or claims for indemnification I may have pursuant to the charter or bylaws of the Company or under applicable law;</w:t>
      </w:r>
    </w:p>
    <w:p>
      <w:pPr>
        <w:spacing w:after="0" w:line="5" w:lineRule="exact"/>
        <w:rPr>
          <w:sz w:val="20"/>
          <w:szCs w:val="20"/>
          <w:color w:val="auto"/>
        </w:rPr>
      </w:pPr>
    </w:p>
    <w:p>
      <w:pPr>
        <w:ind w:right="20" w:firstLine="5"/>
        <w:spacing w:after="0" w:line="265" w:lineRule="auto"/>
        <w:tabs>
          <w:tab w:leader="none" w:pos="24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w:t>
      </w:r>
    </w:p>
    <w:p>
      <w:pPr>
        <w:spacing w:after="0" w:line="173" w:lineRule="exact"/>
        <w:rPr>
          <w:sz w:val="20"/>
          <w:szCs w:val="20"/>
          <w:color w:val="auto"/>
        </w:rPr>
      </w:pPr>
    </w:p>
    <w:p>
      <w:pPr>
        <w:jc w:val="both"/>
        <w:ind w:right="80" w:firstLine="457"/>
        <w:spacing w:after="0" w:line="292" w:lineRule="auto"/>
        <w:rPr>
          <w:sz w:val="20"/>
          <w:szCs w:val="20"/>
          <w:color w:val="auto"/>
        </w:rPr>
      </w:pPr>
      <w:r>
        <w:rPr>
          <w:rFonts w:ascii="Arial" w:cs="Arial" w:eastAsia="Arial" w:hAnsi="Arial"/>
          <w:sz w:val="16"/>
          <w:szCs w:val="16"/>
          <w:color w:val="auto"/>
        </w:rPr>
        <w:t xml:space="preserve">I also acknowledge that I have read and understand Section 1542 of the California Civil Code which reads as follows: </w:t>
      </w:r>
      <w:r>
        <w:rPr>
          <w:rFonts w:ascii="Arial" w:cs="Arial" w:eastAsia="Arial" w:hAnsi="Arial"/>
          <w:sz w:val="16"/>
          <w:szCs w:val="16"/>
          <w:b w:val="1"/>
          <w:bCs w:val="1"/>
          <w:color w:val="auto"/>
        </w:rPr>
        <w:t>“A general release does not extend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6"/>
          <w:szCs w:val="16"/>
          <w:color w:val="auto"/>
        </w:rPr>
        <w:t>I hereby expressly waive and relinquish all rights and benefits under that Section and any law</w:t>
      </w:r>
      <w:r>
        <w:rPr>
          <w:rFonts w:ascii="Arial" w:cs="Arial" w:eastAsia="Arial" w:hAnsi="Arial"/>
          <w:sz w:val="16"/>
          <w:szCs w:val="16"/>
          <w:b w:val="1"/>
          <w:bCs w:val="1"/>
          <w:color w:val="auto"/>
        </w:rPr>
        <w:t xml:space="preserve"> </w:t>
      </w:r>
      <w:r>
        <w:rPr>
          <w:rFonts w:ascii="Arial" w:cs="Arial" w:eastAsia="Arial" w:hAnsi="Arial"/>
          <w:sz w:val="16"/>
          <w:szCs w:val="16"/>
          <w:color w:val="auto"/>
        </w:rPr>
        <w:t>of any jurisdiction, including New York, of similar effect with respect to any claims I may have against the Company.</w:t>
      </w:r>
    </w:p>
    <w:p>
      <w:pPr>
        <w:sectPr>
          <w:pgSz w:w="11900" w:h="16838" w:orient="portrait"/>
          <w:cols w:equalWidth="0" w:num="1">
            <w:col w:w="11380"/>
          </w:cols>
          <w:pgMar w:left="240" w:top="265" w:right="279" w:bottom="1440" w:gutter="0" w:footer="0" w:header="0"/>
        </w:sectPr>
      </w:pPr>
    </w:p>
    <w:bookmarkStart w:id="227" w:name="page228"/>
    <w:bookmarkEnd w:id="227"/>
    <w:p>
      <w:pPr>
        <w:ind w:firstLine="457"/>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2" w:lineRule="exact"/>
        <w:rPr>
          <w:sz w:val="20"/>
          <w:szCs w:val="20"/>
          <w:color w:val="auto"/>
        </w:rPr>
      </w:pPr>
    </w:p>
    <w:p>
      <w:pPr>
        <w:jc w:val="both"/>
        <w:ind w:right="140" w:firstLine="457"/>
        <w:spacing w:after="0" w:line="297" w:lineRule="auto"/>
        <w:rPr>
          <w:sz w:val="20"/>
          <w:szCs w:val="20"/>
          <w:color w:val="auto"/>
        </w:rPr>
      </w:pPr>
      <w:r>
        <w:rPr>
          <w:rFonts w:ascii="Arial" w:cs="Arial" w:eastAsia="Arial" w:hAnsi="Arial"/>
          <w:sz w:val="16"/>
          <w:szCs w:val="16"/>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55" w:lineRule="exact"/>
        <w:rPr>
          <w:sz w:val="20"/>
          <w:szCs w:val="20"/>
          <w:color w:val="auto"/>
        </w:rPr>
      </w:pPr>
    </w:p>
    <w:p>
      <w:pPr>
        <w:ind w:right="380" w:firstLine="457"/>
        <w:spacing w:after="0" w:line="285" w:lineRule="auto"/>
        <w:rPr>
          <w:sz w:val="20"/>
          <w:szCs w:val="20"/>
          <w:color w:val="auto"/>
        </w:rPr>
      </w:pPr>
      <w:r>
        <w:rPr>
          <w:rFonts w:ascii="Arial" w:cs="Arial" w:eastAsia="Arial" w:hAnsi="Arial"/>
          <w:sz w:val="16"/>
          <w:szCs w:val="16"/>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65"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76" w:lineRule="exact"/>
        <w:rPr>
          <w:sz w:val="20"/>
          <w:szCs w:val="20"/>
          <w:color w:val="auto"/>
        </w:rPr>
      </w:pPr>
    </w:p>
    <w:p>
      <w:pPr>
        <w:spacing w:after="0"/>
        <w:tabs>
          <w:tab w:leader="none" w:pos="61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16510</wp:posOffset>
            </wp:positionV>
            <wp:extent cx="69678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Robert Hoffman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71" w:right="239" w:bottom="1440" w:gutter="0" w:footer="0" w:header="0"/>
        </w:sectPr>
      </w:pPr>
    </w:p>
    <w:bookmarkStart w:id="228" w:name="page229"/>
    <w:bookmarkEnd w:id="22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ANAPTYSBIO, INC.</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AMENDMENT NO. 1 TO</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EMPLOYMENT AGREEMENT</w:t>
      </w:r>
    </w:p>
    <w:p>
      <w:pPr>
        <w:spacing w:after="0" w:line="212"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This Amendment No. 1 to Employment Agreement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entered into as of December 14, 2015, by and between AnaptysBio,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Robert Hoffman (the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amends that certain Employment Agreement dated as of July 13, 2015, by and between the Company and the Executive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w:t>
      </w:r>
    </w:p>
    <w:p>
      <w:pPr>
        <w:spacing w:after="0" w:line="171" w:lineRule="exact"/>
        <w:rPr>
          <w:sz w:val="20"/>
          <w:szCs w:val="20"/>
          <w:color w:val="auto"/>
        </w:rPr>
      </w:pPr>
    </w:p>
    <w:p>
      <w:pPr>
        <w:jc w:val="both"/>
        <w:ind w:right="40" w:firstLine="457"/>
        <w:spacing w:after="0" w:line="273" w:lineRule="auto"/>
        <w:rPr>
          <w:sz w:val="20"/>
          <w:szCs w:val="20"/>
          <w:color w:val="auto"/>
        </w:rPr>
      </w:pPr>
      <w:r>
        <w:rPr>
          <w:rFonts w:ascii="Arial" w:cs="Arial" w:eastAsia="Arial" w:hAnsi="Arial"/>
          <w:sz w:val="17"/>
          <w:szCs w:val="17"/>
          <w:color w:val="auto"/>
        </w:rPr>
        <w:t>WHEREAS, pursuant to the Employment Agreement, in the event the Executive is terminated without Cause (as defined in the Employment Agreement) or resigns for Good Reason (as defined in the Employment Agreement), the Executive is entitled to his base salary payment for a period of six (6) months following the termination date (the “</w:t>
      </w:r>
      <w:r>
        <w:rPr>
          <w:rFonts w:ascii="Arial" w:cs="Arial" w:eastAsia="Arial" w:hAnsi="Arial"/>
          <w:sz w:val="17"/>
          <w:szCs w:val="17"/>
          <w:b w:val="1"/>
          <w:bCs w:val="1"/>
          <w:i w:val="1"/>
          <w:iCs w:val="1"/>
          <w:color w:val="auto"/>
        </w:rPr>
        <w:t>Severance Payment</w:t>
      </w:r>
      <w:r>
        <w:rPr>
          <w:rFonts w:ascii="Arial" w:cs="Arial" w:eastAsia="Arial" w:hAnsi="Arial"/>
          <w:sz w:val="17"/>
          <w:szCs w:val="17"/>
          <w:color w:val="auto"/>
        </w:rPr>
        <w:t>”);</w:t>
      </w:r>
    </w:p>
    <w:p>
      <w:pPr>
        <w:spacing w:after="0" w:line="171"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WHEREAS, the Company and the Executive hereby wish to amend the Employment Agreement to increase the Severance Payment from six (6) months to nine (9) months following the termination date; and</w:t>
      </w:r>
    </w:p>
    <w:p>
      <w:pPr>
        <w:spacing w:after="0" w:line="158" w:lineRule="exact"/>
        <w:rPr>
          <w:sz w:val="20"/>
          <w:szCs w:val="20"/>
          <w:color w:val="auto"/>
        </w:rPr>
      </w:pPr>
    </w:p>
    <w:p>
      <w:pPr>
        <w:ind w:right="460" w:firstLine="457"/>
        <w:spacing w:after="0" w:line="289" w:lineRule="auto"/>
        <w:rPr>
          <w:sz w:val="20"/>
          <w:szCs w:val="20"/>
          <w:color w:val="auto"/>
        </w:rPr>
      </w:pPr>
      <w:r>
        <w:rPr>
          <w:rFonts w:ascii="Arial" w:cs="Arial" w:eastAsia="Arial" w:hAnsi="Arial"/>
          <w:sz w:val="17"/>
          <w:szCs w:val="17"/>
          <w:color w:val="auto"/>
        </w:rPr>
        <w:t>WHEREAS, Section 10 of the Employment Agreement provides that the Employment Agreement cannot be amended or modified except by a written agreement signed by the Executive and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is hereby acknowledged, the undersigned consent to this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Amendment as follows:</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AMENDMENT OF AGREEMENT.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u w:val="single" w:color="auto"/>
          <w:color w:val="auto"/>
        </w:rPr>
        <w:t>Amendment of Section 4.5.3</w:t>
      </w:r>
      <w:r>
        <w:rPr>
          <w:rFonts w:ascii="Arial" w:cs="Arial" w:eastAsia="Arial" w:hAnsi="Arial"/>
          <w:sz w:val="17"/>
          <w:szCs w:val="17"/>
          <w:color w:val="auto"/>
        </w:rPr>
        <w:t>. Section 4.5.3 of the Employment Agreement is hereby amended and restated in its entirety to read as follows:</w:t>
      </w:r>
    </w:p>
    <w:p>
      <w:pPr>
        <w:spacing w:after="0" w:line="119" w:lineRule="exact"/>
        <w:rPr>
          <w:sz w:val="20"/>
          <w:szCs w:val="20"/>
          <w:color w:val="auto"/>
        </w:rPr>
      </w:pPr>
    </w:p>
    <w:p>
      <w:pPr>
        <w:ind w:left="460" w:right="20" w:firstLine="438"/>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4.5.3 Termination by Company Without Cause or by CFO for Good Reason Not In Connection with a Change in Control.</w:t>
      </w:r>
      <w:r>
        <w:rPr>
          <w:rFonts w:ascii="Arial" w:cs="Arial" w:eastAsia="Arial" w:hAnsi="Arial"/>
          <w:sz w:val="17"/>
          <w:szCs w:val="17"/>
          <w:color w:val="auto"/>
        </w:rPr>
        <w:t xml:space="preserve"> If the Company terminates CFO’s employment without Cause or if CFO resigns his employment for Good Reason, in either case at any time other than upon the occurrence of, or within the 13 months immediately following, the effective date of a Change in Control, the Company shall pay CFO’s base salary and accrued and unused vacation benefits earned through the date of termination, at the rate in effect at the time of termination, less standard deductions and withholdings. In addition, if CFO furnishes to the Company an executed waiver and release of claims in the form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(or in such other form as may he specified by the Company)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within the time period specified therein, but in no event later than 45 days following CFO’s termination, and if CFO allows such Release to become effective in accordance with its terms, then (i) CFO shall be entitled to severance in the form of continuation of his base salary, at the base salary rate in effect at the time of termination (the “</w:t>
      </w:r>
      <w:r>
        <w:rPr>
          <w:rFonts w:ascii="Arial" w:cs="Arial" w:eastAsia="Arial" w:hAnsi="Arial"/>
          <w:sz w:val="17"/>
          <w:szCs w:val="17"/>
          <w:b w:val="1"/>
          <w:bCs w:val="1"/>
          <w:i w:val="1"/>
          <w:iCs w:val="1"/>
          <w:color w:val="auto"/>
        </w:rPr>
        <w:t>Severance Payments</w:t>
      </w:r>
      <w:r>
        <w:rPr>
          <w:rFonts w:ascii="Arial" w:cs="Arial" w:eastAsia="Arial" w:hAnsi="Arial"/>
          <w:sz w:val="17"/>
          <w:szCs w:val="17"/>
          <w:color w:val="auto"/>
        </w:rPr>
        <w:t>”), for a period of nine (9) months following the termination date (the “</w:t>
      </w:r>
      <w:r>
        <w:rPr>
          <w:rFonts w:ascii="Arial" w:cs="Arial" w:eastAsia="Arial" w:hAnsi="Arial"/>
          <w:sz w:val="17"/>
          <w:szCs w:val="17"/>
          <w:b w:val="1"/>
          <w:bCs w:val="1"/>
          <w:i w:val="1"/>
          <w:iCs w:val="1"/>
          <w:color w:val="auto"/>
        </w:rPr>
        <w:t>Severance Period</w:t>
      </w:r>
      <w:r>
        <w:rPr>
          <w:rFonts w:ascii="Arial" w:cs="Arial" w:eastAsia="Arial" w:hAnsi="Arial"/>
          <w:sz w:val="17"/>
          <w:szCs w:val="17"/>
          <w:color w:val="auto"/>
        </w:rPr>
        <w:t>”), and (ii) the Company will pay directly to the insurance provider the premium for COBRA continuation coverage for CFO and CFO’s family during the Severance Period or until he obtains new employment, whichever comes first (the “</w:t>
      </w:r>
      <w:r>
        <w:rPr>
          <w:rFonts w:ascii="Arial" w:cs="Arial" w:eastAsia="Arial" w:hAnsi="Arial"/>
          <w:sz w:val="17"/>
          <w:szCs w:val="17"/>
          <w:b w:val="1"/>
          <w:bCs w:val="1"/>
          <w:i w:val="1"/>
          <w:iCs w:val="1"/>
          <w:color w:val="auto"/>
        </w:rPr>
        <w:t>COBRA Coverage</w:t>
      </w:r>
      <w:r>
        <w:rPr>
          <w:rFonts w:ascii="Arial" w:cs="Arial" w:eastAsia="Arial" w:hAnsi="Arial"/>
          <w:sz w:val="17"/>
          <w:szCs w:val="17"/>
          <w:color w:val="auto"/>
        </w:rPr>
        <w:t>”). The Severance Payments will be subject to standard payroll deductions and withholdings and will be made on the Company’s regular payroll cycle, provided, however, that any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265" w:right="259" w:bottom="1440" w:gutter="0" w:footer="0" w:header="0"/>
        </w:sectPr>
      </w:pPr>
    </w:p>
    <w:bookmarkStart w:id="229" w:name="page230"/>
    <w:bookmarkEnd w:id="229"/>
    <w:p>
      <w:pPr>
        <w:ind w:left="460" w:right="20"/>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Severance Payments otherwise scheduled to be made prior to the effective date of the Release shall accrue and be paid in the first payroll period that follows such effective date. The Company shall thereafter have no further obligations to CFO under this Agreement, except as otherwise provided by law.”</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MISCELLANEOUS.</w:t>
      </w:r>
    </w:p>
    <w:p>
      <w:pPr>
        <w:spacing w:after="0" w:line="119" w:lineRule="exact"/>
        <w:rPr>
          <w:sz w:val="20"/>
          <w:szCs w:val="20"/>
          <w:color w:val="auto"/>
        </w:rPr>
      </w:pPr>
    </w:p>
    <w:p>
      <w:pPr>
        <w:ind w:firstLine="457"/>
        <w:spacing w:after="0" w:line="301"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The terms and provisions of the Employment Agreement shall remain in full force and effect except as specifically modified by this Amendment. On and</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date hereof, each reference in the Employment Agreement to “this Agreement”, “hereof,” “herein,” “hereto,” “herewith,” “hereunder” and any other words of similar import shall, unless otherwise stated, be construed to refer to the Employment Agreement as amended by this Amendment.</w:t>
      </w:r>
    </w:p>
    <w:p>
      <w:pPr>
        <w:spacing w:after="0" w:line="146" w:lineRule="exact"/>
        <w:rPr>
          <w:sz w:val="20"/>
          <w:szCs w:val="20"/>
          <w:color w:val="auto"/>
        </w:rPr>
      </w:pPr>
    </w:p>
    <w:p>
      <w:pPr>
        <w:ind w:right="620" w:firstLine="457"/>
        <w:spacing w:after="0" w:line="296"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color w:val="auto"/>
        </w:rPr>
        <w:t>This Amendment may be executed in counterparts and delivered by facsimile or any similar electronic transmission device, all of which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considered one and the same agreement.</w:t>
      </w:r>
    </w:p>
    <w:p>
      <w:pPr>
        <w:spacing w:after="0" w:line="146" w:lineRule="exact"/>
        <w:rPr>
          <w:sz w:val="20"/>
          <w:szCs w:val="20"/>
          <w:color w:val="auto"/>
        </w:rPr>
      </w:pPr>
    </w:p>
    <w:p>
      <w:pPr>
        <w:ind w:right="200" w:firstLine="457"/>
        <w:spacing w:after="0" w:line="368" w:lineRule="auto"/>
        <w:rPr>
          <w:sz w:val="20"/>
          <w:szCs w:val="20"/>
          <w:color w:val="auto"/>
        </w:rPr>
      </w:pPr>
      <w:r>
        <w:rPr>
          <w:rFonts w:ascii="Arial" w:cs="Arial" w:eastAsia="Arial" w:hAnsi="Arial"/>
          <w:sz w:val="15"/>
          <w:szCs w:val="15"/>
          <w:b w:val="1"/>
          <w:bCs w:val="1"/>
          <w:color w:val="auto"/>
        </w:rPr>
        <w:t xml:space="preserve">2.3 </w:t>
      </w:r>
      <w:r>
        <w:rPr>
          <w:rFonts w:ascii="Arial" w:cs="Arial" w:eastAsia="Arial" w:hAnsi="Arial"/>
          <w:sz w:val="15"/>
          <w:szCs w:val="15"/>
          <w:color w:val="auto"/>
        </w:rPr>
        <w:t>This Amendment and all acts and transactions pursuant hereto and the rights and obligations of the parties to the Employment Agreement, as amended</w:t>
      </w:r>
      <w:r>
        <w:rPr>
          <w:rFonts w:ascii="Arial" w:cs="Arial" w:eastAsia="Arial" w:hAnsi="Arial"/>
          <w:sz w:val="15"/>
          <w:szCs w:val="15"/>
          <w:b w:val="1"/>
          <w:bCs w:val="1"/>
          <w:color w:val="auto"/>
        </w:rPr>
        <w:t xml:space="preserve"> </w:t>
      </w:r>
      <w:r>
        <w:rPr>
          <w:rFonts w:ascii="Arial" w:cs="Arial" w:eastAsia="Arial" w:hAnsi="Arial"/>
          <w:sz w:val="15"/>
          <w:szCs w:val="15"/>
          <w:color w:val="auto"/>
        </w:rPr>
        <w:t>hereby, will be governed, construed and interpreted in accordance with the laws of the State of California, without giving effect to principles of conflicts of law.</w:t>
      </w:r>
    </w:p>
    <w:p>
      <w:pPr>
        <w:spacing w:after="0" w:line="100" w:lineRule="exact"/>
        <w:rPr>
          <w:sz w:val="20"/>
          <w:szCs w:val="20"/>
          <w:color w:val="auto"/>
        </w:rPr>
      </w:pPr>
    </w:p>
    <w:p>
      <w:pPr>
        <w:ind w:right="480" w:firstLine="457"/>
        <w:spacing w:after="0" w:line="296"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color w:val="auto"/>
        </w:rPr>
        <w:t>This Amendment, together with the Employment Agreement, as amended, and all exhibits hereto and thereto represent the entire agreement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with respect to the subject matter herein.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230" w:name="page231"/>
    <w:bookmarkEnd w:id="230"/>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w:t>
      </w:r>
      <w:r>
        <w:rPr>
          <w:rFonts w:ascii="Arial" w:cs="Arial" w:eastAsia="Arial" w:hAnsi="Arial"/>
          <w:sz w:val="16"/>
          <w:szCs w:val="16"/>
          <w:color w:val="auto"/>
        </w:rPr>
        <w:t>, the parties hereto have executed this Amendment as of the date first written above.</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w:t>
      </w:r>
      <w:r>
        <w:rPr>
          <w:rFonts w:ascii="Arial" w:cs="Arial" w:eastAsia="Arial" w:hAnsi="Arial"/>
          <w:sz w:val="14"/>
          <w:szCs w:val="14"/>
          <w:b w:val="1"/>
          <w:bCs w:val="1"/>
          <w:u w:val="single" w:color="auto"/>
          <w:color w:val="auto"/>
        </w:rPr>
        <w:t>OMPANY</w:t>
      </w:r>
      <w:r>
        <w:rPr>
          <w:rFonts w:ascii="Arial" w:cs="Arial" w:eastAsia="Arial" w:hAnsi="Arial"/>
          <w:sz w:val="17"/>
          <w:szCs w:val="17"/>
          <w:b w:val="1"/>
          <w:bCs w:val="1"/>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NAPTYS</w:t>
      </w:r>
      <w:r>
        <w:rPr>
          <w:rFonts w:ascii="Arial" w:cs="Arial" w:eastAsia="Arial" w:hAnsi="Arial"/>
          <w:sz w:val="17"/>
          <w:szCs w:val="17"/>
          <w:b w:val="1"/>
          <w:bCs w:val="1"/>
          <w:color w:val="auto"/>
        </w:rPr>
        <w:t>B</w:t>
      </w:r>
      <w:r>
        <w:rPr>
          <w:rFonts w:ascii="Arial" w:cs="Arial" w:eastAsia="Arial" w:hAnsi="Arial"/>
          <w:sz w:val="14"/>
          <w:szCs w:val="14"/>
          <w:b w:val="1"/>
          <w:bCs w:val="1"/>
          <w:color w:val="auto"/>
        </w:rPr>
        <w:t>IO</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b w:val="1"/>
          <w:bCs w:val="1"/>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Hamza Suria</w:t>
            </w:r>
          </w:p>
        </w:tc>
      </w:tr>
      <w:tr>
        <w:trPr>
          <w:trHeight w:val="216"/>
        </w:trPr>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Hamza Suria</w:t>
            </w:r>
          </w:p>
        </w:tc>
      </w:tr>
      <w:tr>
        <w:trPr>
          <w:trHeight w:val="216"/>
        </w:trPr>
        <w:tc>
          <w:tcPr>
            <w:tcW w:w="640" w:type="dxa"/>
            <w:vAlign w:val="bottom"/>
          </w:tcPr>
          <w:p>
            <w:pPr>
              <w:spacing w:after="0"/>
              <w:rPr>
                <w:sz w:val="20"/>
                <w:szCs w:val="20"/>
                <w:color w:val="auto"/>
              </w:rPr>
            </w:pPr>
            <w:r>
              <w:rPr>
                <w:rFonts w:ascii="Arial" w:cs="Arial" w:eastAsia="Arial" w:hAnsi="Arial"/>
                <w:sz w:val="17"/>
                <w:szCs w:val="17"/>
                <w:color w:val="auto"/>
              </w:rPr>
              <w:t>Its:</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 &amp; CEO</w:t>
            </w:r>
          </w:p>
        </w:tc>
      </w:tr>
    </w:tbl>
    <w:p>
      <w:pPr>
        <w:spacing w:after="0" w:line="210"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[Signature Page to Amendment No. 1 to Employment Agreement]</w:t>
      </w:r>
    </w:p>
    <w:p>
      <w:pPr>
        <w:sectPr>
          <w:pgSz w:w="11900" w:h="16838" w:orient="portrait"/>
          <w:cols w:equalWidth="0" w:num="1">
            <w:col w:w="10219"/>
          </w:cols>
          <w:pgMar w:left="240" w:top="265" w:right="1440" w:bottom="1440" w:gutter="0" w:footer="0" w:header="0"/>
        </w:sectPr>
      </w:pPr>
    </w:p>
    <w:bookmarkStart w:id="231" w:name="page232"/>
    <w:bookmarkEnd w:id="23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w:t>
      </w:r>
      <w:r>
        <w:rPr>
          <w:rFonts w:ascii="Arial" w:cs="Arial" w:eastAsia="Arial" w:hAnsi="Arial"/>
          <w:sz w:val="16"/>
          <w:szCs w:val="16"/>
          <w:color w:val="auto"/>
        </w:rPr>
        <w:t>, the parties hereto have executed this Amendment as of the date first written above.</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w:t>
      </w:r>
      <w:r>
        <w:rPr>
          <w:rFonts w:ascii="Arial" w:cs="Arial" w:eastAsia="Arial" w:hAnsi="Arial"/>
          <w:sz w:val="14"/>
          <w:szCs w:val="14"/>
          <w:b w:val="1"/>
          <w:bCs w:val="1"/>
          <w:u w:val="single" w:color="auto"/>
          <w:color w:val="auto"/>
        </w:rPr>
        <w:t>XECUTIVE</w:t>
      </w:r>
      <w:r>
        <w:rPr>
          <w:rFonts w:ascii="Arial" w:cs="Arial" w:eastAsia="Arial" w:hAnsi="Arial"/>
          <w:sz w:val="17"/>
          <w:szCs w:val="17"/>
          <w:b w:val="1"/>
          <w:bCs w:val="1"/>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 Robert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8936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Robert Hoffman</w:t>
      </w:r>
    </w:p>
    <w:p>
      <w:pPr>
        <w:spacing w:after="0" w:line="224"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[Signature Page to Amendment No. 1 to Employment Agreement]</w:t>
      </w:r>
    </w:p>
    <w:p>
      <w:pPr>
        <w:sectPr>
          <w:pgSz w:w="11900" w:h="16838" w:orient="portrait"/>
          <w:cols w:equalWidth="0" w:num="1">
            <w:col w:w="10219"/>
          </w:cols>
          <w:pgMar w:left="240" w:top="265" w:right="1440" w:bottom="1440" w:gutter="0" w:footer="0" w:header="0"/>
        </w:sectPr>
      </w:pPr>
    </w:p>
    <w:bookmarkStart w:id="232" w:name="page233"/>
    <w:bookmarkEnd w:id="232"/>
    <w:p>
      <w:pPr>
        <w:jc w:val="right"/>
        <w:spacing w:after="0"/>
        <w:rPr>
          <w:sz w:val="20"/>
          <w:szCs w:val="20"/>
          <w:color w:val="auto"/>
        </w:rPr>
      </w:pPr>
      <w:r>
        <w:rPr>
          <w:rFonts w:ascii="Arial" w:cs="Arial" w:eastAsia="Arial" w:hAnsi="Arial"/>
          <w:sz w:val="17"/>
          <w:szCs w:val="17"/>
          <w:b w:val="1"/>
          <w:bCs w:val="1"/>
          <w:color w:val="auto"/>
        </w:rPr>
        <w:t>Exhibit 10.8</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OFFICE LEASE</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KILROY REALTY</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PACIFIC CORPORATE CENTER</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KILROY REALTY, L.P.,</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 Delaware limited partnership,</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as Landlord,</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ANAPTYSBIO, INC.,</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 Delaware corporation,</w:t>
      </w:r>
    </w:p>
    <w:p>
      <w:pPr>
        <w:spacing w:after="0" w:line="22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as Tenant.</w:t>
      </w:r>
    </w:p>
    <w:p>
      <w:pPr>
        <w:sectPr>
          <w:pgSz w:w="11900" w:h="16838" w:orient="portrait"/>
          <w:cols w:equalWidth="0" w:num="1">
            <w:col w:w="10220"/>
          </w:cols>
          <w:pgMar w:left="1440" w:top="121" w:right="239" w:bottom="1440" w:gutter="0" w:footer="0" w:header="0"/>
        </w:sectPr>
      </w:pPr>
    </w:p>
    <w:bookmarkStart w:id="233" w:name="page234"/>
    <w:bookmarkEnd w:id="233"/>
    <w:p>
      <w:pPr>
        <w:jc w:val="center"/>
        <w:ind w:right="-7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40" w:type="dxa"/>
            <w:vAlign w:val="bottom"/>
            <w:vMerge w:val="restart"/>
          </w:tcPr>
          <w:p>
            <w:pPr>
              <w:spacing w:after="0"/>
              <w:rPr>
                <w:sz w:val="20"/>
                <w:szCs w:val="20"/>
                <w:color w:val="auto"/>
              </w:rPr>
            </w:pPr>
            <w:r>
              <w:rPr>
                <w:rFonts w:ascii="Arial" w:cs="Arial" w:eastAsia="Arial" w:hAnsi="Arial"/>
                <w:sz w:val="17"/>
                <w:szCs w:val="17"/>
                <w:color w:val="auto"/>
              </w:rPr>
              <w:t>ARTICLE 1 PREMISES, BUILDING, PROJECT, AND COMMON AREAS</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15"/>
        </w:trPr>
        <w:tc>
          <w:tcPr>
            <w:tcW w:w="11040" w:type="dxa"/>
            <w:vAlign w:val="bottom"/>
            <w:vMerge w:val="continue"/>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1040" w:type="dxa"/>
            <w:vAlign w:val="bottom"/>
          </w:tcPr>
          <w:p>
            <w:pPr>
              <w:spacing w:after="0"/>
              <w:rPr>
                <w:sz w:val="20"/>
                <w:szCs w:val="20"/>
                <w:color w:val="auto"/>
              </w:rPr>
            </w:pPr>
            <w:r>
              <w:rPr>
                <w:rFonts w:ascii="Arial" w:cs="Arial" w:eastAsia="Arial" w:hAnsi="Arial"/>
                <w:sz w:val="17"/>
                <w:szCs w:val="17"/>
                <w:color w:val="auto"/>
              </w:rPr>
              <w:t>ARTICLE 2 LEASE TERM; TERMINATION RIGHT, OPTION TERM</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3 BASE RENT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4 ADDITIONAL RENT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5 USE OF PREMISES</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6 SERVICES AND UTILITIES</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7 REPAIRS</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8 ADDITIONS AND ALTERATIONS</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9 COVENANT AGAINST LIENS</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10 INSURANCE</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11 DAMAGE AND DESTRUCTION</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12 NONWAIVER</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13 CONDEMNATION</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14 ASSIGNMENT AND SUBLETTING</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15 SURRENDER OF PREMISES; OWNERSHIP AND REMOVAL OF TRADE FIXTURES</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16 HOLDING OVER</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17 ESTOPPEL CERTIFICATES</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18 SUBORDINATION</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19 DEFAULTS; REMEDIES</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20 COVENANT OF QUIET ENJOYMENT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21 SECURITY DEPOSIT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22 LETTER OF CREDIT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314"/>
        </w:trPr>
        <w:tc>
          <w:tcPr>
            <w:tcW w:w="11040" w:type="dxa"/>
            <w:vAlign w:val="bottom"/>
          </w:tcPr>
          <w:p>
            <w:pPr>
              <w:spacing w:after="0"/>
              <w:rPr>
                <w:sz w:val="20"/>
                <w:szCs w:val="20"/>
                <w:color w:val="auto"/>
              </w:rPr>
            </w:pPr>
            <w:r>
              <w:rPr>
                <w:rFonts w:ascii="Arial" w:cs="Arial" w:eastAsia="Arial" w:hAnsi="Arial"/>
                <w:sz w:val="17"/>
                <w:szCs w:val="17"/>
                <w:color w:val="auto"/>
              </w:rPr>
              <w:t>ARTICLE 23 SIGNS</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354"/>
        </w:trPr>
        <w:tc>
          <w:tcPr>
            <w:tcW w:w="11040" w:type="dxa"/>
            <w:vAlign w:val="bottom"/>
          </w:tcPr>
          <w:p>
            <w:pPr>
              <w:ind w:left="5680"/>
              <w:spacing w:after="0"/>
              <w:rPr>
                <w:sz w:val="20"/>
                <w:szCs w:val="20"/>
                <w:color w:val="auto"/>
              </w:rPr>
            </w:pPr>
            <w:r>
              <w:rPr>
                <w:rFonts w:ascii="Arial" w:cs="Arial" w:eastAsia="Arial" w:hAnsi="Arial"/>
                <w:sz w:val="17"/>
                <w:szCs w:val="17"/>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65" w:right="319" w:bottom="1440" w:gutter="0" w:footer="0" w:header="0"/>
        </w:sectPr>
      </w:pPr>
    </w:p>
    <w:bookmarkStart w:id="234" w:name="page235"/>
    <w:bookmarkEnd w:id="2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8720" w:type="dxa"/>
            <w:vAlign w:val="bottom"/>
          </w:tcPr>
          <w:p>
            <w:pPr>
              <w:spacing w:after="0"/>
              <w:rPr>
                <w:sz w:val="20"/>
                <w:szCs w:val="20"/>
                <w:color w:val="auto"/>
              </w:rPr>
            </w:pPr>
            <w:r>
              <w:rPr>
                <w:rFonts w:ascii="Arial" w:cs="Arial" w:eastAsia="Arial" w:hAnsi="Arial"/>
                <w:sz w:val="17"/>
                <w:szCs w:val="17"/>
                <w:color w:val="auto"/>
              </w:rPr>
              <w:t>ARTICLE 24 COMPLIANCE WITH LAW</w:t>
            </w:r>
          </w:p>
        </w:tc>
        <w:tc>
          <w:tcPr>
            <w:tcW w:w="262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314"/>
        </w:trPr>
        <w:tc>
          <w:tcPr>
            <w:tcW w:w="8720" w:type="dxa"/>
            <w:vAlign w:val="bottom"/>
          </w:tcPr>
          <w:p>
            <w:pPr>
              <w:spacing w:after="0"/>
              <w:rPr>
                <w:sz w:val="20"/>
                <w:szCs w:val="20"/>
                <w:color w:val="auto"/>
              </w:rPr>
            </w:pPr>
            <w:r>
              <w:rPr>
                <w:rFonts w:ascii="Arial" w:cs="Arial" w:eastAsia="Arial" w:hAnsi="Arial"/>
                <w:sz w:val="17"/>
                <w:szCs w:val="17"/>
                <w:color w:val="auto"/>
              </w:rPr>
              <w:t>ARTICLE 25 LATE CHARGES</w:t>
            </w:r>
          </w:p>
        </w:tc>
        <w:tc>
          <w:tcPr>
            <w:tcW w:w="262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314"/>
        </w:trPr>
        <w:tc>
          <w:tcPr>
            <w:tcW w:w="8720" w:type="dxa"/>
            <w:vAlign w:val="bottom"/>
          </w:tcPr>
          <w:p>
            <w:pPr>
              <w:spacing w:after="0"/>
              <w:rPr>
                <w:sz w:val="20"/>
                <w:szCs w:val="20"/>
                <w:color w:val="auto"/>
              </w:rPr>
            </w:pPr>
            <w:r>
              <w:rPr>
                <w:rFonts w:ascii="Arial" w:cs="Arial" w:eastAsia="Arial" w:hAnsi="Arial"/>
                <w:sz w:val="17"/>
                <w:szCs w:val="17"/>
                <w:color w:val="auto"/>
              </w:rPr>
              <w:t>ARTICLE 26 LANDLORD’S RIGHT TO CURE DEFAULT; PAYMENTS BY TENANT</w:t>
            </w:r>
          </w:p>
        </w:tc>
        <w:tc>
          <w:tcPr>
            <w:tcW w:w="262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314"/>
        </w:trPr>
        <w:tc>
          <w:tcPr>
            <w:tcW w:w="8720" w:type="dxa"/>
            <w:vAlign w:val="bottom"/>
          </w:tcPr>
          <w:p>
            <w:pPr>
              <w:spacing w:after="0"/>
              <w:rPr>
                <w:sz w:val="20"/>
                <w:szCs w:val="20"/>
                <w:color w:val="auto"/>
              </w:rPr>
            </w:pPr>
            <w:r>
              <w:rPr>
                <w:rFonts w:ascii="Arial" w:cs="Arial" w:eastAsia="Arial" w:hAnsi="Arial"/>
                <w:sz w:val="17"/>
                <w:szCs w:val="17"/>
                <w:color w:val="auto"/>
              </w:rPr>
              <w:t>ARTICLE 27 ENTRY BY LANDLORD</w:t>
            </w:r>
          </w:p>
        </w:tc>
        <w:tc>
          <w:tcPr>
            <w:tcW w:w="262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314"/>
        </w:trPr>
        <w:tc>
          <w:tcPr>
            <w:tcW w:w="8720" w:type="dxa"/>
            <w:vAlign w:val="bottom"/>
          </w:tcPr>
          <w:p>
            <w:pPr>
              <w:spacing w:after="0"/>
              <w:rPr>
                <w:sz w:val="20"/>
                <w:szCs w:val="20"/>
                <w:color w:val="auto"/>
              </w:rPr>
            </w:pPr>
            <w:r>
              <w:rPr>
                <w:rFonts w:ascii="Arial" w:cs="Arial" w:eastAsia="Arial" w:hAnsi="Arial"/>
                <w:sz w:val="17"/>
                <w:szCs w:val="17"/>
                <w:color w:val="auto"/>
              </w:rPr>
              <w:t>ARTICLE 28 TENANT PARKING</w:t>
            </w:r>
          </w:p>
        </w:tc>
        <w:tc>
          <w:tcPr>
            <w:tcW w:w="26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314"/>
        </w:trPr>
        <w:tc>
          <w:tcPr>
            <w:tcW w:w="8720" w:type="dxa"/>
            <w:vAlign w:val="bottom"/>
          </w:tcPr>
          <w:p>
            <w:pPr>
              <w:spacing w:after="0"/>
              <w:rPr>
                <w:sz w:val="20"/>
                <w:szCs w:val="20"/>
                <w:color w:val="auto"/>
              </w:rPr>
            </w:pPr>
            <w:r>
              <w:rPr>
                <w:rFonts w:ascii="Arial" w:cs="Arial" w:eastAsia="Arial" w:hAnsi="Arial"/>
                <w:sz w:val="17"/>
                <w:szCs w:val="17"/>
                <w:color w:val="auto"/>
              </w:rPr>
              <w:t>ARTICLE 29 MISCELLANEOUS PROVISIONS</w:t>
            </w:r>
          </w:p>
        </w:tc>
        <w:tc>
          <w:tcPr>
            <w:tcW w:w="2620" w:type="dxa"/>
            <w:vAlign w:val="bottom"/>
          </w:tcPr>
          <w:p>
            <w:pPr>
              <w:jc w:val="right"/>
              <w:spacing w:after="0"/>
              <w:rPr>
                <w:sz w:val="20"/>
                <w:szCs w:val="20"/>
                <w:color w:val="auto"/>
              </w:rPr>
            </w:pPr>
            <w:r>
              <w:rPr>
                <w:rFonts w:ascii="Arial" w:cs="Arial" w:eastAsia="Arial" w:hAnsi="Arial"/>
                <w:sz w:val="17"/>
                <w:szCs w:val="17"/>
                <w:color w:val="auto"/>
              </w:rPr>
              <w:t>63</w:t>
            </w:r>
          </w:p>
        </w:tc>
      </w:tr>
    </w:tbl>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40"/>
          </w:cols>
          <w:pgMar w:left="240" w:top="376" w:right="31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7500" w:type="dxa"/>
            <w:vAlign w:val="bottom"/>
          </w:tcPr>
          <w:p>
            <w:pPr>
              <w:jc w:val="right"/>
              <w:ind w:right="5253"/>
              <w:spacing w:after="0"/>
              <w:rPr>
                <w:sz w:val="20"/>
                <w:szCs w:val="20"/>
                <w:color w:val="auto"/>
              </w:rPr>
            </w:pPr>
            <w:r>
              <w:rPr>
                <w:rFonts w:ascii="Arial" w:cs="Arial" w:eastAsia="Arial" w:hAnsi="Arial"/>
                <w:sz w:val="17"/>
                <w:szCs w:val="17"/>
                <w:b w:val="1"/>
                <w:bCs w:val="1"/>
                <w:color w:val="auto"/>
              </w:rPr>
              <w:t>INDEX</w:t>
            </w:r>
          </w:p>
        </w:tc>
      </w:tr>
      <w:tr>
        <w:trPr>
          <w:trHeight w:val="368"/>
        </w:trPr>
        <w:tc>
          <w:tcPr>
            <w:tcW w:w="3840" w:type="dxa"/>
            <w:vAlign w:val="bottom"/>
          </w:tcPr>
          <w:p>
            <w:pPr>
              <w:spacing w:after="0"/>
              <w:rPr>
                <w:sz w:val="24"/>
                <w:szCs w:val="24"/>
                <w:color w:val="auto"/>
              </w:rPr>
            </w:pPr>
          </w:p>
        </w:tc>
        <w:tc>
          <w:tcPr>
            <w:tcW w:w="750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Abatement Event</w:t>
            </w:r>
          </w:p>
        </w:tc>
        <w:tc>
          <w:tcPr>
            <w:tcW w:w="75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Accountant</w:t>
            </w:r>
          </w:p>
        </w:tc>
        <w:tc>
          <w:tcPr>
            <w:tcW w:w="75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Additional Notice</w:t>
            </w:r>
          </w:p>
        </w:tc>
        <w:tc>
          <w:tcPr>
            <w:tcW w:w="75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Additional Rent</w:t>
            </w:r>
          </w:p>
        </w:tc>
        <w:tc>
          <w:tcPr>
            <w:tcW w:w="75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Alterations</w:t>
            </w:r>
          </w:p>
        </w:tc>
        <w:tc>
          <w:tcPr>
            <w:tcW w:w="75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Applicable Laws</w:t>
            </w:r>
          </w:p>
        </w:tc>
        <w:tc>
          <w:tcPr>
            <w:tcW w:w="75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Award</w:t>
            </w:r>
          </w:p>
        </w:tc>
        <w:tc>
          <w:tcPr>
            <w:tcW w:w="75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Bank</w:t>
            </w:r>
          </w:p>
        </w:tc>
        <w:tc>
          <w:tcPr>
            <w:tcW w:w="75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Bank Prime Loan</w:t>
            </w:r>
          </w:p>
        </w:tc>
        <w:tc>
          <w:tcPr>
            <w:tcW w:w="75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Bank’s Credit Rating Threshold</w:t>
            </w:r>
          </w:p>
        </w:tc>
        <w:tc>
          <w:tcPr>
            <w:tcW w:w="75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Bankruptcy Code</w:t>
            </w:r>
          </w:p>
        </w:tc>
        <w:tc>
          <w:tcPr>
            <w:tcW w:w="75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Base Building</w:t>
            </w:r>
          </w:p>
        </w:tc>
        <w:tc>
          <w:tcPr>
            <w:tcW w:w="75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Base Rent</w:t>
            </w:r>
          </w:p>
        </w:tc>
        <w:tc>
          <w:tcPr>
            <w:tcW w:w="75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Base Rent Abatement</w:t>
            </w:r>
          </w:p>
        </w:tc>
        <w:tc>
          <w:tcPr>
            <w:tcW w:w="75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Base Rent Abatement Period</w:t>
            </w:r>
          </w:p>
        </w:tc>
        <w:tc>
          <w:tcPr>
            <w:tcW w:w="75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Brokers</w:t>
            </w:r>
          </w:p>
        </w:tc>
        <w:tc>
          <w:tcPr>
            <w:tcW w:w="75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BS/BS Exception</w:t>
            </w:r>
          </w:p>
        </w:tc>
        <w:tc>
          <w:tcPr>
            <w:tcW w:w="75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Building</w:t>
            </w:r>
          </w:p>
        </w:tc>
        <w:tc>
          <w:tcPr>
            <w:tcW w:w="75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Building Common Areas,</w:t>
            </w:r>
          </w:p>
        </w:tc>
        <w:tc>
          <w:tcPr>
            <w:tcW w:w="75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Building Common Areas</w:t>
            </w:r>
          </w:p>
        </w:tc>
        <w:tc>
          <w:tcPr>
            <w:tcW w:w="75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Building Hours</w:t>
            </w:r>
          </w:p>
        </w:tc>
        <w:tc>
          <w:tcPr>
            <w:tcW w:w="75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Building Structure</w:t>
            </w:r>
          </w:p>
        </w:tc>
        <w:tc>
          <w:tcPr>
            <w:tcW w:w="75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Building Systems</w:t>
            </w:r>
          </w:p>
        </w:tc>
        <w:tc>
          <w:tcPr>
            <w:tcW w:w="75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Building-Top Sign</w:t>
            </w:r>
          </w:p>
        </w:tc>
        <w:tc>
          <w:tcPr>
            <w:tcW w:w="75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CC&amp;Rs</w:t>
            </w:r>
          </w:p>
        </w:tc>
        <w:tc>
          <w:tcPr>
            <w:tcW w:w="75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Comparable Buildings</w:t>
            </w:r>
          </w:p>
        </w:tc>
        <w:tc>
          <w:tcPr>
            <w:tcW w:w="7500" w:type="dxa"/>
            <w:vAlign w:val="bottom"/>
          </w:tcPr>
          <w:p>
            <w:pPr>
              <w:jc w:val="right"/>
              <w:spacing w:after="0"/>
              <w:rPr>
                <w:sz w:val="20"/>
                <w:szCs w:val="20"/>
                <w:color w:val="auto"/>
              </w:rPr>
            </w:pPr>
            <w:r>
              <w:rPr>
                <w:rFonts w:ascii="Arial" w:cs="Arial" w:eastAsia="Arial" w:hAnsi="Arial"/>
                <w:sz w:val="17"/>
                <w:szCs w:val="17"/>
                <w:color w:val="auto"/>
              </w:rPr>
              <w:t>5, 2</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Contemplated Effective Date</w:t>
            </w:r>
          </w:p>
        </w:tc>
        <w:tc>
          <w:tcPr>
            <w:tcW w:w="75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Contemplated Transfer Space</w:t>
            </w:r>
          </w:p>
        </w:tc>
        <w:tc>
          <w:tcPr>
            <w:tcW w:w="75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Control</w:t>
            </w:r>
          </w:p>
        </w:tc>
        <w:tc>
          <w:tcPr>
            <w:tcW w:w="75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Controllable Expenses</w:t>
            </w:r>
          </w:p>
        </w:tc>
        <w:tc>
          <w:tcPr>
            <w:tcW w:w="75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Cosmetic Alterations</w:t>
            </w:r>
          </w:p>
        </w:tc>
        <w:tc>
          <w:tcPr>
            <w:tcW w:w="75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Damage Termination Date</w:t>
            </w:r>
          </w:p>
        </w:tc>
        <w:tc>
          <w:tcPr>
            <w:tcW w:w="75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Damage Termination Notice</w:t>
            </w:r>
          </w:p>
        </w:tc>
        <w:tc>
          <w:tcPr>
            <w:tcW w:w="75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Direct Expenses</w:t>
            </w:r>
          </w:p>
        </w:tc>
        <w:tc>
          <w:tcPr>
            <w:tcW w:w="75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Eligibility Period</w:t>
            </w:r>
          </w:p>
        </w:tc>
        <w:tc>
          <w:tcPr>
            <w:tcW w:w="75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Environmental Laws</w:t>
            </w:r>
          </w:p>
        </w:tc>
        <w:tc>
          <w:tcPr>
            <w:tcW w:w="7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Estimate</w:t>
            </w:r>
          </w:p>
        </w:tc>
        <w:tc>
          <w:tcPr>
            <w:tcW w:w="75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Estimate Statement</w:t>
            </w:r>
          </w:p>
        </w:tc>
        <w:tc>
          <w:tcPr>
            <w:tcW w:w="75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Estimated Direct Expenses</w:t>
            </w:r>
          </w:p>
        </w:tc>
        <w:tc>
          <w:tcPr>
            <w:tcW w:w="75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Excess</w:t>
            </w:r>
          </w:p>
        </w:tc>
        <w:tc>
          <w:tcPr>
            <w:tcW w:w="75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Exercise Notice</w:t>
            </w:r>
          </w:p>
        </w:tc>
        <w:tc>
          <w:tcPr>
            <w:tcW w:w="75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3840" w:type="dxa"/>
            <w:vAlign w:val="bottom"/>
          </w:tcPr>
          <w:p>
            <w:pPr>
              <w:spacing w:after="0"/>
              <w:rPr>
                <w:sz w:val="20"/>
                <w:szCs w:val="20"/>
                <w:color w:val="auto"/>
              </w:rPr>
            </w:pPr>
            <w:r>
              <w:rPr>
                <w:rFonts w:ascii="Arial" w:cs="Arial" w:eastAsia="Arial" w:hAnsi="Arial"/>
                <w:sz w:val="17"/>
                <w:szCs w:val="17"/>
                <w:color w:val="auto"/>
              </w:rPr>
              <w:t>Expense Year</w:t>
            </w:r>
          </w:p>
        </w:tc>
        <w:tc>
          <w:tcPr>
            <w:tcW w:w="75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3840" w:type="dxa"/>
            <w:vAlign w:val="bottom"/>
          </w:tcPr>
          <w:p>
            <w:pPr>
              <w:spacing w:after="0"/>
              <w:rPr>
                <w:sz w:val="20"/>
                <w:szCs w:val="20"/>
                <w:color w:val="auto"/>
              </w:rPr>
            </w:pPr>
            <w:r>
              <w:rPr>
                <w:rFonts w:ascii="Arial" w:cs="Arial" w:eastAsia="Arial" w:hAnsi="Arial"/>
                <w:sz w:val="17"/>
                <w:szCs w:val="17"/>
                <w:color w:val="auto"/>
              </w:rPr>
              <w:t>Force Majeure</w:t>
            </w:r>
          </w:p>
        </w:tc>
        <w:tc>
          <w:tcPr>
            <w:tcW w:w="7500" w:type="dxa"/>
            <w:vAlign w:val="bottom"/>
          </w:tcPr>
          <w:p>
            <w:pPr>
              <w:jc w:val="right"/>
              <w:spacing w:after="0"/>
              <w:rPr>
                <w:sz w:val="20"/>
                <w:szCs w:val="20"/>
                <w:color w:val="auto"/>
              </w:rPr>
            </w:pPr>
            <w:r>
              <w:rPr>
                <w:rFonts w:ascii="Arial" w:cs="Arial" w:eastAsia="Arial" w:hAnsi="Arial"/>
                <w:sz w:val="17"/>
                <w:szCs w:val="17"/>
                <w:color w:val="auto"/>
              </w:rPr>
              <w:t>65</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340"/>
          </w:cols>
          <w:pgMar w:left="240" w:top="265" w:right="31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Hazardous Material(s)</w:t>
            </w:r>
          </w:p>
        </w:tc>
        <w:tc>
          <w:tcPr>
            <w:tcW w:w="4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Holidays</w:t>
            </w:r>
          </w:p>
        </w:tc>
        <w:tc>
          <w:tcPr>
            <w:tcW w:w="45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HVAC</w:t>
            </w:r>
          </w:p>
        </w:tc>
        <w:tc>
          <w:tcPr>
            <w:tcW w:w="45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Initial Notice</w:t>
            </w:r>
          </w:p>
        </w:tc>
        <w:tc>
          <w:tcPr>
            <w:tcW w:w="45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Intention to Transfer Notice</w:t>
            </w:r>
          </w:p>
        </w:tc>
        <w:tc>
          <w:tcPr>
            <w:tcW w:w="45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Interest Rate</w:t>
            </w:r>
          </w:p>
        </w:tc>
        <w:tc>
          <w:tcPr>
            <w:tcW w:w="45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Landlord</w:t>
            </w:r>
          </w:p>
        </w:tc>
        <w:tc>
          <w:tcPr>
            <w:tcW w:w="4500" w:type="dxa"/>
            <w:vAlign w:val="bottom"/>
          </w:tcPr>
          <w:p>
            <w:pPr>
              <w:jc w:val="right"/>
              <w:spacing w:after="0"/>
              <w:rPr>
                <w:sz w:val="20"/>
                <w:szCs w:val="20"/>
                <w:color w:val="auto"/>
              </w:rPr>
            </w:pPr>
            <w:r>
              <w:rPr>
                <w:rFonts w:ascii="Arial" w:cs="Arial" w:eastAsia="Arial" w:hAnsi="Arial"/>
                <w:sz w:val="17"/>
                <w:szCs w:val="17"/>
                <w:color w:val="auto"/>
              </w:rPr>
              <w:t>l</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Landlord Parties</w:t>
            </w:r>
          </w:p>
        </w:tc>
        <w:tc>
          <w:tcPr>
            <w:tcW w:w="45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Landlord Repair Notice</w:t>
            </w:r>
          </w:p>
        </w:tc>
        <w:tc>
          <w:tcPr>
            <w:tcW w:w="45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Landlord Response Date</w:t>
            </w:r>
          </w:p>
        </w:tc>
        <w:tc>
          <w:tcPr>
            <w:tcW w:w="45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Landlord Response Notice</w:t>
            </w:r>
          </w:p>
        </w:tc>
        <w:tc>
          <w:tcPr>
            <w:tcW w:w="45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Landlord’s Option Rent Calculation</w:t>
            </w:r>
          </w:p>
        </w:tc>
        <w:tc>
          <w:tcPr>
            <w:tcW w:w="45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L-C</w:t>
            </w:r>
          </w:p>
        </w:tc>
        <w:tc>
          <w:tcPr>
            <w:tcW w:w="45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L-C Amount</w:t>
            </w:r>
          </w:p>
        </w:tc>
        <w:tc>
          <w:tcPr>
            <w:tcW w:w="45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L-C Draw Event</w:t>
            </w:r>
          </w:p>
        </w:tc>
        <w:tc>
          <w:tcPr>
            <w:tcW w:w="45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L-C Expiration Date</w:t>
            </w:r>
          </w:p>
        </w:tc>
        <w:tc>
          <w:tcPr>
            <w:tcW w:w="45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L-C FDIC Replacement Notice</w:t>
            </w:r>
          </w:p>
        </w:tc>
        <w:tc>
          <w:tcPr>
            <w:tcW w:w="45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Lease</w:t>
            </w:r>
          </w:p>
        </w:tc>
        <w:tc>
          <w:tcPr>
            <w:tcW w:w="45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Lease Commencement Date</w:t>
            </w:r>
          </w:p>
        </w:tc>
        <w:tc>
          <w:tcPr>
            <w:tcW w:w="45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Lease Expiration Date</w:t>
            </w:r>
          </w:p>
        </w:tc>
        <w:tc>
          <w:tcPr>
            <w:tcW w:w="45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Lease Term</w:t>
            </w:r>
          </w:p>
        </w:tc>
        <w:tc>
          <w:tcPr>
            <w:tcW w:w="45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Lease Year</w:t>
            </w:r>
          </w:p>
        </w:tc>
        <w:tc>
          <w:tcPr>
            <w:tcW w:w="45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Lines</w:t>
            </w:r>
          </w:p>
        </w:tc>
        <w:tc>
          <w:tcPr>
            <w:tcW w:w="45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Mail</w:t>
            </w:r>
          </w:p>
        </w:tc>
        <w:tc>
          <w:tcPr>
            <w:tcW w:w="45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Management Fee Cap</w:t>
            </w:r>
          </w:p>
        </w:tc>
        <w:tc>
          <w:tcPr>
            <w:tcW w:w="45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Neutral Arbitrator</w:t>
            </w:r>
          </w:p>
        </w:tc>
        <w:tc>
          <w:tcPr>
            <w:tcW w:w="45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Nine Month Period</w:t>
            </w:r>
          </w:p>
        </w:tc>
        <w:tc>
          <w:tcPr>
            <w:tcW w:w="45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Notices</w:t>
            </w:r>
          </w:p>
        </w:tc>
        <w:tc>
          <w:tcPr>
            <w:tcW w:w="45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Operating Expenses</w:t>
            </w:r>
          </w:p>
        </w:tc>
        <w:tc>
          <w:tcPr>
            <w:tcW w:w="45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Option Rent</w:t>
            </w:r>
          </w:p>
        </w:tc>
        <w:tc>
          <w:tcPr>
            <w:tcW w:w="45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Option Term</w:t>
            </w:r>
          </w:p>
        </w:tc>
        <w:tc>
          <w:tcPr>
            <w:tcW w:w="45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Original Tenant</w:t>
            </w:r>
          </w:p>
        </w:tc>
        <w:tc>
          <w:tcPr>
            <w:tcW w:w="45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Outside Agreement Date</w:t>
            </w:r>
          </w:p>
        </w:tc>
        <w:tc>
          <w:tcPr>
            <w:tcW w:w="45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Permitted Transferee</w:t>
            </w:r>
          </w:p>
        </w:tc>
        <w:tc>
          <w:tcPr>
            <w:tcW w:w="45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Premises</w:t>
            </w:r>
          </w:p>
        </w:tc>
        <w:tc>
          <w:tcPr>
            <w:tcW w:w="45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Project</w:t>
            </w:r>
          </w:p>
        </w:tc>
        <w:tc>
          <w:tcPr>
            <w:tcW w:w="45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Project Common Areas</w:t>
            </w:r>
          </w:p>
        </w:tc>
        <w:tc>
          <w:tcPr>
            <w:tcW w:w="45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Project Common Areas,</w:t>
            </w:r>
          </w:p>
        </w:tc>
        <w:tc>
          <w:tcPr>
            <w:tcW w:w="45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Proposition 13</w:t>
            </w:r>
          </w:p>
        </w:tc>
        <w:tc>
          <w:tcPr>
            <w:tcW w:w="45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Recapture Notice</w:t>
            </w:r>
          </w:p>
        </w:tc>
        <w:tc>
          <w:tcPr>
            <w:tcW w:w="45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Renovations</w:t>
            </w:r>
          </w:p>
        </w:tc>
        <w:tc>
          <w:tcPr>
            <w:tcW w:w="45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Rent.</w:t>
            </w:r>
          </w:p>
        </w:tc>
        <w:tc>
          <w:tcPr>
            <w:tcW w:w="45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Review Period</w:t>
            </w:r>
          </w:p>
        </w:tc>
        <w:tc>
          <w:tcPr>
            <w:tcW w:w="45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Security Deposit</w:t>
            </w:r>
          </w:p>
        </w:tc>
        <w:tc>
          <w:tcPr>
            <w:tcW w:w="45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10"/>
        </w:trPr>
        <w:tc>
          <w:tcPr>
            <w:tcW w:w="6840" w:type="dxa"/>
            <w:vAlign w:val="bottom"/>
          </w:tcPr>
          <w:p>
            <w:pPr>
              <w:spacing w:after="0"/>
              <w:rPr>
                <w:sz w:val="20"/>
                <w:szCs w:val="20"/>
                <w:color w:val="auto"/>
              </w:rPr>
            </w:pPr>
            <w:r>
              <w:rPr>
                <w:rFonts w:ascii="Arial" w:cs="Arial" w:eastAsia="Arial" w:hAnsi="Arial"/>
                <w:sz w:val="17"/>
                <w:szCs w:val="17"/>
                <w:color w:val="auto"/>
              </w:rPr>
              <w:t>Security Deposit Laws</w:t>
            </w:r>
          </w:p>
        </w:tc>
        <w:tc>
          <w:tcPr>
            <w:tcW w:w="45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2"/>
        </w:trPr>
        <w:tc>
          <w:tcPr>
            <w:tcW w:w="6840" w:type="dxa"/>
            <w:vAlign w:val="bottom"/>
          </w:tcPr>
          <w:p>
            <w:pPr>
              <w:spacing w:after="0"/>
              <w:rPr>
                <w:sz w:val="20"/>
                <w:szCs w:val="20"/>
                <w:color w:val="auto"/>
              </w:rPr>
            </w:pPr>
            <w:r>
              <w:rPr>
                <w:rFonts w:ascii="Arial" w:cs="Arial" w:eastAsia="Arial" w:hAnsi="Arial"/>
                <w:sz w:val="17"/>
                <w:szCs w:val="17"/>
                <w:color w:val="auto"/>
              </w:rPr>
              <w:t>Sign Specifications</w:t>
            </w:r>
          </w:p>
        </w:tc>
        <w:tc>
          <w:tcPr>
            <w:tcW w:w="4500" w:type="dxa"/>
            <w:vAlign w:val="bottom"/>
          </w:tcPr>
          <w:p>
            <w:pPr>
              <w:jc w:val="right"/>
              <w:spacing w:after="0"/>
              <w:rPr>
                <w:sz w:val="20"/>
                <w:szCs w:val="20"/>
                <w:color w:val="auto"/>
              </w:rPr>
            </w:pPr>
            <w:r>
              <w:rPr>
                <w:rFonts w:ascii="Arial" w:cs="Arial" w:eastAsia="Arial" w:hAnsi="Arial"/>
                <w:sz w:val="17"/>
                <w:szCs w:val="17"/>
                <w:color w:val="auto"/>
              </w:rPr>
              <w:t>58</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1340"/>
          </w:cols>
          <w:pgMar w:left="240" w:top="271" w:right="31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Statement</w:t>
            </w:r>
          </w:p>
        </w:tc>
        <w:tc>
          <w:tcPr>
            <w:tcW w:w="45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Subject Space</w:t>
            </w:r>
          </w:p>
        </w:tc>
        <w:tc>
          <w:tcPr>
            <w:tcW w:w="4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Summary</w:t>
            </w:r>
          </w:p>
        </w:tc>
        <w:tc>
          <w:tcPr>
            <w:tcW w:w="4580" w:type="dxa"/>
            <w:vAlign w:val="bottom"/>
          </w:tcPr>
          <w:p>
            <w:pPr>
              <w:jc w:val="right"/>
              <w:spacing w:after="0"/>
              <w:rPr>
                <w:sz w:val="20"/>
                <w:szCs w:val="20"/>
                <w:color w:val="auto"/>
              </w:rPr>
            </w:pPr>
            <w:r>
              <w:rPr>
                <w:rFonts w:ascii="Arial" w:cs="Arial" w:eastAsia="Arial" w:hAnsi="Arial"/>
                <w:sz w:val="17"/>
                <w:szCs w:val="17"/>
                <w:color w:val="auto"/>
              </w:rPr>
              <w:t>l</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Tax Expenses</w:t>
            </w:r>
          </w:p>
        </w:tc>
        <w:tc>
          <w:tcPr>
            <w:tcW w:w="45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TCCs</w:t>
            </w:r>
          </w:p>
        </w:tc>
        <w:tc>
          <w:tcPr>
            <w:tcW w:w="4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Telecommunications Equipment</w:t>
            </w:r>
          </w:p>
        </w:tc>
        <w:tc>
          <w:tcPr>
            <w:tcW w:w="45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Tenant</w:t>
            </w:r>
          </w:p>
        </w:tc>
        <w:tc>
          <w:tcPr>
            <w:tcW w:w="45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Tenant’s Occupants</w:t>
            </w:r>
          </w:p>
        </w:tc>
        <w:tc>
          <w:tcPr>
            <w:tcW w:w="45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Tenant’s Option Rent Calculation</w:t>
            </w:r>
          </w:p>
        </w:tc>
        <w:tc>
          <w:tcPr>
            <w:tcW w:w="4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Tenant’s Share</w:t>
            </w:r>
          </w:p>
        </w:tc>
        <w:tc>
          <w:tcPr>
            <w:tcW w:w="45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Termination Date</w:t>
            </w:r>
          </w:p>
        </w:tc>
        <w:tc>
          <w:tcPr>
            <w:tcW w:w="4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Termination Fee</w:t>
            </w:r>
          </w:p>
        </w:tc>
        <w:tc>
          <w:tcPr>
            <w:tcW w:w="4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Termination Notice</w:t>
            </w:r>
          </w:p>
        </w:tc>
        <w:tc>
          <w:tcPr>
            <w:tcW w:w="45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Third Party Contractor</w:t>
            </w:r>
          </w:p>
        </w:tc>
        <w:tc>
          <w:tcPr>
            <w:tcW w:w="45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Transfer</w:t>
            </w:r>
          </w:p>
        </w:tc>
        <w:tc>
          <w:tcPr>
            <w:tcW w:w="45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Transfer Notice</w:t>
            </w:r>
          </w:p>
        </w:tc>
        <w:tc>
          <w:tcPr>
            <w:tcW w:w="4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Transfer Premium</w:t>
            </w:r>
          </w:p>
        </w:tc>
        <w:tc>
          <w:tcPr>
            <w:tcW w:w="45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Transferee</w:t>
            </w:r>
          </w:p>
        </w:tc>
        <w:tc>
          <w:tcPr>
            <w:tcW w:w="4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Transfers</w:t>
            </w:r>
          </w:p>
        </w:tc>
        <w:tc>
          <w:tcPr>
            <w:tcW w:w="4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Utilities Costs</w:t>
            </w:r>
          </w:p>
        </w:tc>
        <w:tc>
          <w:tcPr>
            <w:tcW w:w="45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Violation Notice</w:t>
            </w:r>
          </w:p>
        </w:tc>
        <w:tc>
          <w:tcPr>
            <w:tcW w:w="4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6760" w:type="dxa"/>
            <w:vAlign w:val="bottom"/>
          </w:tcPr>
          <w:p>
            <w:pPr>
              <w:spacing w:after="0"/>
              <w:rPr>
                <w:sz w:val="20"/>
                <w:szCs w:val="20"/>
                <w:color w:val="auto"/>
              </w:rPr>
            </w:pPr>
            <w:r>
              <w:rPr>
                <w:rFonts w:ascii="Arial" w:cs="Arial" w:eastAsia="Arial" w:hAnsi="Arial"/>
                <w:sz w:val="17"/>
                <w:szCs w:val="17"/>
                <w:color w:val="auto"/>
              </w:rPr>
              <w:t>Work Letter</w:t>
            </w:r>
          </w:p>
        </w:tc>
        <w:tc>
          <w:tcPr>
            <w:tcW w:w="4580" w:type="dxa"/>
            <w:vAlign w:val="bottom"/>
          </w:tcPr>
          <w:p>
            <w:pPr>
              <w:jc w:val="right"/>
              <w:spacing w:after="0"/>
              <w:rPr>
                <w:sz w:val="20"/>
                <w:szCs w:val="20"/>
                <w:color w:val="auto"/>
              </w:rPr>
            </w:pPr>
            <w:r>
              <w:rPr>
                <w:rFonts w:ascii="Arial" w:cs="Arial" w:eastAsia="Arial" w:hAnsi="Arial"/>
                <w:sz w:val="17"/>
                <w:szCs w:val="17"/>
                <w:color w:val="auto"/>
              </w:rPr>
              <w:t>4</w:t>
            </w:r>
          </w:p>
        </w:tc>
      </w:tr>
    </w:tbl>
    <w:p>
      <w:pPr>
        <w:spacing w:after="0" w:line="3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1340"/>
          </w:cols>
          <w:pgMar w:left="240" w:top="271" w:right="31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PACIFIC CORPORATE CENTER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OFFICE LEASE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Office Lease (the “</w:t>
      </w:r>
      <w:r>
        <w:rPr>
          <w:rFonts w:ascii="Arial" w:cs="Arial" w:eastAsia="Arial" w:hAnsi="Arial"/>
          <w:sz w:val="17"/>
          <w:szCs w:val="17"/>
          <w:b w:val="1"/>
          <w:bCs w:val="1"/>
          <w:color w:val="auto"/>
        </w:rPr>
        <w:t>Lease</w:t>
      </w:r>
      <w:r>
        <w:rPr>
          <w:rFonts w:ascii="Arial" w:cs="Arial" w:eastAsia="Arial" w:hAnsi="Arial"/>
          <w:sz w:val="17"/>
          <w:szCs w:val="17"/>
          <w:color w:val="auto"/>
        </w:rPr>
        <w:t>”), dated as of the date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set forth in </w:t>
      </w:r>
      <w:r>
        <w:rPr>
          <w:rFonts w:ascii="Arial" w:cs="Arial" w:eastAsia="Arial" w:hAnsi="Arial"/>
          <w:sz w:val="17"/>
          <w:szCs w:val="17"/>
          <w:u w:val="single" w:color="auto"/>
          <w:color w:val="auto"/>
        </w:rPr>
        <w:t>Section l</w:t>
      </w:r>
      <w:r>
        <w:rPr>
          <w:rFonts w:ascii="Arial" w:cs="Arial" w:eastAsia="Arial" w:hAnsi="Arial"/>
          <w:sz w:val="17"/>
          <w:szCs w:val="17"/>
          <w:color w:val="auto"/>
        </w:rPr>
        <w:t xml:space="preserve"> of the Summary of Basic Lease Information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Summary</w:t>
      </w:r>
      <w:r>
        <w:rPr>
          <w:rFonts w:ascii="Arial" w:cs="Arial" w:eastAsia="Arial" w:hAnsi="Arial"/>
          <w:sz w:val="16"/>
          <w:szCs w:val="16"/>
          <w:color w:val="auto"/>
        </w:rPr>
        <w:t>”), below, is made by and between KILROY REALTY, L.P., a Delaware limited partnership (“</w:t>
      </w:r>
      <w:r>
        <w:rPr>
          <w:rFonts w:ascii="Arial" w:cs="Arial" w:eastAsia="Arial" w:hAnsi="Arial"/>
          <w:sz w:val="16"/>
          <w:szCs w:val="16"/>
          <w:b w:val="1"/>
          <w:bCs w:val="1"/>
          <w:color w:val="auto"/>
        </w:rPr>
        <w:t>Landlord</w:t>
      </w:r>
      <w:r>
        <w:rPr>
          <w:rFonts w:ascii="Arial" w:cs="Arial" w:eastAsia="Arial" w:hAnsi="Arial"/>
          <w:sz w:val="16"/>
          <w:szCs w:val="16"/>
          <w:color w:val="auto"/>
        </w:rPr>
        <w:t>”), and ANAPTYSBIO, INC., a Delaware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580" w:type="dxa"/>
            <w:vAlign w:val="bottom"/>
            <w:gridSpan w:val="7"/>
          </w:tcPr>
          <w:p>
            <w:pPr>
              <w:spacing w:after="0"/>
              <w:rPr>
                <w:sz w:val="20"/>
                <w:szCs w:val="20"/>
                <w:color w:val="auto"/>
              </w:rPr>
            </w:pPr>
            <w:r>
              <w:rPr>
                <w:rFonts w:ascii="Arial" w:cs="Arial" w:eastAsia="Arial" w:hAnsi="Arial"/>
                <w:sz w:val="17"/>
                <w:szCs w:val="17"/>
                <w:b w:val="1"/>
                <w:bCs w:val="1"/>
                <w:color w:val="auto"/>
              </w:rPr>
              <w:t>SUMMARY OF BASIC LEASE INFORMATION</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vMerge w:val="restart"/>
          </w:tcPr>
          <w:p>
            <w:pPr>
              <w:jc w:val="right"/>
              <w:ind w:right="133"/>
              <w:spacing w:after="0"/>
              <w:rPr>
                <w:sz w:val="20"/>
                <w:szCs w:val="20"/>
                <w:color w:val="auto"/>
              </w:rPr>
            </w:pPr>
            <w:r>
              <w:rPr>
                <w:rFonts w:ascii="Arial" w:cs="Arial" w:eastAsia="Arial" w:hAnsi="Arial"/>
                <w:sz w:val="17"/>
                <w:szCs w:val="17"/>
                <w:color w:val="auto"/>
                <w:w w:val="84"/>
              </w:rPr>
              <w:t>1.</w:t>
            </w:r>
          </w:p>
        </w:tc>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TERMS OF LEASE</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6"/>
          </w:tcPr>
          <w:p>
            <w:pPr>
              <w:ind w:left="312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215"/>
        </w:trPr>
        <w:tc>
          <w:tcPr>
            <w:tcW w:w="360" w:type="dxa"/>
            <w:vAlign w:val="bottom"/>
            <w:vMerge w:val="continue"/>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7"/>
                <w:szCs w:val="17"/>
                <w:color w:val="auto"/>
              </w:rPr>
              <w:t>Effective Date:</w:t>
            </w:r>
          </w:p>
        </w:tc>
        <w:tc>
          <w:tcPr>
            <w:tcW w:w="120" w:type="dxa"/>
            <w:vAlign w:val="bottom"/>
          </w:tcPr>
          <w:p>
            <w:pPr>
              <w:spacing w:after="0"/>
              <w:rPr>
                <w:sz w:val="18"/>
                <w:szCs w:val="18"/>
                <w:color w:val="auto"/>
              </w:rPr>
            </w:pPr>
          </w:p>
        </w:tc>
        <w:tc>
          <w:tcPr>
            <w:tcW w:w="7840" w:type="dxa"/>
            <w:vAlign w:val="bottom"/>
            <w:gridSpan w:val="8"/>
          </w:tcPr>
          <w:p>
            <w:pPr>
              <w:spacing w:after="0"/>
              <w:rPr>
                <w:sz w:val="20"/>
                <w:szCs w:val="20"/>
                <w:color w:val="auto"/>
              </w:rPr>
            </w:pPr>
            <w:r>
              <w:rPr>
                <w:rFonts w:ascii="Arial" w:cs="Arial" w:eastAsia="Arial" w:hAnsi="Arial"/>
                <w:sz w:val="17"/>
                <w:szCs w:val="17"/>
                <w:color w:val="auto"/>
              </w:rPr>
              <w:t>April 19, 2011.</w:t>
            </w:r>
          </w:p>
        </w:tc>
        <w:tc>
          <w:tcPr>
            <w:tcW w:w="0" w:type="dxa"/>
            <w:vAlign w:val="bottom"/>
          </w:tcPr>
          <w:p>
            <w:pPr>
              <w:spacing w:after="0"/>
              <w:rPr>
                <w:sz w:val="1"/>
                <w:szCs w:val="1"/>
                <w:color w:val="auto"/>
              </w:rPr>
            </w:pPr>
          </w:p>
        </w:tc>
      </w:tr>
      <w:tr>
        <w:trPr>
          <w:trHeight w:val="302"/>
        </w:trPr>
        <w:tc>
          <w:tcPr>
            <w:tcW w:w="360" w:type="dxa"/>
            <w:vAlign w:val="bottom"/>
          </w:tcPr>
          <w:p>
            <w:pPr>
              <w:jc w:val="right"/>
              <w:ind w:right="133"/>
              <w:spacing w:after="0"/>
              <w:rPr>
                <w:sz w:val="20"/>
                <w:szCs w:val="20"/>
                <w:color w:val="auto"/>
              </w:rPr>
            </w:pPr>
            <w:r>
              <w:rPr>
                <w:rFonts w:ascii="Arial" w:cs="Arial" w:eastAsia="Arial" w:hAnsi="Arial"/>
                <w:sz w:val="17"/>
                <w:szCs w:val="17"/>
                <w:color w:val="auto"/>
                <w:w w:val="84"/>
              </w:rPr>
              <w:t>2.</w:t>
            </w:r>
          </w:p>
        </w:tc>
        <w:tc>
          <w:tcPr>
            <w:tcW w:w="3100" w:type="dxa"/>
            <w:vAlign w:val="bottom"/>
            <w:gridSpan w:val="2"/>
          </w:tcPr>
          <w:p>
            <w:pPr>
              <w:spacing w:after="0"/>
              <w:rPr>
                <w:sz w:val="20"/>
                <w:szCs w:val="20"/>
                <w:color w:val="auto"/>
              </w:rPr>
            </w:pPr>
            <w:r>
              <w:rPr>
                <w:rFonts w:ascii="Arial" w:cs="Arial" w:eastAsia="Arial" w:hAnsi="Arial"/>
                <w:sz w:val="17"/>
                <w:szCs w:val="17"/>
                <w:color w:val="auto"/>
              </w:rPr>
              <w:t>Premises: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92"/>
              </w:rPr>
              <w:t>2.1</w:t>
            </w:r>
          </w:p>
        </w:tc>
        <w:tc>
          <w:tcPr>
            <w:tcW w:w="2860" w:type="dxa"/>
            <w:vAlign w:val="bottom"/>
          </w:tcPr>
          <w:p>
            <w:pPr>
              <w:ind w:left="20"/>
              <w:spacing w:after="0"/>
              <w:rPr>
                <w:sz w:val="20"/>
                <w:szCs w:val="20"/>
                <w:color w:val="auto"/>
              </w:rPr>
            </w:pPr>
            <w:r>
              <w:rPr>
                <w:rFonts w:ascii="Arial" w:cs="Arial" w:eastAsia="Arial" w:hAnsi="Arial"/>
                <w:sz w:val="17"/>
                <w:szCs w:val="17"/>
                <w:color w:val="auto"/>
              </w:rPr>
              <w:t>Building:</w:t>
            </w:r>
          </w:p>
        </w:tc>
        <w:tc>
          <w:tcPr>
            <w:tcW w:w="120" w:type="dxa"/>
            <w:vAlign w:val="bottom"/>
          </w:tcPr>
          <w:p>
            <w:pPr>
              <w:spacing w:after="0"/>
              <w:rPr>
                <w:sz w:val="24"/>
                <w:szCs w:val="24"/>
                <w:color w:val="auto"/>
              </w:rPr>
            </w:pPr>
          </w:p>
        </w:tc>
        <w:tc>
          <w:tcPr>
            <w:tcW w:w="7840" w:type="dxa"/>
            <w:vAlign w:val="bottom"/>
            <w:gridSpan w:val="8"/>
          </w:tcPr>
          <w:p>
            <w:pPr>
              <w:spacing w:after="0"/>
              <w:rPr>
                <w:sz w:val="20"/>
                <w:szCs w:val="20"/>
                <w:color w:val="auto"/>
              </w:rPr>
            </w:pPr>
            <w:r>
              <w:rPr>
                <w:rFonts w:ascii="Arial" w:cs="Arial" w:eastAsia="Arial" w:hAnsi="Arial"/>
                <w:sz w:val="17"/>
                <w:szCs w:val="17"/>
                <w:color w:val="auto"/>
                <w:w w:val="95"/>
              </w:rPr>
              <w:t>That certain building located at 10421 Pacific Center Court, San Diego, California 92121, containing a total of</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40" w:type="dxa"/>
            <w:vAlign w:val="bottom"/>
            <w:gridSpan w:val="8"/>
          </w:tcPr>
          <w:p>
            <w:pPr>
              <w:spacing w:after="0"/>
              <w:rPr>
                <w:sz w:val="20"/>
                <w:szCs w:val="20"/>
                <w:color w:val="auto"/>
              </w:rPr>
            </w:pPr>
            <w:r>
              <w:rPr>
                <w:rFonts w:ascii="Arial" w:cs="Arial" w:eastAsia="Arial" w:hAnsi="Arial"/>
                <w:sz w:val="17"/>
                <w:szCs w:val="17"/>
                <w:color w:val="auto"/>
              </w:rPr>
              <w:t>75,745 rentable square feet of space.</w:t>
            </w:r>
          </w:p>
        </w:tc>
        <w:tc>
          <w:tcPr>
            <w:tcW w:w="0" w:type="dxa"/>
            <w:vAlign w:val="bottom"/>
          </w:tcPr>
          <w:p>
            <w:pPr>
              <w:spacing w:after="0"/>
              <w:rPr>
                <w:sz w:val="1"/>
                <w:szCs w:val="1"/>
                <w:color w:val="auto"/>
              </w:rPr>
            </w:pPr>
          </w:p>
        </w:tc>
      </w:tr>
      <w:tr>
        <w:trPr>
          <w:trHeight w:val="301"/>
        </w:trPr>
        <w:tc>
          <w:tcPr>
            <w:tcW w:w="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92"/>
              </w:rPr>
              <w:t>2.2</w:t>
            </w:r>
          </w:p>
        </w:tc>
        <w:tc>
          <w:tcPr>
            <w:tcW w:w="2860" w:type="dxa"/>
            <w:vAlign w:val="bottom"/>
          </w:tcPr>
          <w:p>
            <w:pPr>
              <w:ind w:left="20"/>
              <w:spacing w:after="0"/>
              <w:rPr>
                <w:sz w:val="20"/>
                <w:szCs w:val="20"/>
                <w:color w:val="auto"/>
              </w:rPr>
            </w:pPr>
            <w:r>
              <w:rPr>
                <w:rFonts w:ascii="Arial" w:cs="Arial" w:eastAsia="Arial" w:hAnsi="Arial"/>
                <w:sz w:val="17"/>
                <w:szCs w:val="17"/>
                <w:color w:val="auto"/>
              </w:rPr>
              <w:t>Premises:</w:t>
            </w:r>
          </w:p>
        </w:tc>
        <w:tc>
          <w:tcPr>
            <w:tcW w:w="120" w:type="dxa"/>
            <w:vAlign w:val="bottom"/>
          </w:tcPr>
          <w:p>
            <w:pPr>
              <w:spacing w:after="0"/>
              <w:rPr>
                <w:sz w:val="24"/>
                <w:szCs w:val="24"/>
                <w:color w:val="auto"/>
              </w:rPr>
            </w:pPr>
          </w:p>
        </w:tc>
        <w:tc>
          <w:tcPr>
            <w:tcW w:w="7840" w:type="dxa"/>
            <w:vAlign w:val="bottom"/>
            <w:gridSpan w:val="8"/>
          </w:tcPr>
          <w:p>
            <w:pPr>
              <w:spacing w:after="0"/>
              <w:rPr>
                <w:sz w:val="20"/>
                <w:szCs w:val="20"/>
                <w:color w:val="auto"/>
              </w:rPr>
            </w:pPr>
            <w:r>
              <w:rPr>
                <w:rFonts w:ascii="Arial" w:cs="Arial" w:eastAsia="Arial" w:hAnsi="Arial"/>
                <w:sz w:val="17"/>
                <w:szCs w:val="17"/>
                <w:color w:val="auto"/>
                <w:w w:val="94"/>
              </w:rPr>
              <w:t>Approximately 25,296 rentable square feet of space consisting (i) primarily of Suite 200 located on the second</w:t>
            </w: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40" w:type="dxa"/>
            <w:vAlign w:val="bottom"/>
            <w:gridSpan w:val="8"/>
          </w:tcPr>
          <w:p>
            <w:pPr>
              <w:spacing w:after="0"/>
              <w:rPr>
                <w:sz w:val="20"/>
                <w:szCs w:val="20"/>
                <w:color w:val="auto"/>
              </w:rPr>
            </w:pPr>
            <w:r>
              <w:rPr>
                <w:rFonts w:ascii="Arial" w:cs="Arial" w:eastAsia="Arial" w:hAnsi="Arial"/>
                <w:sz w:val="17"/>
                <w:szCs w:val="17"/>
                <w:color w:val="auto"/>
                <w:w w:val="95"/>
              </w:rPr>
              <w:t>(2</w:t>
            </w:r>
            <w:r>
              <w:rPr>
                <w:rFonts w:ascii="Arial" w:cs="Arial" w:eastAsia="Arial" w:hAnsi="Arial"/>
                <w:sz w:val="14"/>
                <w:szCs w:val="14"/>
                <w:color w:val="auto"/>
                <w:w w:val="95"/>
              </w:rPr>
              <w:t>nd</w:t>
            </w:r>
            <w:r>
              <w:rPr>
                <w:rFonts w:ascii="Arial" w:cs="Arial" w:eastAsia="Arial" w:hAnsi="Arial"/>
                <w:sz w:val="17"/>
                <w:szCs w:val="17"/>
                <w:color w:val="auto"/>
                <w:w w:val="95"/>
              </w:rPr>
              <w:t>) floor of the Building, and (ii) an approximately 154 square foot conference room located on the first (1</w:t>
            </w:r>
            <w:r>
              <w:rPr>
                <w:rFonts w:ascii="Arial" w:cs="Arial" w:eastAsia="Arial" w:hAnsi="Arial"/>
                <w:sz w:val="14"/>
                <w:szCs w:val="14"/>
                <w:color w:val="auto"/>
                <w:w w:val="95"/>
              </w:rPr>
              <w:t>st</w:t>
            </w:r>
            <w:r>
              <w:rPr>
                <w:rFonts w:ascii="Arial" w:cs="Arial" w:eastAsia="Arial" w:hAnsi="Arial"/>
                <w:sz w:val="17"/>
                <w:szCs w:val="17"/>
                <w:color w:val="auto"/>
                <w:w w:val="95"/>
              </w:rPr>
              <w:t>)</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40" w:type="dxa"/>
            <w:vAlign w:val="bottom"/>
            <w:gridSpan w:val="8"/>
          </w:tcPr>
          <w:p>
            <w:pPr>
              <w:spacing w:after="0" w:line="189" w:lineRule="exact"/>
              <w:rPr>
                <w:sz w:val="20"/>
                <w:szCs w:val="20"/>
                <w:color w:val="auto"/>
              </w:rPr>
            </w:pPr>
            <w:r>
              <w:rPr>
                <w:rFonts w:ascii="Arial" w:cs="Arial" w:eastAsia="Arial" w:hAnsi="Arial"/>
                <w:sz w:val="17"/>
                <w:szCs w:val="17"/>
                <w:color w:val="auto"/>
                <w:w w:val="97"/>
              </w:rPr>
              <w:t xml:space="preserve">floor of the Building adjoining the main lobby areas, all as further set forth in </w:t>
            </w:r>
            <w:r>
              <w:rPr>
                <w:rFonts w:ascii="Arial" w:cs="Arial" w:eastAsia="Arial" w:hAnsi="Arial"/>
                <w:sz w:val="17"/>
                <w:szCs w:val="17"/>
                <w:b w:val="1"/>
                <w:bCs w:val="1"/>
                <w:color w:val="auto"/>
                <w:w w:val="97"/>
              </w:rPr>
              <w:t>Exhibit A</w:t>
            </w:r>
            <w:r>
              <w:rPr>
                <w:rFonts w:ascii="Arial" w:cs="Arial" w:eastAsia="Arial" w:hAnsi="Arial"/>
                <w:sz w:val="17"/>
                <w:szCs w:val="17"/>
                <w:color w:val="auto"/>
                <w:w w:val="97"/>
              </w:rPr>
              <w:t xml:space="preserve"> to the Office Lease.</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3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92"/>
              </w:rPr>
              <w:t>2.3</w:t>
            </w:r>
          </w:p>
        </w:tc>
        <w:tc>
          <w:tcPr>
            <w:tcW w:w="2860" w:type="dxa"/>
            <w:vAlign w:val="bottom"/>
          </w:tcPr>
          <w:p>
            <w:pPr>
              <w:ind w:left="20"/>
              <w:spacing w:after="0"/>
              <w:rPr>
                <w:sz w:val="20"/>
                <w:szCs w:val="20"/>
                <w:color w:val="auto"/>
              </w:rPr>
            </w:pPr>
            <w:r>
              <w:rPr>
                <w:rFonts w:ascii="Arial" w:cs="Arial" w:eastAsia="Arial" w:hAnsi="Arial"/>
                <w:sz w:val="17"/>
                <w:szCs w:val="17"/>
                <w:color w:val="auto"/>
              </w:rPr>
              <w:t>Project:</w:t>
            </w:r>
          </w:p>
        </w:tc>
        <w:tc>
          <w:tcPr>
            <w:tcW w:w="120" w:type="dxa"/>
            <w:vAlign w:val="bottom"/>
          </w:tcPr>
          <w:p>
            <w:pPr>
              <w:spacing w:after="0"/>
              <w:rPr>
                <w:sz w:val="24"/>
                <w:szCs w:val="24"/>
                <w:color w:val="auto"/>
              </w:rPr>
            </w:pPr>
          </w:p>
        </w:tc>
        <w:tc>
          <w:tcPr>
            <w:tcW w:w="7840" w:type="dxa"/>
            <w:vAlign w:val="bottom"/>
            <w:gridSpan w:val="8"/>
          </w:tcPr>
          <w:p>
            <w:pPr>
              <w:spacing w:after="0"/>
              <w:rPr>
                <w:sz w:val="20"/>
                <w:szCs w:val="20"/>
                <w:color w:val="auto"/>
              </w:rPr>
            </w:pPr>
            <w:r>
              <w:rPr>
                <w:rFonts w:ascii="Arial" w:cs="Arial" w:eastAsia="Arial" w:hAnsi="Arial"/>
                <w:sz w:val="17"/>
                <w:szCs w:val="17"/>
                <w:color w:val="auto"/>
                <w:w w:val="96"/>
              </w:rPr>
              <w:t>The Building is part of an office project known as “</w:t>
            </w:r>
            <w:r>
              <w:rPr>
                <w:rFonts w:ascii="Arial" w:cs="Arial" w:eastAsia="Arial" w:hAnsi="Arial"/>
                <w:sz w:val="17"/>
                <w:szCs w:val="17"/>
                <w:b w:val="1"/>
                <w:bCs w:val="1"/>
                <w:i w:val="1"/>
                <w:iCs w:val="1"/>
                <w:color w:val="auto"/>
                <w:w w:val="96"/>
              </w:rPr>
              <w:t>Pacific Corporate Center</w:t>
            </w:r>
            <w:r>
              <w:rPr>
                <w:rFonts w:ascii="Arial" w:cs="Arial" w:eastAsia="Arial" w:hAnsi="Arial"/>
                <w:sz w:val="17"/>
                <w:szCs w:val="17"/>
                <w:color w:val="auto"/>
                <w:w w:val="96"/>
              </w:rPr>
              <w:t>,” as further set forth in Section</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60" w:type="dxa"/>
            <w:vAlign w:val="bottom"/>
            <w:gridSpan w:val="6"/>
          </w:tcPr>
          <w:p>
            <w:pPr>
              <w:spacing w:after="0" w:line="189" w:lineRule="exact"/>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1.2</w:t>
            </w:r>
            <w:r>
              <w:rPr>
                <w:rFonts w:ascii="Arial" w:cs="Arial" w:eastAsia="Arial" w:hAnsi="Arial"/>
                <w:sz w:val="17"/>
                <w:szCs w:val="17"/>
                <w:color w:val="auto"/>
              </w:rPr>
              <w:t xml:space="preserve"> of this Lease.</w:t>
            </w:r>
          </w:p>
        </w:tc>
        <w:tc>
          <w:tcPr>
            <w:tcW w:w="5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both"/>
        <w:ind w:left="360" w:right="10240" w:hanging="355"/>
        <w:spacing w:after="0" w:line="359" w:lineRule="auto"/>
        <w:tabs>
          <w:tab w:leader="none" w:pos="3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Lease Term (</w:t>
      </w:r>
      <w:r>
        <w:rPr>
          <w:rFonts w:ascii="Arial" w:cs="Arial" w:eastAsia="Arial" w:hAnsi="Arial"/>
          <w:sz w:val="15"/>
          <w:szCs w:val="15"/>
          <w:u w:val="single" w:color="auto"/>
          <w:color w:val="auto"/>
        </w:rPr>
        <w:t>Article 2)</w:t>
      </w:r>
      <w:r>
        <w:rPr>
          <w:rFonts w:ascii="Arial" w:cs="Arial" w:eastAsia="Arial" w:hAnsi="Arial"/>
          <w:sz w:val="15"/>
          <w:szCs w:val="15"/>
          <w:color w:val="auto"/>
        </w:rPr>
        <w:t>:</w:t>
      </w:r>
    </w:p>
    <w:p>
      <w:pPr>
        <w:spacing w:after="0" w:line="21"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240" w:type="dxa"/>
            <w:vAlign w:val="bottom"/>
          </w:tcPr>
          <w:p>
            <w:pPr>
              <w:jc w:val="right"/>
              <w:spacing w:after="0"/>
              <w:rPr>
                <w:sz w:val="20"/>
                <w:szCs w:val="20"/>
                <w:color w:val="auto"/>
              </w:rPr>
            </w:pPr>
            <w:r>
              <w:rPr>
                <w:rFonts w:ascii="Arial" w:cs="Arial" w:eastAsia="Arial" w:hAnsi="Arial"/>
                <w:sz w:val="17"/>
                <w:szCs w:val="17"/>
                <w:color w:val="auto"/>
                <w:w w:val="84"/>
              </w:rPr>
              <w:t>3.1</w:t>
            </w:r>
          </w:p>
        </w:tc>
        <w:tc>
          <w:tcPr>
            <w:tcW w:w="2500" w:type="dxa"/>
            <w:vAlign w:val="bottom"/>
          </w:tcPr>
          <w:p>
            <w:pPr>
              <w:ind w:left="20"/>
              <w:spacing w:after="0"/>
              <w:rPr>
                <w:sz w:val="20"/>
                <w:szCs w:val="20"/>
                <w:color w:val="auto"/>
              </w:rPr>
            </w:pPr>
            <w:r>
              <w:rPr>
                <w:rFonts w:ascii="Arial" w:cs="Arial" w:eastAsia="Arial" w:hAnsi="Arial"/>
                <w:sz w:val="17"/>
                <w:szCs w:val="17"/>
                <w:color w:val="auto"/>
              </w:rPr>
              <w:t>Length of Term:</w:t>
            </w:r>
          </w:p>
        </w:tc>
        <w:tc>
          <w:tcPr>
            <w:tcW w:w="7140" w:type="dxa"/>
            <w:vAlign w:val="bottom"/>
            <w:gridSpan w:val="3"/>
          </w:tcPr>
          <w:p>
            <w:pPr>
              <w:ind w:left="460"/>
              <w:spacing w:after="0"/>
              <w:rPr>
                <w:sz w:val="20"/>
                <w:szCs w:val="20"/>
                <w:color w:val="auto"/>
              </w:rPr>
            </w:pPr>
            <w:r>
              <w:rPr>
                <w:rFonts w:ascii="Arial" w:cs="Arial" w:eastAsia="Arial" w:hAnsi="Arial"/>
                <w:sz w:val="17"/>
                <w:szCs w:val="17"/>
                <w:color w:val="auto"/>
              </w:rPr>
              <w:t>Approximately five (5) years.</w:t>
            </w:r>
          </w:p>
        </w:tc>
      </w:tr>
      <w:tr>
        <w:trPr>
          <w:trHeight w:val="314"/>
        </w:trPr>
        <w:tc>
          <w:tcPr>
            <w:tcW w:w="240" w:type="dxa"/>
            <w:vAlign w:val="bottom"/>
          </w:tcPr>
          <w:p>
            <w:pPr>
              <w:jc w:val="right"/>
              <w:spacing w:after="0"/>
              <w:rPr>
                <w:sz w:val="20"/>
                <w:szCs w:val="20"/>
                <w:color w:val="auto"/>
              </w:rPr>
            </w:pPr>
            <w:r>
              <w:rPr>
                <w:rFonts w:ascii="Arial" w:cs="Arial" w:eastAsia="Arial" w:hAnsi="Arial"/>
                <w:sz w:val="17"/>
                <w:szCs w:val="17"/>
                <w:color w:val="auto"/>
                <w:w w:val="84"/>
              </w:rPr>
              <w:t>3.2</w:t>
            </w:r>
          </w:p>
        </w:tc>
        <w:tc>
          <w:tcPr>
            <w:tcW w:w="2500" w:type="dxa"/>
            <w:vAlign w:val="bottom"/>
          </w:tcPr>
          <w:p>
            <w:pPr>
              <w:ind w:left="20"/>
              <w:spacing w:after="0"/>
              <w:rPr>
                <w:sz w:val="20"/>
                <w:szCs w:val="20"/>
                <w:color w:val="auto"/>
              </w:rPr>
            </w:pPr>
            <w:r>
              <w:rPr>
                <w:rFonts w:ascii="Arial" w:cs="Arial" w:eastAsia="Arial" w:hAnsi="Arial"/>
                <w:sz w:val="17"/>
                <w:szCs w:val="17"/>
                <w:color w:val="auto"/>
              </w:rPr>
              <w:t>Lease Commencement Date:</w:t>
            </w:r>
          </w:p>
        </w:tc>
        <w:tc>
          <w:tcPr>
            <w:tcW w:w="7140" w:type="dxa"/>
            <w:vAlign w:val="bottom"/>
            <w:gridSpan w:val="3"/>
          </w:tcPr>
          <w:p>
            <w:pPr>
              <w:ind w:left="460"/>
              <w:spacing w:after="0"/>
              <w:rPr>
                <w:sz w:val="20"/>
                <w:szCs w:val="20"/>
                <w:color w:val="auto"/>
              </w:rPr>
            </w:pPr>
            <w:r>
              <w:rPr>
                <w:rFonts w:ascii="Arial" w:cs="Arial" w:eastAsia="Arial" w:hAnsi="Arial"/>
                <w:sz w:val="17"/>
                <w:szCs w:val="17"/>
                <w:color w:val="auto"/>
              </w:rPr>
              <w:t>August 16, 2011.</w:t>
            </w:r>
          </w:p>
        </w:tc>
      </w:tr>
      <w:tr>
        <w:trPr>
          <w:trHeight w:val="314"/>
        </w:trPr>
        <w:tc>
          <w:tcPr>
            <w:tcW w:w="240" w:type="dxa"/>
            <w:vAlign w:val="bottom"/>
          </w:tcPr>
          <w:p>
            <w:pPr>
              <w:jc w:val="right"/>
              <w:spacing w:after="0"/>
              <w:rPr>
                <w:sz w:val="20"/>
                <w:szCs w:val="20"/>
                <w:color w:val="auto"/>
              </w:rPr>
            </w:pPr>
            <w:r>
              <w:rPr>
                <w:rFonts w:ascii="Arial" w:cs="Arial" w:eastAsia="Arial" w:hAnsi="Arial"/>
                <w:sz w:val="17"/>
                <w:szCs w:val="17"/>
                <w:color w:val="auto"/>
                <w:w w:val="84"/>
              </w:rPr>
              <w:t>3.3</w:t>
            </w:r>
          </w:p>
        </w:tc>
        <w:tc>
          <w:tcPr>
            <w:tcW w:w="2500" w:type="dxa"/>
            <w:vAlign w:val="bottom"/>
          </w:tcPr>
          <w:p>
            <w:pPr>
              <w:ind w:left="20"/>
              <w:spacing w:after="0"/>
              <w:rPr>
                <w:sz w:val="20"/>
                <w:szCs w:val="20"/>
                <w:color w:val="auto"/>
              </w:rPr>
            </w:pPr>
            <w:r>
              <w:rPr>
                <w:rFonts w:ascii="Arial" w:cs="Arial" w:eastAsia="Arial" w:hAnsi="Arial"/>
                <w:sz w:val="17"/>
                <w:szCs w:val="17"/>
                <w:color w:val="auto"/>
              </w:rPr>
              <w:t>Lease Expiration Date:</w:t>
            </w:r>
          </w:p>
        </w:tc>
        <w:tc>
          <w:tcPr>
            <w:tcW w:w="7140" w:type="dxa"/>
            <w:vAlign w:val="bottom"/>
            <w:gridSpan w:val="3"/>
          </w:tcPr>
          <w:p>
            <w:pPr>
              <w:ind w:left="460"/>
              <w:spacing w:after="0"/>
              <w:rPr>
                <w:sz w:val="20"/>
                <w:szCs w:val="20"/>
                <w:color w:val="auto"/>
              </w:rPr>
            </w:pPr>
            <w:r>
              <w:rPr>
                <w:rFonts w:ascii="Arial" w:cs="Arial" w:eastAsia="Arial" w:hAnsi="Arial"/>
                <w:sz w:val="17"/>
                <w:szCs w:val="17"/>
                <w:color w:val="auto"/>
              </w:rPr>
              <w:t>August 31, 2016.</w:t>
            </w:r>
          </w:p>
        </w:tc>
      </w:tr>
      <w:tr>
        <w:trPr>
          <w:trHeight w:val="275"/>
        </w:trPr>
        <w:tc>
          <w:tcPr>
            <w:tcW w:w="240" w:type="dxa"/>
            <w:vAlign w:val="bottom"/>
          </w:tcPr>
          <w:p>
            <w:pPr>
              <w:jc w:val="right"/>
              <w:spacing w:after="0"/>
              <w:rPr>
                <w:sz w:val="20"/>
                <w:szCs w:val="20"/>
                <w:color w:val="auto"/>
              </w:rPr>
            </w:pPr>
            <w:r>
              <w:rPr>
                <w:rFonts w:ascii="Arial" w:cs="Arial" w:eastAsia="Arial" w:hAnsi="Arial"/>
                <w:sz w:val="17"/>
                <w:szCs w:val="17"/>
                <w:color w:val="auto"/>
                <w:w w:val="84"/>
              </w:rPr>
              <w:t>3.4</w:t>
            </w:r>
          </w:p>
        </w:tc>
        <w:tc>
          <w:tcPr>
            <w:tcW w:w="2500" w:type="dxa"/>
            <w:vAlign w:val="bottom"/>
          </w:tcPr>
          <w:p>
            <w:pPr>
              <w:ind w:left="20"/>
              <w:spacing w:after="0"/>
              <w:rPr>
                <w:sz w:val="20"/>
                <w:szCs w:val="20"/>
                <w:color w:val="auto"/>
              </w:rPr>
            </w:pPr>
            <w:r>
              <w:rPr>
                <w:rFonts w:ascii="Arial" w:cs="Arial" w:eastAsia="Arial" w:hAnsi="Arial"/>
                <w:sz w:val="17"/>
                <w:szCs w:val="17"/>
                <w:color w:val="auto"/>
              </w:rPr>
              <w:t>Option Term:</w:t>
            </w:r>
          </w:p>
        </w:tc>
        <w:tc>
          <w:tcPr>
            <w:tcW w:w="7140" w:type="dxa"/>
            <w:vAlign w:val="bottom"/>
            <w:gridSpan w:val="3"/>
          </w:tcPr>
          <w:p>
            <w:pPr>
              <w:ind w:left="460"/>
              <w:spacing w:after="0"/>
              <w:rPr>
                <w:sz w:val="20"/>
                <w:szCs w:val="20"/>
                <w:color w:val="auto"/>
              </w:rPr>
            </w:pPr>
            <w:r>
              <w:rPr>
                <w:rFonts w:ascii="Arial" w:cs="Arial" w:eastAsia="Arial" w:hAnsi="Arial"/>
                <w:sz w:val="17"/>
                <w:szCs w:val="17"/>
                <w:color w:val="auto"/>
                <w:w w:val="93"/>
              </w:rPr>
              <w:t>One (1) five (5)-year option to renew, as more particularly set forth in Section 2.2 of this Lease.</w:t>
            </w:r>
          </w:p>
        </w:tc>
      </w:tr>
      <w:tr>
        <w:trPr>
          <w:trHeight w:val="20"/>
        </w:trPr>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ectPr>
          <w:pgSz w:w="11900" w:h="16838" w:orient="portrait"/>
          <w:cols w:equalWidth="0" w:num="1">
            <w:col w:w="11420"/>
          </w:cols>
          <w:pgMar w:left="240" w:top="265" w:right="239" w:bottom="1440" w:gutter="0" w:footer="0" w:header="0"/>
        </w:sectPr>
      </w:pPr>
    </w:p>
    <w:bookmarkStart w:id="239" w:name="page240"/>
    <w:bookmarkEnd w:id="239"/>
    <w:p>
      <w:pPr>
        <w:ind w:left="360" w:hanging="355"/>
        <w:spacing w:after="0"/>
        <w:tabs>
          <w:tab w:leader="none" w:pos="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Base Rent (Article 3):</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Monthly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Monthly</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Annual</w:t>
            </w: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center"/>
              <w:ind w:right="80"/>
              <w:spacing w:after="0" w:line="144" w:lineRule="exact"/>
              <w:rPr>
                <w:sz w:val="20"/>
                <w:szCs w:val="20"/>
                <w:color w:val="auto"/>
              </w:rPr>
            </w:pPr>
            <w:r>
              <w:rPr>
                <w:rFonts w:ascii="Arial" w:cs="Arial" w:eastAsia="Arial" w:hAnsi="Arial"/>
                <w:sz w:val="14"/>
                <w:szCs w:val="14"/>
                <w:b w:val="1"/>
                <w:bCs w:val="1"/>
                <w:color w:val="auto"/>
                <w:w w:val="90"/>
              </w:rPr>
              <w:t>Rental Rate</w:t>
            </w:r>
          </w:p>
        </w:tc>
        <w:tc>
          <w:tcPr>
            <w:tcW w:w="0" w:type="dxa"/>
            <w:vAlign w:val="bottom"/>
          </w:tcPr>
          <w:p>
            <w:pPr>
              <w:spacing w:after="0"/>
              <w:rPr>
                <w:sz w:val="1"/>
                <w:szCs w:val="1"/>
                <w:color w:val="auto"/>
              </w:rPr>
            </w:pPr>
          </w:p>
        </w:tc>
      </w:tr>
      <w:tr>
        <w:trPr>
          <w:trHeight w:val="144"/>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6"/>
              </w:rPr>
              <w:t>Lease Year</w:t>
            </w:r>
          </w:p>
        </w:tc>
        <w:tc>
          <w:tcPr>
            <w:tcW w:w="5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1"/>
              </w:rPr>
              <w:t>Installment</w:t>
            </w:r>
          </w:p>
        </w:tc>
        <w:tc>
          <w:tcPr>
            <w:tcW w:w="260" w:type="dxa"/>
            <w:vAlign w:val="bottom"/>
          </w:tcPr>
          <w:p>
            <w:pPr>
              <w:spacing w:after="0"/>
              <w:rPr>
                <w:sz w:val="12"/>
                <w:szCs w:val="12"/>
                <w:color w:val="auto"/>
              </w:rPr>
            </w:pPr>
          </w:p>
        </w:tc>
        <w:tc>
          <w:tcPr>
            <w:tcW w:w="900" w:type="dxa"/>
            <w:vAlign w:val="bottom"/>
            <w:gridSpan w:val="3"/>
          </w:tcPr>
          <w:p>
            <w:pPr>
              <w:ind w:left="20"/>
              <w:spacing w:after="0" w:line="144" w:lineRule="exact"/>
              <w:rPr>
                <w:sz w:val="20"/>
                <w:szCs w:val="20"/>
                <w:color w:val="auto"/>
              </w:rPr>
            </w:pPr>
            <w:r>
              <w:rPr>
                <w:rFonts w:ascii="Arial" w:cs="Arial" w:eastAsia="Arial" w:hAnsi="Arial"/>
                <w:sz w:val="14"/>
                <w:szCs w:val="14"/>
                <w:b w:val="1"/>
                <w:bCs w:val="1"/>
                <w:color w:val="auto"/>
              </w:rPr>
              <w:t>per Rentable</w:t>
            </w:r>
          </w:p>
        </w:tc>
        <w:tc>
          <w:tcPr>
            <w:tcW w:w="0" w:type="dxa"/>
            <w:vAlign w:val="bottom"/>
          </w:tcPr>
          <w:p>
            <w:pPr>
              <w:spacing w:after="0"/>
              <w:rPr>
                <w:sz w:val="1"/>
                <w:szCs w:val="1"/>
                <w:color w:val="auto"/>
              </w:rPr>
            </w:pPr>
          </w:p>
        </w:tc>
      </w:tr>
      <w:tr>
        <w:trPr>
          <w:trHeight w:val="173"/>
        </w:trPr>
        <w:tc>
          <w:tcPr>
            <w:tcW w:w="660" w:type="dxa"/>
            <w:vAlign w:val="bottom"/>
            <w:tcBorders>
              <w:bottom w:val="single" w:sz="8" w:color="auto"/>
            </w:tcBorders>
            <w:vMerge w:val="continue"/>
          </w:tcPr>
          <w:p>
            <w:pPr>
              <w:spacing w:after="0"/>
              <w:rPr>
                <w:sz w:val="15"/>
                <w:szCs w:val="15"/>
                <w:color w:val="auto"/>
              </w:rPr>
            </w:pPr>
          </w:p>
        </w:tc>
        <w:tc>
          <w:tcPr>
            <w:tcW w:w="5280" w:type="dxa"/>
            <w:vAlign w:val="bottom"/>
          </w:tcPr>
          <w:p>
            <w:pPr>
              <w:spacing w:after="0"/>
              <w:rPr>
                <w:sz w:val="15"/>
                <w:szCs w:val="15"/>
                <w:color w:val="auto"/>
              </w:rPr>
            </w:pPr>
          </w:p>
        </w:tc>
        <w:tc>
          <w:tcPr>
            <w:tcW w:w="140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89"/>
              </w:rPr>
              <w:t>Base Rent*</w:t>
            </w: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of Base Rent*</w:t>
            </w:r>
          </w:p>
        </w:tc>
        <w:tc>
          <w:tcPr>
            <w:tcW w:w="260" w:type="dxa"/>
            <w:vAlign w:val="bottom"/>
          </w:tcPr>
          <w:p>
            <w:pPr>
              <w:spacing w:after="0"/>
              <w:rPr>
                <w:sz w:val="15"/>
                <w:szCs w:val="15"/>
                <w:color w:val="auto"/>
              </w:rPr>
            </w:pPr>
          </w:p>
        </w:tc>
        <w:tc>
          <w:tcPr>
            <w:tcW w:w="90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Square Foot*</w:t>
            </w:r>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w:t>
            </w:r>
          </w:p>
        </w:tc>
        <w:tc>
          <w:tcPr>
            <w:tcW w:w="5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$449,256.96</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$ 37,438.08</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7"/>
                <w:szCs w:val="17"/>
                <w:color w:val="auto"/>
              </w:rPr>
              <w:t>2</w:t>
            </w:r>
          </w:p>
        </w:tc>
        <w:tc>
          <w:tcPr>
            <w:tcW w:w="6680" w:type="dxa"/>
            <w:vAlign w:val="bottom"/>
            <w:gridSpan w:val="3"/>
          </w:tcPr>
          <w:p>
            <w:pPr>
              <w:jc w:val="center"/>
              <w:ind w:left="4673"/>
              <w:spacing w:after="0"/>
              <w:rPr>
                <w:sz w:val="20"/>
                <w:szCs w:val="20"/>
                <w:color w:val="auto"/>
              </w:rPr>
            </w:pPr>
            <w:r>
              <w:rPr>
                <w:rFonts w:ascii="Arial" w:cs="Arial" w:eastAsia="Arial" w:hAnsi="Arial"/>
                <w:sz w:val="17"/>
                <w:szCs w:val="17"/>
                <w:color w:val="auto"/>
                <w:w w:val="93"/>
              </w:rPr>
              <w:t>$462,734.67</w:t>
            </w: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$ 38,561.22</w:t>
            </w:r>
          </w:p>
        </w:tc>
        <w:tc>
          <w:tcPr>
            <w:tcW w:w="3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1.524</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6680" w:type="dxa"/>
            <w:vAlign w:val="bottom"/>
            <w:gridSpan w:val="3"/>
            <w:shd w:val="clear" w:color="auto" w:fill="CCEEFF"/>
          </w:tcPr>
          <w:p>
            <w:pPr>
              <w:jc w:val="center"/>
              <w:ind w:left="4673"/>
              <w:spacing w:after="0"/>
              <w:rPr>
                <w:sz w:val="20"/>
                <w:szCs w:val="20"/>
                <w:color w:val="auto"/>
              </w:rPr>
            </w:pPr>
            <w:r>
              <w:rPr>
                <w:rFonts w:ascii="Arial" w:cs="Arial" w:eastAsia="Arial" w:hAnsi="Arial"/>
                <w:sz w:val="17"/>
                <w:szCs w:val="17"/>
                <w:color w:val="auto"/>
                <w:w w:val="93"/>
              </w:rPr>
              <w:t>$476,616.71</w:t>
            </w: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1"/>
              </w:rPr>
              <w:t>$ 39,718.06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1.570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20"/>
                <w:szCs w:val="20"/>
                <w:color w:val="auto"/>
              </w:rPr>
            </w:pPr>
            <w:r>
              <w:rPr>
                <w:rFonts w:ascii="Arial" w:cs="Arial" w:eastAsia="Arial" w:hAnsi="Arial"/>
                <w:sz w:val="17"/>
                <w:szCs w:val="17"/>
                <w:color w:val="auto"/>
              </w:rPr>
              <w:t>4</w:t>
            </w:r>
          </w:p>
        </w:tc>
        <w:tc>
          <w:tcPr>
            <w:tcW w:w="6680" w:type="dxa"/>
            <w:vAlign w:val="bottom"/>
            <w:gridSpan w:val="3"/>
          </w:tcPr>
          <w:p>
            <w:pPr>
              <w:jc w:val="center"/>
              <w:ind w:left="4673"/>
              <w:spacing w:after="0"/>
              <w:rPr>
                <w:sz w:val="20"/>
                <w:szCs w:val="20"/>
                <w:color w:val="auto"/>
              </w:rPr>
            </w:pPr>
            <w:r>
              <w:rPr>
                <w:rFonts w:ascii="Arial" w:cs="Arial" w:eastAsia="Arial" w:hAnsi="Arial"/>
                <w:sz w:val="17"/>
                <w:szCs w:val="17"/>
                <w:color w:val="auto"/>
                <w:w w:val="93"/>
              </w:rPr>
              <w:t>$490,915.21</w:t>
            </w: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$ 40,909.60</w:t>
            </w:r>
          </w:p>
        </w:tc>
        <w:tc>
          <w:tcPr>
            <w:tcW w:w="3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1.617</w:t>
            </w: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6680" w:type="dxa"/>
            <w:vAlign w:val="bottom"/>
            <w:gridSpan w:val="3"/>
            <w:shd w:val="clear" w:color="auto" w:fill="CCEEFF"/>
          </w:tcPr>
          <w:p>
            <w:pPr>
              <w:jc w:val="center"/>
              <w:ind w:left="4673"/>
              <w:spacing w:after="0"/>
              <w:rPr>
                <w:sz w:val="20"/>
                <w:szCs w:val="20"/>
                <w:color w:val="auto"/>
              </w:rPr>
            </w:pPr>
            <w:r>
              <w:rPr>
                <w:rFonts w:ascii="Arial" w:cs="Arial" w:eastAsia="Arial" w:hAnsi="Arial"/>
                <w:sz w:val="17"/>
                <w:szCs w:val="17"/>
                <w:color w:val="auto"/>
                <w:w w:val="93"/>
              </w:rPr>
              <w:t>$505,642.67</w:t>
            </w: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1"/>
              </w:rPr>
              <w:t>$ 42,136.89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1.666</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60" w:hanging="455"/>
        <w:spacing w:after="0"/>
        <w:tabs>
          <w:tab w:leader="none" w:pos="4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initial Annual Base Rent (and Monthly Installment of Base Rent) was calculated by multiplying the initial Monthly Rental Rate per Rentable Square</w:t>
      </w:r>
    </w:p>
    <w:p>
      <w:pPr>
        <w:spacing w:after="0" w:line="38" w:lineRule="exact"/>
        <w:rPr>
          <w:sz w:val="20"/>
          <w:szCs w:val="20"/>
          <w:color w:val="auto"/>
        </w:rPr>
      </w:pPr>
    </w:p>
    <w:p>
      <w:pPr>
        <w:ind w:left="460" w:right="160"/>
        <w:spacing w:after="0" w:line="257" w:lineRule="auto"/>
        <w:rPr>
          <w:sz w:val="20"/>
          <w:szCs w:val="20"/>
          <w:color w:val="auto"/>
        </w:rPr>
      </w:pPr>
      <w:r>
        <w:rPr>
          <w:rFonts w:ascii="Arial" w:cs="Arial" w:eastAsia="Arial" w:hAnsi="Arial"/>
          <w:sz w:val="17"/>
          <w:szCs w:val="17"/>
          <w:color w:val="auto"/>
        </w:rPr>
        <w:t>Foot by the number of rentable square feet of space in the Premises. In all subsequent Lease Years, the calculation of Annual Base Rent (and Monthly Installment of Base Rent) reflects an annual increase of three percent (3.0%), with the corresponding Monthly Rental Rate per Rentable Square Foot being an approximation thereof.</w:t>
      </w:r>
    </w:p>
    <w:p>
      <w:pPr>
        <w:spacing w:after="0" w:line="1" w:lineRule="exact"/>
        <w:rPr>
          <w:sz w:val="20"/>
          <w:szCs w:val="20"/>
          <w:color w:val="auto"/>
        </w:rPr>
      </w:pPr>
    </w:p>
    <w:p>
      <w:pPr>
        <w:ind w:left="460" w:hanging="455"/>
        <w:spacing w:after="0" w:line="265" w:lineRule="auto"/>
        <w:tabs>
          <w:tab w:leader="none" w:pos="4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Pursuant to the express terms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this Lease, and notwithstanding any provision to the contrary set forth herein, Tenant shall not be obligated to pay, and shall not pay, the monthly installments of Base Rent attributable to the “Base Rent Abatement Period” (as that term is defined in, and as more particularly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below).</w:t>
      </w:r>
    </w:p>
    <w:p>
      <w:pPr>
        <w:spacing w:after="0" w:line="205" w:lineRule="exact"/>
        <w:rPr>
          <w:sz w:val="20"/>
          <w:szCs w:val="20"/>
          <w:color w:val="auto"/>
        </w:rPr>
      </w:pPr>
    </w:p>
    <w:p>
      <w:pPr>
        <w:ind w:left="380" w:right="9520" w:hanging="375"/>
        <w:spacing w:after="0" w:line="289" w:lineRule="auto"/>
        <w:tabs>
          <w:tab w:leader="none" w:pos="3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Intentionally Omitted (Article 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jc w:val="right"/>
              <w:ind w:right="33"/>
              <w:spacing w:after="0"/>
              <w:rPr>
                <w:sz w:val="20"/>
                <w:szCs w:val="20"/>
                <w:color w:val="auto"/>
              </w:rPr>
            </w:pPr>
            <w:r>
              <w:rPr>
                <w:rFonts w:ascii="Arial" w:cs="Arial" w:eastAsia="Arial" w:hAnsi="Arial"/>
                <w:sz w:val="17"/>
                <w:szCs w:val="17"/>
                <w:color w:val="auto"/>
                <w:w w:val="84"/>
              </w:rPr>
              <w:t>6.</w:t>
            </w:r>
          </w:p>
        </w:tc>
        <w:tc>
          <w:tcPr>
            <w:tcW w:w="2280" w:type="dxa"/>
            <w:vAlign w:val="bottom"/>
            <w:gridSpan w:val="3"/>
          </w:tcPr>
          <w:p>
            <w:pPr>
              <w:ind w:left="120"/>
              <w:spacing w:after="0"/>
              <w:rPr>
                <w:sz w:val="20"/>
                <w:szCs w:val="20"/>
                <w:color w:val="auto"/>
              </w:rPr>
            </w:pPr>
            <w:r>
              <w:rPr>
                <w:rFonts w:ascii="Arial" w:cs="Arial" w:eastAsia="Arial" w:hAnsi="Arial"/>
                <w:sz w:val="17"/>
                <w:szCs w:val="17"/>
                <w:color w:val="auto"/>
              </w:rPr>
              <w:t>Tenant’s Share</w:t>
            </w:r>
          </w:p>
        </w:tc>
        <w:tc>
          <w:tcPr>
            <w:tcW w:w="8820" w:type="dxa"/>
            <w:vAlign w:val="bottom"/>
            <w:gridSpan w:val="3"/>
          </w:tcPr>
          <w:p>
            <w:pPr>
              <w:ind w:left="1140"/>
              <w:spacing w:after="0"/>
              <w:rPr>
                <w:sz w:val="20"/>
                <w:szCs w:val="20"/>
                <w:color w:val="auto"/>
              </w:rPr>
            </w:pPr>
            <w:r>
              <w:rPr>
                <w:rFonts w:ascii="Arial" w:cs="Arial" w:eastAsia="Arial" w:hAnsi="Arial"/>
                <w:sz w:val="17"/>
                <w:szCs w:val="17"/>
                <w:color w:val="auto"/>
              </w:rPr>
              <w:t>Approximately 33.3963%.</w:t>
            </w:r>
          </w:p>
        </w:tc>
      </w:tr>
      <w:tr>
        <w:trPr>
          <w:trHeight w:val="183"/>
        </w:trPr>
        <w:tc>
          <w:tcPr>
            <w:tcW w:w="260" w:type="dxa"/>
            <w:vAlign w:val="bottom"/>
          </w:tcPr>
          <w:p>
            <w:pPr>
              <w:spacing w:after="0"/>
              <w:rPr>
                <w:sz w:val="15"/>
                <w:szCs w:val="15"/>
                <w:color w:val="auto"/>
              </w:rPr>
            </w:pPr>
          </w:p>
        </w:tc>
        <w:tc>
          <w:tcPr>
            <w:tcW w:w="2280" w:type="dxa"/>
            <w:vAlign w:val="bottom"/>
            <w:gridSpan w:val="3"/>
          </w:tcPr>
          <w:p>
            <w:pPr>
              <w:ind w:left="120"/>
              <w:spacing w:after="0" w:line="183" w:lineRule="exact"/>
              <w:rPr>
                <w:sz w:val="20"/>
                <w:szCs w:val="20"/>
                <w:color w:val="auto"/>
              </w:rPr>
            </w:pPr>
            <w:r>
              <w:rPr>
                <w:rFonts w:ascii="Arial" w:cs="Arial" w:eastAsia="Arial" w:hAnsi="Arial"/>
                <w:sz w:val="17"/>
                <w:szCs w:val="17"/>
                <w:color w:val="auto"/>
              </w:rPr>
              <w:t>(Article 4):</w:t>
            </w:r>
          </w:p>
        </w:tc>
        <w:tc>
          <w:tcPr>
            <w:tcW w:w="8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4"/>
        </w:trPr>
        <w:tc>
          <w:tcPr>
            <w:tcW w:w="260" w:type="dxa"/>
            <w:vAlign w:val="bottom"/>
          </w:tcPr>
          <w:p>
            <w:pPr>
              <w:jc w:val="right"/>
              <w:ind w:right="33"/>
              <w:spacing w:after="0"/>
              <w:rPr>
                <w:sz w:val="20"/>
                <w:szCs w:val="20"/>
                <w:color w:val="auto"/>
              </w:rPr>
            </w:pPr>
            <w:r>
              <w:rPr>
                <w:rFonts w:ascii="Arial" w:cs="Arial" w:eastAsia="Arial" w:hAnsi="Arial"/>
                <w:sz w:val="17"/>
                <w:szCs w:val="17"/>
                <w:color w:val="auto"/>
                <w:w w:val="84"/>
              </w:rPr>
              <w:t>7.</w:t>
            </w:r>
          </w:p>
        </w:tc>
        <w:tc>
          <w:tcPr>
            <w:tcW w:w="2280" w:type="dxa"/>
            <w:vAlign w:val="bottom"/>
            <w:gridSpan w:val="3"/>
          </w:tcPr>
          <w:p>
            <w:pPr>
              <w:ind w:left="120"/>
              <w:spacing w:after="0"/>
              <w:rPr>
                <w:sz w:val="20"/>
                <w:szCs w:val="20"/>
                <w:color w:val="auto"/>
              </w:rPr>
            </w:pPr>
            <w:r>
              <w:rPr>
                <w:rFonts w:ascii="Arial" w:cs="Arial" w:eastAsia="Arial" w:hAnsi="Arial"/>
                <w:sz w:val="17"/>
                <w:szCs w:val="17"/>
                <w:color w:val="auto"/>
              </w:rPr>
              <w:t>Permitted Use</w:t>
            </w:r>
          </w:p>
        </w:tc>
        <w:tc>
          <w:tcPr>
            <w:tcW w:w="8820" w:type="dxa"/>
            <w:vAlign w:val="bottom"/>
            <w:gridSpan w:val="3"/>
          </w:tcPr>
          <w:p>
            <w:pPr>
              <w:ind w:left="1140"/>
              <w:spacing w:after="0"/>
              <w:rPr>
                <w:sz w:val="20"/>
                <w:szCs w:val="20"/>
                <w:color w:val="auto"/>
              </w:rPr>
            </w:pPr>
            <w:r>
              <w:rPr>
                <w:rFonts w:ascii="Arial" w:cs="Arial" w:eastAsia="Arial" w:hAnsi="Arial"/>
                <w:sz w:val="17"/>
                <w:szCs w:val="17"/>
                <w:color w:val="auto"/>
                <w:w w:val="92"/>
              </w:rPr>
              <w:t>Tenant shall use the Premises solely for (i) general office use, (ii) the manufacturing, testing, and research and</w:t>
            </w:r>
          </w:p>
        </w:tc>
      </w:tr>
      <w:tr>
        <w:trPr>
          <w:trHeight w:val="183"/>
        </w:trPr>
        <w:tc>
          <w:tcPr>
            <w:tcW w:w="260" w:type="dxa"/>
            <w:vAlign w:val="bottom"/>
          </w:tcPr>
          <w:p>
            <w:pPr>
              <w:spacing w:after="0"/>
              <w:rPr>
                <w:sz w:val="15"/>
                <w:szCs w:val="15"/>
                <w:color w:val="auto"/>
              </w:rPr>
            </w:pPr>
          </w:p>
        </w:tc>
        <w:tc>
          <w:tcPr>
            <w:tcW w:w="2280" w:type="dxa"/>
            <w:vAlign w:val="bottom"/>
            <w:gridSpan w:val="3"/>
          </w:tcPr>
          <w:p>
            <w:pPr>
              <w:ind w:left="120"/>
              <w:spacing w:after="0" w:line="183" w:lineRule="exact"/>
              <w:rPr>
                <w:sz w:val="20"/>
                <w:szCs w:val="20"/>
                <w:color w:val="auto"/>
              </w:rPr>
            </w:pPr>
            <w:r>
              <w:rPr>
                <w:rFonts w:ascii="Arial" w:cs="Arial" w:eastAsia="Arial" w:hAnsi="Arial"/>
                <w:sz w:val="17"/>
                <w:szCs w:val="17"/>
                <w:color w:val="auto"/>
              </w:rPr>
              <w:t>(Article 5):</w:t>
            </w:r>
          </w:p>
        </w:tc>
        <w:tc>
          <w:tcPr>
            <w:tcW w:w="8820" w:type="dxa"/>
            <w:vAlign w:val="bottom"/>
            <w:gridSpan w:val="3"/>
          </w:tcPr>
          <w:p>
            <w:pPr>
              <w:ind w:left="1140"/>
              <w:spacing w:after="0" w:line="183" w:lineRule="exact"/>
              <w:rPr>
                <w:sz w:val="20"/>
                <w:szCs w:val="20"/>
                <w:color w:val="auto"/>
              </w:rPr>
            </w:pPr>
            <w:r>
              <w:rPr>
                <w:rFonts w:ascii="Arial" w:cs="Arial" w:eastAsia="Arial" w:hAnsi="Arial"/>
                <w:sz w:val="17"/>
                <w:szCs w:val="17"/>
                <w:color w:val="auto"/>
                <w:w w:val="94"/>
              </w:rPr>
              <w:t>development of biotechnology and/or pharmaceutical products, (iii) a rodent vivarium, and (iv) other uses, to</w:t>
            </w:r>
          </w:p>
        </w:tc>
      </w:tr>
      <w:tr>
        <w:trPr>
          <w:trHeight w:val="190"/>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8820" w:type="dxa"/>
            <w:vAlign w:val="bottom"/>
            <w:gridSpan w:val="3"/>
          </w:tcPr>
          <w:p>
            <w:pPr>
              <w:ind w:left="1140"/>
              <w:spacing w:after="0" w:line="189" w:lineRule="exact"/>
              <w:rPr>
                <w:sz w:val="20"/>
                <w:szCs w:val="20"/>
                <w:color w:val="auto"/>
              </w:rPr>
            </w:pPr>
            <w:r>
              <w:rPr>
                <w:rFonts w:ascii="Arial" w:cs="Arial" w:eastAsia="Arial" w:hAnsi="Arial"/>
                <w:sz w:val="17"/>
                <w:szCs w:val="17"/>
                <w:color w:val="auto"/>
                <w:w w:val="96"/>
              </w:rPr>
              <w:t>the extent the foregoing are permitted under (A) all “Applicable Laws,” as that term is set forth in Article 24</w:t>
            </w: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 w:lineRule="exact"/>
        <w:rPr>
          <w:sz w:val="20"/>
          <w:szCs w:val="20"/>
          <w:color w:val="auto"/>
        </w:rPr>
      </w:pPr>
    </w:p>
    <w:p>
      <w:pPr>
        <w:jc w:val="both"/>
        <w:ind w:left="3680" w:right="180"/>
        <w:spacing w:after="0" w:line="273" w:lineRule="auto"/>
        <w:rPr>
          <w:sz w:val="20"/>
          <w:szCs w:val="20"/>
          <w:color w:val="auto"/>
        </w:rPr>
      </w:pPr>
      <w:r>
        <w:rPr>
          <w:rFonts w:ascii="Arial" w:cs="Arial" w:eastAsia="Arial" w:hAnsi="Arial"/>
          <w:sz w:val="17"/>
          <w:szCs w:val="17"/>
          <w:color w:val="auto"/>
        </w:rPr>
        <w:t xml:space="preserve">of this Lease, (B) all applicable zoning, building codes and the “CC&amp;Rs,” as that term is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5.3</w:t>
      </w:r>
      <w:r>
        <w:rPr>
          <w:rFonts w:ascii="Arial" w:cs="Arial" w:eastAsia="Arial" w:hAnsi="Arial"/>
          <w:sz w:val="17"/>
          <w:szCs w:val="17"/>
          <w:color w:val="auto"/>
        </w:rPr>
        <w:t xml:space="preserve"> of this Lease, and (C) the character of the Project as a first-class office building Project (collectively, as applicable, the “</w:t>
      </w:r>
      <w:r>
        <w:rPr>
          <w:rFonts w:ascii="Arial" w:cs="Arial" w:eastAsia="Arial" w:hAnsi="Arial"/>
          <w:sz w:val="17"/>
          <w:szCs w:val="17"/>
          <w:b w:val="1"/>
          <w:bCs w:val="1"/>
          <w:color w:val="auto"/>
        </w:rPr>
        <w:t>Permitted Use</w:t>
      </w:r>
      <w:r>
        <w:rPr>
          <w:rFonts w:ascii="Arial" w:cs="Arial" w:eastAsia="Arial" w:hAnsi="Arial"/>
          <w:sz w:val="17"/>
          <w:szCs w:val="17"/>
          <w:color w:val="auto"/>
        </w:rPr>
        <w: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376" w:right="259" w:bottom="1440" w:gutter="0" w:footer="0" w:header="0"/>
        </w:sectPr>
      </w:pPr>
    </w:p>
    <w:bookmarkStart w:id="240" w:name="page241"/>
    <w:bookmarkEnd w:id="240"/>
    <w:p>
      <w:pPr>
        <w:ind w:left="375" w:hanging="375"/>
        <w:spacing w:after="0"/>
        <w:tabs>
          <w:tab w:leader="none" w:pos="375" w:val="left"/>
        </w:tabs>
        <w:numPr>
          <w:ilvl w:val="0"/>
          <w:numId w:val="1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Credit Enhancement:</w:t>
      </w:r>
    </w:p>
    <w:p>
      <w:pPr>
        <w:spacing w:after="0" w:line="119" w:lineRule="exact"/>
        <w:rPr>
          <w:sz w:val="20"/>
          <w:szCs w:val="20"/>
          <w:color w:val="auto"/>
        </w:rPr>
      </w:pPr>
    </w:p>
    <w:tbl>
      <w:tblPr>
        <w:tblLayout w:type="fixed"/>
        <w:tblInd w:w="375" w:type="dxa"/>
        <w:tblCellMar>
          <w:top w:w="0" w:type="dxa"/>
          <w:left w:w="0" w:type="dxa"/>
          <w:bottom w:w="0" w:type="dxa"/>
          <w:right w:w="0" w:type="dxa"/>
        </w:tblCellMar>
      </w:tblPr>
      <w:tr>
        <w:trPr>
          <w:trHeight w:val="210"/>
        </w:trPr>
        <w:tc>
          <w:tcPr>
            <w:tcW w:w="280" w:type="dxa"/>
            <w:vAlign w:val="bottom"/>
          </w:tcPr>
          <w:p>
            <w:pPr>
              <w:spacing w:after="0"/>
              <w:rPr>
                <w:sz w:val="20"/>
                <w:szCs w:val="20"/>
                <w:color w:val="auto"/>
              </w:rPr>
            </w:pPr>
            <w:r>
              <w:rPr>
                <w:rFonts w:ascii="Arial" w:cs="Arial" w:eastAsia="Arial" w:hAnsi="Arial"/>
                <w:sz w:val="17"/>
                <w:szCs w:val="17"/>
                <w:color w:val="auto"/>
              </w:rPr>
              <w:t>8.1</w:t>
            </w:r>
          </w:p>
        </w:tc>
        <w:tc>
          <w:tcPr>
            <w:tcW w:w="2580" w:type="dxa"/>
            <w:vAlign w:val="bottom"/>
            <w:gridSpan w:val="8"/>
          </w:tcPr>
          <w:p>
            <w:pPr>
              <w:ind w:left="60"/>
              <w:spacing w:after="0"/>
              <w:rPr>
                <w:sz w:val="20"/>
                <w:szCs w:val="20"/>
                <w:color w:val="auto"/>
              </w:rPr>
            </w:pPr>
            <w:r>
              <w:rPr>
                <w:rFonts w:ascii="Arial" w:cs="Arial" w:eastAsia="Arial" w:hAnsi="Arial"/>
                <w:sz w:val="17"/>
                <w:szCs w:val="17"/>
                <w:color w:val="auto"/>
              </w:rPr>
              <w:t>Security Deposit</w:t>
            </w:r>
          </w:p>
        </w:tc>
        <w:tc>
          <w:tcPr>
            <w:tcW w:w="1680" w:type="dxa"/>
            <w:vAlign w:val="bottom"/>
            <w:gridSpan w:val="2"/>
          </w:tcPr>
          <w:p>
            <w:pPr>
              <w:ind w:left="440"/>
              <w:spacing w:after="0"/>
              <w:rPr>
                <w:sz w:val="20"/>
                <w:szCs w:val="20"/>
                <w:color w:val="auto"/>
              </w:rPr>
            </w:pPr>
            <w:r>
              <w:rPr>
                <w:rFonts w:ascii="Arial" w:cs="Arial" w:eastAsia="Arial" w:hAnsi="Arial"/>
                <w:sz w:val="17"/>
                <w:szCs w:val="17"/>
                <w:color w:val="auto"/>
              </w:rPr>
              <w:t>$42,136.89.</w:t>
            </w:r>
          </w:p>
        </w:tc>
        <w:tc>
          <w:tcPr>
            <w:tcW w:w="6100" w:type="dxa"/>
            <w:vAlign w:val="bottom"/>
          </w:tcPr>
          <w:p>
            <w:pPr>
              <w:spacing w:after="0"/>
              <w:rPr>
                <w:sz w:val="18"/>
                <w:szCs w:val="18"/>
                <w:color w:val="auto"/>
              </w:rPr>
            </w:pPr>
          </w:p>
        </w:tc>
      </w:tr>
      <w:tr>
        <w:trPr>
          <w:trHeight w:val="183"/>
        </w:trPr>
        <w:tc>
          <w:tcPr>
            <w:tcW w:w="280" w:type="dxa"/>
            <w:vAlign w:val="bottom"/>
          </w:tcPr>
          <w:p>
            <w:pPr>
              <w:spacing w:after="0"/>
              <w:rPr>
                <w:sz w:val="15"/>
                <w:szCs w:val="15"/>
                <w:color w:val="auto"/>
              </w:rPr>
            </w:pPr>
          </w:p>
        </w:tc>
        <w:tc>
          <w:tcPr>
            <w:tcW w:w="2580" w:type="dxa"/>
            <w:vAlign w:val="bottom"/>
            <w:gridSpan w:val="8"/>
          </w:tcPr>
          <w:p>
            <w:pPr>
              <w:ind w:left="60"/>
              <w:spacing w:after="0" w:line="183" w:lineRule="exact"/>
              <w:rPr>
                <w:sz w:val="20"/>
                <w:szCs w:val="20"/>
                <w:color w:val="auto"/>
              </w:rPr>
            </w:pPr>
            <w:r>
              <w:rPr>
                <w:rFonts w:ascii="Arial" w:cs="Arial" w:eastAsia="Arial" w:hAnsi="Arial"/>
                <w:sz w:val="17"/>
                <w:szCs w:val="17"/>
                <w:color w:val="auto"/>
              </w:rPr>
              <w:t>(Article 21):</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1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321"/>
        </w:trPr>
        <w:tc>
          <w:tcPr>
            <w:tcW w:w="280" w:type="dxa"/>
            <w:vAlign w:val="bottom"/>
          </w:tcPr>
          <w:p>
            <w:pPr>
              <w:spacing w:after="0"/>
              <w:rPr>
                <w:sz w:val="20"/>
                <w:szCs w:val="20"/>
                <w:color w:val="auto"/>
              </w:rPr>
            </w:pPr>
            <w:r>
              <w:rPr>
                <w:rFonts w:ascii="Arial" w:cs="Arial" w:eastAsia="Arial" w:hAnsi="Arial"/>
                <w:sz w:val="17"/>
                <w:szCs w:val="17"/>
                <w:color w:val="auto"/>
              </w:rPr>
              <w:t>8.2</w:t>
            </w:r>
          </w:p>
        </w:tc>
        <w:tc>
          <w:tcPr>
            <w:tcW w:w="2580" w:type="dxa"/>
            <w:vAlign w:val="bottom"/>
            <w:gridSpan w:val="8"/>
          </w:tcPr>
          <w:p>
            <w:pPr>
              <w:ind w:left="60"/>
              <w:spacing w:after="0"/>
              <w:rPr>
                <w:sz w:val="20"/>
                <w:szCs w:val="20"/>
                <w:color w:val="auto"/>
              </w:rPr>
            </w:pPr>
            <w:r>
              <w:rPr>
                <w:rFonts w:ascii="Arial" w:cs="Arial" w:eastAsia="Arial" w:hAnsi="Arial"/>
                <w:sz w:val="17"/>
                <w:szCs w:val="17"/>
                <w:color w:val="auto"/>
              </w:rPr>
              <w:t>Letter of Credit</w:t>
            </w:r>
          </w:p>
        </w:tc>
        <w:tc>
          <w:tcPr>
            <w:tcW w:w="1680" w:type="dxa"/>
            <w:vAlign w:val="bottom"/>
            <w:gridSpan w:val="2"/>
          </w:tcPr>
          <w:p>
            <w:pPr>
              <w:ind w:left="440"/>
              <w:spacing w:after="0"/>
              <w:rPr>
                <w:sz w:val="20"/>
                <w:szCs w:val="20"/>
                <w:color w:val="auto"/>
              </w:rPr>
            </w:pPr>
            <w:r>
              <w:rPr>
                <w:rFonts w:ascii="Arial" w:cs="Arial" w:eastAsia="Arial" w:hAnsi="Arial"/>
                <w:sz w:val="17"/>
                <w:szCs w:val="17"/>
                <w:color w:val="auto"/>
              </w:rPr>
              <w:t>$160,000.00.</w:t>
            </w:r>
          </w:p>
        </w:tc>
        <w:tc>
          <w:tcPr>
            <w:tcW w:w="6100" w:type="dxa"/>
            <w:vAlign w:val="bottom"/>
          </w:tcPr>
          <w:p>
            <w:pPr>
              <w:spacing w:after="0"/>
              <w:rPr>
                <w:sz w:val="24"/>
                <w:szCs w:val="24"/>
                <w:color w:val="auto"/>
              </w:rPr>
            </w:pPr>
          </w:p>
        </w:tc>
      </w:tr>
      <w:tr>
        <w:trPr>
          <w:trHeight w:val="183"/>
        </w:trPr>
        <w:tc>
          <w:tcPr>
            <w:tcW w:w="280" w:type="dxa"/>
            <w:vAlign w:val="bottom"/>
          </w:tcPr>
          <w:p>
            <w:pPr>
              <w:spacing w:after="0"/>
              <w:rPr>
                <w:sz w:val="15"/>
                <w:szCs w:val="15"/>
                <w:color w:val="auto"/>
              </w:rPr>
            </w:pPr>
          </w:p>
        </w:tc>
        <w:tc>
          <w:tcPr>
            <w:tcW w:w="2580" w:type="dxa"/>
            <w:vAlign w:val="bottom"/>
            <w:gridSpan w:val="8"/>
          </w:tcPr>
          <w:p>
            <w:pPr>
              <w:ind w:left="20"/>
              <w:spacing w:after="0" w:line="183" w:lineRule="exact"/>
              <w:rPr>
                <w:sz w:val="20"/>
                <w:szCs w:val="20"/>
                <w:color w:val="auto"/>
              </w:rPr>
            </w:pPr>
            <w:r>
              <w:rPr>
                <w:rFonts w:ascii="Arial" w:cs="Arial" w:eastAsia="Arial" w:hAnsi="Arial"/>
                <w:sz w:val="17"/>
                <w:szCs w:val="17"/>
                <w:color w:val="auto"/>
              </w:rPr>
              <w:t>(Article 22):</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1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7"/>
                <w:szCs w:val="17"/>
                <w:color w:val="auto"/>
              </w:rPr>
              <w:t>9.</w:t>
            </w:r>
          </w:p>
        </w:tc>
        <w:tc>
          <w:tcPr>
            <w:tcW w:w="2580" w:type="dxa"/>
            <w:vAlign w:val="bottom"/>
            <w:gridSpan w:val="8"/>
          </w:tcPr>
          <w:p>
            <w:pPr>
              <w:ind w:left="60"/>
              <w:spacing w:after="0"/>
              <w:rPr>
                <w:sz w:val="20"/>
                <w:szCs w:val="20"/>
                <w:color w:val="auto"/>
              </w:rPr>
            </w:pPr>
            <w:r>
              <w:rPr>
                <w:rFonts w:ascii="Arial" w:cs="Arial" w:eastAsia="Arial" w:hAnsi="Arial"/>
                <w:sz w:val="17"/>
                <w:szCs w:val="17"/>
                <w:color w:val="auto"/>
              </w:rPr>
              <w:t>Parking Pass Ratio</w:t>
            </w:r>
          </w:p>
        </w:tc>
        <w:tc>
          <w:tcPr>
            <w:tcW w:w="7780" w:type="dxa"/>
            <w:vAlign w:val="bottom"/>
            <w:gridSpan w:val="3"/>
          </w:tcPr>
          <w:p>
            <w:pPr>
              <w:ind w:left="440"/>
              <w:spacing w:after="0" w:line="216" w:lineRule="exact"/>
              <w:rPr>
                <w:sz w:val="20"/>
                <w:szCs w:val="20"/>
                <w:color w:val="auto"/>
              </w:rPr>
            </w:pPr>
            <w:r>
              <w:rPr>
                <w:rFonts w:ascii="Arial" w:cs="Arial" w:eastAsia="Arial" w:hAnsi="Arial"/>
                <w:sz w:val="16"/>
                <w:szCs w:val="16"/>
                <w:color w:val="auto"/>
                <w:w w:val="96"/>
              </w:rPr>
              <w:t xml:space="preserve">Three and one-half (3 </w:t>
            </w:r>
            <w:r>
              <w:rPr>
                <w:rFonts w:ascii="Arial" w:cs="Arial" w:eastAsia="Arial" w:hAnsi="Arial"/>
                <w:sz w:val="25"/>
                <w:szCs w:val="25"/>
                <w:color w:val="auto"/>
                <w:w w:val="96"/>
                <w:vertAlign w:val="superscript"/>
              </w:rPr>
              <w:t>1</w:t>
            </w:r>
            <w:r>
              <w:rPr>
                <w:rFonts w:ascii="Arial" w:cs="Arial" w:eastAsia="Arial" w:hAnsi="Arial"/>
                <w:sz w:val="16"/>
                <w:szCs w:val="16"/>
                <w:color w:val="auto"/>
                <w:w w:val="96"/>
              </w:rPr>
              <w:t>⁄</w:t>
            </w:r>
            <w:r>
              <w:rPr>
                <w:rFonts w:ascii="Arial" w:cs="Arial" w:eastAsia="Arial" w:hAnsi="Arial"/>
                <w:sz w:val="25"/>
                <w:szCs w:val="25"/>
                <w:color w:val="auto"/>
                <w:w w:val="96"/>
                <w:vertAlign w:val="subscript"/>
              </w:rPr>
              <w:t>2</w:t>
            </w:r>
            <w:r>
              <w:rPr>
                <w:rFonts w:ascii="Arial" w:cs="Arial" w:eastAsia="Arial" w:hAnsi="Arial"/>
                <w:sz w:val="16"/>
                <w:szCs w:val="16"/>
                <w:color w:val="auto"/>
                <w:w w:val="96"/>
              </w:rPr>
              <w:t>) unreserved parking passes for every 1,000 rentable square feet of the Premises.</w:t>
            </w:r>
          </w:p>
        </w:tc>
      </w:tr>
      <w:tr>
        <w:trPr>
          <w:trHeight w:val="183"/>
        </w:trPr>
        <w:tc>
          <w:tcPr>
            <w:tcW w:w="280" w:type="dxa"/>
            <w:vAlign w:val="bottom"/>
          </w:tcPr>
          <w:p>
            <w:pPr>
              <w:spacing w:after="0"/>
              <w:rPr>
                <w:sz w:val="15"/>
                <w:szCs w:val="15"/>
                <w:color w:val="auto"/>
              </w:rPr>
            </w:pPr>
          </w:p>
        </w:tc>
        <w:tc>
          <w:tcPr>
            <w:tcW w:w="2580" w:type="dxa"/>
            <w:vAlign w:val="bottom"/>
            <w:gridSpan w:val="8"/>
          </w:tcPr>
          <w:p>
            <w:pPr>
              <w:ind w:left="60"/>
              <w:spacing w:after="0" w:line="183" w:lineRule="exact"/>
              <w:rPr>
                <w:sz w:val="20"/>
                <w:szCs w:val="20"/>
                <w:color w:val="auto"/>
              </w:rPr>
            </w:pPr>
            <w:r>
              <w:rPr>
                <w:rFonts w:ascii="Arial" w:cs="Arial" w:eastAsia="Arial" w:hAnsi="Arial"/>
                <w:sz w:val="17"/>
                <w:szCs w:val="17"/>
                <w:color w:val="auto"/>
              </w:rPr>
              <w:t>(Article 28):</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1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321"/>
        </w:trPr>
        <w:tc>
          <w:tcPr>
            <w:tcW w:w="280" w:type="dxa"/>
            <w:vAlign w:val="bottom"/>
          </w:tcPr>
          <w:p>
            <w:pPr>
              <w:spacing w:after="0"/>
              <w:rPr>
                <w:sz w:val="20"/>
                <w:szCs w:val="20"/>
                <w:color w:val="auto"/>
              </w:rPr>
            </w:pPr>
            <w:r>
              <w:rPr>
                <w:rFonts w:ascii="Arial" w:cs="Arial" w:eastAsia="Arial" w:hAnsi="Arial"/>
                <w:sz w:val="17"/>
                <w:szCs w:val="17"/>
                <w:color w:val="auto"/>
              </w:rPr>
              <w:t>10.</w:t>
            </w:r>
          </w:p>
        </w:tc>
        <w:tc>
          <w:tcPr>
            <w:tcW w:w="2580" w:type="dxa"/>
            <w:vAlign w:val="bottom"/>
            <w:gridSpan w:val="8"/>
          </w:tcPr>
          <w:p>
            <w:pPr>
              <w:ind w:left="60"/>
              <w:spacing w:after="0"/>
              <w:rPr>
                <w:sz w:val="20"/>
                <w:szCs w:val="20"/>
                <w:color w:val="auto"/>
              </w:rPr>
            </w:pPr>
            <w:r>
              <w:rPr>
                <w:rFonts w:ascii="Arial" w:cs="Arial" w:eastAsia="Arial" w:hAnsi="Arial"/>
                <w:sz w:val="17"/>
                <w:szCs w:val="17"/>
                <w:color w:val="auto"/>
              </w:rPr>
              <w:t>Address of Tenant</w:t>
            </w: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AnaptysBio, Inc.</w:t>
            </w:r>
          </w:p>
        </w:tc>
      </w:tr>
      <w:tr>
        <w:trPr>
          <w:trHeight w:val="183"/>
        </w:trPr>
        <w:tc>
          <w:tcPr>
            <w:tcW w:w="280" w:type="dxa"/>
            <w:vAlign w:val="bottom"/>
          </w:tcPr>
          <w:p>
            <w:pPr>
              <w:spacing w:after="0"/>
              <w:rPr>
                <w:sz w:val="15"/>
                <w:szCs w:val="15"/>
                <w:color w:val="auto"/>
              </w:rPr>
            </w:pPr>
          </w:p>
        </w:tc>
        <w:tc>
          <w:tcPr>
            <w:tcW w:w="2580" w:type="dxa"/>
            <w:vAlign w:val="bottom"/>
            <w:gridSpan w:val="8"/>
          </w:tcPr>
          <w:p>
            <w:pPr>
              <w:ind w:left="20"/>
              <w:spacing w:after="0" w:line="183" w:lineRule="exact"/>
              <w:rPr>
                <w:sz w:val="20"/>
                <w:szCs w:val="20"/>
                <w:color w:val="auto"/>
              </w:rPr>
            </w:pPr>
            <w:r>
              <w:rPr>
                <w:rFonts w:ascii="Arial" w:cs="Arial" w:eastAsia="Arial" w:hAnsi="Arial"/>
                <w:sz w:val="17"/>
                <w:szCs w:val="17"/>
                <w:color w:val="auto"/>
              </w:rPr>
              <w:t>(Section 29.18):</w:t>
            </w:r>
          </w:p>
        </w:tc>
        <w:tc>
          <w:tcPr>
            <w:tcW w:w="7780" w:type="dxa"/>
            <w:vAlign w:val="bottom"/>
            <w:gridSpan w:val="3"/>
          </w:tcPr>
          <w:p>
            <w:pPr>
              <w:ind w:left="440"/>
              <w:spacing w:after="0" w:line="183" w:lineRule="exact"/>
              <w:rPr>
                <w:sz w:val="20"/>
                <w:szCs w:val="20"/>
                <w:color w:val="auto"/>
              </w:rPr>
            </w:pPr>
            <w:r>
              <w:rPr>
                <w:rFonts w:ascii="Arial" w:cs="Arial" w:eastAsia="Arial" w:hAnsi="Arial"/>
                <w:sz w:val="17"/>
                <w:szCs w:val="17"/>
                <w:color w:val="auto"/>
              </w:rPr>
              <w:t>10835 Road to the Cure, Suite 100</w:t>
            </w:r>
          </w:p>
        </w:tc>
      </w:tr>
      <w:tr>
        <w:trPr>
          <w:trHeight w:val="216"/>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San Diego, California 92121</w:t>
            </w:r>
          </w:p>
        </w:tc>
      </w:tr>
      <w:tr>
        <w:trPr>
          <w:trHeight w:val="210"/>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Attention: Chairman and CEO</w:t>
            </w:r>
          </w:p>
        </w:tc>
      </w:tr>
      <w:tr>
        <w:trPr>
          <w:trHeight w:val="222"/>
        </w:trPr>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Prior to Lease Commencement Date</w:t>
            </w:r>
            <w:r>
              <w:rPr>
                <w:rFonts w:ascii="Arial" w:cs="Arial" w:eastAsia="Arial" w:hAnsi="Arial"/>
                <w:sz w:val="17"/>
                <w:szCs w:val="17"/>
                <w:color w:val="auto"/>
              </w:rPr>
              <w:t>)</w:t>
            </w:r>
          </w:p>
        </w:tc>
      </w:tr>
      <w:tr>
        <w:trPr>
          <w:trHeight w:val="315"/>
        </w:trPr>
        <w:tc>
          <w:tcPr>
            <w:tcW w:w="280" w:type="dxa"/>
            <w:vAlign w:val="bottom"/>
          </w:tcPr>
          <w:p>
            <w:pPr>
              <w:spacing w:after="0"/>
              <w:rPr>
                <w:sz w:val="20"/>
                <w:szCs w:val="20"/>
                <w:color w:val="auto"/>
              </w:rPr>
            </w:pPr>
            <w:r>
              <w:rPr>
                <w:rFonts w:ascii="Arial" w:cs="Arial" w:eastAsia="Arial" w:hAnsi="Arial"/>
                <w:sz w:val="17"/>
                <w:szCs w:val="17"/>
                <w:color w:val="auto"/>
                <w:w w:val="91"/>
              </w:rPr>
              <w:t>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AnaptysBio, Inc.</w:t>
            </w:r>
          </w:p>
        </w:tc>
      </w:tr>
      <w:tr>
        <w:trPr>
          <w:trHeight w:val="210"/>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10421 Pacific Center Court, Suite 200</w:t>
            </w:r>
          </w:p>
        </w:tc>
      </w:tr>
      <w:tr>
        <w:trPr>
          <w:trHeight w:val="210"/>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San Diego, California 92121</w:t>
            </w:r>
          </w:p>
        </w:tc>
      </w:tr>
      <w:tr>
        <w:trPr>
          <w:trHeight w:val="210"/>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Attention: Chairman and CEO</w:t>
            </w:r>
          </w:p>
        </w:tc>
      </w:tr>
      <w:tr>
        <w:trPr>
          <w:trHeight w:val="222"/>
        </w:trPr>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After Lease Commencement Date</w:t>
            </w:r>
            <w:r>
              <w:rPr>
                <w:rFonts w:ascii="Arial" w:cs="Arial" w:eastAsia="Arial" w:hAnsi="Arial"/>
                <w:sz w:val="17"/>
                <w:szCs w:val="17"/>
                <w:color w:val="auto"/>
              </w:rPr>
              <w:t>)</w:t>
            </w:r>
          </w:p>
        </w:tc>
      </w:tr>
      <w:tr>
        <w:trPr>
          <w:trHeight w:val="288"/>
        </w:trPr>
        <w:tc>
          <w:tcPr>
            <w:tcW w:w="280" w:type="dxa"/>
            <w:vAlign w:val="bottom"/>
          </w:tcPr>
          <w:p>
            <w:pPr>
              <w:spacing w:after="0"/>
              <w:rPr>
                <w:sz w:val="20"/>
                <w:szCs w:val="20"/>
                <w:color w:val="auto"/>
              </w:rPr>
            </w:pPr>
            <w:r>
              <w:rPr>
                <w:rFonts w:ascii="Arial" w:cs="Arial" w:eastAsia="Arial" w:hAnsi="Arial"/>
                <w:sz w:val="17"/>
                <w:szCs w:val="17"/>
                <w:color w:val="auto"/>
              </w:rPr>
              <w:t>11.</w:t>
            </w:r>
          </w:p>
        </w:tc>
        <w:tc>
          <w:tcPr>
            <w:tcW w:w="2580" w:type="dxa"/>
            <w:vAlign w:val="bottom"/>
            <w:gridSpan w:val="8"/>
          </w:tcPr>
          <w:p>
            <w:pPr>
              <w:ind w:left="40"/>
              <w:spacing w:after="0"/>
              <w:rPr>
                <w:sz w:val="20"/>
                <w:szCs w:val="20"/>
                <w:color w:val="auto"/>
              </w:rPr>
            </w:pPr>
            <w:r>
              <w:rPr>
                <w:rFonts w:ascii="Arial" w:cs="Arial" w:eastAsia="Arial" w:hAnsi="Arial"/>
                <w:sz w:val="17"/>
                <w:szCs w:val="17"/>
                <w:color w:val="auto"/>
              </w:rPr>
              <w:t>Address of Landlord</w:t>
            </w: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See Section 29.18 of the Lease.</w:t>
            </w:r>
          </w:p>
        </w:tc>
      </w:tr>
      <w:tr>
        <w:trPr>
          <w:trHeight w:val="190"/>
        </w:trPr>
        <w:tc>
          <w:tcPr>
            <w:tcW w:w="280" w:type="dxa"/>
            <w:vAlign w:val="bottom"/>
          </w:tcPr>
          <w:p>
            <w:pPr>
              <w:spacing w:after="0"/>
              <w:rPr>
                <w:sz w:val="16"/>
                <w:szCs w:val="16"/>
                <w:color w:val="auto"/>
              </w:rPr>
            </w:pPr>
          </w:p>
        </w:tc>
        <w:tc>
          <w:tcPr>
            <w:tcW w:w="2580" w:type="dxa"/>
            <w:vAlign w:val="bottom"/>
            <w:gridSpan w:val="8"/>
          </w:tcPr>
          <w:p>
            <w:pPr>
              <w:ind w:left="60"/>
              <w:spacing w:after="0" w:line="189" w:lineRule="exact"/>
              <w:rPr>
                <w:sz w:val="20"/>
                <w:szCs w:val="20"/>
                <w:color w:val="auto"/>
              </w:rPr>
            </w:pPr>
            <w:r>
              <w:rPr>
                <w:rFonts w:ascii="Arial" w:cs="Arial" w:eastAsia="Arial" w:hAnsi="Arial"/>
                <w:sz w:val="17"/>
                <w:szCs w:val="17"/>
                <w:color w:val="auto"/>
              </w:rPr>
              <w:t>(Section 29.18):</w:t>
            </w:r>
          </w:p>
        </w:tc>
        <w:tc>
          <w:tcPr>
            <w:tcW w:w="7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10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321"/>
        </w:trPr>
        <w:tc>
          <w:tcPr>
            <w:tcW w:w="280" w:type="dxa"/>
            <w:vAlign w:val="bottom"/>
          </w:tcPr>
          <w:p>
            <w:pPr>
              <w:spacing w:after="0"/>
              <w:rPr>
                <w:sz w:val="20"/>
                <w:szCs w:val="20"/>
                <w:color w:val="auto"/>
              </w:rPr>
            </w:pPr>
            <w:r>
              <w:rPr>
                <w:rFonts w:ascii="Arial" w:cs="Arial" w:eastAsia="Arial" w:hAnsi="Arial"/>
                <w:sz w:val="17"/>
                <w:szCs w:val="17"/>
                <w:color w:val="auto"/>
              </w:rPr>
              <w:t>12.</w:t>
            </w:r>
          </w:p>
        </w:tc>
        <w:tc>
          <w:tcPr>
            <w:tcW w:w="2580" w:type="dxa"/>
            <w:vAlign w:val="bottom"/>
            <w:gridSpan w:val="8"/>
          </w:tcPr>
          <w:p>
            <w:pPr>
              <w:ind w:left="60"/>
              <w:spacing w:after="0"/>
              <w:rPr>
                <w:sz w:val="20"/>
                <w:szCs w:val="20"/>
                <w:color w:val="auto"/>
              </w:rPr>
            </w:pPr>
            <w:r>
              <w:rPr>
                <w:rFonts w:ascii="Arial" w:cs="Arial" w:eastAsia="Arial" w:hAnsi="Arial"/>
                <w:sz w:val="17"/>
                <w:szCs w:val="17"/>
                <w:color w:val="auto"/>
              </w:rPr>
              <w:t>Broker(s)</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183"/>
        </w:trPr>
        <w:tc>
          <w:tcPr>
            <w:tcW w:w="280" w:type="dxa"/>
            <w:vAlign w:val="bottom"/>
          </w:tcPr>
          <w:p>
            <w:pPr>
              <w:spacing w:after="0"/>
              <w:rPr>
                <w:sz w:val="15"/>
                <w:szCs w:val="15"/>
                <w:color w:val="auto"/>
              </w:rPr>
            </w:pPr>
          </w:p>
        </w:tc>
        <w:tc>
          <w:tcPr>
            <w:tcW w:w="2580" w:type="dxa"/>
            <w:vAlign w:val="bottom"/>
            <w:gridSpan w:val="8"/>
          </w:tcPr>
          <w:p>
            <w:pPr>
              <w:ind w:left="20"/>
              <w:spacing w:after="0" w:line="183" w:lineRule="exact"/>
              <w:rPr>
                <w:sz w:val="20"/>
                <w:szCs w:val="20"/>
                <w:color w:val="auto"/>
              </w:rPr>
            </w:pPr>
            <w:r>
              <w:rPr>
                <w:rFonts w:ascii="Arial" w:cs="Arial" w:eastAsia="Arial" w:hAnsi="Arial"/>
                <w:sz w:val="17"/>
                <w:szCs w:val="17"/>
                <w:color w:val="auto"/>
              </w:rPr>
              <w:t>(Section 29.24):</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100" w:type="dxa"/>
            <w:vAlign w:val="bottom"/>
          </w:tcPr>
          <w:p>
            <w:pPr>
              <w:spacing w:after="0"/>
              <w:rPr>
                <w:sz w:val="15"/>
                <w:szCs w:val="15"/>
                <w:color w:val="auto"/>
              </w:rPr>
            </w:pPr>
          </w:p>
        </w:tc>
      </w:tr>
      <w:tr>
        <w:trPr>
          <w:trHeight w:val="20"/>
        </w:trPr>
        <w:tc>
          <w:tcPr>
            <w:tcW w:w="380" w:type="dxa"/>
            <w:vAlign w:val="bottom"/>
            <w:gridSpan w:val="3"/>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r>
      <w:tr>
        <w:trPr>
          <w:trHeight w:val="333"/>
        </w:trPr>
        <w:tc>
          <w:tcPr>
            <w:tcW w:w="2860" w:type="dxa"/>
            <w:vAlign w:val="bottom"/>
            <w:gridSpan w:val="9"/>
          </w:tcPr>
          <w:p>
            <w:pPr>
              <w:spacing w:after="0"/>
              <w:rPr>
                <w:sz w:val="20"/>
                <w:szCs w:val="20"/>
                <w:color w:val="auto"/>
              </w:rPr>
            </w:pPr>
            <w:r>
              <w:rPr>
                <w:rFonts w:ascii="Arial" w:cs="Arial" w:eastAsia="Arial" w:hAnsi="Arial"/>
                <w:sz w:val="17"/>
                <w:szCs w:val="17"/>
                <w:i w:val="1"/>
                <w:iCs w:val="1"/>
                <w:color w:val="auto"/>
              </w:rPr>
              <w:t>Representing Tenant:</w:t>
            </w:r>
          </w:p>
        </w:tc>
        <w:tc>
          <w:tcPr>
            <w:tcW w:w="7780" w:type="dxa"/>
            <w:vAlign w:val="bottom"/>
            <w:gridSpan w:val="3"/>
          </w:tcPr>
          <w:p>
            <w:pPr>
              <w:ind w:left="440"/>
              <w:spacing w:after="0"/>
              <w:rPr>
                <w:sz w:val="20"/>
                <w:szCs w:val="20"/>
                <w:color w:val="auto"/>
              </w:rPr>
            </w:pPr>
            <w:r>
              <w:rPr>
                <w:rFonts w:ascii="Arial" w:cs="Arial" w:eastAsia="Arial" w:hAnsi="Arial"/>
                <w:sz w:val="17"/>
                <w:szCs w:val="17"/>
                <w:i w:val="1"/>
                <w:iCs w:val="1"/>
                <w:color w:val="auto"/>
              </w:rPr>
              <w:t>Representing Landlord:</w:t>
            </w:r>
          </w:p>
        </w:tc>
      </w:tr>
      <w:tr>
        <w:trPr>
          <w:trHeight w:val="314"/>
        </w:trPr>
        <w:tc>
          <w:tcPr>
            <w:tcW w:w="2860" w:type="dxa"/>
            <w:vAlign w:val="bottom"/>
            <w:gridSpan w:val="9"/>
          </w:tcPr>
          <w:p>
            <w:pPr>
              <w:spacing w:after="0"/>
              <w:rPr>
                <w:sz w:val="20"/>
                <w:szCs w:val="20"/>
                <w:color w:val="auto"/>
              </w:rPr>
            </w:pPr>
            <w:r>
              <w:rPr>
                <w:rFonts w:ascii="Arial" w:cs="Arial" w:eastAsia="Arial" w:hAnsi="Arial"/>
                <w:sz w:val="17"/>
                <w:szCs w:val="17"/>
                <w:color w:val="auto"/>
              </w:rPr>
              <w:t xml:space="preserve">Irving Hughes </w:t>
            </w:r>
            <w:r>
              <w:rPr>
                <w:rFonts w:ascii="Arial" w:cs="Arial" w:eastAsia="Arial" w:hAnsi="Arial"/>
                <w:sz w:val="17"/>
                <w:szCs w:val="17"/>
                <w:i w:val="1"/>
                <w:iCs w:val="1"/>
                <w:color w:val="auto"/>
              </w:rPr>
              <w:t>and</w:t>
            </w:r>
            <w:r>
              <w:rPr>
                <w:rFonts w:ascii="Arial" w:cs="Arial" w:eastAsia="Arial" w:hAnsi="Arial"/>
                <w:sz w:val="17"/>
                <w:szCs w:val="17"/>
                <w:color w:val="auto"/>
              </w:rPr>
              <w:t xml:space="preserve"> Hughes Marino</w:t>
            </w: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rPr>
              <w:t>Colliers International</w:t>
            </w:r>
          </w:p>
        </w:tc>
      </w:tr>
      <w:tr>
        <w:trPr>
          <w:trHeight w:val="296"/>
        </w:trPr>
        <w:tc>
          <w:tcPr>
            <w:tcW w:w="280" w:type="dxa"/>
            <w:vAlign w:val="bottom"/>
          </w:tcPr>
          <w:p>
            <w:pPr>
              <w:spacing w:after="0"/>
              <w:rPr>
                <w:sz w:val="20"/>
                <w:szCs w:val="20"/>
                <w:color w:val="auto"/>
              </w:rPr>
            </w:pPr>
            <w:r>
              <w:rPr>
                <w:rFonts w:ascii="Arial" w:cs="Arial" w:eastAsia="Arial" w:hAnsi="Arial"/>
                <w:sz w:val="17"/>
                <w:szCs w:val="17"/>
                <w:color w:val="auto"/>
              </w:rPr>
              <w:t>13.</w:t>
            </w:r>
          </w:p>
        </w:tc>
        <w:tc>
          <w:tcPr>
            <w:tcW w:w="2580" w:type="dxa"/>
            <w:vAlign w:val="bottom"/>
            <w:gridSpan w:val="8"/>
          </w:tcPr>
          <w:p>
            <w:pPr>
              <w:ind w:left="60"/>
              <w:spacing w:after="0"/>
              <w:rPr>
                <w:sz w:val="20"/>
                <w:szCs w:val="20"/>
                <w:color w:val="auto"/>
              </w:rPr>
            </w:pPr>
            <w:r>
              <w:rPr>
                <w:rFonts w:ascii="Arial" w:cs="Arial" w:eastAsia="Arial" w:hAnsi="Arial"/>
                <w:sz w:val="17"/>
                <w:szCs w:val="17"/>
                <w:color w:val="auto"/>
              </w:rPr>
              <w:t>Improvement Allowance</w:t>
            </w:r>
          </w:p>
        </w:tc>
        <w:tc>
          <w:tcPr>
            <w:tcW w:w="7780" w:type="dxa"/>
            <w:vAlign w:val="bottom"/>
            <w:gridSpan w:val="3"/>
          </w:tcPr>
          <w:p>
            <w:pPr>
              <w:ind w:left="440"/>
              <w:spacing w:after="0"/>
              <w:rPr>
                <w:sz w:val="20"/>
                <w:szCs w:val="20"/>
                <w:color w:val="auto"/>
              </w:rPr>
            </w:pPr>
            <w:r>
              <w:rPr>
                <w:rFonts w:ascii="Arial" w:cs="Arial" w:eastAsia="Arial" w:hAnsi="Arial"/>
                <w:sz w:val="17"/>
                <w:szCs w:val="17"/>
                <w:color w:val="auto"/>
                <w:w w:val="94"/>
              </w:rPr>
              <w:t>$328,848.00 (</w:t>
            </w:r>
            <w:r>
              <w:rPr>
                <w:rFonts w:ascii="Arial" w:cs="Arial" w:eastAsia="Arial" w:hAnsi="Arial"/>
                <w:sz w:val="17"/>
                <w:szCs w:val="17"/>
                <w:i w:val="1"/>
                <w:iCs w:val="1"/>
                <w:color w:val="auto"/>
                <w:w w:val="94"/>
              </w:rPr>
              <w:t>i.e</w:t>
            </w:r>
            <w:r>
              <w:rPr>
                <w:rFonts w:ascii="Arial" w:cs="Arial" w:eastAsia="Arial" w:hAnsi="Arial"/>
                <w:sz w:val="17"/>
                <w:szCs w:val="17"/>
                <w:color w:val="auto"/>
                <w:w w:val="94"/>
              </w:rPr>
              <w:t>., Thirteen and No/100 Dollars ($13.00) for each rentable square foot of the Premises).</w:t>
            </w:r>
          </w:p>
        </w:tc>
      </w:tr>
      <w:tr>
        <w:trPr>
          <w:trHeight w:val="189"/>
        </w:trPr>
        <w:tc>
          <w:tcPr>
            <w:tcW w:w="280" w:type="dxa"/>
            <w:vAlign w:val="bottom"/>
          </w:tcPr>
          <w:p>
            <w:pPr>
              <w:spacing w:after="0"/>
              <w:rPr>
                <w:sz w:val="16"/>
                <w:szCs w:val="16"/>
                <w:color w:val="auto"/>
              </w:rPr>
            </w:pPr>
          </w:p>
        </w:tc>
        <w:tc>
          <w:tcPr>
            <w:tcW w:w="2580" w:type="dxa"/>
            <w:vAlign w:val="bottom"/>
            <w:gridSpan w:val="8"/>
          </w:tcPr>
          <w:p>
            <w:pPr>
              <w:ind w:left="20"/>
              <w:spacing w:after="0" w:line="189" w:lineRule="exact"/>
              <w:rPr>
                <w:sz w:val="20"/>
                <w:szCs w:val="20"/>
                <w:color w:val="auto"/>
              </w:rPr>
            </w:pPr>
            <w:r>
              <w:rPr>
                <w:rFonts w:ascii="Arial" w:cs="Arial" w:eastAsia="Arial" w:hAnsi="Arial"/>
                <w:sz w:val="17"/>
                <w:szCs w:val="17"/>
                <w:color w:val="auto"/>
              </w:rPr>
              <w:t xml:space="preserve">(Section 2 of </w:t>
            </w:r>
            <w:r>
              <w:rPr>
                <w:rFonts w:ascii="Arial" w:cs="Arial" w:eastAsia="Arial" w:hAnsi="Arial"/>
                <w:sz w:val="17"/>
                <w:szCs w:val="17"/>
                <w:b w:val="1"/>
                <w:bCs w:val="1"/>
                <w:color w:val="auto"/>
              </w:rPr>
              <w:t>Exhibit B</w:t>
            </w: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100" w:type="dxa"/>
            <w:vAlign w:val="bottom"/>
          </w:tcPr>
          <w:p>
            <w:pPr>
              <w:spacing w:after="0"/>
              <w:rPr>
                <w:sz w:val="16"/>
                <w:szCs w:val="16"/>
                <w:color w:val="auto"/>
              </w:rPr>
            </w:pPr>
          </w:p>
        </w:tc>
      </w:tr>
      <w:tr>
        <w:trPr>
          <w:trHeight w:val="372"/>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780" w:type="dxa"/>
            <w:vAlign w:val="bottom"/>
            <w:gridSpan w:val="3"/>
          </w:tcPr>
          <w:p>
            <w:pPr>
              <w:ind w:left="2440"/>
              <w:spacing w:after="0"/>
              <w:rPr>
                <w:sz w:val="20"/>
                <w:szCs w:val="20"/>
                <w:color w:val="auto"/>
              </w:rPr>
            </w:pPr>
            <w:r>
              <w:rPr>
                <w:rFonts w:ascii="Arial" w:cs="Arial" w:eastAsia="Arial" w:hAnsi="Arial"/>
                <w:sz w:val="17"/>
                <w:szCs w:val="17"/>
                <w:color w:val="auto"/>
              </w:rPr>
              <w:t>3</w:t>
            </w:r>
          </w:p>
        </w:tc>
      </w:tr>
    </w:tbl>
    <w:p>
      <w:pPr>
        <w:sectPr>
          <w:pgSz w:w="11900" w:h="16838" w:orient="portrait"/>
          <w:cols w:equalWidth="0" w:num="1">
            <w:col w:w="11015"/>
          </w:cols>
          <w:pgMar w:left="245" w:top="376" w:right="63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1</w:t>
      </w:r>
    </w:p>
    <w:p>
      <w:pPr>
        <w:spacing w:after="0" w:line="224" w:lineRule="exact"/>
        <w:rPr>
          <w:sz w:val="20"/>
          <w:szCs w:val="20"/>
          <w:color w:val="auto"/>
        </w:rPr>
      </w:pPr>
    </w:p>
    <w:p>
      <w:pPr>
        <w:ind w:left="3340"/>
        <w:spacing w:after="0"/>
        <w:rPr>
          <w:sz w:val="20"/>
          <w:szCs w:val="20"/>
          <w:color w:val="auto"/>
        </w:rPr>
      </w:pPr>
      <w:r>
        <w:rPr>
          <w:rFonts w:ascii="Arial" w:cs="Arial" w:eastAsia="Arial" w:hAnsi="Arial"/>
          <w:sz w:val="17"/>
          <w:szCs w:val="17"/>
          <w:b w:val="1"/>
          <w:bCs w:val="1"/>
          <w:u w:val="single" w:color="auto"/>
          <w:color w:val="auto"/>
        </w:rPr>
        <w:t>PREMISES, BUILDING, PROJECT, AND COMMON AREAS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u w:val="single" w:color="auto"/>
          <w:color w:val="auto"/>
        </w:rPr>
        <w:t>Premises, Building, Project and Common Areas</w:t>
      </w:r>
      <w:r>
        <w:rPr>
          <w:rFonts w:ascii="Arial" w:cs="Arial" w:eastAsia="Arial" w:hAnsi="Arial"/>
          <w:sz w:val="17"/>
          <w:szCs w:val="17"/>
          <w:u w:val="single" w:color="auto"/>
          <w:color w:val="auto"/>
        </w:rPr>
        <w:t>.</w:t>
      </w:r>
    </w:p>
    <w:p>
      <w:pPr>
        <w:spacing w:after="0" w:line="119" w:lineRule="exact"/>
        <w:rPr>
          <w:sz w:val="20"/>
          <w:szCs w:val="20"/>
          <w:color w:val="auto"/>
        </w:rPr>
      </w:pPr>
    </w:p>
    <w:p>
      <w:pPr>
        <w:ind w:right="20" w:firstLine="913"/>
        <w:spacing w:after="0" w:line="293"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b w:val="1"/>
          <w:bCs w:val="1"/>
          <w:u w:val="single" w:color="auto"/>
          <w:color w:val="auto"/>
        </w:rPr>
        <w:t>The Premises</w:t>
      </w:r>
      <w:r>
        <w:rPr>
          <w:rFonts w:ascii="Arial" w:cs="Arial" w:eastAsia="Arial" w:hAnsi="Arial"/>
          <w:sz w:val="15"/>
          <w:szCs w:val="15"/>
          <w:color w:val="auto"/>
        </w:rPr>
        <w:t xml:space="preserve">. Landlord hereby leases to Tenant and Tenant hereby leases from Landlord the premises set forth in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of the Summary (the “</w:t>
      </w:r>
      <w:r>
        <w:rPr>
          <w:rFonts w:ascii="Arial" w:cs="Arial" w:eastAsia="Arial" w:hAnsi="Arial"/>
          <w:sz w:val="15"/>
          <w:szCs w:val="15"/>
          <w:b w:val="1"/>
          <w:bCs w:val="1"/>
          <w:color w:val="auto"/>
        </w:rPr>
        <w:t>Premises</w:t>
      </w:r>
      <w:r>
        <w:rPr>
          <w:rFonts w:ascii="Arial" w:cs="Arial" w:eastAsia="Arial" w:hAnsi="Arial"/>
          <w:sz w:val="15"/>
          <w:szCs w:val="15"/>
          <w:color w:val="auto"/>
        </w:rPr>
        <w:t xml:space="preserve">”). The outline of the Premises is set forth in </w:t>
      </w: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 xml:space="preserve"> attached hereto and contains approximately the number of rentable square feet as set forth in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of the Summary. The parties hereto agree that the lease of the Premises is upon and subject to the terms, covenants and conditions (the “</w:t>
      </w:r>
      <w:r>
        <w:rPr>
          <w:rFonts w:ascii="Arial" w:cs="Arial" w:eastAsia="Arial" w:hAnsi="Arial"/>
          <w:sz w:val="15"/>
          <w:szCs w:val="15"/>
          <w:b w:val="1"/>
          <w:bCs w:val="1"/>
          <w:color w:val="auto"/>
        </w:rPr>
        <w:t>TCCs</w:t>
      </w:r>
      <w:r>
        <w:rPr>
          <w:rFonts w:ascii="Arial" w:cs="Arial" w:eastAsia="Arial" w:hAnsi="Arial"/>
          <w:sz w:val="15"/>
          <w:szCs w:val="15"/>
          <w:color w:val="auto"/>
        </w:rPr>
        <w:t xml:space="preserve">”) herein set forth, and Tenant covenants as a material part of the consideration for this Lease to keep and perform each and all of such TCCs by it to be kept and performed and that this Lease is made upon the condition of such performance. The parties hereto hereby acknowledge that the purpose of </w:t>
      </w: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 xml:space="preserve"> is to show the approximate location of the Premises in the “</w:t>
      </w:r>
      <w:r>
        <w:rPr>
          <w:rFonts w:ascii="Arial" w:cs="Arial" w:eastAsia="Arial" w:hAnsi="Arial"/>
          <w:sz w:val="15"/>
          <w:szCs w:val="15"/>
          <w:b w:val="1"/>
          <w:bCs w:val="1"/>
          <w:color w:val="auto"/>
        </w:rPr>
        <w:t>Building</w:t>
      </w:r>
      <w:r>
        <w:rPr>
          <w:rFonts w:ascii="Arial" w:cs="Arial" w:eastAsia="Arial" w:hAnsi="Arial"/>
          <w:sz w:val="15"/>
          <w:szCs w:val="15"/>
          <w:color w:val="auto"/>
        </w:rPr>
        <w:t xml:space="preserve">,” as that term is defined in </w:t>
      </w:r>
      <w:r>
        <w:rPr>
          <w:rFonts w:ascii="Arial" w:cs="Arial" w:eastAsia="Arial" w:hAnsi="Arial"/>
          <w:sz w:val="15"/>
          <w:szCs w:val="15"/>
          <w:u w:val="single" w:color="auto"/>
          <w:color w:val="auto"/>
        </w:rPr>
        <w:t>Section 1.1.2</w:t>
      </w:r>
      <w:r>
        <w:rPr>
          <w:rFonts w:ascii="Arial" w:cs="Arial" w:eastAsia="Arial" w:hAnsi="Arial"/>
          <w:sz w:val="15"/>
          <w:szCs w:val="15"/>
          <w:color w:val="auto"/>
        </w:rPr>
        <w:t>, below, only, and such Exhibit is not meant to constitute an agreement, representation or warranty as to the construction of the Premises, the precise area thereof or the specific location of the “</w:t>
      </w:r>
      <w:r>
        <w:rPr>
          <w:rFonts w:ascii="Arial" w:cs="Arial" w:eastAsia="Arial" w:hAnsi="Arial"/>
          <w:sz w:val="15"/>
          <w:szCs w:val="15"/>
          <w:b w:val="1"/>
          <w:bCs w:val="1"/>
          <w:color w:val="auto"/>
        </w:rPr>
        <w:t>Common Areas</w:t>
      </w:r>
      <w:r>
        <w:rPr>
          <w:rFonts w:ascii="Arial" w:cs="Arial" w:eastAsia="Arial" w:hAnsi="Arial"/>
          <w:sz w:val="15"/>
          <w:szCs w:val="15"/>
          <w:color w:val="auto"/>
        </w:rPr>
        <w:t xml:space="preserve">,” as that term is defined in </w:t>
      </w:r>
      <w:r>
        <w:rPr>
          <w:rFonts w:ascii="Arial" w:cs="Arial" w:eastAsia="Arial" w:hAnsi="Arial"/>
          <w:sz w:val="15"/>
          <w:szCs w:val="15"/>
          <w:u w:val="single" w:color="auto"/>
          <w:color w:val="auto"/>
        </w:rPr>
        <w:t>Section 1.1.3</w:t>
      </w:r>
      <w:r>
        <w:rPr>
          <w:rFonts w:ascii="Arial" w:cs="Arial" w:eastAsia="Arial" w:hAnsi="Arial"/>
          <w:sz w:val="15"/>
          <w:szCs w:val="15"/>
          <w:color w:val="auto"/>
        </w:rPr>
        <w:t>, below, or the elements thereof or of the accessways to the Premises or the “</w:t>
      </w:r>
      <w:r>
        <w:rPr>
          <w:rFonts w:ascii="Arial" w:cs="Arial" w:eastAsia="Arial" w:hAnsi="Arial"/>
          <w:sz w:val="15"/>
          <w:szCs w:val="15"/>
          <w:b w:val="1"/>
          <w:bCs w:val="1"/>
          <w:color w:val="auto"/>
        </w:rPr>
        <w:t>Project</w:t>
      </w:r>
      <w:r>
        <w:rPr>
          <w:rFonts w:ascii="Arial" w:cs="Arial" w:eastAsia="Arial" w:hAnsi="Arial"/>
          <w:sz w:val="15"/>
          <w:szCs w:val="15"/>
          <w:color w:val="auto"/>
        </w:rPr>
        <w:t xml:space="preserve">,” as that term is defined in </w:t>
      </w:r>
      <w:r>
        <w:rPr>
          <w:rFonts w:ascii="Arial" w:cs="Arial" w:eastAsia="Arial" w:hAnsi="Arial"/>
          <w:sz w:val="15"/>
          <w:szCs w:val="15"/>
          <w:u w:val="single" w:color="auto"/>
          <w:color w:val="auto"/>
        </w:rPr>
        <w:t>Section 1.1.2</w:t>
      </w:r>
      <w:r>
        <w:rPr>
          <w:rFonts w:ascii="Arial" w:cs="Arial" w:eastAsia="Arial" w:hAnsi="Arial"/>
          <w:sz w:val="15"/>
          <w:szCs w:val="15"/>
          <w:color w:val="auto"/>
        </w:rPr>
        <w:t xml:space="preserve">, below. Except as specifically set forth in this Lease and in the Work Letter attached hereto as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xml:space="preserve"> (the “</w:t>
      </w:r>
      <w:r>
        <w:rPr>
          <w:rFonts w:ascii="Arial" w:cs="Arial" w:eastAsia="Arial" w:hAnsi="Arial"/>
          <w:sz w:val="15"/>
          <w:szCs w:val="15"/>
          <w:b w:val="1"/>
          <w:bCs w:val="1"/>
          <w:color w:val="auto"/>
        </w:rPr>
        <w:t>Work Letter</w:t>
      </w:r>
      <w:r>
        <w:rPr>
          <w:rFonts w:ascii="Arial" w:cs="Arial" w:eastAsia="Arial" w:hAnsi="Arial"/>
          <w:sz w:val="15"/>
          <w:szCs w:val="15"/>
          <w:color w:val="auto"/>
        </w:rPr>
        <w:t>”),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Work Letter. The taking of possession of the Premises by Tenant shall conclusively establish that the Premises and the Building were at such time in good and sanitary order, condition and repair, subject only to</w:t>
      </w:r>
    </w:p>
    <w:p>
      <w:pPr>
        <w:spacing w:after="0" w:line="4" w:lineRule="exact"/>
        <w:rPr>
          <w:sz w:val="20"/>
          <w:szCs w:val="20"/>
          <w:color w:val="auto"/>
        </w:rPr>
      </w:pPr>
    </w:p>
    <w:p>
      <w:pPr>
        <w:ind w:firstLine="5"/>
        <w:spacing w:after="0" w:line="276" w:lineRule="auto"/>
        <w:tabs>
          <w:tab w:leader="none" w:pos="20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Landlord’s obligations under the Work Letter with respect to a list of punchlist items prepared by Landlord and Tenant in accordance therewith, (ii) latent defects as well as defects in the mechanical, electrical and plumbing systems brought to Landlord’s attention in writing within one (1) year following Landlord’s delivery of the Premises to Tenant, (iii) Landlord’s obligations set forth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this Lease, (iv) Landlord’s obligations set forth in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of this Lease, and (v) Landlord’s obligations set forth in Section </w:t>
      </w:r>
      <w:r>
        <w:rPr>
          <w:rFonts w:ascii="Arial" w:cs="Arial" w:eastAsia="Arial" w:hAnsi="Arial"/>
          <w:sz w:val="16"/>
          <w:szCs w:val="16"/>
          <w:u w:val="single" w:color="auto"/>
          <w:color w:val="auto"/>
        </w:rPr>
        <w:t>29.33</w:t>
      </w:r>
      <w:r>
        <w:rPr>
          <w:rFonts w:ascii="Arial" w:cs="Arial" w:eastAsia="Arial" w:hAnsi="Arial"/>
          <w:sz w:val="16"/>
          <w:szCs w:val="16"/>
          <w:color w:val="auto"/>
        </w:rPr>
        <w:t xml:space="preserve"> of this Lease. To the actual knowledge of Mrs. Kathleen Bristol (Landlord’s Asset Manager with respect to the Project), Mr. Brian Galligan (Landlord’s Vice President of Asset Management) and Ms. Theresa Amos (Property Manager of the Building), without any duty of investigation or any duty of inquiry, Landlord has not, as of the Effective Date, received from any applicable governmental agency any written notice (a “</w:t>
      </w:r>
      <w:r>
        <w:rPr>
          <w:rFonts w:ascii="Arial" w:cs="Arial" w:eastAsia="Arial" w:hAnsi="Arial"/>
          <w:sz w:val="16"/>
          <w:szCs w:val="16"/>
          <w:b w:val="1"/>
          <w:bCs w:val="1"/>
          <w:color w:val="auto"/>
        </w:rPr>
        <w:t>Violation Notice</w:t>
      </w:r>
      <w:r>
        <w:rPr>
          <w:rFonts w:ascii="Arial" w:cs="Arial" w:eastAsia="Arial" w:hAnsi="Arial"/>
          <w:sz w:val="16"/>
          <w:szCs w:val="16"/>
          <w:color w:val="auto"/>
        </w:rPr>
        <w:t>”) of violation or violations (or claim thereof) relating to Applicable Laws, or applicable zoning, ordinances, building codes or CC&amp;Rs with regard to the Premises or the Building existing as of the Effective Date; provided, however, the foregoing representation does not apply with respect to any alterations, additions or improvements made (or to be made) by Tenant. Landlord represents and warrants that, as of the Effective Date and as it pertains to Landlord’s organization, the three (3) individuals listed above are the suitable individuals as it relates to knowledge of the Premises. If Landlord receives any Violation Notice at any time after the Effective Date, Landlord shall promptly deliver a copy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65" w:right="259" w:bottom="1440" w:gutter="0" w:footer="0" w:header="0"/>
        </w:sectPr>
      </w:pPr>
    </w:p>
    <w:bookmarkStart w:id="242" w:name="page243"/>
    <w:bookmarkEnd w:id="242"/>
    <w:p>
      <w:pPr>
        <w:ind w:right="4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such Violation Notice to Tenant. In the event of a conflict between the terms set forth in the Summary and the TCCs of the body of this Lease, the latter shall control.</w:t>
      </w:r>
    </w:p>
    <w:p>
      <w:pPr>
        <w:spacing w:after="0" w:line="47" w:lineRule="exact"/>
        <w:rPr>
          <w:sz w:val="20"/>
          <w:szCs w:val="20"/>
          <w:color w:val="auto"/>
        </w:rPr>
      </w:pPr>
    </w:p>
    <w:p>
      <w:pPr>
        <w:ind w:firstLine="913"/>
        <w:spacing w:after="0" w:line="292"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The Building and The Project</w:t>
      </w:r>
      <w:r>
        <w:rPr>
          <w:rFonts w:ascii="Arial" w:cs="Arial" w:eastAsia="Arial" w:hAnsi="Arial"/>
          <w:sz w:val="16"/>
          <w:szCs w:val="16"/>
          <w:color w:val="auto"/>
        </w:rPr>
        <w:t xml:space="preserve">. The Premises are a part of the building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Building</w:t>
      </w:r>
      <w:r>
        <w:rPr>
          <w:rFonts w:ascii="Arial" w:cs="Arial" w:eastAsia="Arial" w:hAnsi="Arial"/>
          <w:sz w:val="16"/>
          <w:szCs w:val="16"/>
          <w:color w:val="auto"/>
        </w:rPr>
        <w:t>”). The Building is part of an office project known as “</w:t>
      </w:r>
      <w:r>
        <w:rPr>
          <w:rFonts w:ascii="Arial" w:cs="Arial" w:eastAsia="Arial" w:hAnsi="Arial"/>
          <w:sz w:val="16"/>
          <w:szCs w:val="16"/>
          <w:b w:val="1"/>
          <w:bCs w:val="1"/>
          <w:i w:val="1"/>
          <w:iCs w:val="1"/>
          <w:color w:val="auto"/>
        </w:rPr>
        <w:t>Pacific Corporate Center</w:t>
      </w:r>
      <w:r>
        <w:rPr>
          <w:rFonts w:ascii="Arial" w:cs="Arial" w:eastAsia="Arial" w:hAnsi="Arial"/>
          <w:sz w:val="16"/>
          <w:szCs w:val="16"/>
          <w:color w:val="auto"/>
        </w:rPr>
        <w:t>.” The term “</w:t>
      </w:r>
      <w:r>
        <w:rPr>
          <w:rFonts w:ascii="Arial" w:cs="Arial" w:eastAsia="Arial" w:hAnsi="Arial"/>
          <w:sz w:val="16"/>
          <w:szCs w:val="16"/>
          <w:b w:val="1"/>
          <w:bCs w:val="1"/>
          <w:color w:val="auto"/>
        </w:rPr>
        <w:t>Project</w:t>
      </w:r>
      <w:r>
        <w:rPr>
          <w:rFonts w:ascii="Arial" w:cs="Arial" w:eastAsia="Arial" w:hAnsi="Arial"/>
          <w:sz w:val="16"/>
          <w:szCs w:val="16"/>
          <w:color w:val="auto"/>
        </w:rPr>
        <w:t>,” as used in this Lease, shall mean (i) the Building and the Common Areas, and (ii) the land (which is improved with landscaping, parking facilities and other improvements) upon which the Building and the Common Areas are located, and (iii) the other office building located adjacent to the Building and the land upon which such adjacent office building is located.</w:t>
      </w:r>
    </w:p>
    <w:p>
      <w:pPr>
        <w:spacing w:after="0" w:line="47" w:lineRule="exact"/>
        <w:rPr>
          <w:sz w:val="20"/>
          <w:szCs w:val="20"/>
          <w:color w:val="auto"/>
        </w:rPr>
      </w:pPr>
    </w:p>
    <w:p>
      <w:pPr>
        <w:ind w:firstLine="913"/>
        <w:spacing w:after="0" w:line="296"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b w:val="1"/>
          <w:bCs w:val="1"/>
          <w:u w:val="single" w:color="auto"/>
          <w:color w:val="auto"/>
        </w:rPr>
        <w:t>Common Areas</w:t>
      </w:r>
      <w:r>
        <w:rPr>
          <w:rFonts w:ascii="Arial" w:cs="Arial" w:eastAsia="Arial" w:hAnsi="Arial"/>
          <w:sz w:val="15"/>
          <w:szCs w:val="15"/>
          <w:color w:val="auto"/>
        </w:rPr>
        <w:t xml:space="preserve">. Tenant shall have the non-exclusive right to use in common with other tenants in the Project, and subject to the rules and regulations referred to in </w:t>
      </w:r>
      <w:r>
        <w:rPr>
          <w:rFonts w:ascii="Arial" w:cs="Arial" w:eastAsia="Arial" w:hAnsi="Arial"/>
          <w:sz w:val="15"/>
          <w:szCs w:val="15"/>
          <w:u w:val="single" w:color="auto"/>
          <w:color w:val="auto"/>
        </w:rPr>
        <w:t>Article 5</w:t>
      </w:r>
      <w:r>
        <w:rPr>
          <w:rFonts w:ascii="Arial" w:cs="Arial" w:eastAsia="Arial" w:hAnsi="Arial"/>
          <w:sz w:val="15"/>
          <w:szCs w:val="15"/>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including certain areas designated for the exclusive use of certain tenants [such as those areas reserved for the exclusive use of the tenant leasing the balance of the Building, which areas are identified as “Tanvex Exclusive Areas” on the attached </w:t>
      </w:r>
      <w:r>
        <w:rPr>
          <w:rFonts w:ascii="Arial" w:cs="Arial" w:eastAsia="Arial" w:hAnsi="Arial"/>
          <w:sz w:val="15"/>
          <w:szCs w:val="15"/>
          <w:b w:val="1"/>
          <w:bCs w:val="1"/>
          <w:u w:val="single" w:color="auto"/>
          <w:color w:val="auto"/>
        </w:rPr>
        <w:t>Exhibit A-2</w:t>
      </w:r>
      <w:r>
        <w:rPr>
          <w:rFonts w:ascii="Arial" w:cs="Arial" w:eastAsia="Arial" w:hAnsi="Arial"/>
          <w:sz w:val="15"/>
          <w:szCs w:val="15"/>
          <w:color w:val="auto"/>
        </w:rPr>
        <w:t>], or to otherwise be shared by Landlord and certain tenants, are collectively referred to herein as the “</w:t>
      </w:r>
      <w:r>
        <w:rPr>
          <w:rFonts w:ascii="Arial" w:cs="Arial" w:eastAsia="Arial" w:hAnsi="Arial"/>
          <w:sz w:val="15"/>
          <w:szCs w:val="15"/>
          <w:b w:val="1"/>
          <w:bCs w:val="1"/>
          <w:color w:val="auto"/>
        </w:rPr>
        <w:t>Common Areas</w:t>
      </w:r>
      <w:r>
        <w:rPr>
          <w:rFonts w:ascii="Arial" w:cs="Arial" w:eastAsia="Arial" w:hAnsi="Arial"/>
          <w:sz w:val="15"/>
          <w:szCs w:val="15"/>
          <w:color w:val="auto"/>
        </w:rPr>
        <w:t>”). The Common Areas shall consist of the “</w:t>
      </w:r>
      <w:r>
        <w:rPr>
          <w:rFonts w:ascii="Arial" w:cs="Arial" w:eastAsia="Arial" w:hAnsi="Arial"/>
          <w:sz w:val="15"/>
          <w:szCs w:val="15"/>
          <w:b w:val="1"/>
          <w:bCs w:val="1"/>
          <w:color w:val="auto"/>
        </w:rPr>
        <w:t>Project Common Areas</w:t>
      </w:r>
      <w:r>
        <w:rPr>
          <w:rFonts w:ascii="Arial" w:cs="Arial" w:eastAsia="Arial" w:hAnsi="Arial"/>
          <w:sz w:val="15"/>
          <w:szCs w:val="15"/>
          <w:color w:val="auto"/>
        </w:rPr>
        <w:t>” and the “</w:t>
      </w:r>
      <w:r>
        <w:rPr>
          <w:rFonts w:ascii="Arial" w:cs="Arial" w:eastAsia="Arial" w:hAnsi="Arial"/>
          <w:sz w:val="15"/>
          <w:szCs w:val="15"/>
          <w:b w:val="1"/>
          <w:bCs w:val="1"/>
          <w:color w:val="auto"/>
        </w:rPr>
        <w:t>Building Common Areas</w:t>
      </w:r>
      <w:r>
        <w:rPr>
          <w:rFonts w:ascii="Arial" w:cs="Arial" w:eastAsia="Arial" w:hAnsi="Arial"/>
          <w:sz w:val="15"/>
          <w:szCs w:val="15"/>
          <w:color w:val="auto"/>
        </w:rPr>
        <w:t>.” The term “</w:t>
      </w:r>
      <w:r>
        <w:rPr>
          <w:rFonts w:ascii="Arial" w:cs="Arial" w:eastAsia="Arial" w:hAnsi="Arial"/>
          <w:sz w:val="15"/>
          <w:szCs w:val="15"/>
          <w:b w:val="1"/>
          <w:bCs w:val="1"/>
          <w:color w:val="auto"/>
        </w:rPr>
        <w:t>Project</w:t>
      </w:r>
      <w:r>
        <w:rPr>
          <w:rFonts w:ascii="Arial" w:cs="Arial" w:eastAsia="Arial" w:hAnsi="Arial"/>
          <w:sz w:val="15"/>
          <w:szCs w:val="15"/>
          <w:color w:val="auto"/>
        </w:rPr>
        <w:t xml:space="preserve"> </w:t>
      </w:r>
      <w:r>
        <w:rPr>
          <w:rFonts w:ascii="Arial" w:cs="Arial" w:eastAsia="Arial" w:hAnsi="Arial"/>
          <w:sz w:val="15"/>
          <w:szCs w:val="15"/>
          <w:b w:val="1"/>
          <w:bCs w:val="1"/>
          <w:color w:val="auto"/>
        </w:rPr>
        <w:t>Common Areas</w:t>
      </w:r>
      <w:r>
        <w:rPr>
          <w:rFonts w:ascii="Arial" w:cs="Arial" w:eastAsia="Arial" w:hAnsi="Arial"/>
          <w:sz w:val="15"/>
          <w:szCs w:val="15"/>
          <w:color w:val="auto"/>
        </w:rPr>
        <w:t>,” as used in this Lease, shall mean the portion of the Project designated as such by Landlord. The term “</w:t>
      </w:r>
      <w:r>
        <w:rPr>
          <w:rFonts w:ascii="Arial" w:cs="Arial" w:eastAsia="Arial" w:hAnsi="Arial"/>
          <w:sz w:val="15"/>
          <w:szCs w:val="15"/>
          <w:b w:val="1"/>
          <w:bCs w:val="1"/>
          <w:color w:val="auto"/>
        </w:rPr>
        <w:t>Building Common Areas</w:t>
      </w:r>
      <w:r>
        <w:rPr>
          <w:rFonts w:ascii="Arial" w:cs="Arial" w:eastAsia="Arial" w:hAnsi="Arial"/>
          <w:sz w:val="15"/>
          <w:szCs w:val="15"/>
          <w:color w:val="auto"/>
        </w:rPr>
        <w:t>,” as used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Lease, shall mean the portions of the Common Areas located within the Building designated as such by Landlord. The manner in which the Common Areas are maintained and operated shall be at the sole discretion of Landlord, provided that Landlord shall maintain and operate the same in a manner consistent with that of other Comparable Buildings (as that term is defined in </w:t>
      </w:r>
      <w:r>
        <w:rPr>
          <w:rFonts w:ascii="Arial" w:cs="Arial" w:eastAsia="Arial" w:hAnsi="Arial"/>
          <w:sz w:val="15"/>
          <w:szCs w:val="15"/>
          <w:b w:val="1"/>
          <w:bCs w:val="1"/>
          <w:u w:val="single" w:color="auto"/>
          <w:color w:val="auto"/>
        </w:rPr>
        <w:t>Exhibit H</w:t>
      </w:r>
      <w:r>
        <w:rPr>
          <w:rFonts w:ascii="Arial" w:cs="Arial" w:eastAsia="Arial" w:hAnsi="Arial"/>
          <w:sz w:val="15"/>
          <w:szCs w:val="15"/>
          <w:color w:val="auto"/>
        </w:rPr>
        <w:t xml:space="preserve"> attached hereto) and the use thereof shall be subject to such rules, regulations and restrictions as Landlord may make from time to time, provided that such rules, regulations and restrictions do not unreasonably interfere with the rights granted to Tenant under this Lease and the Permitted Use (as that term is defined in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of the Summary and as set forth in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below). Upon reasonable prior written notice to Tenant (except in the event of emergencies) Landlord reserves the right to close temporarily, make alterations or additions to, or change the location of elements of the Project and the Common Areas; provided that no such changes shall be permitted which materially reduce Tenant’s rights or access hereunder. Except when and where Tenant’s right of access is specifically excluded in this Lease, Tenant shall have the right of access to the Premises, the Building, and the Project parking facility twenty-four (24) hours per day, seven (7) days per week during the “Lease Term,” as that term is defined in </w:t>
      </w:r>
      <w:r>
        <w:rPr>
          <w:rFonts w:ascii="Arial" w:cs="Arial" w:eastAsia="Arial" w:hAnsi="Arial"/>
          <w:sz w:val="15"/>
          <w:szCs w:val="15"/>
          <w:u w:val="single" w:color="auto"/>
          <w:color w:val="auto"/>
        </w:rPr>
        <w:t>Section 2.1</w:t>
      </w:r>
      <w:r>
        <w:rPr>
          <w:rFonts w:ascii="Arial" w:cs="Arial" w:eastAsia="Arial" w:hAnsi="Arial"/>
          <w:sz w:val="15"/>
          <w:szCs w:val="15"/>
          <w:color w:val="auto"/>
        </w:rPr>
        <w:t>, below.</w:t>
      </w:r>
    </w:p>
    <w:p>
      <w:pPr>
        <w:spacing w:after="0" w:line="53" w:lineRule="exact"/>
        <w:rPr>
          <w:sz w:val="20"/>
          <w:szCs w:val="20"/>
          <w:color w:val="auto"/>
        </w:rPr>
      </w:pPr>
    </w:p>
    <w:p>
      <w:pPr>
        <w:ind w:right="320" w:firstLine="457"/>
        <w:spacing w:after="0" w:line="29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Stipulation of Rentable Square Feet of Premises</w:t>
      </w:r>
      <w:r>
        <w:rPr>
          <w:rFonts w:ascii="Arial" w:cs="Arial" w:eastAsia="Arial" w:hAnsi="Arial"/>
          <w:sz w:val="17"/>
          <w:szCs w:val="17"/>
          <w:color w:val="auto"/>
        </w:rPr>
        <w:t xml:space="preserve">. For purposes of this Lease, “rentable square feet” of the Premises shall be deemed as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 Summary.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1" w:right="239" w:bottom="1440" w:gutter="0" w:footer="0" w:header="0"/>
        </w:sectPr>
      </w:pPr>
    </w:p>
    <w:bookmarkStart w:id="243" w:name="page244"/>
    <w:bookmarkEnd w:id="243"/>
    <w:p>
      <w:pPr>
        <w:jc w:val="center"/>
        <w:ind w:right="-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LEASE TERM; TERMINATION RIGHT, OPTION TERM</w:t>
      </w:r>
    </w:p>
    <w:p>
      <w:pPr>
        <w:spacing w:after="0" w:line="224"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Initial Lease Term</w:t>
      </w:r>
      <w:r>
        <w:rPr>
          <w:rFonts w:ascii="Arial" w:cs="Arial" w:eastAsia="Arial" w:hAnsi="Arial"/>
          <w:sz w:val="16"/>
          <w:szCs w:val="16"/>
          <w:color w:val="auto"/>
        </w:rPr>
        <w:t>. The TCCs and provisions of this Lease shall be effective as of the Effective Date. The term of this Lease (the “</w:t>
      </w:r>
      <w:r>
        <w:rPr>
          <w:rFonts w:ascii="Arial" w:cs="Arial" w:eastAsia="Arial" w:hAnsi="Arial"/>
          <w:sz w:val="16"/>
          <w:szCs w:val="16"/>
          <w:b w:val="1"/>
          <w:bCs w:val="1"/>
          <w:color w:val="auto"/>
        </w:rPr>
        <w:t>Lease Term</w:t>
      </w:r>
      <w:r>
        <w:rPr>
          <w:rFonts w:ascii="Arial" w:cs="Arial" w:eastAsia="Arial" w:hAnsi="Arial"/>
          <w:sz w:val="16"/>
          <w:szCs w:val="16"/>
          <w:color w:val="auto"/>
        </w:rPr>
        <w:t xml:space="preserve">”) shall be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Summary, shall commence on the date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Lease Commencement Date</w:t>
      </w:r>
      <w:r>
        <w:rPr>
          <w:rFonts w:ascii="Arial" w:cs="Arial" w:eastAsia="Arial" w:hAnsi="Arial"/>
          <w:sz w:val="16"/>
          <w:szCs w:val="16"/>
          <w:color w:val="auto"/>
        </w:rPr>
        <w:t xml:space="preserve">”), and shall terminate on the date set forth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Lease Expiration Date</w:t>
      </w:r>
      <w:r>
        <w:rPr>
          <w:rFonts w:ascii="Arial" w:cs="Arial" w:eastAsia="Arial" w:hAnsi="Arial"/>
          <w:sz w:val="16"/>
          <w:szCs w:val="16"/>
          <w:color w:val="auto"/>
        </w:rPr>
        <w:t xml:space="preserve">”) unless this Lease is sooner terminated as hereinafter provided; provided, however, the Lease Commencement Date and the Lease Expiration Date shall be subject to tolling as more particularly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the Tenant Work Letter. For purposes of this Lease, the term “</w:t>
      </w:r>
      <w:r>
        <w:rPr>
          <w:rFonts w:ascii="Arial" w:cs="Arial" w:eastAsia="Arial" w:hAnsi="Arial"/>
          <w:sz w:val="16"/>
          <w:szCs w:val="16"/>
          <w:b w:val="1"/>
          <w:bCs w:val="1"/>
          <w:color w:val="auto"/>
        </w:rPr>
        <w:t>Lease Year</w:t>
      </w:r>
      <w:r>
        <w:rPr>
          <w:rFonts w:ascii="Arial" w:cs="Arial" w:eastAsia="Arial" w:hAnsi="Arial"/>
          <w:sz w:val="16"/>
          <w:szCs w:val="16"/>
          <w:color w:val="auto"/>
        </w:rPr>
        <w:t xml:space="preserve">” shall mean each consecutive twelve (12) month period during the Lease Term; provided, however, that the first Lease Year shall commence on the Lease Commencement Date (e.g., August 16, 2011, as previously scheduled) and end on the last day of the month in which the first anniversary of the Lease Commencement Date occurs (e.g., August 31, 2012, as previously scheduled), and the second and each succeeding Lease Year shall commence on the first day of the next calendar month; and further provided that the last Lease Year shall end on the Lease Expiration Date. At any time during the Lease Term, Landlord may deliver to Tenant a factually correct notice in the form as set forth in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attached hereto, as a confirmation only of the information set forth therein, which Tenant shall execute and return to Landlord within five (5) days of receipt thereof to the extent such notice is factually correct.</w:t>
      </w:r>
    </w:p>
    <w:p>
      <w:pPr>
        <w:spacing w:after="0" w:line="65" w:lineRule="exact"/>
        <w:rPr>
          <w:sz w:val="20"/>
          <w:szCs w:val="20"/>
          <w:color w:val="auto"/>
        </w:rPr>
      </w:pPr>
    </w:p>
    <w:p>
      <w:pPr>
        <w:ind w:right="140" w:firstLine="457"/>
        <w:spacing w:after="0" w:line="299"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b w:val="1"/>
          <w:bCs w:val="1"/>
          <w:u w:val="single" w:color="auto"/>
          <w:color w:val="auto"/>
        </w:rPr>
        <w:t>Tenant Termination Right</w:t>
      </w:r>
      <w:r>
        <w:rPr>
          <w:rFonts w:ascii="Arial" w:cs="Arial" w:eastAsia="Arial" w:hAnsi="Arial"/>
          <w:sz w:val="15"/>
          <w:szCs w:val="15"/>
          <w:color w:val="auto"/>
        </w:rPr>
        <w:t>. Notwithstanding any provision to the contrary contained in this Lease, Tenant shall have the right to terminate and cancel this Lease in its entirety effective as of either August 31, 2012, August 31, 2013, August 31, 2014 or August 31, 2015 (as applicable, the “</w:t>
      </w:r>
      <w:r>
        <w:rPr>
          <w:rFonts w:ascii="Arial" w:cs="Arial" w:eastAsia="Arial" w:hAnsi="Arial"/>
          <w:sz w:val="15"/>
          <w:szCs w:val="15"/>
          <w:b w:val="1"/>
          <w:bCs w:val="1"/>
          <w:color w:val="auto"/>
        </w:rPr>
        <w:t>Termination Date</w:t>
      </w:r>
      <w:r>
        <w:rPr>
          <w:rFonts w:ascii="Arial" w:cs="Arial" w:eastAsia="Arial" w:hAnsi="Arial"/>
          <w:sz w:val="15"/>
          <w:szCs w:val="15"/>
          <w:color w:val="auto"/>
        </w:rPr>
        <w:t>”), upon Tenant’s delivery of written notice to Landlord (the “</w:t>
      </w:r>
      <w:r>
        <w:rPr>
          <w:rFonts w:ascii="Arial" w:cs="Arial" w:eastAsia="Arial" w:hAnsi="Arial"/>
          <w:sz w:val="15"/>
          <w:szCs w:val="15"/>
          <w:b w:val="1"/>
          <w:bCs w:val="1"/>
          <w:color w:val="auto"/>
        </w:rPr>
        <w:t>Termination Notice</w:t>
      </w:r>
      <w:r>
        <w:rPr>
          <w:rFonts w:ascii="Arial" w:cs="Arial" w:eastAsia="Arial" w:hAnsi="Arial"/>
          <w:sz w:val="15"/>
          <w:szCs w:val="15"/>
          <w:color w:val="auto"/>
        </w:rPr>
        <w:t>”), which notice shall be delivered to Landlord on or before the date which is six</w:t>
      </w:r>
    </w:p>
    <w:p>
      <w:pPr>
        <w:spacing w:after="0" w:line="2" w:lineRule="exact"/>
        <w:rPr>
          <w:sz w:val="20"/>
          <w:szCs w:val="20"/>
          <w:color w:val="auto"/>
        </w:rPr>
      </w:pPr>
    </w:p>
    <w:p>
      <w:pPr>
        <w:ind w:firstLine="5"/>
        <w:spacing w:after="0" w:line="296" w:lineRule="auto"/>
        <w:tabs>
          <w:tab w:leader="none" w:pos="24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full calendar months prior to the subject Termination Date, and, concurrently with its delivery of such Termination Notice, Tenant shall deliver to Landlord the “Termination Fee,’’ as that term is defined hereinbelow, as consideration for and as a condition precedent to such early termination. The “</w:t>
      </w:r>
      <w:r>
        <w:rPr>
          <w:rFonts w:ascii="Arial" w:cs="Arial" w:eastAsia="Arial" w:hAnsi="Arial"/>
          <w:sz w:val="15"/>
          <w:szCs w:val="15"/>
          <w:b w:val="1"/>
          <w:bCs w:val="1"/>
          <w:color w:val="auto"/>
        </w:rPr>
        <w:t>Termination Fee</w:t>
      </w:r>
      <w:r>
        <w:rPr>
          <w:rFonts w:ascii="Arial" w:cs="Arial" w:eastAsia="Arial" w:hAnsi="Arial"/>
          <w:sz w:val="15"/>
          <w:szCs w:val="15"/>
          <w:color w:val="auto"/>
        </w:rPr>
        <w:t xml:space="preserve">” shall be equal to either (A) Four Hundred Forty-Two Thousand Seven Hundred Eighty One and No/100 Dollars ($442,781.00) in connection with an August 31, 2012 termination, (B) Three Hundred Thirty-Two Thousand Eighty-Six and No/100 Dollars ($332,086.00) in connection with an August 31, 2013 termination, (C) Two Hundred Twenty-One Thousand Three Hundred Ninety and No/100 Dollars ($221,390.00) in connection with an August 31, 2014 termination, or (D) One Hundred Ten Thousand Six Hundred Ninety-Six and No/100 Dollars ($110,696.00) in connection with an August 31, 2015 termination. Subject to Landlord’s timely receipt of the Termination Notice and the corresponding Termination Fee, this Lease shall automatically terminate and be of no further force or effect as of the Termination Date, and Landlord and Tenant shall be relieved of their respective obligations under this Lease, as of the Termination Date, except with respect to those obligations set forth in this Lease, which specifically survive the expiration or earlier termination of this Lease, including, without limitation, the payment by Tenant of all amounts owed by Tenant under this Lease, up to and including the Termination Date. The termination right granted to Tenant under this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shall automatically terminate and be of no further force or effect in the event (w) Tenant fails to properly and timely exercise such termination right as set forth in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265" w:right="279" w:bottom="1440" w:gutter="0" w:footer="0" w:header="0"/>
        </w:sectPr>
      </w:pPr>
    </w:p>
    <w:bookmarkStart w:id="244" w:name="page245"/>
    <w:bookmarkEnd w:id="24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(x) Tenant assigns or subleases all or essentially all of the Premises for all or essentially all of the then-remaining Lease Term to entities or persons other than “Permitted Transferees” (as that term is defined in </w:t>
      </w:r>
      <w:r>
        <w:rPr>
          <w:rFonts w:ascii="Arial" w:cs="Arial" w:eastAsia="Arial" w:hAnsi="Arial"/>
          <w:sz w:val="16"/>
          <w:szCs w:val="16"/>
          <w:u w:val="single" w:color="auto"/>
          <w:color w:val="auto"/>
        </w:rPr>
        <w:t>Section 14.8</w:t>
      </w:r>
      <w:r>
        <w:rPr>
          <w:rFonts w:ascii="Arial" w:cs="Arial" w:eastAsia="Arial" w:hAnsi="Arial"/>
          <w:sz w:val="16"/>
          <w:szCs w:val="16"/>
          <w:color w:val="auto"/>
        </w:rPr>
        <w:t xml:space="preserve">, below), (y) Tenant’s right to possession of the Premises has previously been terminated pursuant to </w:t>
      </w:r>
      <w:r>
        <w:rPr>
          <w:rFonts w:ascii="Arial" w:cs="Arial" w:eastAsia="Arial" w:hAnsi="Arial"/>
          <w:sz w:val="16"/>
          <w:szCs w:val="16"/>
          <w:u w:val="single" w:color="auto"/>
          <w:color w:val="auto"/>
        </w:rPr>
        <w:t>Section 19.2</w:t>
      </w:r>
      <w:r>
        <w:rPr>
          <w:rFonts w:ascii="Arial" w:cs="Arial" w:eastAsia="Arial" w:hAnsi="Arial"/>
          <w:sz w:val="16"/>
          <w:szCs w:val="16"/>
          <w:color w:val="auto"/>
        </w:rPr>
        <w:t xml:space="preserve"> of this Lease, or (z) Tenant is in “Economic Default” (as defined in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below) under this Lease (beyond any applicable notice and cure periods), as of the date of Tenant’s delivery of the Termination Notice to Landlord or, at Landlord’s election, as of the Termination Date. The termination right granted to Tenant under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is personal to the Tenant named in this Lease (the “</w:t>
      </w:r>
      <w:r>
        <w:rPr>
          <w:rFonts w:ascii="Arial" w:cs="Arial" w:eastAsia="Arial" w:hAnsi="Arial"/>
          <w:sz w:val="16"/>
          <w:szCs w:val="16"/>
          <w:b w:val="1"/>
          <w:bCs w:val="1"/>
          <w:color w:val="auto"/>
        </w:rPr>
        <w:t>Original Tenant</w:t>
      </w:r>
      <w:r>
        <w:rPr>
          <w:rFonts w:ascii="Arial" w:cs="Arial" w:eastAsia="Arial" w:hAnsi="Arial"/>
          <w:sz w:val="16"/>
          <w:szCs w:val="16"/>
          <w:color w:val="auto"/>
        </w:rPr>
        <w:t>”), and any Permitted Transferee, and may not be exercised by any other assignee, sublessee, or transferee of the Original Tenant’s interest in this Lease.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Option Term(s)</w:t>
      </w:r>
      <w:r>
        <w:rPr>
          <w:rFonts w:ascii="Arial" w:cs="Arial" w:eastAsia="Arial" w:hAnsi="Arial"/>
          <w:sz w:val="17"/>
          <w:szCs w:val="17"/>
          <w:color w:val="auto"/>
        </w:rPr>
        <w:t>.</w:t>
      </w:r>
    </w:p>
    <w:p>
      <w:pPr>
        <w:spacing w:after="0" w:line="119" w:lineRule="exact"/>
        <w:rPr>
          <w:sz w:val="20"/>
          <w:szCs w:val="20"/>
          <w:color w:val="auto"/>
        </w:rPr>
      </w:pPr>
    </w:p>
    <w:p>
      <w:pPr>
        <w:ind w:right="20" w:firstLine="913"/>
        <w:spacing w:after="0" w:line="277"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u w:val="single" w:color="auto"/>
          <w:color w:val="auto"/>
        </w:rPr>
        <w:t>Option Right</w:t>
      </w:r>
      <w:r>
        <w:rPr>
          <w:rFonts w:ascii="Arial" w:cs="Arial" w:eastAsia="Arial" w:hAnsi="Arial"/>
          <w:sz w:val="16"/>
          <w:szCs w:val="16"/>
          <w:color w:val="auto"/>
        </w:rPr>
        <w:t>. Landlord hereby grants the Original Tenant and its Permitted Transferees one (1) option to extend the Lease Term for the entire Premises by a period of five (5) years (the “</w:t>
      </w:r>
      <w:r>
        <w:rPr>
          <w:rFonts w:ascii="Arial" w:cs="Arial" w:eastAsia="Arial" w:hAnsi="Arial"/>
          <w:sz w:val="16"/>
          <w:szCs w:val="16"/>
          <w:b w:val="1"/>
          <w:bCs w:val="1"/>
          <w:color w:val="auto"/>
        </w:rPr>
        <w:t>Option Term</w:t>
      </w:r>
      <w:r>
        <w:rPr>
          <w:rFonts w:ascii="Arial" w:cs="Arial" w:eastAsia="Arial" w:hAnsi="Arial"/>
          <w:sz w:val="16"/>
          <w:szCs w:val="16"/>
          <w:color w:val="auto"/>
        </w:rPr>
        <w:t xml:space="preserve">”). Such option shall be exercisable only by Notice delivered by Tenant to Landlord as provided below, provided that, as of the date of delivery of such Notice, (i) Tenant is not then in “Economic Default” or “Material Non-Economic Default” under this Lease (beyond the applicable notice and cure periods), and (ii) Tenant has not been in Economic Default or Material Non-Economic Default under this Lease (beyond the applicable notice and cure periods) more than twice during the prior twenty-four (24) month period. Upon the proper exercise of such option to extend, and provided that, as of the end of the Lease Term, (A) Tenant is not in Economic Default or Material Non-Economic Default under this Lease (beyond the applicable notice and cure periods), and (B) Tenant has not been in Economic Default or Material Non-Economic Default under this Lease (beyond the applicable notice and cure periods) more than twice during the prior twenty-four (24) month period, then the Lease Term, as it applies to the entire Premises, shall be extended for a period of five (5) years. The rights contained in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only be exercised by the Original Tenant or its Permitted Transferee (and not any other assignee, sublessee or other transferee of the Original Tenant’s interest in this Lease) if Original Tenant and/or its Permitted Transferee is in occupancy of not less than fifty percent (50%) of the Premises. For purposes hereof, an “</w:t>
      </w:r>
      <w:r>
        <w:rPr>
          <w:rFonts w:ascii="Arial" w:cs="Arial" w:eastAsia="Arial" w:hAnsi="Arial"/>
          <w:sz w:val="16"/>
          <w:szCs w:val="16"/>
          <w:b w:val="1"/>
          <w:bCs w:val="1"/>
          <w:color w:val="auto"/>
        </w:rPr>
        <w:t>Economic Default</w:t>
      </w:r>
      <w:r>
        <w:rPr>
          <w:rFonts w:ascii="Arial" w:cs="Arial" w:eastAsia="Arial" w:hAnsi="Arial"/>
          <w:sz w:val="16"/>
          <w:szCs w:val="16"/>
          <w:color w:val="auto"/>
        </w:rPr>
        <w:t xml:space="preserve">” shall mean any default contemplated by the terms of </w:t>
      </w:r>
      <w:r>
        <w:rPr>
          <w:rFonts w:ascii="Arial" w:cs="Arial" w:eastAsia="Arial" w:hAnsi="Arial"/>
          <w:sz w:val="16"/>
          <w:szCs w:val="16"/>
          <w:u w:val="single" w:color="auto"/>
          <w:color w:val="auto"/>
        </w:rPr>
        <w:t>Section 19.1.1</w:t>
      </w:r>
      <w:r>
        <w:rPr>
          <w:rFonts w:ascii="Arial" w:cs="Arial" w:eastAsia="Arial" w:hAnsi="Arial"/>
          <w:sz w:val="16"/>
          <w:szCs w:val="16"/>
          <w:color w:val="auto"/>
        </w:rPr>
        <w:t xml:space="preserve"> of this Lease, and a “</w:t>
      </w:r>
      <w:r>
        <w:rPr>
          <w:rFonts w:ascii="Arial" w:cs="Arial" w:eastAsia="Arial" w:hAnsi="Arial"/>
          <w:sz w:val="16"/>
          <w:szCs w:val="16"/>
          <w:b w:val="1"/>
          <w:bCs w:val="1"/>
          <w:color w:val="auto"/>
        </w:rPr>
        <w:t>Material Non-Economic Default</w:t>
      </w:r>
      <w:r>
        <w:rPr>
          <w:rFonts w:ascii="Arial" w:cs="Arial" w:eastAsia="Arial" w:hAnsi="Arial"/>
          <w:sz w:val="16"/>
          <w:szCs w:val="16"/>
          <w:color w:val="auto"/>
        </w:rPr>
        <w:t xml:space="preserve">” shall mean any of the defaults identified in Sections </w:t>
      </w:r>
      <w:r>
        <w:rPr>
          <w:rFonts w:ascii="Arial" w:cs="Arial" w:eastAsia="Arial" w:hAnsi="Arial"/>
          <w:sz w:val="16"/>
          <w:szCs w:val="16"/>
          <w:u w:val="single" w:color="auto"/>
          <w:color w:val="auto"/>
        </w:rPr>
        <w:t>19.1.3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19.1.6</w:t>
      </w:r>
      <w:r>
        <w:rPr>
          <w:rFonts w:ascii="Arial" w:cs="Arial" w:eastAsia="Arial" w:hAnsi="Arial"/>
          <w:sz w:val="16"/>
          <w:szCs w:val="16"/>
          <w:color w:val="auto"/>
        </w:rPr>
        <w:t xml:space="preserve"> of this Lease; provided, however, that in no event shall (1) any one circumstance (e.g. an instance of failed rent payment, a failure to timely complete an estoppel certificate, a failure to comply with CC&amp;Rs, etc.) result in, or constitute, more than one Economic Default or Material Non-Economic Default, and/or (2) any circumstance be deemed an Economic Default or Material Non-Economic Default under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to the extent such matter has been reasonably disputed in accordance with the TCCs of this Lease by Tenant and remains unresolved.</w:t>
      </w:r>
    </w:p>
    <w:p>
      <w:pPr>
        <w:spacing w:after="0" w:line="59" w:lineRule="exact"/>
        <w:rPr>
          <w:sz w:val="20"/>
          <w:szCs w:val="20"/>
          <w:color w:val="auto"/>
        </w:rPr>
      </w:pPr>
    </w:p>
    <w:p>
      <w:pPr>
        <w:ind w:right="300" w:firstLine="913"/>
        <w:spacing w:after="0" w:line="270"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b w:val="1"/>
          <w:bCs w:val="1"/>
          <w:u w:val="single" w:color="auto"/>
          <w:color w:val="auto"/>
        </w:rPr>
        <w:t>Option Rent</w:t>
      </w:r>
      <w:r>
        <w:rPr>
          <w:rFonts w:ascii="Arial" w:cs="Arial" w:eastAsia="Arial" w:hAnsi="Arial"/>
          <w:sz w:val="17"/>
          <w:szCs w:val="17"/>
          <w:color w:val="auto"/>
        </w:rPr>
        <w:t>. The Rent payable by Tenant during the Option Terms (the “</w:t>
      </w:r>
      <w:r>
        <w:rPr>
          <w:rFonts w:ascii="Arial" w:cs="Arial" w:eastAsia="Arial" w:hAnsi="Arial"/>
          <w:sz w:val="17"/>
          <w:szCs w:val="17"/>
          <w:b w:val="1"/>
          <w:bCs w:val="1"/>
          <w:color w:val="auto"/>
        </w:rPr>
        <w:t>Option Rent</w:t>
      </w:r>
      <w:r>
        <w:rPr>
          <w:rFonts w:ascii="Arial" w:cs="Arial" w:eastAsia="Arial" w:hAnsi="Arial"/>
          <w:sz w:val="17"/>
          <w:szCs w:val="17"/>
          <w:color w:val="auto"/>
        </w:rPr>
        <w:t xml:space="preserve">”) shall be equal to the “Market Rent,” as that term is defined in, and determined pursuant to, </w:t>
      </w:r>
      <w:r>
        <w:rPr>
          <w:rFonts w:ascii="Arial" w:cs="Arial" w:eastAsia="Arial" w:hAnsi="Arial"/>
          <w:sz w:val="17"/>
          <w:szCs w:val="17"/>
          <w:b w:val="1"/>
          <w:bCs w:val="1"/>
          <w:u w:val="single" w:color="auto"/>
          <w:color w:val="auto"/>
        </w:rPr>
        <w:t>Exhibit H</w:t>
      </w:r>
      <w:r>
        <w:rPr>
          <w:rFonts w:ascii="Arial" w:cs="Arial" w:eastAsia="Arial" w:hAnsi="Arial"/>
          <w:sz w:val="17"/>
          <w:szCs w:val="17"/>
          <w:color w:val="auto"/>
        </w:rPr>
        <w:t xml:space="preserve"> attached hereto, which Market Rent shall include annual escalations in connection with such Market Rent determination. The calculation of the Market Rent shall be derived from a review of, and comparison to, the “Net Equivalent Lease Rates” of the “Comparable Transactions,” as provided for in </w:t>
      </w:r>
      <w:r>
        <w:rPr>
          <w:rFonts w:ascii="Arial" w:cs="Arial" w:eastAsia="Arial" w:hAnsi="Arial"/>
          <w:sz w:val="17"/>
          <w:szCs w:val="17"/>
          <w:b w:val="1"/>
          <w:bCs w:val="1"/>
          <w:u w:val="single" w:color="auto"/>
          <w:color w:val="auto"/>
        </w:rPr>
        <w:t>Exhibit H</w:t>
      </w:r>
      <w:r>
        <w:rPr>
          <w:rFonts w:ascii="Arial" w:cs="Arial" w:eastAsia="Arial" w:hAnsi="Arial"/>
          <w:sz w:val="17"/>
          <w:szCs w:val="17"/>
          <w:color w:val="auto"/>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2" w:right="239" w:bottom="1440" w:gutter="0" w:footer="0" w:header="0"/>
        </w:sectPr>
      </w:pPr>
    </w:p>
    <w:bookmarkStart w:id="245" w:name="page246"/>
    <w:bookmarkEnd w:id="245"/>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2.3.3 </w:t>
      </w:r>
      <w:r>
        <w:rPr>
          <w:rFonts w:ascii="Arial" w:cs="Arial" w:eastAsia="Arial" w:hAnsi="Arial"/>
          <w:sz w:val="17"/>
          <w:szCs w:val="17"/>
          <w:b w:val="1"/>
          <w:bCs w:val="1"/>
          <w:u w:val="single" w:color="auto"/>
          <w:color w:val="auto"/>
        </w:rPr>
        <w:t>Exercise of Option</w:t>
      </w:r>
      <w:r>
        <w:rPr>
          <w:rFonts w:ascii="Arial" w:cs="Arial" w:eastAsia="Arial" w:hAnsi="Arial"/>
          <w:sz w:val="17"/>
          <w:szCs w:val="17"/>
          <w:color w:val="auto"/>
        </w:rPr>
        <w:t xml:space="preserve">. The option contained in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be exercised by Tenant, if at all, only in the manner set forth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2.3</w:t>
      </w:r>
      <w:r>
        <w:rPr>
          <w:rFonts w:ascii="Arial" w:cs="Arial" w:eastAsia="Arial" w:hAnsi="Arial"/>
          <w:sz w:val="16"/>
          <w:szCs w:val="16"/>
          <w:color w:val="auto"/>
        </w:rPr>
        <w:t>. Tenant shall deliver notice (the “</w:t>
      </w:r>
      <w:r>
        <w:rPr>
          <w:rFonts w:ascii="Arial" w:cs="Arial" w:eastAsia="Arial" w:hAnsi="Arial"/>
          <w:sz w:val="16"/>
          <w:szCs w:val="16"/>
          <w:b w:val="1"/>
          <w:bCs w:val="1"/>
          <w:color w:val="auto"/>
        </w:rPr>
        <w:t>Exercise Notice</w:t>
      </w:r>
      <w:r>
        <w:rPr>
          <w:rFonts w:ascii="Arial" w:cs="Arial" w:eastAsia="Arial" w:hAnsi="Arial"/>
          <w:sz w:val="16"/>
          <w:szCs w:val="16"/>
          <w:color w:val="auto"/>
        </w:rPr>
        <w:t>”) to Landlord not more than twelve (12) months nor less than nine (9) months prior to the expiration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of the initial Lease Term, stating that Tenant is exercising its option. Concurrently with such Exercise Notice, Tenant shall deliver to Landlord Tenant’s calculation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of the Market Rent (the “</w:t>
      </w:r>
      <w:r>
        <w:rPr>
          <w:rFonts w:ascii="Arial" w:cs="Arial" w:eastAsia="Arial" w:hAnsi="Arial"/>
          <w:sz w:val="16"/>
          <w:szCs w:val="16"/>
          <w:b w:val="1"/>
          <w:bCs w:val="1"/>
          <w:color w:val="auto"/>
        </w:rPr>
        <w:t>Tenant’s Option Rent Calculation</w:t>
      </w:r>
      <w:r>
        <w:rPr>
          <w:rFonts w:ascii="Arial" w:cs="Arial" w:eastAsia="Arial" w:hAnsi="Arial"/>
          <w:sz w:val="16"/>
          <w:szCs w:val="16"/>
          <w:color w:val="auto"/>
        </w:rPr>
        <w:t>”). Landlord shall deliver notice (the “</w:t>
      </w:r>
      <w:r>
        <w:rPr>
          <w:rFonts w:ascii="Arial" w:cs="Arial" w:eastAsia="Arial" w:hAnsi="Arial"/>
          <w:sz w:val="16"/>
          <w:szCs w:val="16"/>
          <w:b w:val="1"/>
          <w:bCs w:val="1"/>
          <w:color w:val="auto"/>
        </w:rPr>
        <w:t>Landlord Response Notice</w:t>
      </w:r>
      <w:r>
        <w:rPr>
          <w:rFonts w:ascii="Arial" w:cs="Arial" w:eastAsia="Arial" w:hAnsi="Arial"/>
          <w:sz w:val="16"/>
          <w:szCs w:val="16"/>
          <w:color w:val="auto"/>
        </w:rPr>
        <w:t>”) to Tenant on or before the date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which is thirty (30) days after Landlord’s receipt of the Exercise Notice and Tenant’s Option Rent Calculation (the “</w:t>
      </w:r>
      <w:r>
        <w:rPr>
          <w:rFonts w:ascii="Arial" w:cs="Arial" w:eastAsia="Arial" w:hAnsi="Arial"/>
          <w:sz w:val="16"/>
          <w:szCs w:val="16"/>
          <w:b w:val="1"/>
          <w:bCs w:val="1"/>
          <w:color w:val="auto"/>
        </w:rPr>
        <w:t>Landlord Response Date</w:t>
      </w:r>
      <w:r>
        <w:rPr>
          <w:rFonts w:ascii="Arial" w:cs="Arial" w:eastAsia="Arial" w:hAnsi="Arial"/>
          <w:sz w:val="16"/>
          <w:szCs w:val="16"/>
          <w:color w:val="auto"/>
        </w:rPr>
        <w:t>”), stating that</w:t>
      </w:r>
    </w:p>
    <w:p>
      <w:pPr>
        <w:spacing w:after="0" w:line="26" w:lineRule="exact"/>
        <w:rPr>
          <w:sz w:val="20"/>
          <w:szCs w:val="20"/>
          <w:color w:val="auto"/>
        </w:rPr>
      </w:pPr>
    </w:p>
    <w:p>
      <w:pPr>
        <w:ind w:firstLine="5"/>
        <w:spacing w:after="0" w:line="261" w:lineRule="auto"/>
        <w:tabs>
          <w:tab w:leader="none" w:pos="28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Landlord is accepting Tenant’s Option Rent Calculation as the Market Rent, or (B) rejecting Tenant’s Option Rent Calculation and setting forth Landlord’s calculation of the Market Rent (the “</w:t>
      </w:r>
      <w:r>
        <w:rPr>
          <w:rFonts w:ascii="Arial" w:cs="Arial" w:eastAsia="Arial" w:hAnsi="Arial"/>
          <w:sz w:val="17"/>
          <w:szCs w:val="17"/>
          <w:b w:val="1"/>
          <w:bCs w:val="1"/>
          <w:color w:val="auto"/>
        </w:rPr>
        <w:t>Landlord’s Option Rent Calculation</w:t>
      </w:r>
      <w:r>
        <w:rPr>
          <w:rFonts w:ascii="Arial" w:cs="Arial" w:eastAsia="Arial" w:hAnsi="Arial"/>
          <w:sz w:val="17"/>
          <w:szCs w:val="17"/>
          <w:color w:val="auto"/>
        </w:rPr>
        <w:t xml:space="preserve">”). Within ten (10) business days of its receipt of the Landlord Response Notice, Tenant may, at its option, accept the Market Rent contained in the Landlord’s Option Rent Calculation. If Tenant does not affirmatively accept or Tenant rejects the Market Rent specified in the Landlord’s Option Rent Calculation, the parties shall follow the procedure set forth in </w:t>
      </w:r>
      <w:r>
        <w:rPr>
          <w:rFonts w:ascii="Arial" w:cs="Arial" w:eastAsia="Arial" w:hAnsi="Arial"/>
          <w:sz w:val="17"/>
          <w:szCs w:val="17"/>
          <w:u w:val="single" w:color="auto"/>
          <w:color w:val="auto"/>
        </w:rPr>
        <w:t>Section 2.3.4</w:t>
      </w:r>
      <w:r>
        <w:rPr>
          <w:rFonts w:ascii="Arial" w:cs="Arial" w:eastAsia="Arial" w:hAnsi="Arial"/>
          <w:sz w:val="17"/>
          <w:szCs w:val="17"/>
          <w:color w:val="auto"/>
        </w:rPr>
        <w:t xml:space="preserve"> below, and the Market Rent shall be determined in accordance with the terms of </w:t>
      </w:r>
      <w:r>
        <w:rPr>
          <w:rFonts w:ascii="Arial" w:cs="Arial" w:eastAsia="Arial" w:hAnsi="Arial"/>
          <w:sz w:val="17"/>
          <w:szCs w:val="17"/>
          <w:u w:val="single" w:color="auto"/>
          <w:color w:val="auto"/>
        </w:rPr>
        <w:t>Section 2.3.4</w:t>
      </w:r>
      <w:r>
        <w:rPr>
          <w:rFonts w:ascii="Arial" w:cs="Arial" w:eastAsia="Arial" w:hAnsi="Arial"/>
          <w:sz w:val="17"/>
          <w:szCs w:val="17"/>
          <w:color w:val="auto"/>
        </w:rPr>
        <w:t xml:space="preserve"> below.</w:t>
      </w:r>
    </w:p>
    <w:p>
      <w:pPr>
        <w:spacing w:after="0" w:line="71" w:lineRule="exact"/>
        <w:rPr>
          <w:sz w:val="20"/>
          <w:szCs w:val="20"/>
          <w:color w:val="auto"/>
        </w:rPr>
      </w:pPr>
    </w:p>
    <w:p>
      <w:pPr>
        <w:ind w:right="40" w:firstLine="913"/>
        <w:spacing w:after="0" w:line="279"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b w:val="1"/>
          <w:bCs w:val="1"/>
          <w:u w:val="single" w:color="auto"/>
          <w:color w:val="auto"/>
        </w:rPr>
        <w:t>Determination of Market Rent</w:t>
      </w:r>
      <w:r>
        <w:rPr>
          <w:rFonts w:ascii="Arial" w:cs="Arial" w:eastAsia="Arial" w:hAnsi="Arial"/>
          <w:sz w:val="16"/>
          <w:szCs w:val="16"/>
          <w:color w:val="auto"/>
        </w:rPr>
        <w:t>. In the event Tenant objects or is deemed to have objected to the Market Rent, Landlord and Tenant shall attempt to agree upon the Market Rent using reasonable good-faith efforts. If Landlord and Tenant fail to reach agreement within sixty (60) days following Tenant’s objection or deemed objection to the Landlord’s Option Rent Calculation (the “</w:t>
      </w:r>
      <w:r>
        <w:rPr>
          <w:rFonts w:ascii="Arial" w:cs="Arial" w:eastAsia="Arial" w:hAnsi="Arial"/>
          <w:sz w:val="16"/>
          <w:szCs w:val="16"/>
          <w:b w:val="1"/>
          <w:bCs w:val="1"/>
          <w:color w:val="auto"/>
        </w:rPr>
        <w:t>Outside Agreement Date</w:t>
      </w:r>
      <w:r>
        <w:rPr>
          <w:rFonts w:ascii="Arial" w:cs="Arial" w:eastAsia="Arial" w:hAnsi="Arial"/>
          <w:sz w:val="16"/>
          <w:szCs w:val="16"/>
          <w:color w:val="auto"/>
        </w:rPr>
        <w:t>”), then, within two (2) business days following such Outside Agreement Date, (</w:t>
      </w:r>
      <w:r>
        <w:rPr>
          <w:rFonts w:ascii="Arial" w:cs="Arial" w:eastAsia="Arial" w:hAnsi="Arial"/>
          <w:sz w:val="16"/>
          <w:szCs w:val="16"/>
          <w:i w:val="1"/>
          <w:iCs w:val="1"/>
          <w:color w:val="auto"/>
        </w:rPr>
        <w:t>x</w:t>
      </w:r>
      <w:r>
        <w:rPr>
          <w:rFonts w:ascii="Arial" w:cs="Arial" w:eastAsia="Arial" w:hAnsi="Arial"/>
          <w:sz w:val="16"/>
          <w:szCs w:val="16"/>
          <w:color w:val="auto"/>
        </w:rPr>
        <w:t>) Landlord may re-calculate the Landlord’s Option Rent Calculation by delivering written notice thereof to Tenant, and (</w:t>
      </w:r>
      <w:r>
        <w:rPr>
          <w:rFonts w:ascii="Arial" w:cs="Arial" w:eastAsia="Arial" w:hAnsi="Arial"/>
          <w:sz w:val="16"/>
          <w:szCs w:val="16"/>
          <w:i w:val="1"/>
          <w:iCs w:val="1"/>
          <w:color w:val="auto"/>
        </w:rPr>
        <w:t>y</w:t>
      </w:r>
      <w:r>
        <w:rPr>
          <w:rFonts w:ascii="Arial" w:cs="Arial" w:eastAsia="Arial" w:hAnsi="Arial"/>
          <w:sz w:val="16"/>
          <w:szCs w:val="16"/>
          <w:color w:val="auto"/>
        </w:rPr>
        <w:t xml:space="preserve">) Tenant may re-calculate the Tenant’s Option Rent Calculation by delivering written notice thereof to Tenant. If Landlord and Tenant thereafter fail to reach agreement within seven (7) business days of the Outside Agreement Date, then in connection with the Option Rent, Landlord’s Option Rent Calculation and Tenant’s Option Rent Calculation, each as most recently delivered to the other party pursuant to the TCCs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 submitted to the “Neutral Arbitrator,” as that term is defined in </w:t>
      </w:r>
      <w:r>
        <w:rPr>
          <w:rFonts w:ascii="Arial" w:cs="Arial" w:eastAsia="Arial" w:hAnsi="Arial"/>
          <w:sz w:val="16"/>
          <w:szCs w:val="16"/>
          <w:u w:val="single" w:color="auto"/>
          <w:color w:val="auto"/>
        </w:rPr>
        <w:t>Section 2.3.4.1</w:t>
      </w:r>
      <w:r>
        <w:rPr>
          <w:rFonts w:ascii="Arial" w:cs="Arial" w:eastAsia="Arial" w:hAnsi="Arial"/>
          <w:sz w:val="16"/>
          <w:szCs w:val="16"/>
          <w:color w:val="auto"/>
        </w:rPr>
        <w:t xml:space="preserve"> of this Lease, pursuant to the TCCs of this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The submittals shall be made concurrently with the selection of the Neutral Arbitrator pursuant to this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and shall be submitted to arbitration in accordance with </w:t>
      </w:r>
      <w:r>
        <w:rPr>
          <w:rFonts w:ascii="Arial" w:cs="Arial" w:eastAsia="Arial" w:hAnsi="Arial"/>
          <w:sz w:val="16"/>
          <w:szCs w:val="16"/>
          <w:u w:val="single" w:color="auto"/>
          <w:color w:val="auto"/>
        </w:rPr>
        <w:t>Section 2.3.4.1 through 2.3.4.5</w:t>
      </w:r>
      <w:r>
        <w:rPr>
          <w:rFonts w:ascii="Arial" w:cs="Arial" w:eastAsia="Arial" w:hAnsi="Arial"/>
          <w:sz w:val="16"/>
          <w:szCs w:val="16"/>
          <w:color w:val="auto"/>
        </w:rPr>
        <w:t xml:space="preserve"> of this Lease, but subject to the conditions, when appropriate, of </w:t>
      </w:r>
      <w:r>
        <w:rPr>
          <w:rFonts w:ascii="Arial" w:cs="Arial" w:eastAsia="Arial" w:hAnsi="Arial"/>
          <w:sz w:val="16"/>
          <w:szCs w:val="16"/>
          <w:u w:val="single" w:color="auto"/>
          <w:color w:val="auto"/>
        </w:rPr>
        <w:t>Section 2.3.3</w:t>
      </w:r>
      <w:r>
        <w:rPr>
          <w:rFonts w:ascii="Arial" w:cs="Arial" w:eastAsia="Arial" w:hAnsi="Arial"/>
          <w:sz w:val="16"/>
          <w:szCs w:val="16"/>
          <w:color w:val="auto"/>
        </w:rPr>
        <w:t>.</w:t>
      </w:r>
    </w:p>
    <w:p>
      <w:pPr>
        <w:spacing w:after="0" w:line="67" w:lineRule="exact"/>
        <w:rPr>
          <w:sz w:val="20"/>
          <w:szCs w:val="20"/>
          <w:color w:val="auto"/>
        </w:rPr>
      </w:pPr>
    </w:p>
    <w:p>
      <w:pPr>
        <w:ind w:firstLine="1484"/>
        <w:spacing w:after="0" w:line="302" w:lineRule="auto"/>
        <w:rPr>
          <w:sz w:val="20"/>
          <w:szCs w:val="20"/>
          <w:color w:val="auto"/>
        </w:rPr>
      </w:pPr>
      <w:r>
        <w:rPr>
          <w:rFonts w:ascii="Arial" w:cs="Arial" w:eastAsia="Arial" w:hAnsi="Arial"/>
          <w:sz w:val="15"/>
          <w:szCs w:val="15"/>
          <w:color w:val="auto"/>
        </w:rPr>
        <w:t>2.3.4.1 Landlord and Tenant shall mutually and reasonably agree on the appointment of one (1) arbitrator who shall by profession be a real estate broker, appraiser or attorney who shall have been active over the five (5) year period ending on the date of such appointment in the leasing (or appraisal, as the case may be) of first-class commercial properties in the Comparable Area (the “</w:t>
      </w:r>
      <w:r>
        <w:rPr>
          <w:rFonts w:ascii="Arial" w:cs="Arial" w:eastAsia="Arial" w:hAnsi="Arial"/>
          <w:sz w:val="15"/>
          <w:szCs w:val="15"/>
          <w:b w:val="1"/>
          <w:bCs w:val="1"/>
          <w:color w:val="auto"/>
        </w:rPr>
        <w:t>Neutral Arbitrator</w:t>
      </w:r>
      <w:r>
        <w:rPr>
          <w:rFonts w:ascii="Arial" w:cs="Arial" w:eastAsia="Arial" w:hAnsi="Arial"/>
          <w:sz w:val="15"/>
          <w:szCs w:val="15"/>
          <w:color w:val="auto"/>
        </w:rPr>
        <w:t xml:space="preserve">”). The determination of the Neutral Arbitrator shall be limited solely to the issue of whether Landlord’s Option Rent Calculation or Tenant’s Option Rent Calculation, each as submitted to the Neutral Arbitrator pursuant to </w:t>
      </w:r>
      <w:r>
        <w:rPr>
          <w:rFonts w:ascii="Arial" w:cs="Arial" w:eastAsia="Arial" w:hAnsi="Arial"/>
          <w:sz w:val="15"/>
          <w:szCs w:val="15"/>
          <w:u w:val="single" w:color="auto"/>
          <w:color w:val="auto"/>
        </w:rPr>
        <w:t>Section 2.2.4</w:t>
      </w:r>
      <w:r>
        <w:rPr>
          <w:rFonts w:ascii="Arial" w:cs="Arial" w:eastAsia="Arial" w:hAnsi="Arial"/>
          <w:sz w:val="15"/>
          <w:szCs w:val="15"/>
          <w:color w:val="auto"/>
        </w:rPr>
        <w:t xml:space="preserve">, above, is the closest to the actual Market Rent as determined by such Neutral Arbitrator, taking into account the requirements of </w:t>
      </w:r>
      <w:r>
        <w:rPr>
          <w:rFonts w:ascii="Arial" w:cs="Arial" w:eastAsia="Arial" w:hAnsi="Arial"/>
          <w:sz w:val="15"/>
          <w:szCs w:val="15"/>
          <w:u w:val="single" w:color="auto"/>
          <w:color w:val="auto"/>
        </w:rPr>
        <w:t>Section 2.2.2</w:t>
      </w:r>
      <w:r>
        <w:rPr>
          <w:rFonts w:ascii="Arial" w:cs="Arial" w:eastAsia="Arial" w:hAnsi="Arial"/>
          <w:sz w:val="15"/>
          <w:szCs w:val="15"/>
          <w:color w:val="auto"/>
        </w:rPr>
        <w:t xml:space="preserve"> of this Lease. Such Neutral Arbitrator shall be appointed within fifteen (15) days after the applicable Outside Agreement Date. Neither the Landlord or Tenant or either party’s arbitrator may, directly or indirectly, consult with the Neutral Arbitrator prior to, or subsequent to, his or her appearance. The Neutral Arbitrator shall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6" w:right="239" w:bottom="1440" w:gutter="0" w:footer="0" w:header="0"/>
        </w:sectPr>
      </w:pPr>
    </w:p>
    <w:bookmarkStart w:id="246" w:name="page247"/>
    <w:bookmarkEnd w:id="24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 retained via an engagement letter jointly prepared by Landlord’s counsel and Tenant’s counsel.</w:t>
      </w:r>
    </w:p>
    <w:p>
      <w:pPr>
        <w:spacing w:after="0" w:line="119" w:lineRule="exact"/>
        <w:rPr>
          <w:sz w:val="20"/>
          <w:szCs w:val="20"/>
          <w:color w:val="auto"/>
        </w:rPr>
      </w:pPr>
    </w:p>
    <w:p>
      <w:pPr>
        <w:ind w:firstLine="1484"/>
        <w:spacing w:after="0" w:line="263" w:lineRule="auto"/>
        <w:rPr>
          <w:sz w:val="20"/>
          <w:szCs w:val="20"/>
          <w:color w:val="auto"/>
        </w:rPr>
      </w:pPr>
      <w:r>
        <w:rPr>
          <w:rFonts w:ascii="Arial" w:cs="Arial" w:eastAsia="Arial" w:hAnsi="Arial"/>
          <w:sz w:val="17"/>
          <w:szCs w:val="17"/>
          <w:color w:val="auto"/>
        </w:rPr>
        <w:t xml:space="preserve">2.3.4.2 The Neutral Arbitrator shall, within thirty (30) days of his/her appointment, reach a decision as to Market Rent and determine whether the Landlord’s Option Rent Calculation or Tenant’s Option Rent Calculation, each as submitted to the Neutral Arbitrator pursuant to </w:t>
      </w:r>
      <w:r>
        <w:rPr>
          <w:rFonts w:ascii="Arial" w:cs="Arial" w:eastAsia="Arial" w:hAnsi="Arial"/>
          <w:sz w:val="17"/>
          <w:szCs w:val="17"/>
          <w:u w:val="single" w:color="auto"/>
          <w:color w:val="auto"/>
        </w:rPr>
        <w:t>Section 2.2.4</w:t>
      </w:r>
      <w:r>
        <w:rPr>
          <w:rFonts w:ascii="Arial" w:cs="Arial" w:eastAsia="Arial" w:hAnsi="Arial"/>
          <w:sz w:val="17"/>
          <w:szCs w:val="17"/>
          <w:color w:val="auto"/>
        </w:rPr>
        <w:t>, above, is closest to Market Rent as determined by such Neutral Arbitrator and simultaneously publish a ruling (“</w:t>
      </w:r>
      <w:r>
        <w:rPr>
          <w:rFonts w:ascii="Arial" w:cs="Arial" w:eastAsia="Arial" w:hAnsi="Arial"/>
          <w:sz w:val="17"/>
          <w:szCs w:val="17"/>
          <w:b w:val="1"/>
          <w:bCs w:val="1"/>
          <w:color w:val="auto"/>
        </w:rPr>
        <w:t>Award</w:t>
      </w:r>
      <w:r>
        <w:rPr>
          <w:rFonts w:ascii="Arial" w:cs="Arial" w:eastAsia="Arial" w:hAnsi="Arial"/>
          <w:sz w:val="17"/>
          <w:szCs w:val="17"/>
          <w:color w:val="auto"/>
        </w:rPr>
        <w:t>”) indicating whether Landlord’s Option Rent Calculation or Tenant’s Option Rent Calculation is closest to the Market Rent as determined by such Neutral Arbitrator. Following notification of the Award, the Landlord’s Option Rent Calculation or Tenant’s Option Rent Calculation, whichever is selected by the Neutral Arbitrator as being closest to Market Rent, shall become the then applicable Option Rent.</w:t>
      </w:r>
    </w:p>
    <w:p>
      <w:pPr>
        <w:spacing w:after="0" w:line="7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2.3.4.3 The Award issued by such Neutral Arbitrator shall be binding upon Landlord and Tenant.</w:t>
      </w:r>
    </w:p>
    <w:p>
      <w:pPr>
        <w:spacing w:after="0" w:line="119" w:lineRule="exact"/>
        <w:rPr>
          <w:sz w:val="20"/>
          <w:szCs w:val="20"/>
          <w:color w:val="auto"/>
        </w:rPr>
      </w:pPr>
    </w:p>
    <w:p>
      <w:pPr>
        <w:ind w:right="60" w:firstLine="1484"/>
        <w:spacing w:after="0" w:line="297" w:lineRule="auto"/>
        <w:rPr>
          <w:sz w:val="20"/>
          <w:szCs w:val="20"/>
          <w:color w:val="auto"/>
        </w:rPr>
      </w:pPr>
      <w:r>
        <w:rPr>
          <w:rFonts w:ascii="Arial" w:cs="Arial" w:eastAsia="Arial" w:hAnsi="Arial"/>
          <w:sz w:val="16"/>
          <w:szCs w:val="16"/>
          <w:color w:val="auto"/>
        </w:rPr>
        <w:t xml:space="preserve">2.3.4.4 If Landlord and Tenant fail to appoint the Neutral Arbitrator within fifteen (15) days after the applicable Outside Agreement Date, either party may petition the presiding judge of the Superior Court of San Diego County to appoint such Neutral Arbitrator subject to the criteria in </w:t>
      </w:r>
      <w:r>
        <w:rPr>
          <w:rFonts w:ascii="Arial" w:cs="Arial" w:eastAsia="Arial" w:hAnsi="Arial"/>
          <w:sz w:val="16"/>
          <w:szCs w:val="16"/>
          <w:u w:val="single" w:color="auto"/>
          <w:color w:val="auto"/>
        </w:rPr>
        <w:t>Section 2.2.4.1</w:t>
      </w:r>
      <w:r>
        <w:rPr>
          <w:rFonts w:ascii="Arial" w:cs="Arial" w:eastAsia="Arial" w:hAnsi="Arial"/>
          <w:sz w:val="16"/>
          <w:szCs w:val="16"/>
          <w:color w:val="auto"/>
        </w:rPr>
        <w:t xml:space="preserve"> of this Lease, or if he or she refuses to act, either party may petition any judge having jurisdiction over the parties to appoint such Neutral Arbitrator.</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cost of arbitration shall be paid by Landlord and Tenant equally.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BASE RENT</w:t>
      </w:r>
    </w:p>
    <w:p>
      <w:pPr>
        <w:spacing w:after="0" w:line="224"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Tenant shall pay, without prior notice or demand, to Landlord or Landlord’s agent at the management office of the Project, or, at Landlord’s 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payable in equal monthly installments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in advance on or before the first day of each and every calendar month during the Lease Term, without any setoff or deduction whatsoever (unless and to the extent otherwise expressly set forth in this Lease). In connection with the designated place for payment identified in the preceding sentence, to the extent Landlord elects to effectuate any change in location for such payment, Landlord shall deliver written notice setting forth such newly designated place no less than fifteen (15) days in advance of the due date of the first such payment of Base Rent following such re-designation. The Base Rent for the first full month of the Lease Term which occurs after the expiration of any free rent period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such fractional month shall accrue on a daily basis during such fractional month and shall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247" w:name="page248"/>
    <w:bookmarkEnd w:id="247"/>
    <w:p>
      <w:pPr>
        <w:ind w:right="2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total an amount equal to the product of (i) a fraction, the numerator of which is the number of days in such fractional month and the denominator of which is the actual number of days occurring in such calendar month, and (ii) the then-applicable Monthly Installment of Base Rent. All other payments or adjustments required to be made under the TCCs of this Lease that require proration on a time basis shall be prorated on the same basis.</w:t>
      </w:r>
    </w:p>
    <w:p>
      <w:pPr>
        <w:spacing w:after="0" w:line="44"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Abated Base Rent</w:t>
      </w:r>
      <w:r>
        <w:rPr>
          <w:rFonts w:ascii="Arial" w:cs="Arial" w:eastAsia="Arial" w:hAnsi="Arial"/>
          <w:sz w:val="16"/>
          <w:szCs w:val="16"/>
          <w:color w:val="auto"/>
        </w:rPr>
        <w:t xml:space="preserve">. Notwithstanding any contrary provisions set forth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Tenant shall not be obligated to pay (and therefore shall not pay) the monthly installments of Base Rent attributable to the Premises (the “</w:t>
      </w:r>
      <w:r>
        <w:rPr>
          <w:rFonts w:ascii="Arial" w:cs="Arial" w:eastAsia="Arial" w:hAnsi="Arial"/>
          <w:sz w:val="16"/>
          <w:szCs w:val="16"/>
          <w:b w:val="1"/>
          <w:bCs w:val="1"/>
          <w:color w:val="auto"/>
        </w:rPr>
        <w:t>Base Rent Abatement</w:t>
      </w:r>
      <w:r>
        <w:rPr>
          <w:rFonts w:ascii="Arial" w:cs="Arial" w:eastAsia="Arial" w:hAnsi="Arial"/>
          <w:sz w:val="16"/>
          <w:szCs w:val="16"/>
          <w:color w:val="auto"/>
        </w:rPr>
        <w:t>”) for the six (6) month period commencing on November 1, 2011 and ending on April 30, 2012 (the “</w:t>
      </w:r>
      <w:r>
        <w:rPr>
          <w:rFonts w:ascii="Arial" w:cs="Arial" w:eastAsia="Arial" w:hAnsi="Arial"/>
          <w:sz w:val="16"/>
          <w:szCs w:val="16"/>
          <w:b w:val="1"/>
          <w:bCs w:val="1"/>
          <w:color w:val="auto"/>
        </w:rPr>
        <w:t>Base Rent Abatement Period</w:t>
      </w:r>
      <w:r>
        <w:rPr>
          <w:rFonts w:ascii="Arial" w:cs="Arial" w:eastAsia="Arial" w:hAnsi="Arial"/>
          <w:sz w:val="16"/>
          <w:szCs w:val="16"/>
          <w:color w:val="auto"/>
        </w:rPr>
        <w:t xml:space="preserve">”). In connection with the foregoing, the Base Rent Abatement provided to Tenant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during the Base Rent Abatement Period shall not exceed an aggregate of Two Hundred Twenty-Four Thousand Six Hundred Twenty-Eight and 48/100 Dollars ($224,628.48). Tenant acknowledges and agrees that during such Base Rent Abatement Period, such abatement of Base Rent shall have no effect on the calculation of any Direct Expenses payable by Tenant pursuant to the terms of this Lease, which any Direct Expenses shall be payable during the Base Rent Abatement Period without regard to the Base Rent Abatement. Additionally, notwithstanding the foregoing, Tenant shall be obligated to pay all “Additional Rent,’’ as that term is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below, during the Base Rent Abatement Period. The foregoing Base Rent Abatement has been agreed to by Landlord and Tenant as additional consideration for entering into this Lease, and for Tenant’s agreement to pay the rent and for the parties to perform the terms and conditions otherwise required under this Lease. If Tenant shall be in Economic Default of this Lease and shall fail to cure such default within any applicable notice and cure period, then Landlord may elect at its option, by notice to Tenant and in addition to any other remedies Landlord may have under this Lease, that the dollar amount of the unapplied portion of such Base Rent Abatement as of such default shall be converted to a credit to be applied to the Base Rent applicable to the Premises at the end of the Lease Term and Tenant shall immediately be obligated to begin paying Base Rent for the Premises in full; provided however, to the extent the Lease is terminated pursuant to the provisions of </w:t>
      </w:r>
      <w:r>
        <w:rPr>
          <w:rFonts w:ascii="Arial" w:cs="Arial" w:eastAsia="Arial" w:hAnsi="Arial"/>
          <w:sz w:val="16"/>
          <w:szCs w:val="16"/>
          <w:u w:val="single" w:color="auto"/>
          <w:color w:val="auto"/>
        </w:rPr>
        <w:t>Article 19</w:t>
      </w:r>
      <w:r>
        <w:rPr>
          <w:rFonts w:ascii="Arial" w:cs="Arial" w:eastAsia="Arial" w:hAnsi="Arial"/>
          <w:sz w:val="16"/>
          <w:szCs w:val="16"/>
          <w:color w:val="auto"/>
        </w:rPr>
        <w:t xml:space="preserve">, below, then as a part of the recovery set forth in </w:t>
      </w:r>
      <w:r>
        <w:rPr>
          <w:rFonts w:ascii="Arial" w:cs="Arial" w:eastAsia="Arial" w:hAnsi="Arial"/>
          <w:sz w:val="16"/>
          <w:szCs w:val="16"/>
          <w:u w:val="single" w:color="auto"/>
          <w:color w:val="auto"/>
        </w:rPr>
        <w:t>Section 19.2</w:t>
      </w:r>
      <w:r>
        <w:rPr>
          <w:rFonts w:ascii="Arial" w:cs="Arial" w:eastAsia="Arial" w:hAnsi="Arial"/>
          <w:sz w:val="16"/>
          <w:szCs w:val="16"/>
          <w:color w:val="auto"/>
        </w:rPr>
        <w:t xml:space="preserve">, below, Landlord shall be entitled to recover the then-unamortized portion of the monthly Base Rent that was abated under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which Base Rent Abatement shall be amortized on a level payment basis over a period of sixty (60) months, employing an interest factor of zero percent (0%).</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4</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ADDITIONAL RENT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 xml:space="preserve">. In addition to paying the Base Rent specified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Lease, Tenant shall additionally pay “</w:t>
      </w:r>
      <w:r>
        <w:rPr>
          <w:rFonts w:ascii="Arial" w:cs="Arial" w:eastAsia="Arial" w:hAnsi="Arial"/>
          <w:sz w:val="16"/>
          <w:szCs w:val="16"/>
          <w:b w:val="1"/>
          <w:bCs w:val="1"/>
          <w:color w:val="auto"/>
        </w:rPr>
        <w:t>Tenant’s Share</w:t>
      </w:r>
      <w:r>
        <w:rPr>
          <w:rFonts w:ascii="Arial" w:cs="Arial" w:eastAsia="Arial" w:hAnsi="Arial"/>
          <w:sz w:val="16"/>
          <w:szCs w:val="16"/>
          <w:color w:val="auto"/>
        </w:rPr>
        <w:t>” of the annual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Direct Expenses</w:t>
      </w:r>
      <w:r>
        <w:rPr>
          <w:rFonts w:ascii="Arial" w:cs="Arial" w:eastAsia="Arial" w:hAnsi="Arial"/>
          <w:sz w:val="15"/>
          <w:szCs w:val="15"/>
          <w:color w:val="auto"/>
        </w:rPr>
        <w:t xml:space="preserve">,’’ as those terms are defined in </w:t>
      </w:r>
      <w:r>
        <w:rPr>
          <w:rFonts w:ascii="Arial" w:cs="Arial" w:eastAsia="Arial" w:hAnsi="Arial"/>
          <w:sz w:val="15"/>
          <w:szCs w:val="15"/>
          <w:u w:val="single" w:color="auto"/>
          <w:color w:val="auto"/>
        </w:rPr>
        <w:t>Sections 4.2.6 and 4.2.2</w:t>
      </w:r>
      <w:r>
        <w:rPr>
          <w:rFonts w:ascii="Arial" w:cs="Arial" w:eastAsia="Arial" w:hAnsi="Arial"/>
          <w:sz w:val="15"/>
          <w:szCs w:val="15"/>
          <w:color w:val="auto"/>
        </w:rPr>
        <w:t>, respectively, of this Lease. Such additional payments by Tenant, together with any and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all other amounts payable by Tenant to Landlord pursuant to the TCCs of this Lease (exclusive of Base Rent), are hereinafter collectively referred to as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Rent</w:t>
      </w:r>
      <w:r>
        <w:rPr>
          <w:rFonts w:ascii="Arial" w:cs="Arial" w:eastAsia="Arial" w:hAnsi="Arial"/>
          <w:sz w:val="16"/>
          <w:szCs w:val="16"/>
          <w:color w:val="auto"/>
        </w:rPr>
        <w:t>,’’ and the Base Rent and the Additional Rent are herein collectively referred to as “</w:t>
      </w:r>
      <w:r>
        <w:rPr>
          <w:rFonts w:ascii="Arial" w:cs="Arial" w:eastAsia="Arial" w:hAnsi="Arial"/>
          <w:sz w:val="16"/>
          <w:szCs w:val="16"/>
          <w:b w:val="1"/>
          <w:bCs w:val="1"/>
          <w:color w:val="auto"/>
        </w:rPr>
        <w:t>Rent</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as Additional</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Rent shall be payable for the same periods and in the same manner as the Base Rent. Without limitation on other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271" w:right="259" w:bottom="1440" w:gutter="0" w:footer="0" w:header="0"/>
        </w:sectPr>
      </w:pPr>
    </w:p>
    <w:bookmarkStart w:id="248" w:name="page249"/>
    <w:bookmarkEnd w:id="248"/>
    <w:p>
      <w:pPr>
        <w:ind w:right="4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obligations of Tenant which survive the expiration of the Lease Term, the obligations of Tenant to pay the Additional Rent provided for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survive the expiration of the Lease Term (subject to the limitation in </w:t>
      </w:r>
      <w:r>
        <w:rPr>
          <w:rFonts w:ascii="Arial" w:cs="Arial" w:eastAsia="Arial" w:hAnsi="Arial"/>
          <w:sz w:val="17"/>
          <w:szCs w:val="17"/>
          <w:u w:val="single" w:color="auto"/>
          <w:color w:val="auto"/>
        </w:rPr>
        <w:t>Section 4.4. l</w:t>
      </w:r>
      <w:r>
        <w:rPr>
          <w:rFonts w:ascii="Arial" w:cs="Arial" w:eastAsia="Arial" w:hAnsi="Arial"/>
          <w:sz w:val="17"/>
          <w:szCs w:val="17"/>
          <w:color w:val="auto"/>
        </w:rPr>
        <w:t xml:space="preserve"> below).</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Definitions of Key Terms Relating to Additional Rent</w:t>
      </w:r>
      <w:r>
        <w:rPr>
          <w:rFonts w:ascii="Arial" w:cs="Arial" w:eastAsia="Arial" w:hAnsi="Arial"/>
          <w:sz w:val="16"/>
          <w:szCs w:val="16"/>
          <w:color w:val="auto"/>
        </w:rPr>
        <w:t xml:space="preserve">. As used m this </w:t>
      </w:r>
      <w:r>
        <w:rPr>
          <w:rFonts w:ascii="Arial" w:cs="Arial" w:eastAsia="Arial" w:hAnsi="Arial"/>
          <w:sz w:val="16"/>
          <w:szCs w:val="16"/>
          <w:u w:val="single" w:color="auto"/>
          <w:color w:val="auto"/>
        </w:rPr>
        <w:t>Article 4</w:t>
      </w:r>
      <w:r>
        <w:rPr>
          <w:rFonts w:ascii="Arial" w:cs="Arial" w:eastAsia="Arial" w:hAnsi="Arial"/>
          <w:sz w:val="16"/>
          <w:szCs w:val="16"/>
          <w:color w:val="auto"/>
        </w:rPr>
        <w:t>, the following terms shall have the meanings hereinafter set forth:</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4.2.1 Intentionally Deleted.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4.2.2 “</w:t>
      </w:r>
      <w:r>
        <w:rPr>
          <w:rFonts w:ascii="Arial" w:cs="Arial" w:eastAsia="Arial" w:hAnsi="Arial"/>
          <w:sz w:val="17"/>
          <w:szCs w:val="17"/>
          <w:b w:val="1"/>
          <w:bCs w:val="1"/>
          <w:color w:val="auto"/>
        </w:rPr>
        <w:t>Direct Expenses</w:t>
      </w:r>
      <w:r>
        <w:rPr>
          <w:rFonts w:ascii="Arial" w:cs="Arial" w:eastAsia="Arial" w:hAnsi="Arial"/>
          <w:sz w:val="17"/>
          <w:szCs w:val="17"/>
          <w:color w:val="auto"/>
        </w:rPr>
        <w:t>” shall mean “Operating Expenses” “Tax Expenses” and “Utility Costs.”</w:t>
      </w:r>
    </w:p>
    <w:p>
      <w:pPr>
        <w:spacing w:after="0" w:line="119"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b w:val="1"/>
          <w:bCs w:val="1"/>
          <w:color w:val="auto"/>
        </w:rPr>
        <w:t>“Expense Year</w:t>
      </w:r>
      <w:r>
        <w:rPr>
          <w:rFonts w:ascii="Arial" w:cs="Arial" w:eastAsia="Arial" w:hAnsi="Arial"/>
          <w:sz w:val="17"/>
          <w:szCs w:val="17"/>
          <w:color w:val="auto"/>
        </w:rPr>
        <w:t>” shall mean each calendar year in which any portion of the Lease Term falls, through and including the calendar year in which the Lease Term expires, provided that Landlord, upon notice to Tenant and receipt of reasonable approval from Tenant, may change the Expense Year from time to time to any other twelve (12) consecutive month period, and, in the event of any such change, Tenant’s Share of Direct Expenses shall be equitably adjusted for any Expense Year involved in any such change; provided, however, in no event shall any such change in the Expense Year result in any net increase in Rent due under this Lease.</w:t>
      </w:r>
    </w:p>
    <w:p>
      <w:pPr>
        <w:spacing w:after="0" w:line="65" w:lineRule="exact"/>
        <w:rPr>
          <w:sz w:val="20"/>
          <w:szCs w:val="20"/>
          <w:color w:val="auto"/>
        </w:rPr>
      </w:pPr>
    </w:p>
    <w:p>
      <w:pPr>
        <w:ind w:firstLine="913"/>
        <w:spacing w:after="0" w:line="277" w:lineRule="auto"/>
        <w:rPr>
          <w:sz w:val="20"/>
          <w:szCs w:val="20"/>
          <w:color w:val="auto"/>
        </w:rPr>
      </w:pPr>
      <w:r>
        <w:rPr>
          <w:rFonts w:ascii="Arial" w:cs="Arial" w:eastAsia="Arial" w:hAnsi="Arial"/>
          <w:sz w:val="16"/>
          <w:szCs w:val="16"/>
          <w:color w:val="auto"/>
        </w:rPr>
        <w:t>4.2.4 “</w:t>
      </w:r>
      <w:r>
        <w:rPr>
          <w:rFonts w:ascii="Arial" w:cs="Arial" w:eastAsia="Arial" w:hAnsi="Arial"/>
          <w:sz w:val="16"/>
          <w:szCs w:val="16"/>
          <w:b w:val="1"/>
          <w:bCs w:val="1"/>
          <w:color w:val="auto"/>
        </w:rPr>
        <w:t>Operating Expenses</w:t>
      </w:r>
      <w:r>
        <w:rPr>
          <w:rFonts w:ascii="Arial" w:cs="Arial" w:eastAsia="Arial" w:hAnsi="Arial"/>
          <w:sz w:val="16"/>
          <w:szCs w:val="16"/>
          <w:color w:val="auto"/>
        </w:rPr>
        <w:t>” shall mean expenses, costs and amounts which Landlord pays or accrues during any Expense Year because of or in connection with the ownership, management, maintenance, security, repair, replacement, restoration or operation of the Project, or any portion thereof, in accordance with sound real estate management and accounting principles, consistently applied. Without limiting the generality of the foregoing, Operating Expenses shall specifically include the following: (i) the cost of operating, repairing, maintaining, and renovating the utility, telephone, mechanical, sanitary, storm drainage, and elevator systems, and the cost of maintenance and service contracts in connection therewith; (ii) the cost of licenses, certificates, permits and inspections, the costs incurred in connection with a governmentally mandated transportation system management program or similar program and to the extent savings therefrom are reasonably anticipated, the cost of contesting any governmental enactments which may affect Operating Expenses,; (iii) the cost of all insurance carried by Landlord in connection with the Project; (iv) the cost of landscaping, relamping, and all supplies, tools, equipment and materials used in the operation, repair and maintenance of the Project, or any portion thereof; (v) costs incurred in connection with the parking areas servicing the Project; (vi) fees and other costs, including management fees (subject to the Management Fee Cap set forth hereinbelow), consulting fees, legal fees and accounting fees, of all contractors and consultants in connection with the management, operation, maintenance and repair of the Project; (vii) payments under any equipment rental agreements and the fair rental value of any management office space; (viii) wages, salaries and other compensation and benefits, including taxes levied thereon, of all persons (other than persons generally considered to be higher in rank than the position of “Property Manager”) to the extent engaged in the operation, maintenance and security of the Project; (ix) costs under any instrument pertaining to the sharing of costs by the Project; (x) operation, repair, maintenance and replacement (subject to item (xiii), below) of all systems and equipment and components thereof of the Building; (xi) the cost of janitorial, alarm, security and other services, replacement of wall and floor coverings, ceiling tiles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80"/>
          </w:cols>
          <w:pgMar w:left="240" w:top="271" w:right="279" w:bottom="1440" w:gutter="0" w:footer="0" w:header="0"/>
        </w:sectPr>
      </w:pPr>
    </w:p>
    <w:bookmarkStart w:id="249" w:name="page250"/>
    <w:bookmarkEnd w:id="249"/>
    <w:p>
      <w:pPr>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fixtures in common areas, maintenance and replacement of curbs and walkways, repair to roofs and re-roofing; (xii) amortization of the cost of acquiring or the rental expense of personal property used in the maintenance, operation and repair of the Project, or any portion thereof (which amortization calculation shall include interest at the “Interest Rate,” as that term is set forth in </w:t>
      </w:r>
      <w:r>
        <w:rPr>
          <w:rFonts w:ascii="Arial" w:cs="Arial" w:eastAsia="Arial" w:hAnsi="Arial"/>
          <w:sz w:val="15"/>
          <w:szCs w:val="15"/>
          <w:u w:val="single" w:color="auto"/>
          <w:color w:val="auto"/>
        </w:rPr>
        <w:t>Article 25</w:t>
      </w:r>
      <w:r>
        <w:rPr>
          <w:rFonts w:ascii="Arial" w:cs="Arial" w:eastAsia="Arial" w:hAnsi="Arial"/>
          <w:sz w:val="15"/>
          <w:szCs w:val="15"/>
          <w:color w:val="auto"/>
        </w:rPr>
        <w:t xml:space="preserve"> of this Lease); (xiii) the cost of capital improvements or other costs incurred in connection with the Project (A) which are intended to effect economies in the operation or maintenance of the Project, or any portion thereof, (B) that are required to comply with mandatory conservation programs, or (C) that are required under any governmental law or regulation by a federal, state or local governmental agency, except for capital repairs, replacements or other improvements to remedy a condition existing prior to the Lease Commencement Date which an applicable governmental authority, if it had knowledge of such condition prior to the Lease Commencement Date, would have then required to be remedied pursuant to then-current governmental laws or regulations in their form existing as of the Lease Commencement Date and pursuant to the then-current interpretation of such governmental laws or regulations by the applicable governmental authority as of the Lease Commencement Date; provided, however, that any capital expenditure shall be shall be amortized with interest at the Interest Rate its useful life as Landlord shall reasonably determine in accordance with sound real estate management and accounting principles;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5"/>
          <w:szCs w:val="15"/>
          <w:u w:val="single" w:color="auto"/>
          <w:color w:val="auto"/>
        </w:rPr>
        <w:t>Section 4.2.5</w:t>
      </w:r>
      <w:r>
        <w:rPr>
          <w:rFonts w:ascii="Arial" w:cs="Arial" w:eastAsia="Arial" w:hAnsi="Arial"/>
          <w:sz w:val="15"/>
          <w:szCs w:val="15"/>
          <w:color w:val="auto"/>
        </w:rPr>
        <w:t>, below; and (xv) payments under any easement, license, operating agreement, declaration, restrictive covenant, or instrument pertaining to the sharing of costs by the Building. Notwithstanding the foregoing, for purposes of this Lease, Operating Expenses shall not, however, include:</w:t>
      </w:r>
    </w:p>
    <w:p>
      <w:pPr>
        <w:spacing w:after="0" w:line="60" w:lineRule="exact"/>
        <w:rPr>
          <w:sz w:val="20"/>
          <w:szCs w:val="20"/>
          <w:color w:val="auto"/>
        </w:rPr>
      </w:pPr>
    </w:p>
    <w:p>
      <w:pPr>
        <w:ind w:right="20" w:firstLine="1489"/>
        <w:spacing w:after="0" w:line="289" w:lineRule="auto"/>
        <w:tabs>
          <w:tab w:leader="none" w:pos="172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costs, including marketing costs,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premises for tenants or other occupants of the Project;</w:t>
      </w:r>
    </w:p>
    <w:p>
      <w:pPr>
        <w:spacing w:after="0" w:line="56" w:lineRule="exact"/>
        <w:rPr>
          <w:rFonts w:ascii="Arial" w:cs="Arial" w:eastAsia="Arial" w:hAnsi="Arial"/>
          <w:sz w:val="16"/>
          <w:szCs w:val="16"/>
          <w:color w:val="auto"/>
        </w:rPr>
      </w:pPr>
    </w:p>
    <w:p>
      <w:pPr>
        <w:ind w:right="320" w:firstLine="1489"/>
        <w:spacing w:after="0" w:line="289" w:lineRule="auto"/>
        <w:tabs>
          <w:tab w:leader="none" w:pos="173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except as set forth in items (xii), (xiii), and (xiv) above, costs of capital repairs and alterations, and costs of capital improvements and equipment, and depreciation, interest and principal payments on mortgages and other debt costs, if any, penalties and interest;</w:t>
      </w:r>
    </w:p>
    <w:p>
      <w:pPr>
        <w:spacing w:after="0" w:line="53" w:lineRule="exact"/>
        <w:rPr>
          <w:rFonts w:ascii="Arial" w:cs="Arial" w:eastAsia="Arial" w:hAnsi="Arial"/>
          <w:sz w:val="17"/>
          <w:szCs w:val="17"/>
          <w:color w:val="auto"/>
        </w:rPr>
      </w:pPr>
    </w:p>
    <w:p>
      <w:pPr>
        <w:ind w:right="280" w:firstLine="1489"/>
        <w:spacing w:after="0" w:line="273" w:lineRule="auto"/>
        <w:tabs>
          <w:tab w:leader="none" w:pos="172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costs for which the Landlord is reimbursed (or is otherwise entitled to reimbursement) by any tenant or occupant of the Project or by insurance by its carrier or any tenant’s carrier or by anyone else, and electric power and other utility costs for which any tenant directly contracts with the local public service company;</w:t>
      </w:r>
    </w:p>
    <w:p>
      <w:pPr>
        <w:spacing w:after="0" w:line="66" w:lineRule="exact"/>
        <w:rPr>
          <w:rFonts w:ascii="Arial" w:cs="Arial" w:eastAsia="Arial" w:hAnsi="Arial"/>
          <w:sz w:val="17"/>
          <w:szCs w:val="17"/>
          <w:color w:val="auto"/>
        </w:rPr>
      </w:pPr>
    </w:p>
    <w:p>
      <w:pPr>
        <w:ind w:left="1740" w:hanging="251"/>
        <w:spacing w:after="0"/>
        <w:tabs>
          <w:tab w:leader="none" w:pos="17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bad debt loss, rent loss, or reserves for bad debts or rent loss;</w:t>
      </w:r>
    </w:p>
    <w:p>
      <w:pPr>
        <w:spacing w:after="0" w:line="118" w:lineRule="exact"/>
        <w:rPr>
          <w:rFonts w:ascii="Arial" w:cs="Arial" w:eastAsia="Arial" w:hAnsi="Arial"/>
          <w:sz w:val="17"/>
          <w:szCs w:val="17"/>
          <w:color w:val="auto"/>
        </w:rPr>
      </w:pPr>
    </w:p>
    <w:p>
      <w:pPr>
        <w:ind w:right="900" w:firstLine="1489"/>
        <w:spacing w:after="0" w:line="289" w:lineRule="auto"/>
        <w:tabs>
          <w:tab w:leader="none" w:pos="172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costs associated with the operation of the business of the partnership or entity which constitutes the Landlord, as the same are distinguished from the costs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271" w:right="279" w:bottom="1440" w:gutter="0" w:footer="0" w:header="0"/>
        </w:sectPr>
      </w:pPr>
    </w:p>
    <w:bookmarkStart w:id="250" w:name="page251"/>
    <w:bookmarkEnd w:id="250"/>
    <w:p>
      <w:pPr>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 and Landlord’s general corporate overhead and general and administrative expenses;</w:t>
      </w:r>
    </w:p>
    <w:p>
      <w:pPr>
        <w:spacing w:after="0" w:line="77" w:lineRule="exact"/>
        <w:rPr>
          <w:sz w:val="20"/>
          <w:szCs w:val="20"/>
          <w:color w:val="auto"/>
        </w:rPr>
      </w:pPr>
    </w:p>
    <w:p>
      <w:pPr>
        <w:ind w:firstLine="1489"/>
        <w:spacing w:after="0" w:line="267" w:lineRule="auto"/>
        <w:tabs>
          <w:tab w:leader="none" w:pos="170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72" w:lineRule="exact"/>
        <w:rPr>
          <w:rFonts w:ascii="Arial" w:cs="Arial" w:eastAsia="Arial" w:hAnsi="Arial"/>
          <w:sz w:val="17"/>
          <w:szCs w:val="17"/>
          <w:color w:val="auto"/>
        </w:rPr>
      </w:pPr>
    </w:p>
    <w:p>
      <w:pPr>
        <w:ind w:left="1740" w:hanging="251"/>
        <w:spacing w:after="0"/>
        <w:tabs>
          <w:tab w:leader="none" w:pos="17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amount paid as ground rental for the Project by the Landlord;</w:t>
      </w:r>
    </w:p>
    <w:p>
      <w:pPr>
        <w:spacing w:after="0" w:line="118" w:lineRule="exact"/>
        <w:rPr>
          <w:rFonts w:ascii="Arial" w:cs="Arial" w:eastAsia="Arial" w:hAnsi="Arial"/>
          <w:sz w:val="17"/>
          <w:szCs w:val="17"/>
          <w:color w:val="auto"/>
        </w:rPr>
      </w:pPr>
    </w:p>
    <w:p>
      <w:pPr>
        <w:ind w:right="160" w:firstLine="1489"/>
        <w:spacing w:after="0" w:line="289" w:lineRule="auto"/>
        <w:tabs>
          <w:tab w:leader="none" w:pos="173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53" w:lineRule="exact"/>
        <w:rPr>
          <w:rFonts w:ascii="Arial" w:cs="Arial" w:eastAsia="Arial" w:hAnsi="Arial"/>
          <w:sz w:val="17"/>
          <w:szCs w:val="17"/>
          <w:color w:val="auto"/>
        </w:rPr>
      </w:pPr>
    </w:p>
    <w:p>
      <w:pPr>
        <w:ind w:right="460" w:firstLine="1489"/>
        <w:spacing w:after="0" w:line="289" w:lineRule="auto"/>
        <w:tabs>
          <w:tab w:leader="none" w:pos="169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53" w:lineRule="exact"/>
        <w:rPr>
          <w:rFonts w:ascii="Arial" w:cs="Arial" w:eastAsia="Arial" w:hAnsi="Arial"/>
          <w:sz w:val="17"/>
          <w:szCs w:val="17"/>
          <w:color w:val="auto"/>
        </w:rPr>
      </w:pPr>
    </w:p>
    <w:p>
      <w:pPr>
        <w:ind w:right="20" w:firstLine="1489"/>
        <w:spacing w:after="0" w:line="297" w:lineRule="auto"/>
        <w:tabs>
          <w:tab w:leader="none" w:pos="169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w:t>
      </w:r>
    </w:p>
    <w:p>
      <w:pPr>
        <w:spacing w:after="0" w:line="50" w:lineRule="exact"/>
        <w:rPr>
          <w:rFonts w:ascii="Arial" w:cs="Arial" w:eastAsia="Arial" w:hAnsi="Arial"/>
          <w:sz w:val="16"/>
          <w:szCs w:val="16"/>
          <w:color w:val="auto"/>
        </w:rPr>
      </w:pPr>
    </w:p>
    <w:p>
      <w:pPr>
        <w:ind w:right="160" w:firstLine="1489"/>
        <w:spacing w:after="0" w:line="289" w:lineRule="auto"/>
        <w:tabs>
          <w:tab w:leader="none" w:pos="173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all items and services for which Tenant or any other tenant in the Project reimburses Landlord or which Landlord provides selectively to one or more tenants (other than Tenant) without reimbursement;</w:t>
      </w:r>
    </w:p>
    <w:p>
      <w:pPr>
        <w:spacing w:after="0" w:line="53" w:lineRule="exact"/>
        <w:rPr>
          <w:rFonts w:ascii="Arial" w:cs="Arial" w:eastAsia="Arial" w:hAnsi="Arial"/>
          <w:sz w:val="17"/>
          <w:szCs w:val="17"/>
          <w:color w:val="auto"/>
        </w:rPr>
      </w:pPr>
    </w:p>
    <w:p>
      <w:pPr>
        <w:ind w:left="1700" w:hanging="211"/>
        <w:spacing w:after="0"/>
        <w:tabs>
          <w:tab w:leader="none" w:pos="17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costs, other than those incurred in ordinary maintenance and repair, for sculpture, paintings, fountains or other objects of art;</w:t>
      </w:r>
    </w:p>
    <w:p>
      <w:pPr>
        <w:spacing w:after="0" w:line="118" w:lineRule="exact"/>
        <w:rPr>
          <w:rFonts w:ascii="Arial" w:cs="Arial" w:eastAsia="Arial" w:hAnsi="Arial"/>
          <w:sz w:val="17"/>
          <w:szCs w:val="17"/>
          <w:color w:val="auto"/>
        </w:rPr>
      </w:pPr>
    </w:p>
    <w:p>
      <w:pPr>
        <w:ind w:left="1780" w:hanging="291"/>
        <w:spacing w:after="0"/>
        <w:tabs>
          <w:tab w:leader="none" w:pos="17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any costs expressly excluded from Operating Expenses elsewhere in this Lease;</w:t>
      </w:r>
    </w:p>
    <w:p>
      <w:pPr>
        <w:spacing w:after="0" w:line="118" w:lineRule="exact"/>
        <w:rPr>
          <w:rFonts w:ascii="Arial" w:cs="Arial" w:eastAsia="Arial" w:hAnsi="Arial"/>
          <w:sz w:val="17"/>
          <w:szCs w:val="17"/>
          <w:color w:val="auto"/>
        </w:rPr>
      </w:pPr>
    </w:p>
    <w:p>
      <w:pPr>
        <w:ind w:right="180" w:firstLine="1489"/>
        <w:spacing w:after="0" w:line="289" w:lineRule="auto"/>
        <w:tabs>
          <w:tab w:leader="none" w:pos="173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rent for any office space occupied by Project management personnel to the extent the size or rental rate of such office space exceeds the size or fair market rental value of office space occupied by management personnel of the Comparable Buildings in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271" w:right="259" w:bottom="1440" w:gutter="0" w:footer="0" w:header="0"/>
        </w:sectPr>
      </w:pPr>
    </w:p>
    <w:bookmarkStart w:id="251" w:name="page252"/>
    <w:bookmarkEnd w:id="25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vicinity of the Building, with adjustment where appropriate for the size of the applicable project;</w:t>
      </w:r>
    </w:p>
    <w:p>
      <w:pPr>
        <w:spacing w:after="0" w:line="119" w:lineRule="exact"/>
        <w:rPr>
          <w:sz w:val="20"/>
          <w:szCs w:val="20"/>
          <w:color w:val="auto"/>
        </w:rPr>
      </w:pPr>
    </w:p>
    <w:p>
      <w:pPr>
        <w:ind w:right="180" w:firstLine="1489"/>
        <w:spacing w:after="0" w:line="289" w:lineRule="auto"/>
        <w:tabs>
          <w:tab w:leader="none" w:pos="173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costs to the extent arising from the gross negligence or willful misconduct of Landlord or its agents, employees, vendors, contractors, or providers of materials or services; and</w:t>
      </w:r>
    </w:p>
    <w:p>
      <w:pPr>
        <w:spacing w:after="0" w:line="53" w:lineRule="exact"/>
        <w:rPr>
          <w:rFonts w:ascii="Arial" w:cs="Arial" w:eastAsia="Arial" w:hAnsi="Arial"/>
          <w:sz w:val="17"/>
          <w:szCs w:val="17"/>
          <w:color w:val="auto"/>
        </w:rPr>
      </w:pPr>
    </w:p>
    <w:p>
      <w:pPr>
        <w:ind w:firstLine="1489"/>
        <w:spacing w:after="0" w:line="285" w:lineRule="auto"/>
        <w:tabs>
          <w:tab w:leader="none" w:pos="173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costs incurred to comply with Applicable Law with respect to “Hazardous Material,” as that term is defined in </w:t>
      </w:r>
      <w:r>
        <w:rPr>
          <w:rFonts w:ascii="Arial" w:cs="Arial" w:eastAsia="Arial" w:hAnsi="Arial"/>
          <w:sz w:val="16"/>
          <w:szCs w:val="16"/>
          <w:u w:val="single" w:color="auto"/>
          <w:color w:val="auto"/>
        </w:rPr>
        <w:t>Section 29.33</w:t>
      </w:r>
      <w:r>
        <w:rPr>
          <w:rFonts w:ascii="Arial" w:cs="Arial" w:eastAsia="Arial" w:hAnsi="Arial"/>
          <w:sz w:val="16"/>
          <w:szCs w:val="16"/>
          <w:color w:val="auto"/>
        </w:rPr>
        <w:t xml:space="preserve"> of this Lease, (including, without limitation, with respect to the monitoring, testing and reporting relating thereto) which was in existence in the Building or on the Project prior to the Lease Commencement Date; and costs incurred with respect to Hazardous Material (including, without limitation, with respect to the monitoring, testing and reporting relating thereto), which Hazardous Material is brought into the Building or onto the Project after the date hereof by Landlord or any other tenant of the Project or by anyone other than Tenant or its partners, subpartners and their respective officers, agents, servants, employees, and independent contractors ·</w:t>
      </w:r>
    </w:p>
    <w:p>
      <w:pPr>
        <w:spacing w:after="0" w:line="59" w:lineRule="exact"/>
        <w:rPr>
          <w:rFonts w:ascii="Arial" w:cs="Arial" w:eastAsia="Arial" w:hAnsi="Arial"/>
          <w:sz w:val="16"/>
          <w:szCs w:val="16"/>
          <w:color w:val="auto"/>
        </w:rPr>
      </w:pPr>
    </w:p>
    <w:p>
      <w:pPr>
        <w:ind w:right="260" w:firstLine="1489"/>
        <w:spacing w:after="0" w:line="289" w:lineRule="auto"/>
        <w:tabs>
          <w:tab w:leader="none" w:pos="173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tax penalties incurred as a result of Landlord’s negligence, inability or unwillingness to make payments when due or to file any income tax or informational returns when due;</w:t>
      </w:r>
    </w:p>
    <w:p>
      <w:pPr>
        <w:spacing w:after="0" w:line="53" w:lineRule="exact"/>
        <w:rPr>
          <w:rFonts w:ascii="Arial" w:cs="Arial" w:eastAsia="Arial" w:hAnsi="Arial"/>
          <w:sz w:val="17"/>
          <w:szCs w:val="17"/>
          <w:color w:val="auto"/>
        </w:rPr>
      </w:pPr>
    </w:p>
    <w:p>
      <w:pPr>
        <w:ind w:left="1700" w:hanging="211"/>
        <w:spacing w:after="0"/>
        <w:tabs>
          <w:tab w:leader="none" w:pos="17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any Tax Expenses or Utility Costs due to the fact that such expenses are to be included as Direct Expenses pursuant to </w:t>
      </w:r>
      <w:r>
        <w:rPr>
          <w:rFonts w:ascii="Arial" w:cs="Arial" w:eastAsia="Arial" w:hAnsi="Arial"/>
          <w:sz w:val="16"/>
          <w:szCs w:val="16"/>
          <w:u w:val="single" w:color="auto"/>
          <w:color w:val="auto"/>
        </w:rPr>
        <w:t>Sections 4.2.2</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4.2.5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4.2.7</w:t>
      </w:r>
      <w:r>
        <w:rPr>
          <w:rFonts w:ascii="Arial" w:cs="Arial" w:eastAsia="Arial" w:hAnsi="Arial"/>
          <w:sz w:val="17"/>
          <w:szCs w:val="17"/>
          <w:color w:val="auto"/>
        </w:rPr>
        <w:t xml:space="preserve"> of this Lease;</w:t>
      </w:r>
    </w:p>
    <w:p>
      <w:pPr>
        <w:spacing w:after="0" w:line="107" w:lineRule="exact"/>
        <w:rPr>
          <w:sz w:val="20"/>
          <w:szCs w:val="20"/>
          <w:color w:val="auto"/>
        </w:rPr>
      </w:pPr>
    </w:p>
    <w:p>
      <w:pPr>
        <w:ind w:right="40" w:firstLine="1489"/>
        <w:spacing w:after="0" w:line="289" w:lineRule="auto"/>
        <w:tabs>
          <w:tab w:leader="none" w:pos="171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rentals for items (except as expressly permitted under </w:t>
      </w:r>
      <w:r>
        <w:rPr>
          <w:rFonts w:ascii="Arial" w:cs="Arial" w:eastAsia="Arial" w:hAnsi="Arial"/>
          <w:sz w:val="17"/>
          <w:szCs w:val="17"/>
          <w:u w:val="single" w:color="auto"/>
          <w:color w:val="auto"/>
        </w:rPr>
        <w:t>Section 4.2.4(xii)</w:t>
      </w:r>
      <w:r>
        <w:rPr>
          <w:rFonts w:ascii="Arial" w:cs="Arial" w:eastAsia="Arial" w:hAnsi="Arial"/>
          <w:sz w:val="17"/>
          <w:szCs w:val="17"/>
          <w:color w:val="auto"/>
        </w:rPr>
        <w:t>) which, if purchased, rather than rented, would constitute a capital improvement specifically excluded above;</w:t>
      </w:r>
    </w:p>
    <w:p>
      <w:pPr>
        <w:spacing w:after="0" w:line="53" w:lineRule="exact"/>
        <w:rPr>
          <w:rFonts w:ascii="Arial" w:cs="Arial" w:eastAsia="Arial" w:hAnsi="Arial"/>
          <w:sz w:val="17"/>
          <w:szCs w:val="17"/>
          <w:color w:val="auto"/>
        </w:rPr>
      </w:pPr>
    </w:p>
    <w:p>
      <w:pPr>
        <w:ind w:right="60" w:firstLine="1489"/>
        <w:spacing w:after="0" w:line="265" w:lineRule="auto"/>
        <w:tabs>
          <w:tab w:leader="none" w:pos="169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costs (including, without limitation, fines, penalties, interest, and costs of repairs, replacements, alterations and/or improvements) incurred in bringing the Project into compliance with laws in effect as of the Lease Commencement Date and as interpreted by applicable governmental authorities as of such date, including, without limitation, any costs to correct building code violations pertaining to the initial design or construction of the Building or any other improvements to the Project, to the extent such violations exist as of the Lease Commencement Date under any applicable building codes in effect and as interpreted by applicable governmental authorities as of such date;</w:t>
      </w:r>
    </w:p>
    <w:p>
      <w:pPr>
        <w:spacing w:after="0" w:line="73" w:lineRule="exact"/>
        <w:rPr>
          <w:rFonts w:ascii="Arial" w:cs="Arial" w:eastAsia="Arial" w:hAnsi="Arial"/>
          <w:sz w:val="17"/>
          <w:szCs w:val="17"/>
          <w:color w:val="auto"/>
        </w:rPr>
      </w:pPr>
    </w:p>
    <w:p>
      <w:pPr>
        <w:ind w:left="1740" w:hanging="251"/>
        <w:spacing w:after="0"/>
        <w:tabs>
          <w:tab w:leader="none" w:pos="17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costs for the initial development or future expansion of the Project;</w:t>
      </w:r>
    </w:p>
    <w:p>
      <w:pPr>
        <w:spacing w:after="0" w:line="118" w:lineRule="exact"/>
        <w:rPr>
          <w:rFonts w:ascii="Arial" w:cs="Arial" w:eastAsia="Arial" w:hAnsi="Arial"/>
          <w:sz w:val="17"/>
          <w:szCs w:val="17"/>
          <w:color w:val="auto"/>
        </w:rPr>
      </w:pPr>
    </w:p>
    <w:p>
      <w:pPr>
        <w:ind w:left="1740" w:hanging="251"/>
        <w:spacing w:after="0"/>
        <w:tabs>
          <w:tab w:leader="none" w:pos="17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costs arising from Landlord’s charitable or political contributions;</w:t>
      </w:r>
    </w:p>
    <w:p>
      <w:pPr>
        <w:spacing w:after="0" w:line="118" w:lineRule="exact"/>
        <w:rPr>
          <w:rFonts w:ascii="Arial" w:cs="Arial" w:eastAsia="Arial" w:hAnsi="Arial"/>
          <w:sz w:val="17"/>
          <w:szCs w:val="17"/>
          <w:color w:val="auto"/>
        </w:rPr>
      </w:pPr>
    </w:p>
    <w:p>
      <w:pPr>
        <w:ind w:left="1780" w:hanging="291"/>
        <w:spacing w:after="0"/>
        <w:tabs>
          <w:tab w:leader="none" w:pos="17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costs of any “tap fees” or any sewer or water connection fees for the benefit of any particular tenant of the Project;</w:t>
      </w:r>
    </w:p>
    <w:p>
      <w:pPr>
        <w:spacing w:after="0" w:line="118" w:lineRule="exact"/>
        <w:rPr>
          <w:rFonts w:ascii="Arial" w:cs="Arial" w:eastAsia="Arial" w:hAnsi="Arial"/>
          <w:sz w:val="17"/>
          <w:szCs w:val="17"/>
          <w:color w:val="auto"/>
        </w:rPr>
      </w:pPr>
    </w:p>
    <w:p>
      <w:pPr>
        <w:ind w:left="1740" w:hanging="251"/>
        <w:spacing w:after="0"/>
        <w:tabs>
          <w:tab w:leader="none" w:pos="17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any “above-standard” cleaning, including, but not limited to construction cleanup or special cleanings associated with parties/events and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specific tenant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71" w:right="239" w:bottom="1440" w:gutter="0" w:footer="0" w:header="0"/>
        </w:sectPr>
      </w:pPr>
    </w:p>
    <w:bookmarkStart w:id="252" w:name="page253"/>
    <w:bookmarkEnd w:id="25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requirements in excess of services provided to Tenant, including related trash collection, removal, hauling and dumping</w:t>
      </w:r>
    </w:p>
    <w:p>
      <w:pPr>
        <w:spacing w:after="0" w:line="119" w:lineRule="exact"/>
        <w:rPr>
          <w:sz w:val="20"/>
          <w:szCs w:val="20"/>
          <w:color w:val="auto"/>
        </w:rPr>
      </w:pPr>
    </w:p>
    <w:p>
      <w:pPr>
        <w:ind w:left="1740" w:hanging="251"/>
        <w:spacing w:after="0"/>
        <w:tabs>
          <w:tab w:leader="none" w:pos="17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“in-house” legal and/or accounting fees;</w:t>
      </w:r>
    </w:p>
    <w:p>
      <w:pPr>
        <w:spacing w:after="0" w:line="118" w:lineRule="exact"/>
        <w:rPr>
          <w:rFonts w:ascii="Arial" w:cs="Arial" w:eastAsia="Arial" w:hAnsi="Arial"/>
          <w:sz w:val="17"/>
          <w:szCs w:val="17"/>
          <w:color w:val="auto"/>
        </w:rPr>
      </w:pPr>
    </w:p>
    <w:p>
      <w:pPr>
        <w:jc w:val="both"/>
        <w:ind w:right="240" w:firstLine="1489"/>
        <w:spacing w:after="0" w:line="267" w:lineRule="auto"/>
        <w:tabs>
          <w:tab w:leader="none" w:pos="172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Any expenses incurred by Landlord to the extent related to the use of any portions of the Project to accommodate shows, promotions, kiosks, displays, filming, photography, private events or parties, ceremonies, and advertising (as opposed to, without limitation, the normal expenses otherwise attributable to providing services, such as lighting and HYAC, to such public portions of the Project as would be incurred in normal operations of Project during standard hours of operation);</w:t>
      </w:r>
    </w:p>
    <w:p>
      <w:pPr>
        <w:spacing w:after="0" w:line="73" w:lineRule="exact"/>
        <w:rPr>
          <w:sz w:val="20"/>
          <w:szCs w:val="20"/>
          <w:color w:val="auto"/>
        </w:rPr>
      </w:pPr>
    </w:p>
    <w:p>
      <w:pPr>
        <w:ind w:right="220" w:firstLine="1489"/>
        <w:spacing w:after="0" w:line="289" w:lineRule="auto"/>
        <w:tabs>
          <w:tab w:leader="none" w:pos="179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balloons, flowers, or other gifts provided to any entity whatsoever, to include, but not limited to, Tenant, other tenants, employees, vendors, contractors, prospective tenants, and agents; and</w:t>
      </w:r>
    </w:p>
    <w:p>
      <w:pPr>
        <w:spacing w:after="0" w:line="47" w:lineRule="exact"/>
        <w:rPr>
          <w:rFonts w:ascii="Arial" w:cs="Arial" w:eastAsia="Arial" w:hAnsi="Arial"/>
          <w:sz w:val="17"/>
          <w:szCs w:val="17"/>
          <w:color w:val="auto"/>
        </w:rPr>
      </w:pPr>
    </w:p>
    <w:p>
      <w:pPr>
        <w:ind w:right="120" w:firstLine="1489"/>
        <w:spacing w:after="0" w:line="296" w:lineRule="auto"/>
        <w:tabs>
          <w:tab w:leader="none" w:pos="181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fees payable by Landlord for management of the Project in excess of three percent (3.0%) (the “</w:t>
      </w:r>
      <w:r>
        <w:rPr>
          <w:rFonts w:ascii="Arial" w:cs="Arial" w:eastAsia="Arial" w:hAnsi="Arial"/>
          <w:sz w:val="17"/>
          <w:szCs w:val="17"/>
          <w:b w:val="1"/>
          <w:bCs w:val="1"/>
          <w:color w:val="auto"/>
        </w:rPr>
        <w:t>Management Fee Cap</w:t>
      </w:r>
      <w:r>
        <w:rPr>
          <w:rFonts w:ascii="Arial" w:cs="Arial" w:eastAsia="Arial" w:hAnsi="Arial"/>
          <w:sz w:val="17"/>
          <w:szCs w:val="17"/>
          <w:color w:val="auto"/>
        </w:rPr>
        <w:t>”) of Landlord’s gross rental revenues (but excluding the cost of after hours services or utilities) from the Building for any calendar year or portion thereof.</w:t>
      </w:r>
    </w:p>
    <w:p>
      <w:pPr>
        <w:spacing w:after="0" w:line="152"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one hundred percent (100%) occupied during all or a portion of any Expense Year, Landlord may elect to make an appropriate adjustment to the components of Operating Expenses for such year to determine the amount of Operating Expenses that would have been incurred had the Project been one hundred percent (100%) occupied; and the amount so determined shall be deemed to have been the amount of Operating Expenses for such year.</w:t>
      </w:r>
    </w:p>
    <w:p>
      <w:pPr>
        <w:spacing w:after="0" w:line="182" w:lineRule="exact"/>
        <w:rPr>
          <w:sz w:val="20"/>
          <w:szCs w:val="20"/>
          <w:color w:val="auto"/>
        </w:rPr>
      </w:pPr>
    </w:p>
    <w:p>
      <w:pPr>
        <w:ind w:right="80" w:firstLine="457"/>
        <w:spacing w:after="0" w:line="322" w:lineRule="auto"/>
        <w:rPr>
          <w:sz w:val="20"/>
          <w:szCs w:val="20"/>
          <w:color w:val="auto"/>
        </w:rPr>
      </w:pPr>
      <w:r>
        <w:rPr>
          <w:rFonts w:ascii="Arial" w:cs="Arial" w:eastAsia="Arial" w:hAnsi="Arial"/>
          <w:sz w:val="16"/>
          <w:szCs w:val="16"/>
          <w:color w:val="auto"/>
        </w:rPr>
        <w:t>Landlord’s determination of Operating Expenses shall take into account and adjust for all cash discounts, trade discounts, or quantity discounts as and when actually received by Landlord in connection with the purchase of any goods, services or utilities in connection with the operation of the Project.</w:t>
      </w:r>
    </w:p>
    <w:p>
      <w:pPr>
        <w:spacing w:after="0" w:line="135"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 xml:space="preserve">Notwithstanding any provision to the contrary set forth in this </w:t>
      </w:r>
      <w:r>
        <w:rPr>
          <w:rFonts w:ascii="Arial" w:cs="Arial" w:eastAsia="Arial" w:hAnsi="Arial"/>
          <w:sz w:val="16"/>
          <w:szCs w:val="16"/>
          <w:u w:val="single" w:color="auto"/>
          <w:color w:val="auto"/>
        </w:rPr>
        <w:t>Article 4</w:t>
      </w:r>
      <w:r>
        <w:rPr>
          <w:rFonts w:ascii="Arial" w:cs="Arial" w:eastAsia="Arial" w:hAnsi="Arial"/>
          <w:sz w:val="16"/>
          <w:szCs w:val="16"/>
          <w:color w:val="auto"/>
        </w:rPr>
        <w:t>, in no event shall (a) Tenant’s Share of Direct Expenses for the initial Expense Year exceed an amount equal to Forty-Nine Cents ($.49) per rentable square foot per month, or (b) those components of Direct Expenses constituting “Controllable Expenses” (defined below) exceed, on an aggregate basis for any Expense Year following the initial Expense Year, the amount that the Controllable Expenses would have been had they increased by ten percent (10%) per Expense Year following such initial Expense Year. For purposes of this Lease, “</w:t>
      </w:r>
      <w:r>
        <w:rPr>
          <w:rFonts w:ascii="Arial" w:cs="Arial" w:eastAsia="Arial" w:hAnsi="Arial"/>
          <w:sz w:val="16"/>
          <w:szCs w:val="16"/>
          <w:b w:val="1"/>
          <w:bCs w:val="1"/>
          <w:color w:val="auto"/>
        </w:rPr>
        <w:t>Controllable</w:t>
      </w:r>
      <w:r>
        <w:rPr>
          <w:rFonts w:ascii="Arial" w:cs="Arial" w:eastAsia="Arial" w:hAnsi="Arial"/>
          <w:sz w:val="16"/>
          <w:szCs w:val="16"/>
          <w:color w:val="auto"/>
        </w:rPr>
        <w:t xml:space="preserve"> </w:t>
      </w:r>
      <w:r>
        <w:rPr>
          <w:rFonts w:ascii="Arial" w:cs="Arial" w:eastAsia="Arial" w:hAnsi="Arial"/>
          <w:sz w:val="16"/>
          <w:szCs w:val="16"/>
          <w:b w:val="1"/>
          <w:bCs w:val="1"/>
          <w:color w:val="auto"/>
        </w:rPr>
        <w:t>Expenses</w:t>
      </w:r>
      <w:r>
        <w:rPr>
          <w:rFonts w:ascii="Arial" w:cs="Arial" w:eastAsia="Arial" w:hAnsi="Arial"/>
          <w:sz w:val="16"/>
          <w:szCs w:val="16"/>
          <w:color w:val="auto"/>
        </w:rPr>
        <w:t>” shall mean all Direct Expenses except (a) Tax Expenses, (b) Utilities Costs, (c) insurance charges, (d) costs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71" w:right="239" w:bottom="1440" w:gutter="0" w:footer="0" w:header="0"/>
        </w:sectPr>
      </w:pPr>
    </w:p>
    <w:bookmarkStart w:id="253" w:name="page254"/>
    <w:bookmarkEnd w:id="253"/>
    <w:p>
      <w:pPr>
        <w:ind w:right="1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services provided under a union contract, (e) payments under CC&amp;Rs, and (f) costs associated with repairs due to casualty, vandalism or other sources outside of Landlord’s reasonable control.</w:t>
      </w:r>
    </w:p>
    <w:p>
      <w:pPr>
        <w:spacing w:after="0" w:line="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w:t>
      </w:r>
    </w:p>
    <w:p>
      <w:pPr>
        <w:spacing w:after="0" w:line="119" w:lineRule="exact"/>
        <w:rPr>
          <w:sz w:val="20"/>
          <w:szCs w:val="20"/>
          <w:color w:val="auto"/>
        </w:rPr>
      </w:pPr>
    </w:p>
    <w:p>
      <w:pPr>
        <w:ind w:right="100" w:firstLine="1484"/>
        <w:spacing w:after="0" w:line="263" w:lineRule="auto"/>
        <w:rPr>
          <w:sz w:val="20"/>
          <w:szCs w:val="20"/>
          <w:color w:val="auto"/>
        </w:rPr>
      </w:pPr>
      <w:r>
        <w:rPr>
          <w:rFonts w:ascii="Arial" w:cs="Arial" w:eastAsia="Arial" w:hAnsi="Arial"/>
          <w:sz w:val="17"/>
          <w:szCs w:val="17"/>
          <w:color w:val="auto"/>
        </w:rPr>
        <w:t>4.2.5.1 “</w:t>
      </w:r>
      <w:r>
        <w:rPr>
          <w:rFonts w:ascii="Arial" w:cs="Arial" w:eastAsia="Arial" w:hAnsi="Arial"/>
          <w:sz w:val="17"/>
          <w:szCs w:val="17"/>
          <w:b w:val="1"/>
          <w:bCs w:val="1"/>
          <w:color w:val="auto"/>
        </w:rPr>
        <w:t>Tax Expenses</w:t>
      </w:r>
      <w:r>
        <w:rPr>
          <w:rFonts w:ascii="Arial" w:cs="Arial" w:eastAsia="Arial" w:hAnsi="Arial"/>
          <w:sz w:val="17"/>
          <w:szCs w:val="17"/>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78" w:lineRule="exact"/>
        <w:rPr>
          <w:sz w:val="20"/>
          <w:szCs w:val="20"/>
          <w:color w:val="auto"/>
        </w:rPr>
      </w:pPr>
    </w:p>
    <w:p>
      <w:pPr>
        <w:ind w:right="80" w:firstLine="1484"/>
        <w:spacing w:after="0" w:line="259" w:lineRule="auto"/>
        <w:rPr>
          <w:sz w:val="20"/>
          <w:szCs w:val="20"/>
          <w:color w:val="auto"/>
        </w:rPr>
      </w:pPr>
      <w:r>
        <w:rPr>
          <w:rFonts w:ascii="Arial" w:cs="Arial" w:eastAsia="Arial" w:hAnsi="Arial"/>
          <w:sz w:val="17"/>
          <w:szCs w:val="17"/>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7"/>
          <w:szCs w:val="17"/>
          <w:b w:val="1"/>
          <w:bCs w:val="1"/>
          <w:color w:val="auto"/>
        </w:rPr>
        <w:t>Proposition 13</w:t>
      </w:r>
      <w:r>
        <w:rPr>
          <w:rFonts w:ascii="Arial" w:cs="Arial" w:eastAsia="Arial" w:hAnsi="Arial"/>
          <w:sz w:val="17"/>
          <w:szCs w:val="17"/>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w:t>
      </w:r>
    </w:p>
    <w:p>
      <w:pPr>
        <w:spacing w:after="0" w:line="86" w:lineRule="exact"/>
        <w:rPr>
          <w:sz w:val="20"/>
          <w:szCs w:val="20"/>
          <w:color w:val="auto"/>
        </w:rPr>
      </w:pPr>
    </w:p>
    <w:p>
      <w:pPr>
        <w:ind w:firstLine="1484"/>
        <w:spacing w:after="0" w:line="265" w:lineRule="auto"/>
        <w:rPr>
          <w:sz w:val="20"/>
          <w:szCs w:val="20"/>
          <w:color w:val="auto"/>
        </w:rPr>
      </w:pPr>
      <w:r>
        <w:rPr>
          <w:rFonts w:ascii="Arial" w:cs="Arial" w:eastAsia="Arial" w:hAnsi="Arial"/>
          <w:sz w:val="17"/>
          <w:szCs w:val="17"/>
          <w:color w:val="auto"/>
        </w:rPr>
        <w:t xml:space="preserve">4.2.5.3 Any costs and expenses (including, without limitation, reasonable attorneys’ fees) incurred in attempting to protest, reduce or minimize Tax Expenses shall be included in Tax Expenses in the Expense Year such expenses are paid. Except as set forth in </w:t>
      </w:r>
      <w:r>
        <w:rPr>
          <w:rFonts w:ascii="Arial" w:cs="Arial" w:eastAsia="Arial" w:hAnsi="Arial"/>
          <w:sz w:val="17"/>
          <w:szCs w:val="17"/>
          <w:u w:val="single" w:color="auto"/>
          <w:color w:val="auto"/>
        </w:rPr>
        <w:t>Section 4.2.5.4</w:t>
      </w:r>
      <w:r>
        <w:rPr>
          <w:rFonts w:ascii="Arial" w:cs="Arial" w:eastAsia="Arial" w:hAnsi="Arial"/>
          <w:sz w:val="17"/>
          <w:szCs w:val="17"/>
          <w:color w:val="auto"/>
        </w:rPr>
        <w:t xml:space="preserve">, below, refunds of Tax Expenses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for such Expense Year. If Tax Expenses for any period during the Lease Term or any extension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71" w:right="239" w:bottom="1440" w:gutter="0" w:footer="0" w:header="0"/>
        </w:sectPr>
      </w:pPr>
    </w:p>
    <w:bookmarkStart w:id="254" w:name="page255"/>
    <w:bookmarkEnd w:id="254"/>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thereof are increased after payment thereof for any reason, including, without limitation, error or reassessment by applicable governmental or municipal authorities, Tenant shall pay Landlord upon demand Tenant’s Share of any such increased Tax Expenses included by Landlord as Building Tax Expenses pursuant to the TCCs of this Lease. Notwithstanding anything to the contrary contained in this </w:t>
      </w:r>
      <w:r>
        <w:rPr>
          <w:rFonts w:ascii="Arial" w:cs="Arial" w:eastAsia="Arial" w:hAnsi="Arial"/>
          <w:sz w:val="16"/>
          <w:szCs w:val="16"/>
          <w:u w:val="single" w:color="auto"/>
          <w:color w:val="auto"/>
        </w:rPr>
        <w:t>Section 4.2.5</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4.2.5.1</w:t>
      </w:r>
      <w:r>
        <w:rPr>
          <w:rFonts w:ascii="Arial" w:cs="Arial" w:eastAsia="Arial" w:hAnsi="Arial"/>
          <w:sz w:val="16"/>
          <w:szCs w:val="16"/>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(iii) any items paid by Tenant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this Lease, (iv) any Tax Expenses to the extent accruing during and applicable to any period of time occurring either prior to the Lease Commencement Date or after the expiration or earlier termination of this Lease, and (v) any special assessments or special taxes as a means of financing improvements to the Building or Project.</w:t>
      </w:r>
    </w:p>
    <w:p>
      <w:pPr>
        <w:spacing w:after="0" w:line="58" w:lineRule="exact"/>
        <w:rPr>
          <w:sz w:val="20"/>
          <w:szCs w:val="20"/>
          <w:color w:val="auto"/>
        </w:rPr>
      </w:pPr>
    </w:p>
    <w:p>
      <w:pPr>
        <w:ind w:right="40" w:firstLine="1484"/>
        <w:spacing w:after="0" w:line="364" w:lineRule="auto"/>
        <w:rPr>
          <w:sz w:val="20"/>
          <w:szCs w:val="20"/>
          <w:color w:val="auto"/>
        </w:rPr>
      </w:pPr>
      <w:r>
        <w:rPr>
          <w:rFonts w:ascii="Arial" w:cs="Arial" w:eastAsia="Arial" w:hAnsi="Arial"/>
          <w:sz w:val="15"/>
          <w:szCs w:val="15"/>
          <w:color w:val="auto"/>
        </w:rPr>
        <w:t>4.2.6 “</w:t>
      </w:r>
      <w:r>
        <w:rPr>
          <w:rFonts w:ascii="Arial" w:cs="Arial" w:eastAsia="Arial" w:hAnsi="Arial"/>
          <w:sz w:val="15"/>
          <w:szCs w:val="15"/>
          <w:b w:val="1"/>
          <w:bCs w:val="1"/>
          <w:color w:val="auto"/>
        </w:rPr>
        <w:t>Tenant’s Share</w:t>
      </w:r>
      <w:r>
        <w:rPr>
          <w:rFonts w:ascii="Arial" w:cs="Arial" w:eastAsia="Arial" w:hAnsi="Arial"/>
          <w:sz w:val="15"/>
          <w:szCs w:val="15"/>
          <w:color w:val="auto"/>
        </w:rPr>
        <w:t>” shall mean the percentage set forth in Section 6 of the Summary. Tenant’s Share is stated as a percentage calculated as a fraction where the numerator equals the number of rentable square feet of the Premises and the denominator is the 75,745 rentable square feet in the Building.</w:t>
      </w:r>
    </w:p>
    <w:p>
      <w:pPr>
        <w:spacing w:after="0" w:line="1" w:lineRule="exact"/>
        <w:rPr>
          <w:sz w:val="20"/>
          <w:szCs w:val="20"/>
          <w:color w:val="auto"/>
        </w:rPr>
      </w:pPr>
    </w:p>
    <w:p>
      <w:pPr>
        <w:ind w:firstLine="1484"/>
        <w:spacing w:after="0" w:line="295" w:lineRule="auto"/>
        <w:rPr>
          <w:sz w:val="20"/>
          <w:szCs w:val="20"/>
          <w:color w:val="auto"/>
        </w:rPr>
      </w:pPr>
      <w:r>
        <w:rPr>
          <w:rFonts w:ascii="Arial" w:cs="Arial" w:eastAsia="Arial" w:hAnsi="Arial"/>
          <w:sz w:val="15"/>
          <w:szCs w:val="15"/>
          <w:color w:val="auto"/>
        </w:rPr>
        <w:t>4.2.7 “</w:t>
      </w:r>
      <w:r>
        <w:rPr>
          <w:rFonts w:ascii="Arial" w:cs="Arial" w:eastAsia="Arial" w:hAnsi="Arial"/>
          <w:sz w:val="15"/>
          <w:szCs w:val="15"/>
          <w:b w:val="1"/>
          <w:bCs w:val="1"/>
          <w:color w:val="auto"/>
        </w:rPr>
        <w:t>Utilities Costs</w:t>
      </w:r>
      <w:r>
        <w:rPr>
          <w:rFonts w:ascii="Arial" w:cs="Arial" w:eastAsia="Arial" w:hAnsi="Arial"/>
          <w:sz w:val="15"/>
          <w:szCs w:val="15"/>
          <w:color w:val="auto"/>
        </w:rPr>
        <w:t xml:space="preserve">” shall mean all actual charges for utilities for the Building and the Project which Landlord shall pay during any Expense Year, including, but not limited to, the costs of water, sewer and electricity, and the costs of HVAC and other utilities (but excluding (i) the cost of electricity consumed in any area of the Project that is not part of the Common Areas (i.e., excluding the Premises, the premises of other tenants of the Building and any other buildings in the Project, and other leasable space throughout the Project that is not then occupied by a tenant, (since Tenant is separately paying for the cost of electricity pursuant to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below) and (ii) those charges for which tenants directly reimburse Landlord or otherwise pay directly to the utility company) as well as related fees, assessments and surcharges. Tenant’s Share of Utilities Costs shall be calculated assuming the Buildings are one hundred percent</w:t>
      </w:r>
    </w:p>
    <w:p>
      <w:pPr>
        <w:spacing w:after="0" w:line="3" w:lineRule="exact"/>
        <w:rPr>
          <w:sz w:val="20"/>
          <w:szCs w:val="20"/>
          <w:color w:val="auto"/>
        </w:rPr>
      </w:pPr>
    </w:p>
    <w:p>
      <w:pPr>
        <w:ind w:right="200" w:firstLine="5"/>
        <w:spacing w:after="0" w:line="265" w:lineRule="auto"/>
        <w:tabs>
          <w:tab w:leader="none" w:pos="10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100%) occupied. Utilities Costs shall include any costs of utilities which are allocated to the Real Property under any declaration, restrictive covenant, or other instrument pertaining to the sharing of costs by the Real Property or any portion thereof, including any covenants, conditions or restrictions now or hereafter recorded against or affecting the Real Property.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271" w:right="259" w:bottom="1440" w:gutter="0" w:footer="0" w:header="0"/>
        </w:sectPr>
      </w:pPr>
    </w:p>
    <w:bookmarkStart w:id="255" w:name="page256"/>
    <w:bookmarkEnd w:id="255"/>
    <w:p>
      <w:pPr>
        <w:ind w:right="80" w:firstLine="457"/>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4.3 </w:t>
      </w:r>
      <w:r>
        <w:rPr>
          <w:rFonts w:ascii="Arial" w:cs="Arial" w:eastAsia="Arial" w:hAnsi="Arial"/>
          <w:sz w:val="16"/>
          <w:szCs w:val="16"/>
          <w:b w:val="1"/>
          <w:bCs w:val="1"/>
          <w:u w:val="single" w:color="auto"/>
          <w:color w:val="auto"/>
        </w:rPr>
        <w:t>Allocation of Direct Expenses</w:t>
      </w:r>
      <w:r>
        <w:rPr>
          <w:rFonts w:ascii="Arial" w:cs="Arial" w:eastAsia="Arial" w:hAnsi="Arial"/>
          <w:sz w:val="16"/>
          <w:szCs w:val="16"/>
          <w:color w:val="auto"/>
        </w:rPr>
        <w:t>. The parties acknowledge that the Building is a part of a multi-building project and that the costs and expenses incurred in connection with the Project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the Direct Expenses) should be shared between the tenants of the Building and the tenants of the other buildings in the Project. Accordingly,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Direct Expenses (which consists of Operating Expenses, Tax Expenses and Utilities Costs) are determined annually for the Project as a whole, and a portion of the Direct Expenses, which portion shall be determined by Landlord on an equitable basis, shall be allocated to the tenants of the Building (as opposed to the tenants of any other buildings in the Project) and such portion shall be the Direct Expenses for purposes of this Lease. Such portion of Direct Expenses allocated to the tenants of the Building shall include all Direct Expenses attributable solely to the Building and an equitable portion of the Direct Expenses attributable to the Project as a whole.</w:t>
      </w:r>
    </w:p>
    <w:p>
      <w:pPr>
        <w:spacing w:after="0" w:line="58" w:lineRule="exact"/>
        <w:rPr>
          <w:sz w:val="20"/>
          <w:szCs w:val="20"/>
          <w:color w:val="auto"/>
        </w:rPr>
      </w:pPr>
    </w:p>
    <w:p>
      <w:pPr>
        <w:ind w:right="240" w:firstLine="457"/>
        <w:spacing w:after="0" w:line="29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Calculation and Payment of Additional Rent</w:t>
      </w:r>
      <w:r>
        <w:rPr>
          <w:rFonts w:ascii="Arial" w:cs="Arial" w:eastAsia="Arial" w:hAnsi="Arial"/>
          <w:sz w:val="17"/>
          <w:szCs w:val="17"/>
          <w:color w:val="auto"/>
        </w:rPr>
        <w:t xml:space="preserve">. Tenant shall pay to Landlord, in the manner set forth in </w:t>
      </w:r>
      <w:r>
        <w:rPr>
          <w:rFonts w:ascii="Arial" w:cs="Arial" w:eastAsia="Arial" w:hAnsi="Arial"/>
          <w:sz w:val="17"/>
          <w:szCs w:val="17"/>
          <w:u w:val="single" w:color="auto"/>
          <w:color w:val="auto"/>
        </w:rPr>
        <w:t>Section 4.4.1</w:t>
      </w:r>
      <w:r>
        <w:rPr>
          <w:rFonts w:ascii="Arial" w:cs="Arial" w:eastAsia="Arial" w:hAnsi="Arial"/>
          <w:sz w:val="17"/>
          <w:szCs w:val="17"/>
          <w:color w:val="auto"/>
        </w:rPr>
        <w:t>, below, and as Additional Rent, Tenant’s Share of Direct Expenses for each Expense Year.</w:t>
      </w:r>
    </w:p>
    <w:p>
      <w:pPr>
        <w:spacing w:after="0" w:line="42" w:lineRule="exact"/>
        <w:rPr>
          <w:sz w:val="20"/>
          <w:szCs w:val="20"/>
          <w:color w:val="auto"/>
        </w:rPr>
      </w:pPr>
    </w:p>
    <w:p>
      <w:pPr>
        <w:ind w:right="20" w:firstLine="913"/>
        <w:spacing w:after="0" w:line="293" w:lineRule="auto"/>
        <w:rPr>
          <w:sz w:val="20"/>
          <w:szCs w:val="20"/>
          <w:color w:val="auto"/>
        </w:rPr>
      </w:pPr>
      <w:r>
        <w:rPr>
          <w:rFonts w:ascii="Arial" w:cs="Arial" w:eastAsia="Arial" w:hAnsi="Arial"/>
          <w:sz w:val="15"/>
          <w:szCs w:val="15"/>
          <w:color w:val="auto"/>
        </w:rPr>
        <w:t xml:space="preserve">4.4.1 </w:t>
      </w:r>
      <w:r>
        <w:rPr>
          <w:rFonts w:ascii="Arial" w:cs="Arial" w:eastAsia="Arial" w:hAnsi="Arial"/>
          <w:sz w:val="15"/>
          <w:szCs w:val="15"/>
          <w:b w:val="1"/>
          <w:bCs w:val="1"/>
          <w:u w:val="single" w:color="auto"/>
          <w:color w:val="auto"/>
        </w:rPr>
        <w:t>Statement of Actual Direct Expenses and Payment by Tenant</w:t>
      </w:r>
      <w:r>
        <w:rPr>
          <w:rFonts w:ascii="Arial" w:cs="Arial" w:eastAsia="Arial" w:hAnsi="Arial"/>
          <w:sz w:val="15"/>
          <w:szCs w:val="15"/>
          <w:color w:val="auto"/>
        </w:rPr>
        <w:t>. Landlord shall give to Tenant following the end of each Expense Year, a statement (the “</w:t>
      </w:r>
      <w:r>
        <w:rPr>
          <w:rFonts w:ascii="Arial" w:cs="Arial" w:eastAsia="Arial" w:hAnsi="Arial"/>
          <w:sz w:val="15"/>
          <w:szCs w:val="15"/>
          <w:b w:val="1"/>
          <w:bCs w:val="1"/>
          <w:color w:val="auto"/>
        </w:rPr>
        <w:t>Statement</w:t>
      </w:r>
      <w:r>
        <w:rPr>
          <w:rFonts w:ascii="Arial" w:cs="Arial" w:eastAsia="Arial" w:hAnsi="Arial"/>
          <w:sz w:val="15"/>
          <w:szCs w:val="15"/>
          <w:color w:val="auto"/>
        </w:rPr>
        <w:t xml:space="preserve">”) which shall state in general major categories the Direct Expenses incurred or accrued for such preceding Expense Year, and which shall indicate the amount of Tenant’s Share of Direct Expenses. Landlord shall use commercially reasonable efforts to deliver such Statement to Tenant on or before April 15 following the end of the Expense Year to which such Statement relates. Upon receipt of the Statement for each Expense Year commencing or ending during the Lease Term, Tenant shall pay, within thirty (30) days after receipt of the Statement, the full amount of Tenant’s Share of Direct Expenses for such Expense Year, less the amounts, if any, paid during such Expense Year as “Estimated Direct Expenses,” as that term is defined in </w:t>
      </w:r>
      <w:r>
        <w:rPr>
          <w:rFonts w:ascii="Arial" w:cs="Arial" w:eastAsia="Arial" w:hAnsi="Arial"/>
          <w:sz w:val="15"/>
          <w:szCs w:val="15"/>
          <w:u w:val="single" w:color="auto"/>
          <w:color w:val="auto"/>
        </w:rPr>
        <w:t>Section 4.4.2</w:t>
      </w:r>
      <w:r>
        <w:rPr>
          <w:rFonts w:ascii="Arial" w:cs="Arial" w:eastAsia="Arial" w:hAnsi="Arial"/>
          <w:sz w:val="15"/>
          <w:szCs w:val="15"/>
          <w:color w:val="auto"/>
        </w:rPr>
        <w:t>, below, and if Tenant paid more as Estimated Direct Expenses than the actual Tenant’s Share of Direct Expenses (an “</w:t>
      </w:r>
      <w:r>
        <w:rPr>
          <w:rFonts w:ascii="Arial" w:cs="Arial" w:eastAsia="Arial" w:hAnsi="Arial"/>
          <w:sz w:val="15"/>
          <w:szCs w:val="15"/>
          <w:b w:val="1"/>
          <w:bCs w:val="1"/>
          <w:color w:val="auto"/>
        </w:rPr>
        <w:t>Excess</w:t>
      </w:r>
      <w:r>
        <w:rPr>
          <w:rFonts w:ascii="Arial" w:cs="Arial" w:eastAsia="Arial" w:hAnsi="Arial"/>
          <w:sz w:val="15"/>
          <w:szCs w:val="15"/>
          <w:color w:val="auto"/>
        </w:rPr>
        <w:t xml:space="preserve">”), Tenant shall receive a credit in the amount of such Excess against Rent next due under this Lease. The failure of Landlord to timely furnish the Statement for any Expense Year shall not prejudice Landlord or Tenant from enforcing its rights under this </w:t>
      </w:r>
      <w:r>
        <w:rPr>
          <w:rFonts w:ascii="Arial" w:cs="Arial" w:eastAsia="Arial" w:hAnsi="Arial"/>
          <w:sz w:val="15"/>
          <w:szCs w:val="15"/>
          <w:u w:val="single" w:color="auto"/>
          <w:color w:val="auto"/>
        </w:rPr>
        <w:t>Article 4</w:t>
      </w:r>
      <w:r>
        <w:rPr>
          <w:rFonts w:ascii="Arial" w:cs="Arial" w:eastAsia="Arial" w:hAnsi="Arial"/>
          <w:sz w:val="15"/>
          <w:szCs w:val="15"/>
          <w:color w:val="auto"/>
        </w:rPr>
        <w:t>. Even though the Lease Term has expired and Tenant has vacated the Premises, when the final determination is made of Tenant’s Share of Direct Expenses for the Expense Year in which this Lease terminates, if Tenant’s Share of Direct Expenses is greater than the amount of Estimated Direct Expenses previously paid by Tenant to Landlord, Tenant shall, within thirty (30) days after receipt of the Statement, pay to Landlord such amount, and if Tenant paid more as Estimated Direct Expenses than the actual Tenant’s Share of Direct Expenses (again, an Excess), Landlord shall, within thirty</w:t>
      </w:r>
    </w:p>
    <w:p>
      <w:pPr>
        <w:spacing w:after="0" w:line="5" w:lineRule="exact"/>
        <w:rPr>
          <w:sz w:val="20"/>
          <w:szCs w:val="20"/>
          <w:color w:val="auto"/>
        </w:rPr>
      </w:pPr>
    </w:p>
    <w:p>
      <w:pPr>
        <w:ind w:firstLine="5"/>
        <w:spacing w:after="0" w:line="261" w:lineRule="auto"/>
        <w:tabs>
          <w:tab w:leader="none" w:pos="33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days, deliver a check payable to Tenant in the amount of such Excess. The provisions of this </w:t>
      </w:r>
      <w:r>
        <w:rPr>
          <w:rFonts w:ascii="Arial" w:cs="Arial" w:eastAsia="Arial" w:hAnsi="Arial"/>
          <w:sz w:val="17"/>
          <w:szCs w:val="17"/>
          <w:u w:val="single" w:color="auto"/>
          <w:color w:val="auto"/>
        </w:rPr>
        <w:t>Section 4.4.1</w:t>
      </w:r>
      <w:r>
        <w:rPr>
          <w:rFonts w:ascii="Arial" w:cs="Arial" w:eastAsia="Arial" w:hAnsi="Arial"/>
          <w:sz w:val="17"/>
          <w:szCs w:val="17"/>
          <w:color w:val="auto"/>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nine (9) months after the Lease Expiration Date, provided that in any event Tenant shall be responsible for Tenant’s Share of Direct Expenses levied by any governmental authority or by any public utility companies at any time following the Lease Expiration Date which are attributable to any Expense Year.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65" w:right="239" w:bottom="1440" w:gutter="0" w:footer="0" w:header="0"/>
        </w:sectPr>
      </w:pPr>
    </w:p>
    <w:bookmarkStart w:id="256" w:name="page257"/>
    <w:bookmarkEnd w:id="256"/>
    <w:p>
      <w:pPr>
        <w:ind w:firstLine="913"/>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4.4.2 </w:t>
      </w:r>
      <w:r>
        <w:rPr>
          <w:rFonts w:ascii="Arial" w:cs="Arial" w:eastAsia="Arial" w:hAnsi="Arial"/>
          <w:sz w:val="16"/>
          <w:szCs w:val="16"/>
          <w:b w:val="1"/>
          <w:bCs w:val="1"/>
          <w:u w:val="single" w:color="auto"/>
          <w:color w:val="auto"/>
        </w:rPr>
        <w:t>Statement of Estimated Direct Expenses</w:t>
      </w:r>
      <w:r>
        <w:rPr>
          <w:rFonts w:ascii="Arial" w:cs="Arial" w:eastAsia="Arial" w:hAnsi="Arial"/>
          <w:sz w:val="16"/>
          <w:szCs w:val="16"/>
          <w:color w:val="auto"/>
        </w:rPr>
        <w:t>. In addition, Landlord shall give Tenant a yearly expense estimate statement (the “</w:t>
      </w:r>
      <w:r>
        <w:rPr>
          <w:rFonts w:ascii="Arial" w:cs="Arial" w:eastAsia="Arial" w:hAnsi="Arial"/>
          <w:sz w:val="16"/>
          <w:szCs w:val="16"/>
          <w:b w:val="1"/>
          <w:bCs w:val="1"/>
          <w:color w:val="auto"/>
        </w:rPr>
        <w:t>Estimate</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which shall set forth in general major categories Landlord’s reasonable estimate (the “</w:t>
      </w:r>
      <w:r>
        <w:rPr>
          <w:rFonts w:ascii="Arial" w:cs="Arial" w:eastAsia="Arial" w:hAnsi="Arial"/>
          <w:sz w:val="16"/>
          <w:szCs w:val="16"/>
          <w:b w:val="1"/>
          <w:bCs w:val="1"/>
          <w:color w:val="auto"/>
        </w:rPr>
        <w:t>Estimate</w:t>
      </w:r>
      <w:r>
        <w:rPr>
          <w:rFonts w:ascii="Arial" w:cs="Arial" w:eastAsia="Arial" w:hAnsi="Arial"/>
          <w:sz w:val="16"/>
          <w:szCs w:val="16"/>
          <w:color w:val="auto"/>
        </w:rPr>
        <w:t>”) of what the total amount of Direct Expenses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then-current Expense Year shall be and the estimated Tenant’s Share of Direct Expenses (the “</w:t>
      </w:r>
      <w:r>
        <w:rPr>
          <w:rFonts w:ascii="Arial" w:cs="Arial" w:eastAsia="Arial" w:hAnsi="Arial"/>
          <w:sz w:val="16"/>
          <w:szCs w:val="16"/>
          <w:b w:val="1"/>
          <w:bCs w:val="1"/>
          <w:color w:val="auto"/>
        </w:rPr>
        <w:t>Estimated Direct Expenses</w:t>
      </w:r>
      <w:r>
        <w:rPr>
          <w:rFonts w:ascii="Arial" w:cs="Arial" w:eastAsia="Arial" w:hAnsi="Arial"/>
          <w:sz w:val="16"/>
          <w:szCs w:val="16"/>
          <w:color w:val="auto"/>
        </w:rPr>
        <w:t xml:space="preserve">”). Landlord shall use commercially reasonable efforts to deliver such Estimate Statement to Tenant on or before April 15 following the end of the Expense Year to which such Estimate Statement relates. The failure of Landlord to timely furnish the Estimate Statement for any Expense Year shall not preclude Landlord from enforcing its rights to collect any Estimated Direct Expenses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nor shall Landlord be prohibited from revising any Estimate Statement or Estimated Direct Expenses theretofore delivered to the extent necessary. Thereafter, Tenant shall pay, within thirty (30) days after receipt of the Estimate Statement, a fraction of the Estimated Direct Expenses for the then-current Expense Year (reduced by any amounts paid pursuant to the second to last sentence of this </w:t>
      </w:r>
      <w:r>
        <w:rPr>
          <w:rFonts w:ascii="Arial" w:cs="Arial" w:eastAsia="Arial" w:hAnsi="Arial"/>
          <w:sz w:val="16"/>
          <w:szCs w:val="16"/>
          <w:u w:val="single" w:color="auto"/>
          <w:color w:val="auto"/>
        </w:rPr>
        <w:t>Section 4.4.2</w:t>
      </w:r>
      <w:r>
        <w:rPr>
          <w:rFonts w:ascii="Arial" w:cs="Arial" w:eastAsia="Arial" w:hAnsi="Arial"/>
          <w:sz w:val="16"/>
          <w:szCs w:val="16"/>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 Throughout the Lease Term Landlord shall maintain books and records with respect to Direct Expenses in accordance with generally accepted real estate accounting and management practices, consistently applied.</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u w:val="single" w:color="auto"/>
          <w:color w:val="auto"/>
        </w:rPr>
        <w:t>Taxes and Other Charges for Which Tenant Is Directly Responsible</w:t>
      </w:r>
      <w:r>
        <w:rPr>
          <w:rFonts w:ascii="Arial" w:cs="Arial" w:eastAsia="Arial" w:hAnsi="Arial"/>
          <w:sz w:val="17"/>
          <w:szCs w:val="17"/>
          <w:color w:val="auto"/>
        </w:rPr>
        <w:t>.</w:t>
      </w:r>
    </w:p>
    <w:p>
      <w:pPr>
        <w:spacing w:after="0" w:line="125" w:lineRule="exact"/>
        <w:rPr>
          <w:sz w:val="20"/>
          <w:szCs w:val="20"/>
          <w:color w:val="auto"/>
        </w:rPr>
      </w:pPr>
    </w:p>
    <w:p>
      <w:pPr>
        <w:ind w:right="120" w:firstLine="913"/>
        <w:spacing w:after="0" w:line="283" w:lineRule="auto"/>
        <w:rPr>
          <w:sz w:val="20"/>
          <w:szCs w:val="20"/>
          <w:color w:val="auto"/>
        </w:rPr>
      </w:pPr>
      <w:r>
        <w:rPr>
          <w:rFonts w:ascii="Arial" w:cs="Arial" w:eastAsia="Arial" w:hAnsi="Arial"/>
          <w:sz w:val="16"/>
          <w:szCs w:val="16"/>
          <w:color w:val="auto"/>
        </w:rPr>
        <w:t>4.5.1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to the extent resulting from such increase in the assessment, as the case may be.</w:t>
      </w:r>
    </w:p>
    <w:p>
      <w:pPr>
        <w:spacing w:after="0" w:line="60" w:lineRule="exact"/>
        <w:rPr>
          <w:sz w:val="20"/>
          <w:szCs w:val="20"/>
          <w:color w:val="auto"/>
        </w:rPr>
      </w:pPr>
    </w:p>
    <w:p>
      <w:pPr>
        <w:ind w:right="40" w:firstLine="913"/>
        <w:spacing w:after="0" w:line="314" w:lineRule="auto"/>
        <w:rPr>
          <w:sz w:val="20"/>
          <w:szCs w:val="20"/>
          <w:color w:val="auto"/>
        </w:rPr>
      </w:pPr>
      <w:r>
        <w:rPr>
          <w:rFonts w:ascii="Arial" w:cs="Arial" w:eastAsia="Arial" w:hAnsi="Arial"/>
          <w:sz w:val="15"/>
          <w:szCs w:val="15"/>
          <w:color w:val="auto"/>
        </w:rPr>
        <w:t xml:space="preserve">4.5.2 If the Improvements in the Premises, whether installed and/or paid for by Landlord or Tenant and whether or not affixed to the real property so as to become a part thereof, are assessed for real property tax purposes at a valuation higher than the valuation at which tenant improvements conforming to Landlord’s “building 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Arial" w:cs="Arial" w:eastAsia="Arial" w:hAnsi="Arial"/>
          <w:sz w:val="15"/>
          <w:szCs w:val="15"/>
          <w:u w:val="single" w:color="auto"/>
          <w:color w:val="auto"/>
        </w:rPr>
        <w:t>Section 4.5.1</w:t>
      </w:r>
      <w:r>
        <w:rPr>
          <w:rFonts w:ascii="Arial" w:cs="Arial" w:eastAsia="Arial" w:hAnsi="Arial"/>
          <w:sz w:val="15"/>
          <w:szCs w:val="15"/>
          <w:color w:val="auto"/>
        </w:rPr>
        <w:t>, above.</w:t>
      </w:r>
    </w:p>
    <w:p>
      <w:pPr>
        <w:spacing w:after="0" w:line="40" w:lineRule="exact"/>
        <w:rPr>
          <w:sz w:val="20"/>
          <w:szCs w:val="20"/>
          <w:color w:val="auto"/>
        </w:rPr>
      </w:pPr>
    </w:p>
    <w:p>
      <w:pPr>
        <w:ind w:right="320" w:firstLine="913"/>
        <w:spacing w:after="0" w:line="289" w:lineRule="auto"/>
        <w:rPr>
          <w:sz w:val="20"/>
          <w:szCs w:val="20"/>
          <w:color w:val="auto"/>
        </w:rPr>
      </w:pPr>
      <w:r>
        <w:rPr>
          <w:rFonts w:ascii="Arial" w:cs="Arial" w:eastAsia="Arial" w:hAnsi="Arial"/>
          <w:sz w:val="17"/>
          <w:szCs w:val="17"/>
          <w:color w:val="auto"/>
        </w:rPr>
        <w:t>4.5.3 Notwithstanding any contrary provision herein, Tenant shall pay prior to delinquency any (i) rent tax or sales tax, service tax, transfer tax or value added tax, or any other applicable tax on the rent or services herein or otherwise respecting this Lease, (ii) taxes assessed</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265" w:right="259" w:bottom="1440" w:gutter="0" w:footer="0" w:header="0"/>
        </w:sectPr>
      </w:pPr>
    </w:p>
    <w:bookmarkStart w:id="257" w:name="page258"/>
    <w:bookmarkEnd w:id="257"/>
    <w:p>
      <w:pPr>
        <w:jc w:val="both"/>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upon or with respect to the possession, leasing, operation, management, maintenance, alteration, repair, use or occupancy by Tenant of the Premises or any portion of the Project, including the Project parking facility; or (iii) taxes assessed upon this transaction or any document to which Tenant is a party creating or transferring an interest or an estate in the Premises.</w:t>
      </w:r>
    </w:p>
    <w:p>
      <w:pPr>
        <w:spacing w:after="0" w:line="60"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color w:val="auto"/>
        </w:rPr>
        <w:t>Landlord’s Books and Records</w:t>
      </w:r>
      <w:r>
        <w:rPr>
          <w:rFonts w:ascii="Arial" w:cs="Arial" w:eastAsia="Arial" w:hAnsi="Arial"/>
          <w:sz w:val="16"/>
          <w:szCs w:val="16"/>
          <w:color w:val="auto"/>
        </w:rPr>
        <w:t>. Upon Tenant’s written request given not more than ninety (90) days after Tenant’s receipt of a Statement for a particular Expense Year, and provided that Tenant is not then in default under this Lease beyond the applicable cure period provided in this Lease, Landlord shall furnish Tenant with such reasonable supporting documentation in connection with said Direct Expenses as Tenant may reasonably request. Landlord shall provide said information to Tenant within sixty (60) days after Tenant’s written request therefor. Within one hundred eighty ( 180) days after receipt of a Statement by Tenant (the “</w:t>
      </w:r>
      <w:r>
        <w:rPr>
          <w:rFonts w:ascii="Arial" w:cs="Arial" w:eastAsia="Arial" w:hAnsi="Arial"/>
          <w:sz w:val="16"/>
          <w:szCs w:val="16"/>
          <w:b w:val="1"/>
          <w:bCs w:val="1"/>
          <w:color w:val="auto"/>
        </w:rPr>
        <w:t>Review Period</w:t>
      </w:r>
      <w:r>
        <w:rPr>
          <w:rFonts w:ascii="Arial" w:cs="Arial" w:eastAsia="Arial" w:hAnsi="Arial"/>
          <w:sz w:val="16"/>
          <w:szCs w:val="16"/>
          <w:color w:val="auto"/>
        </w:rPr>
        <w:t>”), if Tenant disputes the amount of Additional Rent set forth in the Statement, an independent certified public accountant (which accountant (A) is a member of a nationally or regionally recognized accounting firm, and (B) is not working on a contingency fee basis), designated and paid for by Tenant, may, after reasonable notice to Landlord and at reasonable times, inspect Landlord’s records with respect to the Statement at Landlord’s offices, provided that Tenant is not then in default under this Lease (beyond any applicable notice and cure periods) and 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Additional Rent set forth in any Statement within the Review Period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 at Tenant’s expense , by an independent certified public accountant (the “</w:t>
      </w:r>
      <w:r>
        <w:rPr>
          <w:rFonts w:ascii="Arial" w:cs="Arial" w:eastAsia="Arial" w:hAnsi="Arial"/>
          <w:sz w:val="16"/>
          <w:szCs w:val="16"/>
          <w:b w:val="1"/>
          <w:bCs w:val="1"/>
          <w:color w:val="auto"/>
        </w:rPr>
        <w:t>Accountant</w:t>
      </w:r>
      <w:r>
        <w:rPr>
          <w:rFonts w:ascii="Arial" w:cs="Arial" w:eastAsia="Arial" w:hAnsi="Arial"/>
          <w:sz w:val="16"/>
          <w:szCs w:val="16"/>
          <w:color w:val="auto"/>
        </w:rPr>
        <w:t xml:space="preserve">”) selected by Landlord and subject to Tenant’s reasonable approval; provided that if such determination by the Accountant proves that Direct Expenses were overstated by more than four percent (4%), then the cost of the Accountant and the cost of such determination shall be paid for by Landlord. Tenant hereby acknowledges that Tenant’s sole right to inspect Landlord’s books and records and to contest the amount of Direct Expenses payable by Tenant shall be as set forth in this </w:t>
      </w:r>
      <w:r>
        <w:rPr>
          <w:rFonts w:ascii="Arial" w:cs="Arial" w:eastAsia="Arial" w:hAnsi="Arial"/>
          <w:sz w:val="16"/>
          <w:szCs w:val="16"/>
          <w:u w:val="single" w:color="auto"/>
          <w:color w:val="auto"/>
        </w:rPr>
        <w:t>Section 4.6</w:t>
      </w:r>
      <w:r>
        <w:rPr>
          <w:rFonts w:ascii="Arial" w:cs="Arial" w:eastAsia="Arial" w:hAnsi="Arial"/>
          <w:sz w:val="16"/>
          <w:szCs w:val="16"/>
          <w:color w:val="auto"/>
        </w:rPr>
        <w:t>, and Tenant hereby waives any and all other rights pursuant to applicable law to inspect such books and records and/or to contest the amount of Direct Expenses payable by Tenant.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USE OF PREMISES</w:t>
      </w:r>
    </w:p>
    <w:p>
      <w:pPr>
        <w:spacing w:after="0" w:line="224"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Permitted Use</w:t>
      </w:r>
      <w:r>
        <w:rPr>
          <w:rFonts w:ascii="Arial" w:cs="Arial" w:eastAsia="Arial" w:hAnsi="Arial"/>
          <w:sz w:val="17"/>
          <w:szCs w:val="17"/>
          <w:color w:val="auto"/>
        </w:rPr>
        <w:t xml:space="preserve">. Tenant shall use the Premises solely for the Permitted Use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59" w:lineRule="exact"/>
        <w:rPr>
          <w:sz w:val="20"/>
          <w:szCs w:val="20"/>
          <w:color w:val="auto"/>
        </w:rPr>
      </w:pPr>
    </w:p>
    <w:p>
      <w:pPr>
        <w:ind w:right="300" w:firstLine="457"/>
        <w:spacing w:after="0" w:line="29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Prohibited Uses</w:t>
      </w:r>
      <w:r>
        <w:rPr>
          <w:rFonts w:ascii="Arial" w:cs="Arial" w:eastAsia="Arial" w:hAnsi="Arial"/>
          <w:sz w:val="17"/>
          <w:szCs w:val="17"/>
          <w:color w:val="auto"/>
        </w:rPr>
        <w:t>. The uses prohibited under this Lease shall include, without limitation, use of the Premises or a portion thereof for (i) offices of any agency or bureau of the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1" w:right="239" w:bottom="1440" w:gutter="0" w:footer="0" w:header="0"/>
        </w:sectPr>
      </w:pPr>
    </w:p>
    <w:bookmarkStart w:id="258" w:name="page259"/>
    <w:bookmarkEnd w:id="258"/>
    <w:p>
      <w:pPr>
        <w:ind w:right="20"/>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United States or any state or political subdivision thereof; (ii) offices or agencies of any foreign governmental or political subdivision thereof; (iii) offices of any health care professionals or health care service organization to the extent providing on-site health services to patients; (iv) schools or other training facilities which are not ancillary to corporate, executive or professional office use; provided, however, Landlord hereby agrees that intermittent training sessions conducted by or for Tenant (or any Permitted Transferee or any of Tenant’s Occupants) with respect to methods and procedures related to the biopharmaceutical industry and/or general business practices, shall not be so prohibited; (v) retail or restaurant uses; or (vi) communications firms such as radio and/or television stations. Tenant shall not allow occupancy density of use of the Premises which is greater than five (5) persons per each one thousand (1,000) rentable square feet of the Premises. Tenant further covenants and agrees that Tenant shall not use, or suffer or permit any person or persons to use, the Premises or any part thereof for any use or purpose contrary to the provisions of the Rules and Regulations set forth in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attached hereto,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provided, however, Landlord shall not enforce, change or modify the Rules and Regulations in a discriminatory manner and Landlord agrees that the Rules and Regulations shall not be unreasonably modified or enforced in a manner which will unreasonably interfere with the normal and customary conduct of Tenant’s business. Tenant shall not do or permit anything to be done in or about the Premises which will in any way obstruct or interfere with the rights of other tenants or occupants of the Building, or injure or annoy them or use or allow the Premises to be used for any unlawful purpose, nor shall Tenant cause, maintain or permit any nuisance in, on or about the Premises.</w:t>
      </w:r>
    </w:p>
    <w:p>
      <w:pPr>
        <w:spacing w:after="0" w:line="6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CC&amp;Rs</w:t>
      </w:r>
      <w:r>
        <w:rPr>
          <w:rFonts w:ascii="Arial" w:cs="Arial" w:eastAsia="Arial" w:hAnsi="Arial"/>
          <w:sz w:val="17"/>
          <w:szCs w:val="17"/>
          <w:color w:val="auto"/>
        </w:rPr>
        <w:t>. Tenant shall comply with all recorded covenants, conditions, and restrictions currently affecting the Project, a copy of which has been provided by Landlord to Tenant. Additionally, Tenant acknowledges that the Project may be subject to any future covenants, conditions, and restrictions (the “</w:t>
      </w:r>
      <w:r>
        <w:rPr>
          <w:rFonts w:ascii="Arial" w:cs="Arial" w:eastAsia="Arial" w:hAnsi="Arial"/>
          <w:sz w:val="17"/>
          <w:szCs w:val="17"/>
          <w:b w:val="1"/>
          <w:bCs w:val="1"/>
          <w:color w:val="auto"/>
        </w:rPr>
        <w:t>CC&amp;Rs</w:t>
      </w:r>
      <w:r>
        <w:rPr>
          <w:rFonts w:ascii="Arial" w:cs="Arial" w:eastAsia="Arial" w:hAnsi="Arial"/>
          <w:sz w:val="17"/>
          <w:szCs w:val="17"/>
          <w:color w:val="auto"/>
        </w:rPr>
        <w:t xml:space="preserve">”) which Landlord, in Landlord’s discretion, deems reasonably necessary or desirable; provided that no such CC&amp;Rs shall be permitted which materially reduce Tenant’s rights or access hereunder, or materially increase Tenant’s obligations hereunder, and Tenant agrees that this Lease shall be subject and subordinate to such CC&amp;Rs. Subject to the terms of the immediately preceding sentence, Landlord shall have the right to require Tenant to execute and acknowledge, within fifteen ( 15) business days of a request by Landlord, a “Recognition of Covenants, Conditions, and Restriction,” in a form substantially similar to that attached hereto as </w:t>
      </w:r>
      <w:r>
        <w:rPr>
          <w:rFonts w:ascii="Arial" w:cs="Arial" w:eastAsia="Arial" w:hAnsi="Arial"/>
          <w:sz w:val="17"/>
          <w:szCs w:val="17"/>
          <w:b w:val="1"/>
          <w:bCs w:val="1"/>
          <w:u w:val="single" w:color="auto"/>
          <w:color w:val="auto"/>
        </w:rPr>
        <w:t>Exhibit F</w:t>
      </w:r>
      <w:r>
        <w:rPr>
          <w:rFonts w:ascii="Arial" w:cs="Arial" w:eastAsia="Arial" w:hAnsi="Arial"/>
          <w:sz w:val="17"/>
          <w:szCs w:val="17"/>
          <w:color w:val="auto"/>
        </w:rPr>
        <w:t>, agreeing to and acknowledging the CC&amp;Rs.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6</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SERVICES AND UTILITIES</w:t>
      </w:r>
    </w:p>
    <w:p>
      <w:pPr>
        <w:spacing w:after="0" w:line="119" w:lineRule="exact"/>
        <w:rPr>
          <w:sz w:val="20"/>
          <w:szCs w:val="20"/>
          <w:color w:val="auto"/>
        </w:rPr>
      </w:pPr>
    </w:p>
    <w:p>
      <w:pPr>
        <w:jc w:val="both"/>
        <w:ind w:right="60" w:firstLine="457"/>
        <w:spacing w:after="0" w:line="30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Standard Tenant Services</w:t>
      </w:r>
      <w:r>
        <w:rPr>
          <w:rFonts w:ascii="Arial" w:cs="Arial" w:eastAsia="Arial" w:hAnsi="Arial"/>
          <w:sz w:val="16"/>
          <w:szCs w:val="16"/>
          <w:color w:val="auto"/>
        </w:rPr>
        <w:t>. Landlord shall maintain and operate the Building in a manner consistent with the Comparable Buildings, and shall keep the Building Structure and Building Systems in good condition and repair and otherwise in a condition consistent with the Comparable Buildings, and in no event in a condition materially inferior to the existing condition as of the Effective Date. In addition, Landlord shall provide, as part of the Building Structure,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271" w:right="259" w:bottom="1440" w:gutter="0" w:footer="0" w:header="0"/>
        </w:sectPr>
      </w:pPr>
    </w:p>
    <w:bookmarkStart w:id="259" w:name="page260"/>
    <w:bookmarkEnd w:id="259"/>
    <w:p>
      <w:pPr>
        <w:ind w:right="120" w:firstLine="5"/>
        <w:spacing w:after="0" w:line="289" w:lineRule="auto"/>
        <w:tabs>
          <w:tab w:leader="none" w:pos="208" w:val="left"/>
        </w:tabs>
        <w:numPr>
          <w:ilvl w:val="0"/>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currently existing electrical wiring and subpanel facilities applicable to the Premises, which are currently directly metered to the Premises, and over which Tenant shall have exclusive control, and (ii) city water and sewer stubbed to the Premises.</w:t>
      </w:r>
    </w:p>
    <w:p>
      <w:pPr>
        <w:spacing w:after="0" w:line="158"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Notwithstanding the foregoing, Tenant shall pay the cost of all utilities (including without limitation, electricity, sewer, water and, if applicable, gas) provided to and/or consumed in the Premises (including normal and excess consumption and including the actual cost of electricity to operate the HVAC air handlers serving the Premises) and shall also provide its own janitorial and security services for the Premises as more particularly set forth below. In connection with the foregoing, Tenant’s payment for electricity and water shall be directly to the applicable utility company pursuant to such utility companies’ separate meters which are dedicated for the Premises. Such utility use shall include electricity, water, and gas use for lighting, incidental use and any heating and air conditioning (“</w:t>
      </w:r>
      <w:r>
        <w:rPr>
          <w:rFonts w:ascii="Arial" w:cs="Arial" w:eastAsia="Arial" w:hAnsi="Arial"/>
          <w:sz w:val="17"/>
          <w:szCs w:val="17"/>
          <w:b w:val="1"/>
          <w:bCs w:val="1"/>
          <w:color w:val="auto"/>
        </w:rPr>
        <w:t>HVAC</w:t>
      </w:r>
      <w:r>
        <w:rPr>
          <w:rFonts w:ascii="Arial" w:cs="Arial" w:eastAsia="Arial" w:hAnsi="Arial"/>
          <w:sz w:val="17"/>
          <w:szCs w:val="17"/>
          <w:color w:val="auto"/>
        </w:rPr>
        <w:t>”), as that term is defined below. All such Premises-specific utility, janitorial and security payments shall be excluded from Operating Expenses and shall be paid directly by Tenant prior to the date on which the same are due to the utility provider, janitorial company and/or security company, as applicable. The Premises is currently separately metered for electrical usage. Landlord and Tenant acknowledge and agree that the foregoing shall not apply with regard to utilities applicable to the Common Areas to the extent otherwise charged to and paid by Tenant (and other tenants, as the case may be) as part of Utilities Costs.</w:t>
      </w:r>
    </w:p>
    <w:p>
      <w:pPr>
        <w:spacing w:after="0" w:line="187"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Landlord shall not be required to provide any services other than with regard to its maintenance and repair obligation relating to the Building Systems, the Building Structure and the Common Areas.</w:t>
      </w:r>
    </w:p>
    <w:p>
      <w:pPr>
        <w:spacing w:after="0" w:line="47"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Tenant Maintained One-Pass Air and Other Systems</w:t>
      </w:r>
      <w:r>
        <w:rPr>
          <w:rFonts w:ascii="Arial" w:cs="Arial" w:eastAsia="Arial" w:hAnsi="Arial"/>
          <w:sz w:val="16"/>
          <w:szCs w:val="16"/>
          <w:color w:val="auto"/>
        </w:rPr>
        <w:t>. Tenant shall, at Tenant’s sole cost and expense, maintain those systems and the remaining portions of the Premises which consist of any One-Pass Air System installed in the Premises as provided in Section 8.7, below, or which are otherwise installed by or on behalf of Tenant as Improvements or Alterations) to the extent the same are not part of the Building Structure and Building Systems to be maintained and repaired by Landlord pursuant to this Lease (collectively, “</w:t>
      </w:r>
      <w:r>
        <w:rPr>
          <w:rFonts w:ascii="Arial" w:cs="Arial" w:eastAsia="Arial" w:hAnsi="Arial"/>
          <w:sz w:val="16"/>
          <w:szCs w:val="16"/>
          <w:b w:val="1"/>
          <w:bCs w:val="1"/>
          <w:color w:val="auto"/>
        </w:rPr>
        <w:t>Tenant Maintained Systems</w:t>
      </w:r>
      <w:r>
        <w:rPr>
          <w:rFonts w:ascii="Arial" w:cs="Arial" w:eastAsia="Arial" w:hAnsi="Arial"/>
          <w:sz w:val="16"/>
          <w:szCs w:val="16"/>
          <w:color w:val="auto"/>
        </w:rPr>
        <w:t>”). All such Tenant Maintained Systems shall be maintained by Tenant in accordance with manufacturer specifications and in a commercially reasonable condition. In addition, upon request from Landlord, Tenant shall provide to Landlord copies of any service contracts and records of Tenant’s maintenance of Tenant Maintained Systems.</w:t>
      </w:r>
    </w:p>
    <w:p>
      <w:pPr>
        <w:spacing w:after="0" w:line="56"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Tenant Maintained Security</w:t>
      </w:r>
      <w:r>
        <w:rPr>
          <w:rFonts w:ascii="Arial" w:cs="Arial" w:eastAsia="Arial" w:hAnsi="Arial"/>
          <w:sz w:val="16"/>
          <w:szCs w:val="16"/>
          <w:color w:val="auto"/>
        </w:rPr>
        <w:t>. Tenant hereby acknowledges that Landlord shall have no obligation to provide, or otherwise pay for, any guard service or other security measures for the benefit of the Premises, the Building or the Project; provided, however, the parties acknowledge that the Premises includes an existing card access system (the “Northern System”) which Tenant may use without charge during the Lease Term, it being further acknowledge, however, that Landlord makes no representation or warranty with regard to the condition of such card access system and Tenant shall accept the same in its presently existing, as-is condition. Tenant hereby assumes all responsibility for the protection of Tenant and its agents, employees, contractors, invitees and guests, and the property thereof, from acts of third parties, including keeping doors locked and other means of entry to the Premises closed.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80"/>
          </w:cols>
          <w:pgMar w:left="240" w:top="271" w:right="279" w:bottom="1440" w:gutter="0" w:footer="0" w:header="0"/>
        </w:sectPr>
      </w:pPr>
    </w:p>
    <w:bookmarkStart w:id="260" w:name="page261"/>
    <w:bookmarkEnd w:id="26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6.4 </w:t>
      </w:r>
      <w:r>
        <w:rPr>
          <w:rFonts w:ascii="Arial" w:cs="Arial" w:eastAsia="Arial" w:hAnsi="Arial"/>
          <w:sz w:val="17"/>
          <w:szCs w:val="17"/>
          <w:b w:val="1"/>
          <w:bCs w:val="1"/>
          <w:u w:val="single" w:color="auto"/>
          <w:color w:val="auto"/>
        </w:rPr>
        <w:t>Tenant Maintained Janitorial; Vivarium Waste; Pest Control</w:t>
      </w:r>
      <w:r>
        <w:rPr>
          <w:rFonts w:ascii="Arial" w:cs="Arial" w:eastAsia="Arial" w:hAnsi="Arial"/>
          <w:sz w:val="17"/>
          <w:szCs w:val="17"/>
          <w:color w:val="auto"/>
        </w:rPr>
        <w:t>.</w:t>
      </w:r>
    </w:p>
    <w:p>
      <w:pPr>
        <w:spacing w:after="0" w:line="119" w:lineRule="exact"/>
        <w:rPr>
          <w:sz w:val="20"/>
          <w:szCs w:val="20"/>
          <w:color w:val="auto"/>
        </w:rPr>
      </w:pPr>
    </w:p>
    <w:p>
      <w:pPr>
        <w:jc w:val="both"/>
        <w:ind w:right="480" w:firstLine="913"/>
        <w:spacing w:after="0" w:line="276" w:lineRule="auto"/>
        <w:rPr>
          <w:sz w:val="20"/>
          <w:szCs w:val="20"/>
          <w:color w:val="auto"/>
        </w:rPr>
      </w:pPr>
      <w:r>
        <w:rPr>
          <w:rFonts w:ascii="Arial" w:cs="Arial" w:eastAsia="Arial" w:hAnsi="Arial"/>
          <w:sz w:val="17"/>
          <w:szCs w:val="17"/>
          <w:color w:val="auto"/>
        </w:rPr>
        <w:t xml:space="preserve">6.4.1 </w:t>
      </w:r>
      <w:r>
        <w:rPr>
          <w:rFonts w:ascii="Arial" w:cs="Arial" w:eastAsia="Arial" w:hAnsi="Arial"/>
          <w:sz w:val="17"/>
          <w:szCs w:val="17"/>
          <w:b w:val="1"/>
          <w:bCs w:val="1"/>
          <w:u w:val="single" w:color="auto"/>
          <w:color w:val="auto"/>
        </w:rPr>
        <w:t>Premises Janitorial</w:t>
      </w:r>
      <w:r>
        <w:rPr>
          <w:rFonts w:ascii="Arial" w:cs="Arial" w:eastAsia="Arial" w:hAnsi="Arial"/>
          <w:sz w:val="17"/>
          <w:szCs w:val="17"/>
          <w:color w:val="auto"/>
        </w:rPr>
        <w:t>. As indicated above, Tenant shall itself provide (or otherwise directly contract for) its own janitorial services for the Premises, which janitorial services shall be performed in a first-class manner consistent with the nature of the Building as a first-class office building and as otherwise reasonably requested by Landlord.</w:t>
      </w:r>
    </w:p>
    <w:p>
      <w:pPr>
        <w:spacing w:after="0" w:line="59" w:lineRule="exact"/>
        <w:rPr>
          <w:sz w:val="20"/>
          <w:szCs w:val="20"/>
          <w:color w:val="auto"/>
        </w:rPr>
      </w:pPr>
    </w:p>
    <w:p>
      <w:pPr>
        <w:ind w:right="160" w:firstLine="913"/>
        <w:spacing w:after="0" w:line="270" w:lineRule="auto"/>
        <w:rPr>
          <w:sz w:val="20"/>
          <w:szCs w:val="20"/>
          <w:color w:val="auto"/>
        </w:rPr>
      </w:pPr>
      <w:r>
        <w:rPr>
          <w:rFonts w:ascii="Arial" w:cs="Arial" w:eastAsia="Arial" w:hAnsi="Arial"/>
          <w:sz w:val="17"/>
          <w:szCs w:val="17"/>
          <w:color w:val="auto"/>
        </w:rPr>
        <w:t xml:space="preserve">6.4.2 </w:t>
      </w:r>
      <w:r>
        <w:rPr>
          <w:rFonts w:ascii="Arial" w:cs="Arial" w:eastAsia="Arial" w:hAnsi="Arial"/>
          <w:sz w:val="17"/>
          <w:szCs w:val="17"/>
          <w:b w:val="1"/>
          <w:bCs w:val="1"/>
          <w:u w:val="single" w:color="auto"/>
          <w:color w:val="auto"/>
        </w:rPr>
        <w:t>Vivarium Waste</w:t>
      </w:r>
      <w:r>
        <w:rPr>
          <w:rFonts w:ascii="Arial" w:cs="Arial" w:eastAsia="Arial" w:hAnsi="Arial"/>
          <w:sz w:val="17"/>
          <w:szCs w:val="17"/>
          <w:color w:val="auto"/>
        </w:rPr>
        <w:t xml:space="preserve">. Upon any use of the rodent vivarium, in connection with the janitorial services identified in </w:t>
      </w:r>
      <w:r>
        <w:rPr>
          <w:rFonts w:ascii="Arial" w:cs="Arial" w:eastAsia="Arial" w:hAnsi="Arial"/>
          <w:sz w:val="17"/>
          <w:szCs w:val="17"/>
          <w:u w:val="single" w:color="auto"/>
          <w:color w:val="auto"/>
        </w:rPr>
        <w:t>Section 6.4.1</w:t>
      </w:r>
      <w:r>
        <w:rPr>
          <w:rFonts w:ascii="Arial" w:cs="Arial" w:eastAsia="Arial" w:hAnsi="Arial"/>
          <w:sz w:val="17"/>
          <w:szCs w:val="17"/>
          <w:color w:val="auto"/>
        </w:rPr>
        <w:t>, above, Tenant hereby expressly acknowledges and agrees that Tenant shall itself directly collect and dispose of (or otherwise directly contract for the disposal of), any and all waste relating to the rodent vivarium (“</w:t>
      </w:r>
      <w:r>
        <w:rPr>
          <w:rFonts w:ascii="Arial" w:cs="Arial" w:eastAsia="Arial" w:hAnsi="Arial"/>
          <w:sz w:val="17"/>
          <w:szCs w:val="17"/>
          <w:b w:val="1"/>
          <w:bCs w:val="1"/>
          <w:color w:val="auto"/>
        </w:rPr>
        <w:t>Vivarium Waste</w:t>
      </w:r>
      <w:r>
        <w:rPr>
          <w:rFonts w:ascii="Arial" w:cs="Arial" w:eastAsia="Arial" w:hAnsi="Arial"/>
          <w:sz w:val="17"/>
          <w:szCs w:val="17"/>
          <w:color w:val="auto"/>
        </w:rPr>
        <w:t>”) which collection and disposal shall be conducted in a manner consistent with the then-applicable best practices of similar research facilities in San Diego, California.</w:t>
      </w:r>
    </w:p>
    <w:p>
      <w:pPr>
        <w:spacing w:after="0" w:line="63" w:lineRule="exact"/>
        <w:rPr>
          <w:sz w:val="20"/>
          <w:szCs w:val="20"/>
          <w:color w:val="auto"/>
        </w:rPr>
      </w:pPr>
    </w:p>
    <w:p>
      <w:pPr>
        <w:ind w:firstLine="913"/>
        <w:spacing w:after="0" w:line="262" w:lineRule="auto"/>
        <w:rPr>
          <w:sz w:val="20"/>
          <w:szCs w:val="20"/>
          <w:color w:val="auto"/>
        </w:rPr>
      </w:pPr>
      <w:r>
        <w:rPr>
          <w:rFonts w:ascii="Arial" w:cs="Arial" w:eastAsia="Arial" w:hAnsi="Arial"/>
          <w:sz w:val="17"/>
          <w:szCs w:val="17"/>
          <w:color w:val="auto"/>
        </w:rPr>
        <w:t xml:space="preserve">6.4.3 </w:t>
      </w:r>
      <w:r>
        <w:rPr>
          <w:rFonts w:ascii="Arial" w:cs="Arial" w:eastAsia="Arial" w:hAnsi="Arial"/>
          <w:sz w:val="17"/>
          <w:szCs w:val="17"/>
          <w:b w:val="1"/>
          <w:bCs w:val="1"/>
          <w:u w:val="single" w:color="auto"/>
          <w:color w:val="auto"/>
        </w:rPr>
        <w:t>Pest Control</w:t>
      </w:r>
      <w:r>
        <w:rPr>
          <w:rFonts w:ascii="Arial" w:cs="Arial" w:eastAsia="Arial" w:hAnsi="Arial"/>
          <w:sz w:val="17"/>
          <w:szCs w:val="17"/>
          <w:color w:val="auto"/>
        </w:rPr>
        <w:t xml:space="preserve">. Landlord and Tenant hereby acknowledge and agree that, once Tenant commences rodent vivarium use in the Premises, with regard to the remaining portions of the Premises and the Building, Tenant shall at its expense shall maintain at all times throughout the Lease Term, a written service contract with a licensed, bonded professional pest and sanitation control service to perform inspection and services for the purposes of keeping the non-vivarium portions of the Premises and Common Areas constantly pest-free and vermin-free. In connection therewith, Tenant agrees to co-operate fully in Building pest control efforts including, but not limited to, (a) moving provisions, food stuffs and equipment during inspection and spraying by exterminator, (b) maintaining the Premises in a clean, trash free (except as temporarily stored in trash receptacles) and sanitary condition, and (c) allowing exterminator to perform inspections and/or spraying. In the event Tenant refuses or fails to satisfy its obligations set forth in this </w:t>
      </w:r>
      <w:r>
        <w:rPr>
          <w:rFonts w:ascii="Arial" w:cs="Arial" w:eastAsia="Arial" w:hAnsi="Arial"/>
          <w:sz w:val="17"/>
          <w:szCs w:val="17"/>
          <w:u w:val="single" w:color="auto"/>
          <w:color w:val="auto"/>
        </w:rPr>
        <w:t>Section 6.4.2</w:t>
      </w:r>
      <w:r>
        <w:rPr>
          <w:rFonts w:ascii="Arial" w:cs="Arial" w:eastAsia="Arial" w:hAnsi="Arial"/>
          <w:sz w:val="17"/>
          <w:szCs w:val="17"/>
          <w:color w:val="auto"/>
        </w:rPr>
        <w:t>, then the Landlord may, but shall not be obligated to, take such actions on Tenant’s behalf in which event, the costs incurred by Landlord in connection with same shall be paid by Tenant as Additional Rent within ten (10) days after demand therefor.</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u w:val="single" w:color="auto"/>
          <w:color w:val="auto"/>
        </w:rPr>
        <w:t>Lobby Elevator; Warehouse Elevator; Excess Services</w:t>
      </w:r>
      <w:r>
        <w:rPr>
          <w:rFonts w:ascii="Arial" w:cs="Arial" w:eastAsia="Arial" w:hAnsi="Arial"/>
          <w:sz w:val="17"/>
          <w:szCs w:val="17"/>
          <w:color w:val="auto"/>
        </w:rPr>
        <w:t>.</w:t>
      </w:r>
    </w:p>
    <w:p>
      <w:pPr>
        <w:spacing w:after="0" w:line="125"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6.5.1 Landlord shall provide nonexclusive, non-attended automatic passenger elevator service in the Main Lobby portion of the Building Common Areas at all times. For purposes of this Lease, “</w:t>
      </w:r>
      <w:r>
        <w:rPr>
          <w:rFonts w:ascii="Arial" w:cs="Arial" w:eastAsia="Arial" w:hAnsi="Arial"/>
          <w:sz w:val="16"/>
          <w:szCs w:val="16"/>
          <w:b w:val="1"/>
          <w:bCs w:val="1"/>
          <w:color w:val="auto"/>
        </w:rPr>
        <w:t>Building Hours</w:t>
      </w:r>
      <w:r>
        <w:rPr>
          <w:rFonts w:ascii="Arial" w:cs="Arial" w:eastAsia="Arial" w:hAnsi="Arial"/>
          <w:sz w:val="16"/>
          <w:szCs w:val="16"/>
          <w:color w:val="auto"/>
        </w:rPr>
        <w:t>”), shall collectively mean 7:00 A.M. to 7:00 P.M. Monday through Friday, and on Saturdays from 7:00 A.M. to 3:00 P.M., except for the date of observation of New Year’s Day, Memorial Day, Independence Day, Labor Day, Thanksgiving Day, Christmas Day and, at Landlord’s discretion, other locally or nationally recognized holidays (collectively, the “</w:t>
      </w:r>
      <w:r>
        <w:rPr>
          <w:rFonts w:ascii="Arial" w:cs="Arial" w:eastAsia="Arial" w:hAnsi="Arial"/>
          <w:sz w:val="16"/>
          <w:szCs w:val="16"/>
          <w:b w:val="1"/>
          <w:bCs w:val="1"/>
          <w:color w:val="auto"/>
        </w:rPr>
        <w:t>Holidays</w:t>
      </w:r>
      <w:r>
        <w:rPr>
          <w:rFonts w:ascii="Arial" w:cs="Arial" w:eastAsia="Arial" w:hAnsi="Arial"/>
          <w:sz w:val="16"/>
          <w:szCs w:val="16"/>
          <w:color w:val="auto"/>
        </w:rPr>
        <w:t>”). Landlord agrees that the front lobby doors may remain locked at all times on weekends to the extent mutually agreed upon by all then-current tenants at the Building.</w:t>
      </w:r>
    </w:p>
    <w:p>
      <w:pPr>
        <w:spacing w:after="0" w:line="60"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color w:val="auto"/>
        </w:rPr>
        <w:t>6.5.2 Landlord shall use commercially reasonable efforts to coordinate with Tanvex, the tenant of the remainder of the Building, to allow Tenant the temporary use of the Building elevator located in the back warehouse portion the first floor, which elevator services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266" w:right="279" w:bottom="1440" w:gutter="0" w:footer="0" w:header="0"/>
        </w:sectPr>
      </w:pPr>
    </w:p>
    <w:bookmarkStart w:id="261" w:name="page262"/>
    <w:bookmarkEnd w:id="2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Building mezzanine, for (a) three (3) full consecutive days in order to initially move Tenant’s furniture, fixtures and equipment into the Premises, (b) three</w:t>
      </w:r>
    </w:p>
    <w:p>
      <w:pPr>
        <w:spacing w:after="0" w:line="38" w:lineRule="exact"/>
        <w:rPr>
          <w:sz w:val="20"/>
          <w:szCs w:val="20"/>
          <w:color w:val="auto"/>
        </w:rPr>
      </w:pPr>
    </w:p>
    <w:p>
      <w:pPr>
        <w:ind w:right="140" w:firstLine="5"/>
        <w:spacing w:after="0" w:line="260" w:lineRule="auto"/>
        <w:tabs>
          <w:tab w:leader="none" w:pos="24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full consecutive days to remove Tenant’s furniture, fixtures and equipment from the Premises prior to the expiration or immediately following any earlier termination of this Lease, and (c) as reasonably required thereafter during the Lease Term. Tenant acknowledges that such Building elevator is under Tanvex’s control (as opposed to Landlord’s control), and Tenant hereby acknowledges that Landlord has made no representation or warranty to Tenant with respect to the probability of obtaining Tanvex’s consent to Tenant’s use of such elevator for all, or any of the time periods identified hereinabove. In the event that Landlord is unable to obtain Tanvex’s consent to Tenant’s use of the elevator (or if Landlord is unable to obtain Tanvex’s consent to Tenant’s use of the elevator for all or any of the time periods identified hereinabove), Tenant’s and Landlord’s rights and obligations under the remaining terms and conditions of the Lease shall be unaffected.</w:t>
      </w:r>
    </w:p>
    <w:p>
      <w:pPr>
        <w:spacing w:after="0" w:line="77" w:lineRule="exact"/>
        <w:rPr>
          <w:sz w:val="20"/>
          <w:szCs w:val="20"/>
          <w:color w:val="auto"/>
        </w:rPr>
      </w:pPr>
    </w:p>
    <w:p>
      <w:pPr>
        <w:ind w:firstLine="913"/>
        <w:spacing w:after="0" w:line="263" w:lineRule="auto"/>
        <w:rPr>
          <w:sz w:val="20"/>
          <w:szCs w:val="20"/>
          <w:color w:val="auto"/>
        </w:rPr>
      </w:pPr>
      <w:r>
        <w:rPr>
          <w:rFonts w:ascii="Arial" w:cs="Arial" w:eastAsia="Arial" w:hAnsi="Arial"/>
          <w:sz w:val="17"/>
          <w:szCs w:val="17"/>
          <w:color w:val="auto"/>
        </w:rPr>
        <w:t xml:space="preserve">6.5.3 Notwithstanding anything to the contrary set forth in </w:t>
      </w:r>
      <w:r>
        <w:rPr>
          <w:rFonts w:ascii="Arial" w:cs="Arial" w:eastAsia="Arial" w:hAnsi="Arial"/>
          <w:sz w:val="17"/>
          <w:szCs w:val="17"/>
          <w:u w:val="single" w:color="auto"/>
          <w:color w:val="auto"/>
        </w:rPr>
        <w:t>Section 4.2.4</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Article 6</w:t>
      </w:r>
      <w:r>
        <w:rPr>
          <w:rFonts w:ascii="Arial" w:cs="Arial" w:eastAsia="Arial" w:hAnsi="Arial"/>
          <w:sz w:val="17"/>
          <w:szCs w:val="17"/>
          <w:color w:val="auto"/>
        </w:rPr>
        <w:t>, Tenant shall directly pay to Landlord one hundred percent (100%) of the total cost (including any permitting and/or other implementation costs) of providing all services (and related equipment) affirmatively requested and required by Tenant which are in excess of the Building-standard services to be provided by Landlord hereunder , including, but not limited to, any security services for the Project, (ii) any janitorial services to the Premises or above-standard janitorial services in any Common Areas, (iii) day-porter service, and (iv) parking management systems, equipment and/or personnel; provided, however, to the extent Tenant requests in advance from Landlord the cost of providing any such services, Tenant shall only be obligated to reimburse Landlord up to the amount so quoted.</w:t>
      </w:r>
    </w:p>
    <w:p>
      <w:pPr>
        <w:spacing w:after="0" w:line="71" w:lineRule="exact"/>
        <w:rPr>
          <w:sz w:val="20"/>
          <w:szCs w:val="20"/>
          <w:color w:val="auto"/>
        </w:rPr>
      </w:pPr>
    </w:p>
    <w:p>
      <w:pPr>
        <w:ind w:right="140" w:firstLine="457"/>
        <w:spacing w:after="0" w:line="301"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b w:val="1"/>
          <w:bCs w:val="1"/>
          <w:u w:val="single" w:color="auto"/>
          <w:color w:val="auto"/>
        </w:rPr>
        <w:t>Interruption of Use</w:t>
      </w:r>
      <w:r>
        <w:rPr>
          <w:rFonts w:ascii="Arial" w:cs="Arial" w:eastAsia="Arial" w:hAnsi="Arial"/>
          <w:sz w:val="15"/>
          <w:szCs w:val="15"/>
          <w:color w:val="auto"/>
        </w:rPr>
        <w:t xml:space="preserve">. Except and to the extent expressly set forth in </w:t>
      </w:r>
      <w:r>
        <w:rPr>
          <w:rFonts w:ascii="Arial" w:cs="Arial" w:eastAsia="Arial" w:hAnsi="Arial"/>
          <w:sz w:val="15"/>
          <w:szCs w:val="15"/>
          <w:u w:val="single" w:color="auto"/>
          <w:color w:val="auto"/>
        </w:rPr>
        <w:t>Section 6.7</w:t>
      </w:r>
      <w:r>
        <w:rPr>
          <w:rFonts w:ascii="Arial" w:cs="Arial" w:eastAsia="Arial" w:hAnsi="Arial"/>
          <w:sz w:val="15"/>
          <w:szCs w:val="15"/>
          <w:color w:val="auto"/>
        </w:rPr>
        <w:t xml:space="preserve">, below,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 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5"/>
          <w:szCs w:val="15"/>
          <w:u w:val="single" w:color="auto"/>
          <w:color w:val="auto"/>
        </w:rPr>
        <w:t>Article 6</w:t>
      </w:r>
      <w:r>
        <w:rPr>
          <w:rFonts w:ascii="Arial" w:cs="Arial" w:eastAsia="Arial" w:hAnsi="Arial"/>
          <w:sz w:val="15"/>
          <w:szCs w:val="15"/>
          <w:color w:val="auto"/>
        </w:rPr>
        <w:t>.</w:t>
      </w:r>
    </w:p>
    <w:p>
      <w:pPr>
        <w:spacing w:after="0" w:line="43" w:lineRule="exact"/>
        <w:rPr>
          <w:sz w:val="20"/>
          <w:szCs w:val="20"/>
          <w:color w:val="auto"/>
        </w:rPr>
      </w:pPr>
    </w:p>
    <w:p>
      <w:pPr>
        <w:ind w:right="340" w:firstLine="457"/>
        <w:spacing w:after="0" w:line="285"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u w:val="single" w:color="auto"/>
          <w:color w:val="auto"/>
        </w:rPr>
        <w:t>Abatement Event</w:t>
      </w:r>
      <w:r>
        <w:rPr>
          <w:rFonts w:ascii="Arial" w:cs="Arial" w:eastAsia="Arial" w:hAnsi="Arial"/>
          <w:sz w:val="16"/>
          <w:szCs w:val="16"/>
          <w:color w:val="auto"/>
        </w:rPr>
        <w:t>. If (i) Landlord fails to perform the obligations required of Landlord under the TCCs of this Lease or to otherwise perform an act required by Landlord to avoid such interference, and (ii) such failure causes all or a portion of the Premises to be untenantable and unusable by Tenant, and</w:t>
      </w:r>
    </w:p>
    <w:p>
      <w:pPr>
        <w:ind w:right="400" w:firstLine="5"/>
        <w:spacing w:after="0" w:line="274" w:lineRule="auto"/>
        <w:tabs>
          <w:tab w:leader="none" w:pos="30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such failure related to (A) the nonfunctioning of any Building System or utility service to the Premises, or (B) a failure to provide access to the Premises, Tenant shall give Landlord notice (the “</w:t>
      </w:r>
      <w:r>
        <w:rPr>
          <w:rFonts w:ascii="Arial" w:cs="Arial" w:eastAsia="Arial" w:hAnsi="Arial"/>
          <w:sz w:val="17"/>
          <w:szCs w:val="17"/>
          <w:b w:val="1"/>
          <w:bCs w:val="1"/>
          <w:color w:val="auto"/>
        </w:rPr>
        <w:t>Initial Notice</w:t>
      </w:r>
      <w:r>
        <w:rPr>
          <w:rFonts w:ascii="Arial" w:cs="Arial" w:eastAsia="Arial" w:hAnsi="Arial"/>
          <w:sz w:val="17"/>
          <w:szCs w:val="17"/>
          <w:color w:val="auto"/>
        </w:rPr>
        <w:t>”), specifying such failure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271" w:right="259" w:bottom="1440" w:gutter="0" w:footer="0" w:header="0"/>
        </w:sectPr>
      </w:pPr>
    </w:p>
    <w:bookmarkStart w:id="262" w:name="page263"/>
    <w:bookmarkEnd w:id="262"/>
    <w:p>
      <w:pPr>
        <w:ind w:right="6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perform by Landlord (the “</w:t>
      </w:r>
      <w:r>
        <w:rPr>
          <w:rFonts w:ascii="Arial" w:cs="Arial" w:eastAsia="Arial" w:hAnsi="Arial"/>
          <w:sz w:val="15"/>
          <w:szCs w:val="15"/>
          <w:b w:val="1"/>
          <w:bCs w:val="1"/>
          <w:color w:val="auto"/>
        </w:rPr>
        <w:t>Abatement Event</w:t>
      </w:r>
      <w:r>
        <w:rPr>
          <w:rFonts w:ascii="Arial" w:cs="Arial" w:eastAsia="Arial" w:hAnsi="Arial"/>
          <w:sz w:val="15"/>
          <w:szCs w:val="15"/>
          <w:color w:val="auto"/>
        </w:rPr>
        <w:t>”). If Landlord has not cured such Abatement Event within three (3) business days after the receipt of the Initial Notice (the “</w:t>
      </w:r>
      <w:r>
        <w:rPr>
          <w:rFonts w:ascii="Arial" w:cs="Arial" w:eastAsia="Arial" w:hAnsi="Arial"/>
          <w:sz w:val="15"/>
          <w:szCs w:val="15"/>
          <w:b w:val="1"/>
          <w:bCs w:val="1"/>
          <w:color w:val="auto"/>
        </w:rPr>
        <w:t>Eligibility Period</w:t>
      </w:r>
      <w:r>
        <w:rPr>
          <w:rFonts w:ascii="Arial" w:cs="Arial" w:eastAsia="Arial" w:hAnsi="Arial"/>
          <w:sz w:val="15"/>
          <w:szCs w:val="15"/>
          <w:color w:val="auto"/>
        </w:rPr>
        <w:t>”), Tenant may deliver an additional notice to Landlord (the “</w:t>
      </w:r>
      <w:r>
        <w:rPr>
          <w:rFonts w:ascii="Arial" w:cs="Arial" w:eastAsia="Arial" w:hAnsi="Arial"/>
          <w:sz w:val="15"/>
          <w:szCs w:val="15"/>
          <w:b w:val="1"/>
          <w:bCs w:val="1"/>
          <w:color w:val="auto"/>
        </w:rPr>
        <w:t>Additional Notice</w:t>
      </w:r>
      <w:r>
        <w:rPr>
          <w:rFonts w:ascii="Arial" w:cs="Arial" w:eastAsia="Arial" w:hAnsi="Arial"/>
          <w:sz w:val="15"/>
          <w:szCs w:val="15"/>
          <w:color w:val="auto"/>
        </w:rPr>
        <w:t>”), specifying such Abatement Event and Tenant’s intention to abate the payment of Rent under this Lease. If Landlord does not cure such Abatement Event within two (2) business days of receipt of the Additional Notice, Tenant may, upon written notice to Landlord, immediately abate Rent payable under this Lease for that portion of the Premises rendered untenantable and not used by Tenant, for the period beginning on the date five (5) business days after the Initial Notice to the earlier of the date Landlord cures such Abatement Event or the date Tenant recommences the use of such portion of the Premises (or as to all of the Premises, if the portion which is untenantable materially impairs Tenant’s ability to conduct business from the Premises). Such right to abate Rent shall be Tenant’s sole and exclusive remedy at law or in equity for an Abatement Event. Except as otherwise provided in this Lease, nothing contained herein shall be interpreted to mean that Tenant is excused from paying Rent due hereunder.</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ARTICLE 7</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REPAIRS</w:t>
      </w:r>
    </w:p>
    <w:p>
      <w:pPr>
        <w:spacing w:after="0" w:line="230"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During the entire Lease Term, Landlord shall maintain in first-class condition and operating order and keep in good repair and condition the structural portions of the Building, including without limitation the foundation, floor/ceiling slabs, roof structure (as opposed to roof membrane), curtain wall, exterior glass and mullions, columns, beams, shafts (including elevator shafts), stairs, stairwells, elevator cab, men’s and women’s washrooms, Building mechanical, electrical and telephone closets, and all common and public areas servicing the Building, including the parking areas, landscaping and exterior Project signage (collectively, “</w:t>
      </w:r>
      <w:r>
        <w:rPr>
          <w:rFonts w:ascii="Arial" w:cs="Arial" w:eastAsia="Arial" w:hAnsi="Arial"/>
          <w:sz w:val="16"/>
          <w:szCs w:val="16"/>
          <w:b w:val="1"/>
          <w:bCs w:val="1"/>
          <w:color w:val="auto"/>
        </w:rPr>
        <w:t>Building Structure</w:t>
      </w:r>
      <w:r>
        <w:rPr>
          <w:rFonts w:ascii="Arial" w:cs="Arial" w:eastAsia="Arial" w:hAnsi="Arial"/>
          <w:sz w:val="16"/>
          <w:szCs w:val="16"/>
          <w:color w:val="auto"/>
        </w:rPr>
        <w:t>”) and the Base Building mechanical, electrical, life safety, building access, plumbing , sprinkler systems and HVAC systems (other than the Tenant Maintained Systems) (collectively, the “</w:t>
      </w:r>
      <w:r>
        <w:rPr>
          <w:rFonts w:ascii="Arial" w:cs="Arial" w:eastAsia="Arial" w:hAnsi="Arial"/>
          <w:sz w:val="16"/>
          <w:szCs w:val="16"/>
          <w:b w:val="1"/>
          <w:bCs w:val="1"/>
          <w:color w:val="auto"/>
        </w:rPr>
        <w:t>Building Systems</w:t>
      </w:r>
      <w:r>
        <w:rPr>
          <w:rFonts w:ascii="Arial" w:cs="Arial" w:eastAsia="Arial" w:hAnsi="Arial"/>
          <w:sz w:val="16"/>
          <w:szCs w:val="16"/>
          <w:color w:val="auto"/>
        </w:rPr>
        <w:t xml:space="preserve">”) and the Project Common Areas. Without modifying Landlord’s obligations set forth above, pursuant to the terms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Lease, Landlord shall promptly cure any latent defects in the Premises brought to Landlord’s attention in writing within one (I ) year following Landlord’s delivery of the Premises to Tenant. In addition, Landlord hereby warrants that the Building Systems (exclusive of Tenant Maintained Systems, but including without limitation all other mechanical, electrical, life safety, building access, plumbing, sprinkler systems and HVAC systems in the Premises and not included within the definition of Building Systems) are, as of the Effective Date, in reasonably good working order and condition for Permitted Use, and that any actual defects thereto (excluding de minimus defects) brought to Landlord’s attention in writing within one (1) year following Landlord’s delivery of the Premises to Tenant, shall be repaired or replaced (to the extent reasonably necessary) by Landlord, at Landlord’s sole cost and expense (i.e., not to be included as an Operating Expense), but only to the extent such defects were not caused or otherwise contributed to by Tenant; provided, however, and except to the extent resulting directly from the particular nature of Tenant’s tissue culture room and rodent vivarium uses, in no event shall Tenant’s use of the Premises for the Permitted Use in the ordinary course of business be deemed to be a cause or contributing factor to any defects. Notwithstanding anything in this Lease to the contrary, Tenant shall be required to repair the Building Structure and/or the Building Systems to the extent caused by Tenant’s use of the Premises for other than the Permitted Use (but which for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265" w:right="259" w:bottom="1440" w:gutter="0" w:footer="0" w:header="0"/>
        </w:sectPr>
      </w:pPr>
    </w:p>
    <w:bookmarkStart w:id="263" w:name="page264"/>
    <w:bookmarkEnd w:id="263"/>
    <w:p>
      <w:pPr>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purposes of this provision shall not apply to the extent resulting directly from particular nature of Tenant’s tissue culture room and rodent vivarium uses), unless and to the extent such damage is covered by insurance carried or required to be carried by Landlord pursuant to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and to which the waiver of subrogation is applicable (such foregoing obligations will hereinafter be defined as the “</w:t>
      </w:r>
      <w:r>
        <w:rPr>
          <w:rFonts w:ascii="Arial" w:cs="Arial" w:eastAsia="Arial" w:hAnsi="Arial"/>
          <w:sz w:val="15"/>
          <w:szCs w:val="15"/>
          <w:b w:val="1"/>
          <w:bCs w:val="1"/>
          <w:color w:val="auto"/>
        </w:rPr>
        <w:t>BS/BS Exception</w:t>
      </w:r>
      <w:r>
        <w:rPr>
          <w:rFonts w:ascii="Arial" w:cs="Arial" w:eastAsia="Arial" w:hAnsi="Arial"/>
          <w:sz w:val="15"/>
          <w:szCs w:val="15"/>
          <w:color w:val="auto"/>
        </w:rPr>
        <w:t>”). Tenant shall, at Tenant’s own expense, keep the Premises, including all improvements, fixtures and furnishings therein, in good order, repair and condition at all times during the Lease Term, but such obligation shall not extend to the Building Structure and the Building Systems except pursuant to the BS/BS Exception. In addition, Tenant shall, at Tenant’s own expense, but under the supervision and subject to the prior approval of Landlord, and within any reasonable period of time specified by Landlord, promptly and adequately repair all damage to the Premises and replace or repair all damaged, broken, or worn fixtures and appurtenances (but such obligation shall not extend to the Building Structure and the Building Systems except pursuant to the BS/BS Exception) except for damage caused by ordinary wear and tear or beyond the reasonable control of Tenant; provided however, that if Tenant fails to make such repairs, Landlord may, after written notice to Tenant and Tenant’s failure to repair within ten</w:t>
      </w:r>
    </w:p>
    <w:p>
      <w:pPr>
        <w:spacing w:after="0" w:line="2" w:lineRule="exact"/>
        <w:rPr>
          <w:sz w:val="20"/>
          <w:szCs w:val="20"/>
          <w:color w:val="auto"/>
        </w:rPr>
      </w:pPr>
    </w:p>
    <w:p>
      <w:pPr>
        <w:ind w:right="20" w:firstLine="5"/>
        <w:spacing w:after="0" w:line="291" w:lineRule="auto"/>
        <w:tabs>
          <w:tab w:leader="none" w:pos="334"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business days thereafter, but need not, make such repairs and replacements, and Tenant shall pay Landlord’s out-of-pocket cost in direct connection therewith, including a percentage of the cost thereof (to be uniformly established for the Building and/or the Project) sufficient to reimburse Landlord for all overhead, general conditions, fees and other costs or expenses to the extent arising from Landlord’s involvement with such repairs and replacements upon receipt of a reasonably detailed invoice for same. Subject to </w:t>
      </w:r>
      <w:r>
        <w:rPr>
          <w:rFonts w:ascii="Arial" w:cs="Arial" w:eastAsia="Arial" w:hAnsi="Arial"/>
          <w:sz w:val="15"/>
          <w:szCs w:val="15"/>
          <w:u w:val="single" w:color="auto"/>
          <w:color w:val="auto"/>
        </w:rPr>
        <w:t>Article 27</w:t>
      </w:r>
      <w:r>
        <w:rPr>
          <w:rFonts w:ascii="Arial" w:cs="Arial" w:eastAsia="Arial" w:hAnsi="Arial"/>
          <w:sz w:val="15"/>
          <w:szCs w:val="15"/>
          <w:color w:val="auto"/>
        </w:rPr>
        <w:t xml:space="preserve"> below, Landlord may, but shall not be required to, enter the Premises at all reasonable times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provided, however, except for</w:t>
      </w:r>
    </w:p>
    <w:p>
      <w:pPr>
        <w:spacing w:after="0" w:line="2" w:lineRule="exact"/>
        <w:rPr>
          <w:rFonts w:ascii="Arial" w:cs="Arial" w:eastAsia="Arial" w:hAnsi="Arial"/>
          <w:sz w:val="15"/>
          <w:szCs w:val="15"/>
          <w:color w:val="auto"/>
        </w:rPr>
      </w:pPr>
    </w:p>
    <w:p>
      <w:pPr>
        <w:ind w:right="40"/>
        <w:spacing w:after="0" w:line="261" w:lineRule="auto"/>
        <w:rPr>
          <w:rFonts w:ascii="Arial" w:cs="Arial" w:eastAsia="Arial" w:hAnsi="Arial"/>
          <w:sz w:val="15"/>
          <w:szCs w:val="15"/>
          <w:color w:val="auto"/>
        </w:rPr>
      </w:pPr>
      <w:r>
        <w:rPr>
          <w:rFonts w:ascii="Arial" w:cs="Arial" w:eastAsia="Arial" w:hAnsi="Arial"/>
          <w:sz w:val="17"/>
          <w:szCs w:val="17"/>
          <w:color w:val="auto"/>
        </w:rPr>
        <w:t>(i) emergencies, or (ii) repairs, alterations, improvements or additions required by governmental or quasi-governmental authorities or court order or decree, any such entry into the Premises by Landlord shall be performed in a manner so as not to materially interfere with Tenant’s use of, or access to, the Premises; provided that, with respect to item (ii) above, Landlord shall use commercially reasonable efforts to not materially interfere with Tenant’s use of, or access to, the Premises. Tenant hereby waives any and all rights under and benefits of subsection l of Section 1932 and Sections 1941 and 1942 of the California Civil Code or under any similar law, statute, or ordinance now or hereafter in effect.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ADDITIONS AND ALTERATIONS</w:t>
      </w:r>
    </w:p>
    <w:p>
      <w:pPr>
        <w:spacing w:after="0" w:line="22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Landlord’s Consent to Alterations</w:t>
      </w:r>
      <w:r>
        <w:rPr>
          <w:rFonts w:ascii="Arial" w:cs="Arial" w:eastAsia="Arial" w:hAnsi="Arial"/>
          <w:sz w:val="17"/>
          <w:szCs w:val="17"/>
          <w:color w:val="auto"/>
        </w:rPr>
        <w:t>. Tenant may not make any improvements, alterations, additions or changes to the Premises or any mechanical, plumbing or HYAC facilities or systems pertaining to the Premises (collectively, the “</w:t>
      </w:r>
      <w:r>
        <w:rPr>
          <w:rFonts w:ascii="Arial" w:cs="Arial" w:eastAsia="Arial" w:hAnsi="Arial"/>
          <w:sz w:val="17"/>
          <w:szCs w:val="17"/>
          <w:b w:val="1"/>
          <w:bCs w:val="1"/>
          <w:color w:val="auto"/>
        </w:rPr>
        <w:t>Alterations</w:t>
      </w:r>
      <w:r>
        <w:rPr>
          <w:rFonts w:ascii="Arial" w:cs="Arial" w:eastAsia="Arial" w:hAnsi="Arial"/>
          <w:sz w:val="17"/>
          <w:szCs w:val="17"/>
          <w:color w:val="auto"/>
        </w:rPr>
        <w:t>”) without first procuring the prior written consent of Landlord to such Alterations, which consent shall be requested by Tenant not less than fifteen (15) business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271" w:right="259" w:bottom="1440" w:gutter="0" w:footer="0" w:header="0"/>
        </w:sectPr>
      </w:pPr>
    </w:p>
    <w:bookmarkStart w:id="264" w:name="page265"/>
    <w:bookmarkEnd w:id="264"/>
    <w:p>
      <w:pPr>
        <w:jc w:val="both"/>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following ten (10) business days notice to Landlord, but without Landlord’s prior consent, to the extent that such Alterations do not (i) adversely affect the systems and equipment of the Building, exterior appearance of the Building, or structural aspects of the Building, or adversely affect the value of the Premises or Building (the “</w:t>
      </w:r>
      <w:r>
        <w:rPr>
          <w:rFonts w:ascii="Arial" w:cs="Arial" w:eastAsia="Arial" w:hAnsi="Arial"/>
          <w:sz w:val="17"/>
          <w:szCs w:val="17"/>
          <w:b w:val="1"/>
          <w:bCs w:val="1"/>
          <w:color w:val="auto"/>
        </w:rPr>
        <w:t>Cosmetic Alterations</w:t>
      </w:r>
      <w:r>
        <w:rPr>
          <w:rFonts w:ascii="Arial" w:cs="Arial" w:eastAsia="Arial" w:hAnsi="Arial"/>
          <w:sz w:val="17"/>
          <w:szCs w:val="17"/>
          <w:color w:val="auto"/>
        </w:rPr>
        <w:t xml:space="preserve">”). The construction of the initial improvements to the Premises shall be governed by the terms of the Work Letter and not the terms of this </w:t>
      </w:r>
      <w:r>
        <w:rPr>
          <w:rFonts w:ascii="Arial" w:cs="Arial" w:eastAsia="Arial" w:hAnsi="Arial"/>
          <w:sz w:val="17"/>
          <w:szCs w:val="17"/>
          <w:u w:val="single" w:color="auto"/>
          <w:color w:val="auto"/>
        </w:rPr>
        <w:t>Article 8</w:t>
      </w:r>
      <w:r>
        <w:rPr>
          <w:rFonts w:ascii="Arial" w:cs="Arial" w:eastAsia="Arial" w:hAnsi="Arial"/>
          <w:sz w:val="17"/>
          <w:szCs w:val="17"/>
          <w:color w:val="auto"/>
        </w:rPr>
        <w:t>.</w:t>
      </w:r>
    </w:p>
    <w:p>
      <w:pPr>
        <w:spacing w:after="0" w:line="67"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Manner of Construction</w:t>
      </w:r>
      <w:r>
        <w:rPr>
          <w:rFonts w:ascii="Arial" w:cs="Arial" w:eastAsia="Arial" w:hAnsi="Arial"/>
          <w:sz w:val="16"/>
          <w:szCs w:val="16"/>
          <w:color w:val="auto"/>
        </w:rPr>
        <w:t xml:space="preserve">. Landlord may impose, as a condition of its consent to any and all Alterations or repairs of the Premises or about the Premises, such requirements as Landlord in its reasonable discretion may deem reasonably necessary to protect the Building Structure and/or Building Systems, including, but not limited to, the requirement that Tenant utilize for such purposes only contractors reasonably approved by Landlord. Upon Landlord’s timely request (as more particularly set forth in </w:t>
      </w:r>
      <w:r>
        <w:rPr>
          <w:rFonts w:ascii="Arial" w:cs="Arial" w:eastAsia="Arial" w:hAnsi="Arial"/>
          <w:sz w:val="16"/>
          <w:szCs w:val="16"/>
          <w:u w:val="single" w:color="auto"/>
          <w:color w:val="auto"/>
        </w:rPr>
        <w:t>Section 8.5, below</w:t>
      </w:r>
      <w:r>
        <w:rPr>
          <w:rFonts w:ascii="Arial" w:cs="Arial" w:eastAsia="Arial" w:hAnsi="Arial"/>
          <w:sz w:val="16"/>
          <w:szCs w:val="16"/>
          <w:color w:val="auto"/>
        </w:rPr>
        <w:t>), Tenant shall, at Tenant’s expense, remove any Alterations upon the expiration or any early termination of the Lease Term and return the affected portion of the Premises to its condition as of the Effective Date. Tenant shall construct such Alterations and perform such repairs in a good and workmanlike manner, in conformance with any and all applicable federal, state, county or municipal laws, rules and regulations and pursuant to a valid building permit, issued by the City of San Diego, all in conformance with Landlord’s construction rules and regulations; provided, however, that prior to commencing to construct any Alteration, Tenant shall meet with Landlord to discuss Landlord’s design parameters and code compliance issues. In the event Tenant performs any Alterations in the Premises which require or give rise to governmentally required changes to the “Base Building,” as that term is defined below, then Landlord shall, at Tenant’s expense, make such changes to the Base Building. The “</w:t>
      </w:r>
      <w:r>
        <w:rPr>
          <w:rFonts w:ascii="Arial" w:cs="Arial" w:eastAsia="Arial" w:hAnsi="Arial"/>
          <w:sz w:val="16"/>
          <w:szCs w:val="16"/>
          <w:b w:val="1"/>
          <w:bCs w:val="1"/>
          <w:color w:val="auto"/>
        </w:rPr>
        <w:t>Base Building</w:t>
      </w:r>
      <w:r>
        <w:rPr>
          <w:rFonts w:ascii="Arial" w:cs="Arial" w:eastAsia="Arial" w:hAnsi="Arial"/>
          <w:sz w:val="16"/>
          <w:szCs w:val="16"/>
          <w:color w:val="auto"/>
        </w:rPr>
        <w:t xml:space="preserve">” shall include the structural portions of the Building, and the public restrooms, elevators, exit stairwells and the systems and equipment located in the internal core of the Building on the floor or floors on which the Premises are located. In performing the work of any such Alterations, Tenant shall have the work performed in such manner so as not to obstruct access to the Project or any portion thereof, by any other tenant of the Project, and so as not to obstruct the business of Landlord or other tenants in the Project.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In addition to Tenant’s obligations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this Lease, upon completion of any Alterations, Tenant agrees to cause a Notice of Completion to be recorded in the office of the Recorder of the County of San Diego in accordance with Section 3093 of the Civil Code of the State of California or any successor statute, and Tenant shall deliver to the Project construction manager a reproducible copy of the “as built” drawings of the Alterations, to the extent applicable, as well as all permits, approvals and other documents issued by any governmental agency in connection with the Alterations.</w:t>
      </w:r>
    </w:p>
    <w:p>
      <w:pPr>
        <w:spacing w:after="0" w:line="65"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Payment for Improvements</w:t>
      </w:r>
      <w:r>
        <w:rPr>
          <w:rFonts w:ascii="Arial" w:cs="Arial" w:eastAsia="Arial" w:hAnsi="Arial"/>
          <w:sz w:val="17"/>
          <w:szCs w:val="17"/>
          <w:color w:val="auto"/>
        </w:rPr>
        <w:t>. If payment is made directly to contractors, Tenant shall (i) comply with Landlord’s requirements for final lien releases and waivers in connection with Tenant’s payment for work to contractors, and (ii) sign Landlord’s standard contractor’s rules and regulations. If Tenant orders any work directly from Landlord, Tenant shall pay to Landlord an amount mutually agreed upon in advance by Landlord and Tenant to compensate Landlord for all overhead, general conditions, fees and other costs and expenses arising from Landlord’s involvement with such work; provided, however, to the extent that Tenant, prior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71" w:right="239" w:bottom="1440" w:gutter="0" w:footer="0" w:header="0"/>
        </w:sectPr>
      </w:pPr>
    </w:p>
    <w:bookmarkStart w:id="265" w:name="page266"/>
    <w:bookmarkEnd w:id="265"/>
    <w:p>
      <w:pPr>
        <w:ind w:right="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ordering such working directly from Landlord, requests in writing that Landlord provide Tenant with a pre-review estimate of the costs to be incurred by Landlord in connection with such review, then such costs shall be subject to the reasonable pre-approval of Tenant. If Tenant does not order any work directly from Landlord, Tenant shall, reimburse Landlord for Landlord’s reasonable, actual, out-of-pocket costs and expenses actually incurred in connection with Landlord’s review of such work.</w:t>
      </w:r>
    </w:p>
    <w:p>
      <w:pPr>
        <w:spacing w:after="0" w:line="67"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Construction Insurance</w:t>
      </w:r>
      <w:r>
        <w:rPr>
          <w:rFonts w:ascii="Arial" w:cs="Arial" w:eastAsia="Arial" w:hAnsi="Arial"/>
          <w:sz w:val="17"/>
          <w:szCs w:val="17"/>
          <w:color w:val="auto"/>
        </w:rPr>
        <w:t xml:space="preserve">. In addition to the requirements of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this Lease, in the event that Tenant makes any Alterations, prior to the commencement of such Alterations, Tenant shall provide Landlord with evidence that Tenant carries “Builder’s All Risk” insurance in an amount reasonably approved by Landlord covering the construction of such Alterations, and such other insurance as Landlord may reasonably require, it being understood and agreed that all of such Alterations shall be insured by Tenant pursuant to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this Lease immediately upon completion thereof. In addition, Landlord may, in its reasonable discretion, require Tenant to obtain a lien and completion bond or some alternate form of security satisfactory to Landlord in an amount sufficient to ensure the lien-free completion of such Alterations and naming Landlord as a co-obligee.</w:t>
      </w:r>
    </w:p>
    <w:p>
      <w:pPr>
        <w:spacing w:after="0" w:line="67"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b w:val="1"/>
          <w:bCs w:val="1"/>
          <w:u w:val="single" w:color="auto"/>
          <w:color w:val="auto"/>
        </w:rPr>
        <w:t>Landlord’s Property</w:t>
      </w:r>
      <w:r>
        <w:rPr>
          <w:rFonts w:ascii="Arial" w:cs="Arial" w:eastAsia="Arial" w:hAnsi="Arial"/>
          <w:sz w:val="15"/>
          <w:szCs w:val="15"/>
          <w:color w:val="auto"/>
        </w:rPr>
        <w:t xml:space="preserve">. Landlord and Tenant hereby acknowledge and agree that (i) all Alterations, improvements, fixtures, equipment and/or appurtenances which Tenant may have installed or placed in or about the Premises, from time to time, shall be at the sole cost of Tenant and shall be and become part of the Premises and the property of Landlord, and (ii) the Improvements to be constructed in the Premises pursuant to the TCCs of the Work Letter shall, upon completion of the same, be and become a part of the Premises and the property of Landlord. Furthermore, Landlord may, by written notice to Tenant prior to the end of the Lease Term, or given following any earlier termination of this Lease, require Tenant, at Tenant’s expense, to remove any Alterations (as opposed to the Improvements being constructed pursuant to the Work Letter, which Improvements Tenant shall not be required to remove unless otherwise expressly identified by Landlord at the time of approval in accordance with the terms set forth in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of the Work Letter), and to repair any damage to the Premises and Building caused by such removal and return the affected portion of the Premises to the condition existing immediately prior to the performance of the subject Alterations; provided, however, if, in connection with its notice to Landlord with respect to any such Alterations or Cosmetic Alterations, (x) Tenant requests Landlord’s decision with regard to the removal of such Alterations or Cosmetic Alterations, and (y) Landlord thereafter agrees in writing to waive the removal requirement with regard to such Alterations or Cosmetic Alterations, then Tenant shall not be required to so remove such Alterations or Cosmetic Alterations; provided further, however, that if Tenant requests such a determination from Landlord and Landlord, within ten (10) business days following Landlord’s receipt of such request from Tenant with respect to Alterations or Cosmetic Alterations, fails to address the removal requirement with regard to such Alterations or Cosmetic Alterations, Landlord shall be deemed to have agreed to waive the removal requirement with regard to such Alterations or Cosmetic Alterations. If Tenant fails to complete such removal and/or to repair any damage caused by the removal of any Alterations or improvements in the Premises, and returns the affected portion of the Premises to the condition existing immediately prior to the performance of the subject Alterations, then at Landlord’s option Landlord may do so and may charge the cost thereof to Tenant. Except to the extent of Landlord’s negligence or willful misconduct, Tenant hereby protects, defends, indemnifies and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72" w:right="239" w:bottom="1440" w:gutter="0" w:footer="0" w:header="0"/>
        </w:sectPr>
      </w:pPr>
    </w:p>
    <w:bookmarkStart w:id="266" w:name="page267"/>
    <w:bookmarkEnd w:id="266"/>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60" w:lineRule="exact"/>
        <w:rPr>
          <w:sz w:val="20"/>
          <w:szCs w:val="20"/>
          <w:color w:val="auto"/>
        </w:rPr>
      </w:pPr>
    </w:p>
    <w:p>
      <w:pPr>
        <w:jc w:val="both"/>
        <w:ind w:right="100" w:firstLine="457"/>
        <w:spacing w:after="0" w:line="27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u w:val="single" w:color="auto"/>
          <w:color w:val="auto"/>
        </w:rPr>
        <w:t>Exceptions to Landlord’s Property</w:t>
      </w:r>
      <w:r>
        <w:rPr>
          <w:rFonts w:ascii="Arial" w:cs="Arial" w:eastAsia="Arial" w:hAnsi="Arial"/>
          <w:sz w:val="17"/>
          <w:szCs w:val="17"/>
          <w:color w:val="auto"/>
        </w:rPr>
        <w:t xml:space="preserve">. Landlord and Tenant hereby acknowledge and agree that Tenant shall maintain ownership of, and be permitted to remove upon the expiration or earlier termination of this Lease (subject to the repair provisions set forth in </w:t>
      </w:r>
      <w:r>
        <w:rPr>
          <w:rFonts w:ascii="Arial" w:cs="Arial" w:eastAsia="Arial" w:hAnsi="Arial"/>
          <w:sz w:val="17"/>
          <w:szCs w:val="17"/>
          <w:u w:val="single" w:color="auto"/>
          <w:color w:val="auto"/>
        </w:rPr>
        <w:t>Section 8.5</w:t>
      </w:r>
      <w:r>
        <w:rPr>
          <w:rFonts w:ascii="Arial" w:cs="Arial" w:eastAsia="Arial" w:hAnsi="Arial"/>
          <w:sz w:val="17"/>
          <w:szCs w:val="17"/>
          <w:color w:val="auto"/>
        </w:rPr>
        <w:t>, above), any equipment installed or placed in, or about, or affixed to the Premises, but only to the extent such equipment was paid for in its entirety by Tenant.</w:t>
      </w:r>
    </w:p>
    <w:p>
      <w:pPr>
        <w:spacing w:after="0" w:line="59"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u w:val="single" w:color="auto"/>
          <w:color w:val="auto"/>
        </w:rPr>
        <w:t>One Pass Air</w:t>
      </w:r>
      <w:r>
        <w:rPr>
          <w:rFonts w:ascii="Arial" w:cs="Arial" w:eastAsia="Arial" w:hAnsi="Arial"/>
          <w:sz w:val="17"/>
          <w:szCs w:val="17"/>
          <w:color w:val="auto"/>
        </w:rPr>
        <w:t>. Landlord acknowledges that during the Lease Term Tenant may desire to install a supplemental HVAC (i.e., “</w:t>
      </w:r>
      <w:r>
        <w:rPr>
          <w:rFonts w:ascii="Arial" w:cs="Arial" w:eastAsia="Arial" w:hAnsi="Arial"/>
          <w:sz w:val="17"/>
          <w:szCs w:val="17"/>
          <w:b w:val="1"/>
          <w:bCs w:val="1"/>
          <w:color w:val="auto"/>
        </w:rPr>
        <w:t>One-Pass Air System</w:t>
      </w:r>
      <w:r>
        <w:rPr>
          <w:rFonts w:ascii="Arial" w:cs="Arial" w:eastAsia="Arial" w:hAnsi="Arial"/>
          <w:sz w:val="17"/>
          <w:szCs w:val="17"/>
          <w:color w:val="auto"/>
        </w:rPr>
        <w:t>”) in the tissue culture room, rodent vivarium and/or other specialty lab space in the Premises, which Alterations are, in concept, pre-approved. Notwithstanding the foregoing, the parties acknowledge and agree that in the event that Tenant desires any such One-Pass Air System in the Premises, the plans and specifications related thereto (including, without limitation, related to the size, location, venting, and structural components) shall remain subject to Landlord’s prior written consent, which consent shall not be unreasonably withheld by Landlord, provided it shall be deemed reasonable for Landlord to withhold its consent to any portion of the One-Pass Air System which adversely affects the structural portions or the systems or equipment of the Building or is visible from the exterior of the Building.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ARTICLE 9</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COVENANT AGAINST LIENS</w:t>
      </w:r>
    </w:p>
    <w:p>
      <w:pPr>
        <w:spacing w:after="0" w:line="230" w:lineRule="exact"/>
        <w:rPr>
          <w:sz w:val="20"/>
          <w:szCs w:val="20"/>
          <w:color w:val="auto"/>
        </w:rPr>
      </w:pPr>
    </w:p>
    <w:p>
      <w:pPr>
        <w:ind w:right="20" w:firstLine="457"/>
        <w:spacing w:after="0" w:line="297" w:lineRule="auto"/>
        <w:rPr>
          <w:sz w:val="20"/>
          <w:szCs w:val="20"/>
          <w:color w:val="auto"/>
        </w:rPr>
      </w:pPr>
      <w:r>
        <w:rPr>
          <w:rFonts w:ascii="Arial" w:cs="Arial" w:eastAsia="Arial" w:hAnsi="Arial"/>
          <w:sz w:val="15"/>
          <w:szCs w:val="15"/>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five (5) days after notice by Landlord, and if Tenant shall fail to do so, Landlord may pay the 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 Notwithstanding anything to the contrary set forth in this Lease, Tenant may enter into certain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272" w:right="259" w:bottom="1440" w:gutter="0" w:footer="0" w:header="0"/>
        </w:sectPr>
      </w:pPr>
    </w:p>
    <w:bookmarkStart w:id="267" w:name="page268"/>
    <w:bookmarkEnd w:id="267"/>
    <w:p>
      <w:pPr>
        <w:ind w:right="4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equipment financing and/or leasing arrangements with an equipment-seller or equipment-lessor to secure necessary furniture and equipment (collectively, the “</w:t>
      </w:r>
      <w:r>
        <w:rPr>
          <w:rFonts w:ascii="Arial" w:cs="Arial" w:eastAsia="Arial" w:hAnsi="Arial"/>
          <w:sz w:val="17"/>
          <w:szCs w:val="17"/>
          <w:b w:val="1"/>
          <w:bCs w:val="1"/>
          <w:color w:val="auto"/>
        </w:rPr>
        <w:t>Tenant’s Equipment</w:t>
      </w:r>
      <w:r>
        <w:rPr>
          <w:rFonts w:ascii="Arial" w:cs="Arial" w:eastAsia="Arial" w:hAnsi="Arial"/>
          <w:sz w:val="17"/>
          <w:szCs w:val="17"/>
          <w:color w:val="auto"/>
        </w:rPr>
        <w: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10</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INSURANCE</w:t>
      </w:r>
    </w:p>
    <w:p>
      <w:pPr>
        <w:spacing w:after="0" w:line="224"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Indemnification and Waiver</w:t>
      </w:r>
      <w:r>
        <w:rPr>
          <w:rFonts w:ascii="Arial" w:cs="Arial" w:eastAsia="Arial" w:hAnsi="Arial"/>
          <w:sz w:val="16"/>
          <w:szCs w:val="16"/>
          <w:color w:val="auto"/>
        </w:rPr>
        <w:t>. Except to the extent caused by the negligence or willful misconduct of the “Landlord Parties” (as that term is defined below) , Tenant hereby assumes all risk of damage to property or injury to persons in, upon or about the Premises from any cause whatsoever and agrees that Landlord, its partners, subpartners and their respective officers, agents, servants, employees, and independent contractors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shall not be liable for, and are hereby released from any responsibility for, any damage either to person or property or resulting from the loss of use thereof, which damage is sustained by Tenant or by other persons claiming through Tenant. Tenant shall indemnify, defend, protect, and hold harmless the Land lord Parties from any and all loss, cost, damage, expense and liability (including without limitation court costs and reasonable attorneys’ fees) incurred in connection with or arising from: (a) any causes in or on the Premises; (b) the use or occupancy of the Premises by Tenant or any person claiming under Tenant; (c) any activity, work, or thing done, or permitted or suffered by Tenant in or about the Premises; (d) any acts, omission, or negligence of Tenant or any person claiming under Tenant, or the contractors, agents, employees, invitees, or visitors of Tenant or any such person; (e) any breach, violation, or non-performance by Tenant or any person claiming under Tenant or the employees, agents, contractors, invitees, or visitors of Tenant or any such person, of any term, covenant, or provision of this Lease or any law, ordinance, or governmental requirement of any kind; (f) any injury or damage to the person, property, or business of Tenant, its employees, agents, contractors, invitees, visitors, or any other person entering upon the Premises under the express or implied invitation of Tenant; or (g) the placement of any personal property or other items within the Premises; provided, however, that the terms of the foregoing indemnity shall not apply to the extent of the negligence or willful misconduct of Landlord or the Landlord Parties.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appraisers’, accountants’ and attorneys’ fees. Subject to Tenant’s indemnity and the waiver of subrogation provided below, Landlord shall indemnify, defend, protect, and hold harmless Tenant, its partners, and their respective officers, agents, servants, employees, and independent contractors (collectively “</w:t>
      </w:r>
      <w:r>
        <w:rPr>
          <w:rFonts w:ascii="Arial" w:cs="Arial" w:eastAsia="Arial" w:hAnsi="Arial"/>
          <w:sz w:val="16"/>
          <w:szCs w:val="16"/>
          <w:b w:val="1"/>
          <w:bCs w:val="1"/>
          <w:color w:val="auto"/>
        </w:rPr>
        <w:t>Tenant</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from any and all loss, cost, damage, expense, and liability (including, without limitation, court costs and reasonable attorneys’ fees) arising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negligence or willful misconduct of Landlord or the Landlord Parties in, on or about the Project either prior to or during the Lease Term, and/or as a result of Landlord’s breach of this Lease, except to the extent caused by the negligence or willful misconduct of Tenant or the Tenant Parties. Further, Tenant’s agreement to indemnify Landlord pursuant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is not intended and shall not relieve any insurance carrier of its obligations under policies required to be carried by Tenant pursuant to the provisions of this Lease, to the extent such policies cover the matters subject to Tenant’s indemnification obligations; nor shall they supersede any inconsistent agreement of the parties set forth in any other provision of this Lease. The provisions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survive the expiration or sooner termination of this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272" w:right="239" w:bottom="1440" w:gutter="0" w:footer="0" w:header="0"/>
        </w:sectPr>
      </w:pPr>
    </w:p>
    <w:bookmarkStart w:id="268" w:name="page269"/>
    <w:bookmarkEnd w:id="268"/>
    <w:p>
      <w:pPr>
        <w:jc w:val="both"/>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Lease with respect to any claims or liability arising in connection with any event occurring prior to such expiration or termination. Notwithstanding anything to the contrary contained in this Lease, nothing in this Lease shall impose any obligations on Tenant or Landlord to be responsible or liable for, and each hereby releases the other from all liability for, consequential damages other than those consequential damages incurred by Landlord in connection with a holdover of the Premises by Tenant in accordance with the TCCS of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of this Lease.</w:t>
      </w:r>
    </w:p>
    <w:p>
      <w:pPr>
        <w:spacing w:after="0" w:line="67" w:lineRule="exact"/>
        <w:rPr>
          <w:sz w:val="20"/>
          <w:szCs w:val="20"/>
          <w:color w:val="auto"/>
        </w:rPr>
      </w:pPr>
    </w:p>
    <w:p>
      <w:pPr>
        <w:ind w:right="20" w:firstLine="457"/>
        <w:spacing w:after="0" w:line="29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Tenant’s Compliance With Landlord’s Fire and Casualty Insurance</w:t>
      </w:r>
      <w:r>
        <w:rPr>
          <w:rFonts w:ascii="Arial" w:cs="Arial" w:eastAsia="Arial" w:hAnsi="Arial"/>
          <w:sz w:val="16"/>
          <w:szCs w:val="16"/>
          <w:color w:val="auto"/>
        </w:rPr>
        <w:t>. Tenant shall, at Tenant’s expense, comply with Landlord’s insurance company requirements of which Tenant has received notice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47" w:lineRule="exact"/>
        <w:rPr>
          <w:sz w:val="20"/>
          <w:szCs w:val="20"/>
          <w:color w:val="auto"/>
        </w:rPr>
      </w:pPr>
    </w:p>
    <w:p>
      <w:pPr>
        <w:ind w:right="200" w:firstLine="457"/>
        <w:spacing w:after="0" w:line="27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Tenant’s Insurance</w:t>
      </w:r>
      <w:r>
        <w:rPr>
          <w:rFonts w:ascii="Arial" w:cs="Arial" w:eastAsia="Arial" w:hAnsi="Arial"/>
          <w:sz w:val="17"/>
          <w:szCs w:val="17"/>
          <w:color w:val="auto"/>
        </w:rPr>
        <w:t xml:space="preserve">. Throughout the Lease Term, Tenant shall maintain the following coverages in the following amounts. The required evidence of coverage must be delivered to Landlord on or before the date required under </w:t>
      </w:r>
      <w:r>
        <w:rPr>
          <w:rFonts w:ascii="Arial" w:cs="Arial" w:eastAsia="Arial" w:hAnsi="Arial"/>
          <w:sz w:val="17"/>
          <w:szCs w:val="17"/>
          <w:u w:val="single" w:color="auto"/>
          <w:color w:val="auto"/>
        </w:rPr>
        <w:t>Section 10.4(I) sub-sections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10.4(II)</w:t>
      </w:r>
      <w:r>
        <w:rPr>
          <w:rFonts w:ascii="Arial" w:cs="Arial" w:eastAsia="Arial" w:hAnsi="Arial"/>
          <w:sz w:val="17"/>
          <w:szCs w:val="17"/>
          <w:color w:val="auto"/>
        </w:rPr>
        <w:t xml:space="preserve"> below (as applicable). Such policies shall be for a term of at least one (1) year, or the length of the remaining term of this Lease, whichever is less.</w:t>
      </w:r>
    </w:p>
    <w:p>
      <w:pPr>
        <w:spacing w:after="0" w:line="65" w:lineRule="exact"/>
        <w:rPr>
          <w:sz w:val="20"/>
          <w:szCs w:val="20"/>
          <w:color w:val="auto"/>
        </w:rPr>
      </w:pPr>
    </w:p>
    <w:p>
      <w:pPr>
        <w:ind w:firstLine="913"/>
        <w:spacing w:after="0" w:line="299" w:lineRule="auto"/>
        <w:rPr>
          <w:sz w:val="20"/>
          <w:szCs w:val="20"/>
          <w:color w:val="auto"/>
        </w:rPr>
      </w:pPr>
      <w:r>
        <w:rPr>
          <w:rFonts w:ascii="Arial" w:cs="Arial" w:eastAsia="Arial" w:hAnsi="Arial"/>
          <w:sz w:val="15"/>
          <w:szCs w:val="15"/>
          <w:color w:val="auto"/>
        </w:rPr>
        <w:t>10.3.1 Commercial General Liability Insurance, including Broad Form contractual liability covering the insured against claims of bodily injury, personal injury and property damage (including loss of use thereof) based upon or arising out of Tenant’s operations, occupancy or maintenance of the Premises and all areas appurtenant thereto. Such insurance shall be written on an “occurrence” basis. Landlord and any other party the Landlord so specifies that has a material financial interest in the Project, including Landlord’s managing agent, ground lessor and/or lender, if any, shall be named as additional insureds as their interests may appear using Insurance Service Organization’s form CG2011 or a comparable form approved by Landlord. Tenant shall provide an endorsement or policy excerpt showing that Tenant’s coverage is primary and any insurance carried by Landlord shall be excess and non-contributing. The coverage shall also be extended to include damage caused by heat, smoke or fumes from a hostile fire. The policy shall not contain any intra-insured exclusions as between insured persons or organizations. This policy shall include coverage for all liabilities assumed under this Lease as an insured contract for the performance of all of Tenant’s indemnity obligations under this Lease. The limits of said insurance shall not, however, limit the liability of Tenant nor relieve Tenant of any obligation hereunder. Limits of liability insurance shall not be less than the following; provided, however, such limits may be achieved through the use of an Umbrella/Excess Policy:</w:t>
      </w:r>
    </w:p>
    <w:p>
      <w:pPr>
        <w:spacing w:after="0" w:line="194"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Bodily Injury and</w:t>
            </w:r>
          </w:p>
        </w:tc>
        <w:tc>
          <w:tcPr>
            <w:tcW w:w="4740" w:type="dxa"/>
            <w:vAlign w:val="bottom"/>
            <w:shd w:val="clear" w:color="auto" w:fill="CCEEFF"/>
          </w:tcPr>
          <w:p>
            <w:pPr>
              <w:ind w:left="2640"/>
              <w:spacing w:after="0"/>
              <w:rPr>
                <w:sz w:val="20"/>
                <w:szCs w:val="20"/>
                <w:color w:val="auto"/>
              </w:rPr>
            </w:pPr>
            <w:r>
              <w:rPr>
                <w:rFonts w:ascii="Arial" w:cs="Arial" w:eastAsia="Arial" w:hAnsi="Arial"/>
                <w:sz w:val="17"/>
                <w:szCs w:val="17"/>
                <w:color w:val="auto"/>
                <w:w w:val="94"/>
              </w:rPr>
              <w:t>$ 5,000,000 each occurrence</w:t>
            </w:r>
          </w:p>
        </w:tc>
      </w:tr>
      <w:tr>
        <w:trPr>
          <w:trHeight w:val="210"/>
        </w:trPr>
        <w:tc>
          <w:tcPr>
            <w:tcW w:w="3000" w:type="dxa"/>
            <w:vAlign w:val="bottom"/>
          </w:tcPr>
          <w:p>
            <w:pPr>
              <w:spacing w:after="0"/>
              <w:rPr>
                <w:sz w:val="20"/>
                <w:szCs w:val="20"/>
                <w:color w:val="auto"/>
              </w:rPr>
            </w:pPr>
            <w:r>
              <w:rPr>
                <w:rFonts w:ascii="Arial" w:cs="Arial" w:eastAsia="Arial" w:hAnsi="Arial"/>
                <w:sz w:val="17"/>
                <w:szCs w:val="17"/>
                <w:color w:val="auto"/>
              </w:rPr>
              <w:t>Property Damage Liability</w:t>
            </w:r>
          </w:p>
        </w:tc>
        <w:tc>
          <w:tcPr>
            <w:tcW w:w="4740" w:type="dxa"/>
            <w:vAlign w:val="bottom"/>
          </w:tcPr>
          <w:p>
            <w:pPr>
              <w:spacing w:after="0"/>
              <w:rPr>
                <w:sz w:val="18"/>
                <w:szCs w:val="18"/>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Personal Injury and Advertising</w:t>
            </w:r>
          </w:p>
        </w:tc>
        <w:tc>
          <w:tcPr>
            <w:tcW w:w="4740" w:type="dxa"/>
            <w:vAlign w:val="bottom"/>
            <w:shd w:val="clear" w:color="auto" w:fill="CCEEFF"/>
          </w:tcPr>
          <w:p>
            <w:pPr>
              <w:ind w:left="2640"/>
              <w:spacing w:after="0"/>
              <w:rPr>
                <w:sz w:val="20"/>
                <w:szCs w:val="20"/>
                <w:color w:val="auto"/>
              </w:rPr>
            </w:pPr>
            <w:r>
              <w:rPr>
                <w:rFonts w:ascii="Arial" w:cs="Arial" w:eastAsia="Arial" w:hAnsi="Arial"/>
                <w:sz w:val="17"/>
                <w:szCs w:val="17"/>
                <w:color w:val="auto"/>
                <w:w w:val="94"/>
              </w:rPr>
              <w:t>$ 5,000,000 each occurrence</w:t>
            </w:r>
          </w:p>
        </w:tc>
      </w:tr>
      <w:tr>
        <w:trPr>
          <w:trHeight w:val="222"/>
        </w:trPr>
        <w:tc>
          <w:tcPr>
            <w:tcW w:w="3000" w:type="dxa"/>
            <w:vAlign w:val="bottom"/>
          </w:tcPr>
          <w:p>
            <w:pPr>
              <w:spacing w:after="0"/>
              <w:rPr>
                <w:sz w:val="20"/>
                <w:szCs w:val="20"/>
                <w:color w:val="auto"/>
              </w:rPr>
            </w:pPr>
            <w:r>
              <w:rPr>
                <w:rFonts w:ascii="Arial" w:cs="Arial" w:eastAsia="Arial" w:hAnsi="Arial"/>
                <w:sz w:val="17"/>
                <w:szCs w:val="17"/>
                <w:color w:val="auto"/>
              </w:rPr>
              <w:t>Liability</w:t>
            </w:r>
          </w:p>
        </w:tc>
        <w:tc>
          <w:tcPr>
            <w:tcW w:w="4740" w:type="dxa"/>
            <w:vAlign w:val="bottom"/>
          </w:tcPr>
          <w:p>
            <w:pPr>
              <w:spacing w:after="0"/>
              <w:rPr>
                <w:sz w:val="19"/>
                <w:szCs w:val="19"/>
                <w:color w:val="auto"/>
              </w:rPr>
            </w:pPr>
          </w:p>
        </w:tc>
      </w:tr>
      <w:tr>
        <w:trPr>
          <w:trHeight w:val="341"/>
        </w:trPr>
        <w:tc>
          <w:tcPr>
            <w:tcW w:w="3000" w:type="dxa"/>
            <w:vAlign w:val="bottom"/>
          </w:tcPr>
          <w:p>
            <w:pPr>
              <w:spacing w:after="0"/>
              <w:rPr>
                <w:sz w:val="24"/>
                <w:szCs w:val="24"/>
                <w:color w:val="auto"/>
              </w:rPr>
            </w:pPr>
          </w:p>
        </w:tc>
        <w:tc>
          <w:tcPr>
            <w:tcW w:w="4740" w:type="dxa"/>
            <w:vAlign w:val="bottom"/>
          </w:tcPr>
          <w:p>
            <w:pPr>
              <w:jc w:val="right"/>
              <w:ind w:right="3693"/>
              <w:spacing w:after="0"/>
              <w:rPr>
                <w:sz w:val="20"/>
                <w:szCs w:val="20"/>
                <w:color w:val="auto"/>
              </w:rPr>
            </w:pPr>
            <w:r>
              <w:rPr>
                <w:rFonts w:ascii="Arial" w:cs="Arial" w:eastAsia="Arial" w:hAnsi="Arial"/>
                <w:sz w:val="17"/>
                <w:szCs w:val="17"/>
                <w:color w:val="auto"/>
              </w:rPr>
              <w:t>31</w:t>
            </w:r>
          </w:p>
        </w:tc>
      </w:tr>
    </w:tbl>
    <w:p>
      <w:pPr>
        <w:sectPr>
          <w:pgSz w:w="11900" w:h="16838" w:orient="portrait"/>
          <w:cols w:equalWidth="0" w:num="1">
            <w:col w:w="11400"/>
          </w:cols>
          <w:pgMar w:left="240" w:top="271" w:right="259" w:bottom="1440" w:gutter="0" w:footer="0" w:header="0"/>
        </w:sectPr>
      </w:pPr>
    </w:p>
    <w:bookmarkStart w:id="269" w:name="page270"/>
    <w:bookmarkEnd w:id="2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Tenant Legal Liability/Damage to</w:t>
            </w:r>
          </w:p>
        </w:tc>
        <w:tc>
          <w:tcPr>
            <w:tcW w:w="3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$1,000,000.00</w:t>
            </w:r>
          </w:p>
        </w:tc>
      </w:tr>
      <w:tr>
        <w:trPr>
          <w:trHeight w:val="222"/>
        </w:trPr>
        <w:tc>
          <w:tcPr>
            <w:tcW w:w="4500" w:type="dxa"/>
            <w:vAlign w:val="bottom"/>
          </w:tcPr>
          <w:p>
            <w:pPr>
              <w:spacing w:after="0"/>
              <w:rPr>
                <w:sz w:val="20"/>
                <w:szCs w:val="20"/>
                <w:color w:val="auto"/>
              </w:rPr>
            </w:pPr>
            <w:r>
              <w:rPr>
                <w:rFonts w:ascii="Arial" w:cs="Arial" w:eastAsia="Arial" w:hAnsi="Arial"/>
                <w:sz w:val="17"/>
                <w:szCs w:val="17"/>
                <w:color w:val="auto"/>
              </w:rPr>
              <w:t>Rented Premises Liability</w:t>
            </w:r>
          </w:p>
        </w:tc>
        <w:tc>
          <w:tcPr>
            <w:tcW w:w="3240" w:type="dxa"/>
            <w:vAlign w:val="bottom"/>
          </w:tcPr>
          <w:p>
            <w:pPr>
              <w:spacing w:after="0"/>
              <w:rPr>
                <w:sz w:val="19"/>
                <w:szCs w:val="19"/>
                <w:color w:val="auto"/>
              </w:rPr>
            </w:pPr>
          </w:p>
        </w:tc>
      </w:tr>
    </w:tbl>
    <w:p>
      <w:pPr>
        <w:spacing w:after="0" w:line="185" w:lineRule="exact"/>
        <w:rPr>
          <w:sz w:val="20"/>
          <w:szCs w:val="20"/>
          <w:color w:val="auto"/>
        </w:rPr>
      </w:pPr>
    </w:p>
    <w:p>
      <w:pPr>
        <w:ind w:firstLine="913"/>
        <w:spacing w:after="0" w:line="260" w:lineRule="auto"/>
        <w:rPr>
          <w:sz w:val="20"/>
          <w:szCs w:val="20"/>
          <w:color w:val="auto"/>
        </w:rPr>
      </w:pPr>
      <w:r>
        <w:rPr>
          <w:rFonts w:ascii="Arial" w:cs="Arial" w:eastAsia="Arial" w:hAnsi="Arial"/>
          <w:sz w:val="17"/>
          <w:szCs w:val="17"/>
          <w:color w:val="auto"/>
        </w:rPr>
        <w:t xml:space="preserve">10.3.2 Property Insurance covering (i) all office furniture, personal property, business and trade fixtures, office equipment, free-standing cabinet work, movable partitions, merchandise and all other items of Tenant’s business personal property on the Premises installed by, for, or at the expense of Tenant, (ii) the “Improvements,” as that term is defined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of the Work Letter, and (iii) all Alterations performed in the Premises. Such insurance shall be written on a Special Form basis, for the full replacement cost value (subject to reasonable deductible amounts), without deduction for depreciation of the covered items and in amounts that meet any co-insurance clauses of the policies of insurance and shall include coverage for (a) all perils included in the CP 10 30 04 02 Coverage Special Form, (b) water damage from any cause whatsoever, including, but not limited to, backup or overflow from sprinkler leakage, bursting, leaking or stoppage of any pipes, explosion, and backup of sewers and drainage, and (c) terrorism (to the extent such terrorism insurance is available as a result of the Terrorism Risk Insurance Act of 2002 (Pub. L. l 07-297, 116 Stat. 2322), the Terrorism Risk Insurance Program Reauthorization Act of 2005 (Pub. l. 109-144), and the Terrorism Risk Insurance Program Reauthorization Act of 2007 (Pub. L. 110-160, 121 Stat. 183), any successor statute or regulation, or is otherwise available at commercially reasonable rates).</w:t>
      </w:r>
    </w:p>
    <w:p>
      <w:pPr>
        <w:spacing w:after="0" w:line="76" w:lineRule="exact"/>
        <w:rPr>
          <w:sz w:val="20"/>
          <w:szCs w:val="20"/>
          <w:color w:val="auto"/>
        </w:rPr>
      </w:pPr>
    </w:p>
    <w:p>
      <w:pPr>
        <w:jc w:val="both"/>
        <w:ind w:right="240" w:firstLine="1484"/>
        <w:spacing w:after="0" w:line="301" w:lineRule="auto"/>
        <w:rPr>
          <w:sz w:val="20"/>
          <w:szCs w:val="20"/>
          <w:color w:val="auto"/>
        </w:rPr>
      </w:pPr>
      <w:r>
        <w:rPr>
          <w:rFonts w:ascii="Arial" w:cs="Arial" w:eastAsia="Arial" w:hAnsi="Arial"/>
          <w:sz w:val="16"/>
          <w:szCs w:val="16"/>
          <w:color w:val="auto"/>
        </w:rPr>
        <w:t xml:space="preserve">10.3.2.1 </w:t>
      </w:r>
      <w:r>
        <w:rPr>
          <w:rFonts w:ascii="Arial" w:cs="Arial" w:eastAsia="Arial" w:hAnsi="Arial"/>
          <w:sz w:val="16"/>
          <w:szCs w:val="16"/>
          <w:b w:val="1"/>
          <w:bCs w:val="1"/>
          <w:u w:val="single" w:color="auto"/>
          <w:color w:val="auto"/>
        </w:rPr>
        <w:t>Adjacent Premises</w:t>
      </w:r>
      <w:r>
        <w:rPr>
          <w:rFonts w:ascii="Arial" w:cs="Arial" w:eastAsia="Arial" w:hAnsi="Arial"/>
          <w:sz w:val="16"/>
          <w:szCs w:val="16"/>
          <w:color w:val="auto"/>
        </w:rPr>
        <w:t>. Tenant shall pay for any increase in the premiums for the property insurance of the Project to the extent said increase is caused by Tenant’s acts, omissions, use or occupancy of the Premises for other than the Permitted Use (but which for purposes of this provision shall not apply to the extent resulting directly from the particular nature of Tenant’s tissue culture room and rodent vivarium uses).</w:t>
      </w:r>
    </w:p>
    <w:p>
      <w:pPr>
        <w:spacing w:after="0" w:line="4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10.3.2.2 </w:t>
      </w:r>
      <w:r>
        <w:rPr>
          <w:rFonts w:ascii="Arial" w:cs="Arial" w:eastAsia="Arial" w:hAnsi="Arial"/>
          <w:sz w:val="16"/>
          <w:szCs w:val="16"/>
          <w:b w:val="1"/>
          <w:bCs w:val="1"/>
          <w:u w:val="single" w:color="auto"/>
          <w:color w:val="auto"/>
        </w:rPr>
        <w:t>Property Damage</w:t>
      </w:r>
      <w:r>
        <w:rPr>
          <w:rFonts w:ascii="Arial" w:cs="Arial" w:eastAsia="Arial" w:hAnsi="Arial"/>
          <w:sz w:val="16"/>
          <w:szCs w:val="16"/>
          <w:color w:val="auto"/>
        </w:rPr>
        <w:t>. Tenant shall use the proceeds from any such insurance for the replacement of personal property, trade fixtures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and Alterations.</w:t>
      </w:r>
    </w:p>
    <w:p>
      <w:pPr>
        <w:spacing w:after="0" w:line="101" w:lineRule="exact"/>
        <w:rPr>
          <w:sz w:val="20"/>
          <w:szCs w:val="20"/>
          <w:color w:val="auto"/>
        </w:rPr>
      </w:pPr>
    </w:p>
    <w:p>
      <w:pPr>
        <w:ind w:right="420" w:firstLine="1484"/>
        <w:spacing w:after="0" w:line="296" w:lineRule="auto"/>
        <w:rPr>
          <w:sz w:val="20"/>
          <w:szCs w:val="20"/>
          <w:color w:val="auto"/>
        </w:rPr>
      </w:pPr>
      <w:r>
        <w:rPr>
          <w:rFonts w:ascii="Arial" w:cs="Arial" w:eastAsia="Arial" w:hAnsi="Arial"/>
          <w:sz w:val="17"/>
          <w:szCs w:val="17"/>
          <w:color w:val="auto"/>
        </w:rPr>
        <w:t xml:space="preserve">10.3.2.3 </w:t>
      </w:r>
      <w:r>
        <w:rPr>
          <w:rFonts w:ascii="Arial" w:cs="Arial" w:eastAsia="Arial" w:hAnsi="Arial"/>
          <w:sz w:val="17"/>
          <w:szCs w:val="17"/>
          <w:b w:val="1"/>
          <w:bCs w:val="1"/>
          <w:u w:val="single" w:color="auto"/>
          <w:color w:val="auto"/>
        </w:rPr>
        <w:t>No representation of Adequate Coverage</w:t>
      </w:r>
      <w:r>
        <w:rPr>
          <w:rFonts w:ascii="Arial" w:cs="Arial" w:eastAsia="Arial" w:hAnsi="Arial"/>
          <w:sz w:val="17"/>
          <w:szCs w:val="17"/>
          <w:color w:val="auto"/>
        </w:rPr>
        <w:t>. Landlord makes no representation that the limits or forms of coverage of insurance specified herein are adequate to cover Tenant’s property, business operations or obligations under this Lease.</w:t>
      </w:r>
    </w:p>
    <w:p>
      <w:pPr>
        <w:spacing w:after="0" w:line="42" w:lineRule="exact"/>
        <w:rPr>
          <w:sz w:val="20"/>
          <w:szCs w:val="20"/>
          <w:color w:val="auto"/>
        </w:rPr>
      </w:pPr>
    </w:p>
    <w:p>
      <w:pPr>
        <w:ind w:firstLine="913"/>
        <w:spacing w:after="0" w:line="262" w:lineRule="auto"/>
        <w:rPr>
          <w:sz w:val="20"/>
          <w:szCs w:val="20"/>
          <w:color w:val="auto"/>
        </w:rPr>
      </w:pPr>
      <w:r>
        <w:rPr>
          <w:rFonts w:ascii="Arial" w:cs="Arial" w:eastAsia="Arial" w:hAnsi="Arial"/>
          <w:sz w:val="17"/>
          <w:szCs w:val="17"/>
          <w:color w:val="auto"/>
        </w:rPr>
        <w:t xml:space="preserve">10.3.3 </w:t>
      </w:r>
      <w:r>
        <w:rPr>
          <w:rFonts w:ascii="Arial" w:cs="Arial" w:eastAsia="Arial" w:hAnsi="Arial"/>
          <w:sz w:val="17"/>
          <w:szCs w:val="17"/>
          <w:b w:val="1"/>
          <w:bCs w:val="1"/>
          <w:u w:val="single" w:color="auto"/>
          <w:color w:val="auto"/>
        </w:rPr>
        <w:t>Property Insurance Subrogation</w:t>
      </w:r>
      <w:r>
        <w:rPr>
          <w:rFonts w:ascii="Arial" w:cs="Arial" w:eastAsia="Arial" w:hAnsi="Arial"/>
          <w:sz w:val="17"/>
          <w:szCs w:val="17"/>
          <w:color w:val="auto"/>
        </w:rPr>
        <w:t xml:space="preserve">. Landlord and Tenant intend that their respective property loss risks shall be borne by insurance carriers to the extent above provided (and, in the case of Tenant, by an insurance carrier satisfying the requirements of </w:t>
      </w:r>
      <w:r>
        <w:rPr>
          <w:rFonts w:ascii="Arial" w:cs="Arial" w:eastAsia="Arial" w:hAnsi="Arial"/>
          <w:sz w:val="17"/>
          <w:szCs w:val="17"/>
          <w:u w:val="single" w:color="auto"/>
          <w:color w:val="auto"/>
        </w:rPr>
        <w:t>Section 10.4(i)</w:t>
      </w:r>
      <w:r>
        <w:rPr>
          <w:rFonts w:ascii="Arial" w:cs="Arial" w:eastAsia="Arial" w:hAnsi="Arial"/>
          <w:sz w:val="17"/>
          <w:szCs w:val="17"/>
          <w:color w:val="auto"/>
        </w:rPr>
        <w:t xml:space="preserve"> below),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Landlord and Tenant hereby represent and warrant that their respective “all risk” property insurance policies include a waiver of (i) subrogation by the insurers, and (ii) all rights based upon an assignment from its insured, against Landlord and/or any of the Landlord Parties or Tenant and/or any of the Tenant Parties (as the case may be) in connection with any property loss risk thereby insured against. Tenant will cause all other occupants of the Premises claiming by, under, or through Tenant to execute and deliver to Landlord a waiver of claims similar to the waiver in this </w:t>
      </w:r>
      <w:r>
        <w:rPr>
          <w:rFonts w:ascii="Arial" w:cs="Arial" w:eastAsia="Arial" w:hAnsi="Arial"/>
          <w:sz w:val="17"/>
          <w:szCs w:val="17"/>
          <w:u w:val="single" w:color="auto"/>
          <w:color w:val="auto"/>
        </w:rPr>
        <w:t>Section 10.3.3</w:t>
      </w:r>
      <w:r>
        <w:rPr>
          <w:rFonts w:ascii="Arial" w:cs="Arial" w:eastAsia="Arial" w:hAnsi="Arial"/>
          <w:sz w:val="17"/>
          <w:szCs w:val="17"/>
          <w:color w:val="auto"/>
        </w:rPr>
        <w:t xml:space="preserve"> and to obtain such waiver of subrogation rights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284" w:right="239" w:bottom="1440" w:gutter="0" w:footer="0" w:header="0"/>
        </w:sectPr>
      </w:pPr>
    </w:p>
    <w:bookmarkStart w:id="270" w:name="page271"/>
    <w:bookmarkEnd w:id="270"/>
    <w:p>
      <w:pPr>
        <w:ind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endorsements. If either party hereto fails to maintain the waivers set forth in items (i) and (ii) above, the party not maintaining the requisite waivers shall indemnify, defend, protect, and hold harmless the other party for, from and against any and all claims, losses, costs, damages, expenses and liabilities (including, without limitation, court costs and reasonable attorneys’ fees) arising out of, resulting from, or relating to, such failure.</w:t>
      </w:r>
    </w:p>
    <w:p>
      <w:pPr>
        <w:spacing w:after="0" w:line="66" w:lineRule="exact"/>
        <w:rPr>
          <w:sz w:val="20"/>
          <w:szCs w:val="20"/>
          <w:color w:val="auto"/>
        </w:rPr>
      </w:pPr>
    </w:p>
    <w:p>
      <w:pPr>
        <w:ind w:right="440" w:firstLine="913"/>
        <w:spacing w:after="0" w:line="289" w:lineRule="auto"/>
        <w:rPr>
          <w:sz w:val="20"/>
          <w:szCs w:val="20"/>
          <w:color w:val="auto"/>
        </w:rPr>
      </w:pPr>
      <w:r>
        <w:rPr>
          <w:rFonts w:ascii="Arial" w:cs="Arial" w:eastAsia="Arial" w:hAnsi="Arial"/>
          <w:sz w:val="17"/>
          <w:szCs w:val="17"/>
          <w:color w:val="auto"/>
        </w:rPr>
        <w:t xml:space="preserve">10.3.4 Business Income Interruption for one year (1) plus Extra Expense insurance in such amounts as will reimburse Tenant for actual direct or indirect loss of earnings attributable to the risks outlined in </w:t>
      </w:r>
      <w:r>
        <w:rPr>
          <w:rFonts w:ascii="Arial" w:cs="Arial" w:eastAsia="Arial" w:hAnsi="Arial"/>
          <w:sz w:val="17"/>
          <w:szCs w:val="17"/>
          <w:u w:val="single" w:color="auto"/>
          <w:color w:val="auto"/>
        </w:rPr>
        <w:t>Section 10.3.2</w:t>
      </w:r>
      <w:r>
        <w:rPr>
          <w:rFonts w:ascii="Arial" w:cs="Arial" w:eastAsia="Arial" w:hAnsi="Arial"/>
          <w:sz w:val="17"/>
          <w:szCs w:val="17"/>
          <w:color w:val="auto"/>
        </w:rPr>
        <w:t xml:space="preserve"> above.</w:t>
      </w:r>
    </w:p>
    <w:p>
      <w:pPr>
        <w:spacing w:after="0" w:line="53"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color w:val="auto"/>
        </w:rPr>
        <w:t>10.3.5 Worker’s Compensation or other similar insurance pursuant to all applicable state and local statutes and regulations, and Employer’s Liability with minimum limits of not less than $1,000,000 each accident/employee/disease.</w:t>
      </w:r>
    </w:p>
    <w:p>
      <w:pPr>
        <w:spacing w:after="0" w:line="53" w:lineRule="exact"/>
        <w:rPr>
          <w:sz w:val="20"/>
          <w:szCs w:val="20"/>
          <w:color w:val="auto"/>
        </w:rPr>
      </w:pPr>
    </w:p>
    <w:p>
      <w:pPr>
        <w:ind w:right="200" w:firstLine="913"/>
        <w:spacing w:after="0" w:line="289" w:lineRule="auto"/>
        <w:rPr>
          <w:sz w:val="20"/>
          <w:szCs w:val="20"/>
          <w:color w:val="auto"/>
        </w:rPr>
      </w:pPr>
      <w:r>
        <w:rPr>
          <w:rFonts w:ascii="Arial" w:cs="Arial" w:eastAsia="Arial" w:hAnsi="Arial"/>
          <w:sz w:val="17"/>
          <w:szCs w:val="17"/>
          <w:color w:val="auto"/>
        </w:rPr>
        <w:t>10.3.6 Commercial Automobile Liability Insurance covering all Owned (if any), Hired, or Non-owned vehicles with limits not less than $1,000,000 combined single limit for bodily injury and property damage.</w:t>
      </w:r>
    </w:p>
    <w:p>
      <w:pPr>
        <w:spacing w:after="0" w:line="4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Form of Policies</w:t>
      </w:r>
      <w:r>
        <w:rPr>
          <w:rFonts w:ascii="Arial" w:cs="Arial" w:eastAsia="Arial" w:hAnsi="Arial"/>
          <w:sz w:val="16"/>
          <w:szCs w:val="16"/>
          <w:color w:val="auto"/>
        </w:rPr>
        <w:t xml:space="preserve">. The minimum limits of policies of insurance required of Tenant under this Lease shall in no event limit the liability of Tenant under this Lease. Such insurance shall (i) be issued by an insurance company having an AM Best rating of not less than A-X, or which is otherwise acceptable to Landlord and licensed to do business in the State of California, (ii) be in form and content reasonably acceptable to Landlord and complying with the requirements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Sections 10.3.1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10.3.6</w:t>
      </w:r>
      <w:r>
        <w:rPr>
          <w:rFonts w:ascii="Arial" w:cs="Arial" w:eastAsia="Arial" w:hAnsi="Arial"/>
          <w:sz w:val="16"/>
          <w:szCs w:val="16"/>
          <w:color w:val="auto"/>
        </w:rPr>
        <w:t xml:space="preserve">), (iii) Tenant shall not do or permit to be done anything which invalidates the required insurance policies, and (iv) provide that said insurance shall not be canceled or coverage changed unless thirty (30) days’ prior written notice shall have been given to Landlord and any mortgagee of Landlord, the identity of whom has been provided to Tenant in writing. Tenant shall deliver said policy or policies or certificates thereof and applicable endorsements which meet the requirements of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to Landlord on or before (I) the earlier to occur of: (x) the Lease Commencement Date, and (y) the date Tenant and/or its employees, contractors and/or agents first enter the Premises for occupancy, construction of improvements, alterations, or any other move-in activities, and (II) five (5) business days after the renewal of such policies. In the event Tenant shall fail to procure such insurance, or to deliver such policies or certificates and applicable endorsements, Landlord may, at its option, after written notice to Tenant and Tenant’s failure to obtain such insurance within five (5) days thereafter, procure such policies for the account of Tenant and the sole benefit of Landlord, and the cost thereof shall be paid to Landlord after delivery to Tenant of bills therefor.</w:t>
      </w:r>
    </w:p>
    <w:p>
      <w:pPr>
        <w:spacing w:after="0" w:line="62" w:lineRule="exact"/>
        <w:rPr>
          <w:sz w:val="20"/>
          <w:szCs w:val="20"/>
          <w:color w:val="auto"/>
        </w:rPr>
      </w:pPr>
    </w:p>
    <w:p>
      <w:pPr>
        <w:jc w:val="both"/>
        <w:ind w:firstLine="457"/>
        <w:spacing w:after="0" w:line="270"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u w:val="single" w:color="auto"/>
          <w:color w:val="auto"/>
        </w:rPr>
        <w:t>Additional Insurance Obligations</w:t>
      </w:r>
      <w:r>
        <w:rPr>
          <w:rFonts w:ascii="Arial" w:cs="Arial" w:eastAsia="Arial" w:hAnsi="Arial"/>
          <w:sz w:val="17"/>
          <w:szCs w:val="17"/>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such other reasonable types of insurance coverage and in such reasonable amounts covering the Premises and Tenant’s operations therein, as may be reasonably requested by Landlord; provided, however, that no such increase shall be requested or required by Landlord during the initial Lease Term.</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271" w:right="239" w:bottom="1440" w:gutter="0" w:footer="0" w:header="0"/>
        </w:sectPr>
      </w:pPr>
    </w:p>
    <w:bookmarkStart w:id="271" w:name="page272"/>
    <w:bookmarkEnd w:id="27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10.6 </w:t>
      </w:r>
      <w:r>
        <w:rPr>
          <w:rFonts w:ascii="Arial" w:cs="Arial" w:eastAsia="Arial" w:hAnsi="Arial"/>
          <w:sz w:val="16"/>
          <w:szCs w:val="16"/>
          <w:b w:val="1"/>
          <w:bCs w:val="1"/>
          <w:u w:val="single" w:color="auto"/>
          <w:color w:val="auto"/>
        </w:rPr>
        <w:t>Third-Party Contractors</w:t>
      </w:r>
      <w:r>
        <w:rPr>
          <w:rFonts w:ascii="Arial" w:cs="Arial" w:eastAsia="Arial" w:hAnsi="Arial"/>
          <w:sz w:val="16"/>
          <w:szCs w:val="16"/>
          <w:color w:val="auto"/>
        </w:rPr>
        <w:t>. Tenant shall obtain and deliver to Landlord, Third Party Contractor’s certificates of insurance and applicable endorsements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at least seven (7) business days prior to the commencement of work in or about the Premises by any vendor or any other third-party contractor (collectively,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 Contractor</w:t>
      </w:r>
      <w:r>
        <w:rPr>
          <w:rFonts w:ascii="Arial" w:cs="Arial" w:eastAsia="Arial" w:hAnsi="Arial"/>
          <w:sz w:val="16"/>
          <w:szCs w:val="16"/>
          <w:color w:val="auto"/>
        </w:rPr>
        <w:t xml:space="preserve">”). All such insurance shall (a) name Landlord as an additional insured under such party’s liability policies as required by </w:t>
      </w:r>
      <w:r>
        <w:rPr>
          <w:rFonts w:ascii="Arial" w:cs="Arial" w:eastAsia="Arial" w:hAnsi="Arial"/>
          <w:sz w:val="16"/>
          <w:szCs w:val="16"/>
          <w:u w:val="single" w:color="auto"/>
          <w:color w:val="auto"/>
        </w:rPr>
        <w:t>Section 10.3.1</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above and this </w:t>
      </w:r>
      <w:r>
        <w:rPr>
          <w:rFonts w:ascii="Arial" w:cs="Arial" w:eastAsia="Arial" w:hAnsi="Arial"/>
          <w:sz w:val="16"/>
          <w:szCs w:val="16"/>
          <w:u w:val="single" w:color="auto"/>
          <w:color w:val="auto"/>
        </w:rPr>
        <w:t>Section 10.6</w:t>
      </w:r>
      <w:r>
        <w:rPr>
          <w:rFonts w:ascii="Arial" w:cs="Arial" w:eastAsia="Arial" w:hAnsi="Arial"/>
          <w:sz w:val="16"/>
          <w:szCs w:val="16"/>
          <w:color w:val="auto"/>
        </w:rPr>
        <w:t>, (b) provide a waiver of subrogation in favor of Landlord under such Third Party Contractor’s commercial general liability insurance,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 be primary and any insurance carried by Landlord shall be excess and non-contributing, and (d) comply with Landlord’s minimum insurance requirements.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b w:val="1"/>
          <w:bCs w:val="1"/>
          <w:u w:val="single" w:color="auto"/>
          <w:color w:val="auto"/>
        </w:rPr>
        <w:t>Landlord’s Fire, Casualty, and Liability Insurance</w:t>
      </w:r>
      <w:r>
        <w:rPr>
          <w:rFonts w:ascii="Arial" w:cs="Arial" w:eastAsia="Arial" w:hAnsi="Arial"/>
          <w:sz w:val="17"/>
          <w:szCs w:val="17"/>
          <w:color w:val="auto"/>
        </w:rPr>
        <w:t>.</w:t>
      </w:r>
    </w:p>
    <w:p>
      <w:pPr>
        <w:spacing w:after="0" w:line="125"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10.7.1 Landlord shall maintain Commercial General Liability Insurance with at least Five Million Dollars ($5,000,000) in coverage, with respect to the Building during the Lease Term covering claims for bodily injury, personal injury, and property damage in the Project Common Areas and with respect to Landlord’s activities in the Premises.</w:t>
      </w:r>
    </w:p>
    <w:p>
      <w:pPr>
        <w:spacing w:after="0" w:line="66" w:lineRule="exact"/>
        <w:rPr>
          <w:sz w:val="20"/>
          <w:szCs w:val="20"/>
          <w:color w:val="auto"/>
        </w:rPr>
      </w:pPr>
    </w:p>
    <w:p>
      <w:pPr>
        <w:ind w:right="180" w:firstLine="913"/>
        <w:spacing w:after="0" w:line="263" w:lineRule="auto"/>
        <w:rPr>
          <w:sz w:val="20"/>
          <w:szCs w:val="20"/>
          <w:color w:val="auto"/>
        </w:rPr>
      </w:pPr>
      <w:r>
        <w:rPr>
          <w:rFonts w:ascii="Arial" w:cs="Arial" w:eastAsia="Arial" w:hAnsi="Arial"/>
          <w:sz w:val="17"/>
          <w:szCs w:val="17"/>
          <w:color w:val="auto"/>
        </w:rPr>
        <w:t>10.7.2 Landlord shall insure the Building and Landlord’s remaining interest in the Improvements and Alterations with a policy of Physical Damage Insurance including building ordinance coverage, written on a standard Causes of Loss—Special Form basis (against loss or damage due to fire and other casualties covered within the classification of fire and extended coverage, vandalism, and malicious mischief, sprinkler leakage, water damage and special extended coverage), covering the full replacement cost of the Base Building, Premises and other improvements (including coverages for enforcement of Applicable Laws requiring the upgrading, demolition, reconstruction and/or replacement of any portion of the Building as a result of a covered loss) without a deduction for depreciation.</w:t>
      </w:r>
    </w:p>
    <w:p>
      <w:pPr>
        <w:spacing w:after="0" w:line="77" w:lineRule="exact"/>
        <w:rPr>
          <w:sz w:val="20"/>
          <w:szCs w:val="20"/>
          <w:color w:val="auto"/>
        </w:rPr>
      </w:pPr>
    </w:p>
    <w:p>
      <w:pPr>
        <w:ind w:firstLine="913"/>
        <w:spacing w:after="0" w:line="322" w:lineRule="auto"/>
        <w:rPr>
          <w:sz w:val="20"/>
          <w:szCs w:val="20"/>
          <w:color w:val="auto"/>
        </w:rPr>
      </w:pPr>
      <w:r>
        <w:rPr>
          <w:rFonts w:ascii="Arial" w:cs="Arial" w:eastAsia="Arial" w:hAnsi="Arial"/>
          <w:sz w:val="16"/>
          <w:szCs w:val="16"/>
          <w:color w:val="auto"/>
        </w:rPr>
        <w:t>10.7.3 Landlord shall maintain Boiler and Machinery/Equipment Breakdown Insurance covering the Building against risks commonly insured against by a Boiler and Machinery/Equipment Breakdown policy and such policy shall cover the full replacement costs, without deduction for depreciation.</w:t>
      </w:r>
    </w:p>
    <w:p>
      <w:pPr>
        <w:spacing w:after="0" w:line="30" w:lineRule="exact"/>
        <w:rPr>
          <w:sz w:val="20"/>
          <w:szCs w:val="20"/>
          <w:color w:val="auto"/>
        </w:rPr>
      </w:pPr>
    </w:p>
    <w:p>
      <w:pPr>
        <w:ind w:right="540" w:firstLine="913"/>
        <w:spacing w:after="0" w:line="289" w:lineRule="auto"/>
        <w:rPr>
          <w:sz w:val="20"/>
          <w:szCs w:val="20"/>
          <w:color w:val="auto"/>
        </w:rPr>
      </w:pPr>
      <w:r>
        <w:rPr>
          <w:rFonts w:ascii="Arial" w:cs="Arial" w:eastAsia="Arial" w:hAnsi="Arial"/>
          <w:sz w:val="17"/>
          <w:szCs w:val="17"/>
          <w:color w:val="auto"/>
        </w:rPr>
        <w:t>10.7.4 The foregoing coverages shall contain commercially reasonable deductible amounts from such companies, and on such other terms and conditions, as Landlord may from time to time reasonably determine.</w:t>
      </w:r>
    </w:p>
    <w:p>
      <w:pPr>
        <w:spacing w:after="0" w:line="53" w:lineRule="exact"/>
        <w:rPr>
          <w:sz w:val="20"/>
          <w:szCs w:val="20"/>
          <w:color w:val="auto"/>
        </w:rPr>
      </w:pPr>
    </w:p>
    <w:p>
      <w:pPr>
        <w:ind w:right="480" w:firstLine="913"/>
        <w:spacing w:after="0" w:line="289" w:lineRule="auto"/>
        <w:rPr>
          <w:sz w:val="20"/>
          <w:szCs w:val="20"/>
          <w:color w:val="auto"/>
        </w:rPr>
      </w:pPr>
      <w:r>
        <w:rPr>
          <w:rFonts w:ascii="Arial" w:cs="Arial" w:eastAsia="Arial" w:hAnsi="Arial"/>
          <w:sz w:val="17"/>
          <w:szCs w:val="17"/>
          <w:color w:val="auto"/>
        </w:rPr>
        <w:t>10.7.5 Additionally, at the option of Landlord, such insurance coverage may include the risk of (i) earthquake, (ii) flood damage and additional hazards, or (iii) a rental loss endorsement for a period of up to two (2) years.</w:t>
      </w:r>
    </w:p>
    <w:p>
      <w:pPr>
        <w:spacing w:after="0" w:line="53"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 xml:space="preserve">10.7.6 Notwithstanding the foregoing provisions of </w:t>
      </w:r>
      <w:r>
        <w:rPr>
          <w:rFonts w:ascii="Arial" w:cs="Arial" w:eastAsia="Arial" w:hAnsi="Arial"/>
          <w:sz w:val="16"/>
          <w:szCs w:val="16"/>
          <w:u w:val="single" w:color="auto"/>
          <w:color w:val="auto"/>
        </w:rPr>
        <w:t>this Section 10.7</w:t>
      </w:r>
      <w:r>
        <w:rPr>
          <w:rFonts w:ascii="Arial" w:cs="Arial" w:eastAsia="Arial" w:hAnsi="Arial"/>
          <w:sz w:val="16"/>
          <w:szCs w:val="16"/>
          <w:color w:val="auto"/>
        </w:rPr>
        <w:t>, the coverage and amounts of insurance carried by Landlord in connection with the Building shall, at a minimum, be comparable to the coverage and amounts of insurance which are carried by reasonably prudent landlords of Comparable Buildings. In addition, Landlord shall carry Worker’s Compensation and Employer’s Liability coverage as required by applicable law.</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80"/>
          </w:cols>
          <w:pgMar w:left="240" w:top="265" w:right="27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DAMAGE AND DESTRUCTION</w:t>
      </w:r>
    </w:p>
    <w:p>
      <w:pPr>
        <w:spacing w:after="0" w:line="224"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Repair of Damage to Premises by Landlord</w:t>
      </w:r>
      <w:r>
        <w:rPr>
          <w:rFonts w:ascii="Arial" w:cs="Arial" w:eastAsia="Arial" w:hAnsi="Arial"/>
          <w:sz w:val="16"/>
          <w:szCs w:val="16"/>
          <w:color w:val="auto"/>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and any common restrooms serving the Premises shall not be materially impaired. Upon the occurrence of any damage to the Premises, upon notice (the “</w:t>
      </w:r>
      <w:r>
        <w:rPr>
          <w:rFonts w:ascii="Arial" w:cs="Arial" w:eastAsia="Arial" w:hAnsi="Arial"/>
          <w:sz w:val="16"/>
          <w:szCs w:val="16"/>
          <w:b w:val="1"/>
          <w:bCs w:val="1"/>
          <w:color w:val="auto"/>
        </w:rPr>
        <w:t>Landlord Repair Notice</w:t>
      </w:r>
      <w:r>
        <w:rPr>
          <w:rFonts w:ascii="Arial" w:cs="Arial" w:eastAsia="Arial" w:hAnsi="Arial"/>
          <w:sz w:val="16"/>
          <w:szCs w:val="16"/>
          <w:color w:val="auto"/>
        </w:rPr>
        <w:t xml:space="preserve">”) to Tenant from Landlord, Tenant shall assign to Landlord (or to any party designated by Landlord) all insurance proceeds payable to Tenant under Tenant’s insurance required under </w:t>
      </w:r>
      <w:r>
        <w:rPr>
          <w:rFonts w:ascii="Arial" w:cs="Arial" w:eastAsia="Arial" w:hAnsi="Arial"/>
          <w:sz w:val="16"/>
          <w:szCs w:val="16"/>
          <w:u w:val="single" w:color="auto"/>
          <w:color w:val="auto"/>
        </w:rPr>
        <w:t>Section 10.3.2(ii) and (iii)</w:t>
      </w:r>
      <w:r>
        <w:rPr>
          <w:rFonts w:ascii="Arial" w:cs="Arial" w:eastAsia="Arial" w:hAnsi="Arial"/>
          <w:sz w:val="16"/>
          <w:szCs w:val="16"/>
          <w:color w:val="auto"/>
        </w:rPr>
        <w:t xml:space="preserve"> of this Lease, and Landlord shall repair any injury or damage to the Improvements installed in the Premises and shall return such Improvements to their original condition; provided that if the cost of such repair by Landlord exceeds the amount of insurance proceeds received by Landlord from both Landlord’s insurance carrier and Tenant’s insurance carrier, as assigned by Tenant, the excess cost of such repairs shall be paid by Tenant to Landlord prior to Landlord’s commencement of repair of the damage. In the event that Landlord does not deliver the Landlord Repair Notice within sixty (60) days following the date the casualty becomes known to Landlord, then Tenant shall not assign its insurance proceeds as set forth hereinabove, and Tenant shall, at its sole cost and expense, repair any injury or damage to the Improvements installed in the Premises and shall return such Improvements to their original condition. Whether or not Landlord delivers a Landlord Repair Notice, prior to the commencement of construction, Tenant shall submit to Landlord, for Landlord’s review and approval, all plans, specifications and working drawings relating thereto,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Tenant should have completed repairs to the Premises assuming Tenant used reasonable due diligence in connection therewith.</w:t>
      </w:r>
    </w:p>
    <w:p>
      <w:pPr>
        <w:spacing w:after="0" w:line="75" w:lineRule="exact"/>
        <w:rPr>
          <w:sz w:val="20"/>
          <w:szCs w:val="20"/>
          <w:color w:val="auto"/>
        </w:rPr>
      </w:pPr>
    </w:p>
    <w:p>
      <w:pPr>
        <w:ind w:right="100" w:firstLine="457"/>
        <w:spacing w:after="0" w:line="296"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Landlord’s Option to Repair</w:t>
      </w:r>
      <w:r>
        <w:rPr>
          <w:rFonts w:ascii="Arial" w:cs="Arial" w:eastAsia="Arial" w:hAnsi="Arial"/>
          <w:sz w:val="17"/>
          <w:szCs w:val="17"/>
          <w:color w:val="auto"/>
        </w:rPr>
        <w:t xml:space="preserve">. Notwithstanding the terms of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of this Lease, Landlord may elect not to rebuild and/or restore the Premises, Building and/or Project, and instead terminate this Lease, by notifying Tenant in writing of such termination within sixty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265" w:right="239" w:bottom="1440" w:gutter="0" w:footer="0" w:header="0"/>
        </w:sectPr>
      </w:pPr>
    </w:p>
    <w:bookmarkStart w:id="273" w:name="page274"/>
    <w:bookmarkEnd w:id="273"/>
    <w:p>
      <w:pPr>
        <w:ind w:firstLine="5"/>
        <w:spacing w:after="0" w:line="292" w:lineRule="auto"/>
        <w:tabs>
          <w:tab w:leader="none" w:pos="334" w:val="left"/>
        </w:tabs>
        <w:numPr>
          <w:ilvl w:val="0"/>
          <w:numId w:val="17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days after the date of discovery of the damage, such notice to include a termination date giving Tenant sixty (60) days to vacate the Premises, but Landlord may so elect only if the Building or Project shall be damaged by fire or other casualty or cause, whether or not the Premises are affected, and one or more of the following conditions is present: (i) in Landlord’s reasonable judgment, repairs cannot reasonably be completed within one hundred eighty (180)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the damage is not fully covered by Landlord’s insurance policies; (iv) Landlord decides to rebuild the Building or Common Areas so that they will be substantially different structurally or architecturally; (v) the damage occurs- during the last twelve (12) months of the Lease Term; or (vi)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one hundred eighty (180) days after being commenced,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Furthermore, if neither Landlord nor Tenant has terminated this Lease, and the repairs are not actually completed within such 180-day period, Tenant shall have the right to terminate this Lease during the first five (5) business days of each calendar month following the end of such period until such time as the repairs are complete, by notice to Landlord (the “</w:t>
      </w:r>
      <w:r>
        <w:rPr>
          <w:rFonts w:ascii="Arial" w:cs="Arial" w:eastAsia="Arial" w:hAnsi="Arial"/>
          <w:sz w:val="15"/>
          <w:szCs w:val="15"/>
          <w:b w:val="1"/>
          <w:bCs w:val="1"/>
          <w:color w:val="auto"/>
        </w:rPr>
        <w:t>Damage Termination Notice</w:t>
      </w:r>
      <w:r>
        <w:rPr>
          <w:rFonts w:ascii="Arial" w:cs="Arial" w:eastAsia="Arial" w:hAnsi="Arial"/>
          <w:sz w:val="15"/>
          <w:szCs w:val="15"/>
          <w:color w:val="auto"/>
        </w:rPr>
        <w:t>”), effective as of a date set forth in the Damage Termination Notice (the “</w:t>
      </w:r>
      <w:r>
        <w:rPr>
          <w:rFonts w:ascii="Arial" w:cs="Arial" w:eastAsia="Arial" w:hAnsi="Arial"/>
          <w:sz w:val="15"/>
          <w:szCs w:val="15"/>
          <w:b w:val="1"/>
          <w:bCs w:val="1"/>
          <w:color w:val="auto"/>
        </w:rPr>
        <w:t>Damage</w:t>
      </w:r>
      <w:r>
        <w:rPr>
          <w:rFonts w:ascii="Arial" w:cs="Arial" w:eastAsia="Arial" w:hAnsi="Arial"/>
          <w:sz w:val="15"/>
          <w:szCs w:val="15"/>
          <w:color w:val="auto"/>
        </w:rPr>
        <w:t xml:space="preserve"> </w:t>
      </w:r>
      <w:r>
        <w:rPr>
          <w:rFonts w:ascii="Arial" w:cs="Arial" w:eastAsia="Arial" w:hAnsi="Arial"/>
          <w:sz w:val="15"/>
          <w:szCs w:val="15"/>
          <w:b w:val="1"/>
          <w:bCs w:val="1"/>
          <w:color w:val="auto"/>
        </w:rPr>
        <w:t>Termination Date</w:t>
      </w:r>
      <w:r>
        <w:rPr>
          <w:rFonts w:ascii="Arial" w:cs="Arial" w:eastAsia="Arial" w:hAnsi="Arial"/>
          <w:sz w:val="15"/>
          <w:szCs w:val="15"/>
          <w:color w:val="auto"/>
        </w:rPr>
        <w:t>”), which Damage Termination Date shall not be less than ten (10) business days following the end of each such month. Notwithstanding the</w:t>
      </w:r>
      <w:r>
        <w:rPr>
          <w:rFonts w:ascii="Arial" w:cs="Arial" w:eastAsia="Arial" w:hAnsi="Arial"/>
          <w:sz w:val="15"/>
          <w:szCs w:val="15"/>
          <w:b w:val="1"/>
          <w:bCs w:val="1"/>
          <w:color w:val="auto"/>
        </w:rPr>
        <w:t xml:space="preserve"> </w:t>
      </w:r>
      <w:r>
        <w:rPr>
          <w:rFonts w:ascii="Arial" w:cs="Arial" w:eastAsia="Arial" w:hAnsi="Arial"/>
          <w:sz w:val="15"/>
          <w:szCs w:val="15"/>
          <w:color w:val="auto"/>
        </w:rPr>
        <w:t>foregoing, if Tenant delivers a Damage Termination Notice to Landlord, then Landlord shall have the right to suspend the occurrence of the Damage Termination Date for a period ending thirty (30) days after the Damage Termination Date set forth in the Damage Termination Notice by delivering to Tenant, within five</w:t>
      </w:r>
    </w:p>
    <w:p>
      <w:pPr>
        <w:spacing w:after="0" w:line="5" w:lineRule="exact"/>
        <w:rPr>
          <w:rFonts w:ascii="Arial" w:cs="Arial" w:eastAsia="Arial" w:hAnsi="Arial"/>
          <w:sz w:val="15"/>
          <w:szCs w:val="15"/>
          <w:color w:val="auto"/>
        </w:rPr>
      </w:pPr>
    </w:p>
    <w:p>
      <w:pPr>
        <w:ind w:right="40" w:firstLine="5"/>
        <w:spacing w:after="0" w:line="273" w:lineRule="auto"/>
        <w:tabs>
          <w:tab w:leader="none" w:pos="24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business days of Landlord’s receipt of the Damage Termination Notice, a certificate of Landlord’s contractor responsible for the repair of the damage certifying that it is such contractor’s good faith judgment that the repairs shall be substantially completed within thirty (30) days after the Damage Termination Date. If repairs shall be substantially completed prior to the expiration of such thirty-day period, then the Damage Termination Notice shall be of no force or effect, but if the repairs shall not be substantially completed within such thirty- day period, then this Lease shall terminate upon the expiration of such thirty-day period. At any time, from time to time, after the date occurring sixty (60) days after the date of the damage, Tenant may request that Landlord inform Tenant of Landlord’s reasonable opinion of the date of completion of the repairs and Landlord shall respond to such request within five (5) business days. Notwithstanding the provisions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Tenant shall have the right to terminate this Lease under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only if each of the following conditions is satisfied:</w:t>
      </w:r>
    </w:p>
    <w:p>
      <w:pPr>
        <w:spacing w:after="0" w:line="1" w:lineRule="exact"/>
        <w:rPr>
          <w:rFonts w:ascii="Arial" w:cs="Arial" w:eastAsia="Arial" w:hAnsi="Arial"/>
          <w:sz w:val="16"/>
          <w:szCs w:val="16"/>
          <w:color w:val="auto"/>
        </w:rPr>
      </w:pPr>
    </w:p>
    <w:p>
      <w:pPr>
        <w:ind w:right="180"/>
        <w:spacing w:after="0" w:line="343" w:lineRule="auto"/>
        <w:rPr>
          <w:rFonts w:ascii="Arial" w:cs="Arial" w:eastAsia="Arial" w:hAnsi="Arial"/>
          <w:sz w:val="16"/>
          <w:szCs w:val="16"/>
          <w:color w:val="auto"/>
        </w:rPr>
      </w:pPr>
      <w:r>
        <w:rPr>
          <w:rFonts w:ascii="Arial" w:cs="Arial" w:eastAsia="Arial" w:hAnsi="Arial"/>
          <w:sz w:val="15"/>
          <w:szCs w:val="15"/>
          <w:color w:val="auto"/>
        </w:rPr>
        <w:t>(a) the damage to the Project by fire or other casualty was not caused by the gross negligence or intentional act of Tenant or its partners or subpartners and their respective officers, agents, servants, employees, and independent contractors; (b) Tenant is not then in default under this Lease; and (c) as a result of the damage,</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271" w:right="239" w:bottom="1440" w:gutter="0" w:footer="0" w:header="0"/>
        </w:sectPr>
      </w:pPr>
    </w:p>
    <w:bookmarkStart w:id="274" w:name="page275"/>
    <w:bookmarkEnd w:id="274"/>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Tenant cannot reasonably conduct, and does not conduct, business from the Premises. In the event this Lease is terminated in accordance with the terms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Tenant shall assign to Landlord (or to any party designated by Landlord) all insurance proceeds payable to Tenant under Tenant’s insurance required under items (ii) and (iii) of </w:t>
      </w:r>
      <w:r>
        <w:rPr>
          <w:rFonts w:ascii="Arial" w:cs="Arial" w:eastAsia="Arial" w:hAnsi="Arial"/>
          <w:sz w:val="17"/>
          <w:szCs w:val="17"/>
          <w:u w:val="single" w:color="auto"/>
          <w:color w:val="auto"/>
        </w:rPr>
        <w:t>Section 10.3.2</w:t>
      </w:r>
      <w:r>
        <w:rPr>
          <w:rFonts w:ascii="Arial" w:cs="Arial" w:eastAsia="Arial" w:hAnsi="Arial"/>
          <w:sz w:val="17"/>
          <w:szCs w:val="17"/>
          <w:color w:val="auto"/>
        </w:rPr>
        <w:t xml:space="preserve"> of this Lease.</w:t>
      </w:r>
    </w:p>
    <w:p>
      <w:pPr>
        <w:spacing w:after="0" w:line="6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Waiver of Statutory Provisions</w:t>
      </w:r>
      <w:r>
        <w:rPr>
          <w:rFonts w:ascii="Arial" w:cs="Arial" w:eastAsia="Arial" w:hAnsi="Arial"/>
          <w:sz w:val="17"/>
          <w:szCs w:val="17"/>
          <w:color w:val="auto"/>
        </w:rPr>
        <w:t xml:space="preserve">. The provisions of this Lease, including this </w:t>
      </w:r>
      <w:r>
        <w:rPr>
          <w:rFonts w:ascii="Arial" w:cs="Arial" w:eastAsia="Arial" w:hAnsi="Arial"/>
          <w:sz w:val="17"/>
          <w:szCs w:val="17"/>
          <w:u w:val="single" w:color="auto"/>
          <w:color w:val="auto"/>
        </w:rPr>
        <w:t>Article 11</w:t>
      </w:r>
      <w:r>
        <w:rPr>
          <w:rFonts w:ascii="Arial" w:cs="Arial" w:eastAsia="Arial" w:hAnsi="Arial"/>
          <w:sz w:val="17"/>
          <w:szCs w:val="17"/>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ARTICLE 12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NONWAIVER</w:t>
      </w:r>
    </w:p>
    <w:p>
      <w:pPr>
        <w:spacing w:after="0" w:line="230"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ARTICLE 13</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CONDEMNATION</w:t>
      </w:r>
    </w:p>
    <w:p>
      <w:pPr>
        <w:spacing w:after="0" w:line="230" w:lineRule="exact"/>
        <w:rPr>
          <w:sz w:val="20"/>
          <w:szCs w:val="20"/>
          <w:color w:val="auto"/>
        </w:rPr>
      </w:pPr>
    </w:p>
    <w:p>
      <w:pPr>
        <w:ind w:right="120" w:firstLine="457"/>
        <w:spacing w:after="0" w:line="273" w:lineRule="auto"/>
        <w:rPr>
          <w:sz w:val="20"/>
          <w:szCs w:val="20"/>
          <w:color w:val="auto"/>
        </w:rPr>
      </w:pPr>
      <w:r>
        <w:rPr>
          <w:rFonts w:ascii="Arial" w:cs="Arial" w:eastAsia="Arial" w:hAnsi="Arial"/>
          <w:sz w:val="17"/>
          <w:szCs w:val="17"/>
          <w:color w:val="auto"/>
        </w:rPr>
        <w:t>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80"/>
          </w:cols>
          <w:pgMar w:left="240" w:top="271" w:right="279" w:bottom="1440" w:gutter="0" w:footer="0" w:header="0"/>
        </w:sectPr>
      </w:pPr>
    </w:p>
    <w:bookmarkStart w:id="275" w:name="page276"/>
    <w:bookmarkEnd w:id="275"/>
    <w:p>
      <w:pPr>
        <w:ind w:right="6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If more than ten percent (10%) of the rentable square feet of the Premises is taken, or if access to the Premises is substantially impaired, in each case for a period in excess of one hundred eighty (180) days, Tenant shall have the option to either (i) terminate this Lease effective as of the date possession is required to be surrendered to the authority, or</w:t>
      </w:r>
    </w:p>
    <w:p>
      <w:pPr>
        <w:spacing w:after="0" w:line="2" w:lineRule="exact"/>
        <w:rPr>
          <w:sz w:val="20"/>
          <w:szCs w:val="20"/>
          <w:color w:val="auto"/>
        </w:rPr>
      </w:pPr>
    </w:p>
    <w:p>
      <w:pPr>
        <w:ind w:right="40" w:firstLine="5"/>
        <w:spacing w:after="0" w:line="276" w:lineRule="auto"/>
        <w:tabs>
          <w:tab w:leader="none" w:pos="25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continue this Lease in effect with a proportionate reduction in the Base Rent and Tenant’s Share of Direct Expenses.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Arial" w:cs="Arial" w:eastAsia="Arial" w:hAnsi="Arial"/>
          <w:sz w:val="16"/>
          <w:szCs w:val="16"/>
          <w:u w:val="single" w:color="auto"/>
          <w:color w:val="auto"/>
        </w:rPr>
        <w:t>Article 13</w:t>
      </w:r>
      <w:r>
        <w:rPr>
          <w:rFonts w:ascii="Arial" w:cs="Arial" w:eastAsia="Arial" w:hAnsi="Arial"/>
          <w:sz w:val="16"/>
          <w:szCs w:val="16"/>
          <w:color w:val="auto"/>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14</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ASSIGNMENT AND SUBLETTING</w:t>
      </w:r>
    </w:p>
    <w:p>
      <w:pPr>
        <w:spacing w:after="0" w:line="224"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 xml:space="preserve">14.1 </w:t>
      </w:r>
      <w:r>
        <w:rPr>
          <w:rFonts w:ascii="Arial" w:cs="Arial" w:eastAsia="Arial" w:hAnsi="Arial"/>
          <w:sz w:val="15"/>
          <w:szCs w:val="15"/>
          <w:b w:val="1"/>
          <w:bCs w:val="1"/>
          <w:u w:val="single" w:color="auto"/>
          <w:color w:val="auto"/>
        </w:rPr>
        <w:t>Transfers</w:t>
      </w:r>
      <w:r>
        <w:rPr>
          <w:rFonts w:ascii="Arial" w:cs="Arial" w:eastAsia="Arial" w:hAnsi="Arial"/>
          <w:sz w:val="15"/>
          <w:szCs w:val="15"/>
          <w:color w:val="auto"/>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5"/>
          <w:szCs w:val="15"/>
          <w:b w:val="1"/>
          <w:bCs w:val="1"/>
          <w:color w:val="auto"/>
        </w:rPr>
        <w:t>Transfers</w:t>
      </w:r>
      <w:r>
        <w:rPr>
          <w:rFonts w:ascii="Arial" w:cs="Arial" w:eastAsia="Arial" w:hAnsi="Arial"/>
          <w:sz w:val="15"/>
          <w:szCs w:val="15"/>
          <w:color w:val="auto"/>
        </w:rPr>
        <w:t>” and any person to whom any Transfer is made or sought to be made is hereinafter sometimes referred to as a “</w:t>
      </w:r>
      <w:r>
        <w:rPr>
          <w:rFonts w:ascii="Arial" w:cs="Arial" w:eastAsia="Arial" w:hAnsi="Arial"/>
          <w:sz w:val="15"/>
          <w:szCs w:val="15"/>
          <w:b w:val="1"/>
          <w:bCs w:val="1"/>
          <w:color w:val="auto"/>
        </w:rPr>
        <w:t>Transferee</w:t>
      </w:r>
      <w:r>
        <w:rPr>
          <w:rFonts w:ascii="Arial" w:cs="Arial" w:eastAsia="Arial" w:hAnsi="Arial"/>
          <w:sz w:val="15"/>
          <w:szCs w:val="15"/>
          <w:color w:val="auto"/>
        </w:rPr>
        <w:t>”). If Tenant desires Landlord’s consent to any Transfer, Tenant shall notify Landlord in writing, which notice (the “</w:t>
      </w:r>
      <w:r>
        <w:rPr>
          <w:rFonts w:ascii="Arial" w:cs="Arial" w:eastAsia="Arial" w:hAnsi="Arial"/>
          <w:sz w:val="15"/>
          <w:szCs w:val="15"/>
          <w:b w:val="1"/>
          <w:bCs w:val="1"/>
          <w:color w:val="auto"/>
        </w:rPr>
        <w:t>Transfer Notice</w:t>
      </w:r>
      <w:r>
        <w:rPr>
          <w:rFonts w:ascii="Arial" w:cs="Arial" w:eastAsia="Arial" w:hAnsi="Arial"/>
          <w:sz w:val="15"/>
          <w:szCs w:val="15"/>
          <w:color w:val="auto"/>
        </w:rPr>
        <w:t>”) shall include (i) the proposed effective date of the Transfer, which shall not be less than thirty (30) days nor more than one hundred eighty (180) days after the date of delivery of the Transfer Notice, (ii) a description of the portion of the Premises to be transferred (the “</w:t>
      </w:r>
      <w:r>
        <w:rPr>
          <w:rFonts w:ascii="Arial" w:cs="Arial" w:eastAsia="Arial" w:hAnsi="Arial"/>
          <w:sz w:val="15"/>
          <w:szCs w:val="15"/>
          <w:b w:val="1"/>
          <w:bCs w:val="1"/>
          <w:color w:val="auto"/>
        </w:rPr>
        <w:t>Subject Space</w:t>
      </w:r>
      <w:r>
        <w:rPr>
          <w:rFonts w:ascii="Arial" w:cs="Arial" w:eastAsia="Arial" w:hAnsi="Arial"/>
          <w:sz w:val="15"/>
          <w:szCs w:val="15"/>
          <w:color w:val="auto"/>
        </w:rPr>
        <w:t>”), (iii) all of the terms of the proposed Transfer and the consideration therefor, including calculation of the “</w:t>
      </w:r>
      <w:r>
        <w:rPr>
          <w:rFonts w:ascii="Arial" w:cs="Arial" w:eastAsia="Arial" w:hAnsi="Arial"/>
          <w:sz w:val="15"/>
          <w:szCs w:val="15"/>
          <w:b w:val="1"/>
          <w:bCs w:val="1"/>
          <w:color w:val="auto"/>
        </w:rPr>
        <w:t>Transfer Premium</w:t>
      </w:r>
      <w:r>
        <w:rPr>
          <w:rFonts w:ascii="Arial" w:cs="Arial" w:eastAsia="Arial" w:hAnsi="Arial"/>
          <w:sz w:val="15"/>
          <w:szCs w:val="15"/>
          <w:color w:val="auto"/>
        </w:rPr>
        <w:t xml:space="preserve">”, as that term is defined in </w:t>
      </w:r>
      <w:r>
        <w:rPr>
          <w:rFonts w:ascii="Arial" w:cs="Arial" w:eastAsia="Arial" w:hAnsi="Arial"/>
          <w:sz w:val="15"/>
          <w:szCs w:val="15"/>
          <w:u w:val="single" w:color="auto"/>
          <w:color w:val="auto"/>
        </w:rPr>
        <w:t>Section 14.3</w:t>
      </w:r>
      <w:r>
        <w:rPr>
          <w:rFonts w:ascii="Arial" w:cs="Arial" w:eastAsia="Arial" w:hAnsi="Arial"/>
          <w:sz w:val="15"/>
          <w:szCs w:val="15"/>
          <w:color w:val="auto"/>
        </w:rPr>
        <w:t xml:space="preserve"> below, in connection with such Transfer, the name and address of the proposed Transferee, and a copy of all existing executed and/or proposed documentation pertaining to the proposed Transfer, including all existing operative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272" w:right="259" w:bottom="1440" w:gutter="0" w:footer="0" w:header="0"/>
        </w:sectPr>
      </w:pPr>
    </w:p>
    <w:bookmarkStart w:id="276" w:name="page277"/>
    <w:bookmarkEnd w:id="276"/>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documents to be executed to evidence such Transfer or the agreements incidental or related to such Transfer, provided that Landlord shall have the right to require Tenant to utilize Landlord’s standard consent documents in connection with the documentation of Landlord’s consent to such Transfer, (iv) current financial statements of the proposed Transferee certified by an officer, partner or owner thereof, business credit and personal references and history of the proposed Transferee and any other information required by Landlord which will enable Landlord to determine the financial responsibility, character, and reputation of the proposed Transferee, nature of such Transferee’s business and proposed use of the Subject Space and (v) an executed estoppel certificate from Tenant in the form attached hereto as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review and processing fees, as well as any reasonable professional fees (including, without limitation, attorneys’, accountants’, architects’, engineers’ and consultants’ fees) incurred by Landlord, within thirty (30) days after written request by Landlord, in an amount not to exceed Two Thousand Five Hundred and No/100 Dollars ($2,500.00) in the aggregate, but such limitation of fees shall only apply to the extent such Transfer is in the ordinary course of business. Landlord and Tenant hereby agree that a proposed Transfer shall not be considered “in the ordinary course of business” if such Transfer involves the review of documentation by Landlord on more than two (2) occasions.</w:t>
      </w:r>
    </w:p>
    <w:p>
      <w:pPr>
        <w:spacing w:after="0" w:line="65"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u w:val="single" w:color="auto"/>
          <w:color w:val="auto"/>
        </w:rPr>
        <w:t>Landlord’s Consent</w:t>
      </w:r>
      <w:r>
        <w:rPr>
          <w:rFonts w:ascii="Arial" w:cs="Arial" w:eastAsia="Arial" w:hAnsi="Arial"/>
          <w:sz w:val="17"/>
          <w:szCs w:val="17"/>
          <w:color w:val="auto"/>
        </w:rPr>
        <w:t xml:space="preserve">. Landlord shall not unreasonably withhold its consent to any proposed Transfer (including without limitation any Transfer under </w:t>
      </w:r>
      <w:r>
        <w:rPr>
          <w:rFonts w:ascii="Arial" w:cs="Arial" w:eastAsia="Arial" w:hAnsi="Arial"/>
          <w:sz w:val="17"/>
          <w:szCs w:val="17"/>
          <w:u w:val="single" w:color="auto"/>
          <w:color w:val="auto"/>
        </w:rPr>
        <w:t>Section 14.6</w:t>
      </w:r>
      <w:r>
        <w:rPr>
          <w:rFonts w:ascii="Arial" w:cs="Arial" w:eastAsia="Arial" w:hAnsi="Arial"/>
          <w:sz w:val="17"/>
          <w:szCs w:val="17"/>
          <w:color w:val="auto"/>
        </w:rPr>
        <w:t xml:space="preserve"> below)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14.2.1 The Transferee is of a character or reputation or engaged in a business which is not consistent with the quality of the Building or the Project;</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14.2.2 The Transferee intends to use the Subject Space for purposes which are not permitted under this Lease;</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14.2.3 The Transferee is either a governmental agency or instrumentality thereof;</w:t>
      </w:r>
    </w:p>
    <w:p>
      <w:pPr>
        <w:spacing w:after="0" w:line="119" w:lineRule="exact"/>
        <w:rPr>
          <w:sz w:val="20"/>
          <w:szCs w:val="20"/>
          <w:color w:val="auto"/>
        </w:rPr>
      </w:pPr>
    </w:p>
    <w:p>
      <w:pPr>
        <w:ind w:right="660" w:firstLine="913"/>
        <w:spacing w:after="0" w:line="289" w:lineRule="auto"/>
        <w:rPr>
          <w:sz w:val="20"/>
          <w:szCs w:val="20"/>
          <w:color w:val="auto"/>
        </w:rPr>
      </w:pPr>
      <w:r>
        <w:rPr>
          <w:rFonts w:ascii="Arial" w:cs="Arial" w:eastAsia="Arial" w:hAnsi="Arial"/>
          <w:sz w:val="17"/>
          <w:szCs w:val="17"/>
          <w:color w:val="auto"/>
        </w:rPr>
        <w:t>14.2.4 The Transferee is not a party of reasonable financial worth and/or financial stability in light of the responsibilities to be undertaken in connection with the Transfer on the date consent is requested;</w:t>
      </w:r>
    </w:p>
    <w:p>
      <w:pPr>
        <w:spacing w:after="0" w:line="53" w:lineRule="exact"/>
        <w:rPr>
          <w:sz w:val="20"/>
          <w:szCs w:val="20"/>
          <w:color w:val="auto"/>
        </w:rPr>
      </w:pPr>
    </w:p>
    <w:p>
      <w:pPr>
        <w:ind w:right="300" w:firstLine="913"/>
        <w:spacing w:after="0" w:line="289" w:lineRule="auto"/>
        <w:rPr>
          <w:sz w:val="20"/>
          <w:szCs w:val="20"/>
          <w:color w:val="auto"/>
        </w:rPr>
      </w:pPr>
      <w:r>
        <w:rPr>
          <w:rFonts w:ascii="Arial" w:cs="Arial" w:eastAsia="Arial" w:hAnsi="Arial"/>
          <w:sz w:val="17"/>
          <w:szCs w:val="17"/>
          <w:color w:val="auto"/>
        </w:rPr>
        <w:t>14.2.5 The proposed Transfer would cause a violation of another lease for space in the Project, or would give an occupant of the Project a right to cancel its lease;</w:t>
      </w:r>
    </w:p>
    <w:p>
      <w:pPr>
        <w:spacing w:after="0" w:line="53" w:lineRule="exact"/>
        <w:rPr>
          <w:sz w:val="20"/>
          <w:szCs w:val="20"/>
          <w:color w:val="auto"/>
        </w:rPr>
      </w:pPr>
    </w:p>
    <w:p>
      <w:pPr>
        <w:ind w:right="360" w:firstLine="913"/>
        <w:spacing w:after="0" w:line="289" w:lineRule="auto"/>
        <w:rPr>
          <w:sz w:val="20"/>
          <w:szCs w:val="20"/>
          <w:color w:val="auto"/>
        </w:rPr>
      </w:pPr>
      <w:r>
        <w:rPr>
          <w:rFonts w:ascii="Arial" w:cs="Arial" w:eastAsia="Arial" w:hAnsi="Arial"/>
          <w:sz w:val="17"/>
          <w:szCs w:val="17"/>
          <w:color w:val="auto"/>
        </w:rPr>
        <w:t>14.2.6 The terms of the proposed Transfer will allow the Transferee to exercise a right of renewal, right of expansion, right of first offer, or other similar right held by Tenant (or will allow the Transferee to occupy space leased by Tenant pursuant to any such right); or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80"/>
          </w:cols>
          <w:pgMar w:left="240" w:top="271" w:right="279" w:bottom="1440" w:gutter="0" w:footer="0" w:header="0"/>
        </w:sectPr>
      </w:pPr>
    </w:p>
    <w:bookmarkStart w:id="277" w:name="page278"/>
    <w:bookmarkEnd w:id="277"/>
    <w:p>
      <w:pPr>
        <w:ind w:firstLine="91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14.2.7 Either the proposed Transferee, or any person or entity which directly or indirectly, controls, is controlled by, or is under common control with, the proposed Transferee, occupies space in the Project at the time of the request for consent, or (ii) is negotiating with Landlord to lease space in the Project at such time, or (iii) has negotiated with Landlord during the six (6)-month period immediately preceding the Transfer Notice, and Landlord has reasonably comparable space in the Project then available to lease to such Transferee; or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14.2.8 The Transferee does not intend to occupy the entire Premises and conduct its business therefrom for a substantial portion of the term of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Transfer.</w:t>
      </w:r>
    </w:p>
    <w:p>
      <w:pPr>
        <w:spacing w:after="0" w:line="212" w:lineRule="exact"/>
        <w:rPr>
          <w:sz w:val="20"/>
          <w:szCs w:val="20"/>
          <w:color w:val="auto"/>
        </w:rPr>
      </w:pPr>
    </w:p>
    <w:p>
      <w:pPr>
        <w:ind w:right="220" w:firstLine="457"/>
        <w:spacing w:after="0" w:line="295" w:lineRule="auto"/>
        <w:rPr>
          <w:sz w:val="20"/>
          <w:szCs w:val="20"/>
          <w:color w:val="auto"/>
        </w:rPr>
      </w:pPr>
      <w:r>
        <w:rPr>
          <w:rFonts w:ascii="Arial" w:cs="Arial" w:eastAsia="Arial" w:hAnsi="Arial"/>
          <w:sz w:val="15"/>
          <w:szCs w:val="15"/>
          <w:color w:val="auto"/>
        </w:rPr>
        <w:t xml:space="preserve">If Landlord consents to any Transfer pursuant to the terms of this </w:t>
      </w: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(and does not exercise any recapture rights Landlord may have under </w:t>
      </w:r>
      <w:r>
        <w:rPr>
          <w:rFonts w:ascii="Arial" w:cs="Arial" w:eastAsia="Arial" w:hAnsi="Arial"/>
          <w:sz w:val="15"/>
          <w:szCs w:val="15"/>
          <w:u w:val="single" w:color="auto"/>
          <w:color w:val="auto"/>
        </w:rPr>
        <w:t>Section 14.4</w:t>
      </w:r>
      <w:r>
        <w:rPr>
          <w:rFonts w:ascii="Arial" w:cs="Arial" w:eastAsia="Arial" w:hAnsi="Arial"/>
          <w:sz w:val="15"/>
          <w:szCs w:val="15"/>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of this Lease, provided that if there are any changes in the terms and conditions from those specified in the Transfer Notice</w:t>
      </w:r>
    </w:p>
    <w:p>
      <w:pPr>
        <w:spacing w:after="0" w:line="2" w:lineRule="exact"/>
        <w:rPr>
          <w:sz w:val="20"/>
          <w:szCs w:val="20"/>
          <w:color w:val="auto"/>
        </w:rPr>
      </w:pPr>
    </w:p>
    <w:p>
      <w:pPr>
        <w:ind w:right="20" w:firstLine="5"/>
        <w:spacing w:after="0" w:line="278" w:lineRule="auto"/>
        <w:tabs>
          <w:tab w:leader="none" w:pos="20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such that Landlord would initially have been entitled to refuse its consent to such Transfer under this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or which would cause the proposed Transfer to be more favorable to the Transferee than the terms set forth in Tenant’s original Transfer Notice, Tenant shall again submit the Transfer to Landlord for its approval and other action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(including Landlord’s right of recapture, if any, under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or otherwise has breached or acted unreasonably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without any monetary damages, and Tenant hereby waives all other remedies, including, without limitation, any right at law or equity to terminate this Lease, on its own behalf and, to the extent permitted under all applicable laws, on behalf of the proposed Transferee.</w:t>
      </w:r>
    </w:p>
    <w:p>
      <w:pPr>
        <w:spacing w:after="0" w:line="58"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 xml:space="preserve">14.3 </w:t>
      </w:r>
      <w:r>
        <w:rPr>
          <w:rFonts w:ascii="Arial" w:cs="Arial" w:eastAsia="Arial" w:hAnsi="Arial"/>
          <w:sz w:val="15"/>
          <w:szCs w:val="15"/>
          <w:b w:val="1"/>
          <w:bCs w:val="1"/>
          <w:u w:val="single" w:color="auto"/>
          <w:color w:val="auto"/>
        </w:rPr>
        <w:t>Transfer Premium</w:t>
      </w:r>
      <w:r>
        <w:rPr>
          <w:rFonts w:ascii="Arial" w:cs="Arial" w:eastAsia="Arial" w:hAnsi="Arial"/>
          <w:sz w:val="15"/>
          <w:szCs w:val="15"/>
          <w:color w:val="auto"/>
        </w:rPr>
        <w:t xml:space="preserve">. If Landlord consents to a Transfer, as a condition thereto which the parties hereby agree is reasonable, Tenant shall pay to Landlord fifty percent (50%) of any “Transfer Premium,” as that term is defined in this </w:t>
      </w:r>
      <w:r>
        <w:rPr>
          <w:rFonts w:ascii="Arial" w:cs="Arial" w:eastAsia="Arial" w:hAnsi="Arial"/>
          <w:sz w:val="15"/>
          <w:szCs w:val="15"/>
          <w:u w:val="single" w:color="auto"/>
          <w:color w:val="auto"/>
        </w:rPr>
        <w:t>Section 14.3</w:t>
      </w:r>
      <w:r>
        <w:rPr>
          <w:rFonts w:ascii="Arial" w:cs="Arial" w:eastAsia="Arial" w:hAnsi="Arial"/>
          <w:sz w:val="15"/>
          <w:szCs w:val="15"/>
          <w:color w:val="auto"/>
        </w:rPr>
        <w:t>, received by Tenant from such Transferee. “</w:t>
      </w:r>
      <w:r>
        <w:rPr>
          <w:rFonts w:ascii="Arial" w:cs="Arial" w:eastAsia="Arial" w:hAnsi="Arial"/>
          <w:sz w:val="15"/>
          <w:szCs w:val="15"/>
          <w:b w:val="1"/>
          <w:bCs w:val="1"/>
          <w:color w:val="auto"/>
        </w:rPr>
        <w:t>Transfer</w:t>
      </w:r>
      <w:r>
        <w:rPr>
          <w:rFonts w:ascii="Arial" w:cs="Arial" w:eastAsia="Arial" w:hAnsi="Arial"/>
          <w:sz w:val="15"/>
          <w:szCs w:val="15"/>
          <w:color w:val="auto"/>
        </w:rPr>
        <w:t xml:space="preserve"> </w:t>
      </w:r>
      <w:r>
        <w:rPr>
          <w:rFonts w:ascii="Arial" w:cs="Arial" w:eastAsia="Arial" w:hAnsi="Arial"/>
          <w:sz w:val="15"/>
          <w:szCs w:val="15"/>
          <w:b w:val="1"/>
          <w:bCs w:val="1"/>
          <w:color w:val="auto"/>
        </w:rPr>
        <w:t>Premium</w:t>
      </w:r>
      <w:r>
        <w:rPr>
          <w:rFonts w:ascii="Arial" w:cs="Arial" w:eastAsia="Arial" w:hAnsi="Arial"/>
          <w:sz w:val="15"/>
          <w:szCs w:val="15"/>
          <w:color w:val="auto"/>
        </w:rPr>
        <w:t>” shall mean all rent, additional rent or other consideration payable by such Transferee in connection with the Transfer in excess of the Rent and</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Additional Rent payable by Tenant under this Lease during the term of the Transfer on a per rentable square foot basis if less than all of the Premises is transferred, after deducting the reasonable expenses incurred by Tenant for (i) any changes, alterations and improvements to the Premises in connection with the Transfer, (ii) any free base rent or other economic concessions reasonably provided to the Transferee, (iii) any brokerage commissions in connection with the Transfer,</w:t>
      </w:r>
    </w:p>
    <w:p>
      <w:pPr>
        <w:spacing w:after="0" w:line="3" w:lineRule="exact"/>
        <w:rPr>
          <w:sz w:val="20"/>
          <w:szCs w:val="20"/>
          <w:color w:val="auto"/>
        </w:rPr>
      </w:pPr>
    </w:p>
    <w:p>
      <w:pPr>
        <w:ind w:right="20" w:firstLine="5"/>
        <w:spacing w:after="0" w:line="262" w:lineRule="auto"/>
        <w:tabs>
          <w:tab w:leader="none" w:pos="29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any attorneys’ fees incurred by Tenant in connection with the negotiation and documentation of the Transfer, (v) any lease takeover costs incurred by Tenant in connection with the Transfer, (vi) any costs of advertising the space which is the subject of the Transfer, and (vii) any review and processing fees paid to Landlord in connection with such Transfer. “Transfer Premium” shall also include, but not be limited to, key money, bonus money or other cash consideration paid by Transferee to Tenant in connection with such Transfer, and any payment in excess of fair market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271" w:right="239" w:bottom="1440" w:gutter="0" w:footer="0" w:header="0"/>
        </w:sectPr>
      </w:pPr>
    </w:p>
    <w:bookmarkStart w:id="278" w:name="page279"/>
    <w:bookmarkEnd w:id="278"/>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value for services rendered by Tenant to Transferee or for assets, fixtures, inventory, equipment, or furniture transferred by Tenant to Transferee in connection with such Transfer. In the calculations of the Rent (as it relates to the Transfer Premium calculated under this </w:t>
      </w:r>
      <w:r>
        <w:rPr>
          <w:rFonts w:ascii="Arial" w:cs="Arial" w:eastAsia="Arial" w:hAnsi="Arial"/>
          <w:sz w:val="17"/>
          <w:szCs w:val="17"/>
          <w:u w:val="single" w:color="auto"/>
          <w:color w:val="auto"/>
        </w:rPr>
        <w:t>Section 14.3</w:t>
      </w:r>
      <w:r>
        <w:rPr>
          <w:rFonts w:ascii="Arial" w:cs="Arial" w:eastAsia="Arial" w:hAnsi="Arial"/>
          <w:sz w:val="17"/>
          <w:szCs w:val="17"/>
          <w:color w:val="auto"/>
        </w:rPr>
        <w:t>), the Rent paid during each annual period for the Subject Space shall be computed after adjusting such rent to the actual effective rent to be paid, taking into consideration any and all leasehold concessions granted in connection therewith, including, but not limited to, any rent credit and tenant improvement allowance. For purposes of calculating any such effective rent all such concessions shall be amortized on a straight-line basis over the relevant term.</w:t>
      </w:r>
    </w:p>
    <w:p>
      <w:pPr>
        <w:spacing w:after="0" w:line="67"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b w:val="1"/>
          <w:bCs w:val="1"/>
          <w:u w:val="single" w:color="auto"/>
          <w:color w:val="auto"/>
        </w:rPr>
        <w:t>Landlord’s Option as to Subject Space</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 the event Tenant contemplates a Transfer of all or a portion of the Premises (or in the event of any other Transfer or Transfers entered into by Tenant as a subterfuge in order to avoid the terms of this </w:t>
      </w:r>
      <w:r>
        <w:rPr>
          <w:rFonts w:ascii="Arial" w:cs="Arial" w:eastAsia="Arial" w:hAnsi="Arial"/>
          <w:sz w:val="16"/>
          <w:szCs w:val="16"/>
          <w:u w:val="single" w:color="auto"/>
          <w:color w:val="auto"/>
        </w:rPr>
        <w:t>Section 14.4</w:t>
      </w:r>
      <w:r>
        <w:rPr>
          <w:rFonts w:ascii="Arial" w:cs="Arial" w:eastAsia="Arial" w:hAnsi="Arial"/>
          <w:sz w:val="16"/>
          <w:szCs w:val="16"/>
          <w:color w:val="auto"/>
        </w:rPr>
        <w:t>), Tenant shall give Landlord notice (the “</w:t>
      </w:r>
      <w:r>
        <w:rPr>
          <w:rFonts w:ascii="Arial" w:cs="Arial" w:eastAsia="Arial" w:hAnsi="Arial"/>
          <w:sz w:val="16"/>
          <w:szCs w:val="16"/>
          <w:b w:val="1"/>
          <w:bCs w:val="1"/>
          <w:color w:val="auto"/>
        </w:rPr>
        <w:t>Intention to Transfer Notice</w:t>
      </w:r>
      <w:r>
        <w:rPr>
          <w:rFonts w:ascii="Arial" w:cs="Arial" w:eastAsia="Arial" w:hAnsi="Arial"/>
          <w:sz w:val="16"/>
          <w:szCs w:val="16"/>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Arial" w:cs="Arial" w:eastAsia="Arial" w:hAnsi="Arial"/>
          <w:sz w:val="16"/>
          <w:szCs w:val="16"/>
          <w:b w:val="1"/>
          <w:bCs w:val="1"/>
          <w:color w:val="auto"/>
        </w:rPr>
        <w:t>Contemplated Transfer Space</w:t>
      </w:r>
      <w:r>
        <w:rPr>
          <w:rFonts w:ascii="Arial" w:cs="Arial" w:eastAsia="Arial" w:hAnsi="Arial"/>
          <w:sz w:val="16"/>
          <w:szCs w:val="16"/>
          <w:color w:val="auto"/>
        </w:rPr>
        <w:t>”), the contemplated date of commencement of the Contemplated Transfer (the “</w:t>
      </w:r>
      <w:r>
        <w:rPr>
          <w:rFonts w:ascii="Arial" w:cs="Arial" w:eastAsia="Arial" w:hAnsi="Arial"/>
          <w:sz w:val="16"/>
          <w:szCs w:val="16"/>
          <w:b w:val="1"/>
          <w:bCs w:val="1"/>
          <w:color w:val="auto"/>
        </w:rPr>
        <w:t>Contemplated Effective Date</w:t>
      </w:r>
      <w:r>
        <w:rPr>
          <w:rFonts w:ascii="Arial" w:cs="Arial" w:eastAsia="Arial" w:hAnsi="Arial"/>
          <w:sz w:val="16"/>
          <w:szCs w:val="16"/>
          <w:color w:val="auto"/>
        </w:rPr>
        <w:t xml:space="preserve">”), and the contemplated length of the term of such contemplated Transfer, and shall specify that such Intention to Transfer Notice is delivered to Landlord pursuant to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in order to allow Landlord to elect to recapture the Contemplated Transfer Space for the term set forth in the Intention to Transfer Notice. Thereafter, Landlord shall have the option, by giving written notice to Tenant (the “Recapture Notice”) within twenty (20) days after receipt of any Intention to Transfer Notice, to recapture the Contemplated Transfer Space. However, if Landlord delivers a Recapture Notice to Tenant, Tenant may, within ten (10) days after Tenant’s receipt of such Recapture Notice, deliver written notice to Landlord rescinding the subject Intention to Transfer notice, in which case neither such Transfer or recapture shall be consummated and this Lease shall remain in full force and effect as to the corresponding Subject Space; provided, however, Tenant’s failure to timely rescind its Intention to Transfer Notice as set forth in this sentence shall be deemed to constitute Tenant’s election to allow the Recapture Notice to be effective. Any recapture shall cancel and terminate this Lease with respect to such Contemplated Transfer Space as of the Contemplated Effective Date (or at Landlord’s option, shall cause the Transfer to be made to Landlord or its agent, in which case the parties shall execute the Transfer documentation promptly thereafter).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then, subject to the other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for a period of nine (9) months (the “</w:t>
      </w:r>
      <w:r>
        <w:rPr>
          <w:rFonts w:ascii="Arial" w:cs="Arial" w:eastAsia="Arial" w:hAnsi="Arial"/>
          <w:sz w:val="16"/>
          <w:szCs w:val="16"/>
          <w:b w:val="1"/>
          <w:bCs w:val="1"/>
          <w:color w:val="auto"/>
        </w:rPr>
        <w:t>Nine Month Period</w:t>
      </w:r>
      <w:r>
        <w:rPr>
          <w:rFonts w:ascii="Arial" w:cs="Arial" w:eastAsia="Arial" w:hAnsi="Arial"/>
          <w:sz w:val="16"/>
          <w:szCs w:val="16"/>
          <w:color w:val="auto"/>
        </w:rPr>
        <w:t xml:space="preserve">”) commencing on the last day of such twenty (20)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If such a Transfer is not so consummated within the Nine Month Period (or if a Transfer is so consummated, then upon the expiration of the term</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80"/>
          </w:cols>
          <w:pgMar w:left="240" w:top="271" w:right="279" w:bottom="1440" w:gutter="0" w:footer="0" w:header="0"/>
        </w:sectPr>
      </w:pPr>
    </w:p>
    <w:bookmarkStart w:id="279" w:name="page280"/>
    <w:bookmarkEnd w:id="279"/>
    <w:p>
      <w:pPr>
        <w:ind w:right="1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of any Transfer of such Contemplated Transfer Space consummated within such Nine Month Period), Tenant shall again be required to submit a new Intention to Transfer Notice to Landlord with respect any contemplated Transfer, as provided above in this </w:t>
      </w:r>
      <w:r>
        <w:rPr>
          <w:rFonts w:ascii="Arial" w:cs="Arial" w:eastAsia="Arial" w:hAnsi="Arial"/>
          <w:sz w:val="17"/>
          <w:szCs w:val="17"/>
          <w:u w:val="single" w:color="auto"/>
          <w:color w:val="auto"/>
        </w:rPr>
        <w:t>Article 14.4</w:t>
      </w:r>
      <w:r>
        <w:rPr>
          <w:rFonts w:ascii="Arial" w:cs="Arial" w:eastAsia="Arial" w:hAnsi="Arial"/>
          <w:sz w:val="17"/>
          <w:szCs w:val="17"/>
          <w:color w:val="auto"/>
        </w:rPr>
        <w:t>.</w:t>
      </w:r>
    </w:p>
    <w:p>
      <w:pPr>
        <w:spacing w:after="0" w:line="47"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 xml:space="preserve">14.5 </w:t>
      </w:r>
      <w:r>
        <w:rPr>
          <w:rFonts w:ascii="Arial" w:cs="Arial" w:eastAsia="Arial" w:hAnsi="Arial"/>
          <w:sz w:val="15"/>
          <w:szCs w:val="15"/>
          <w:b w:val="1"/>
          <w:bCs w:val="1"/>
          <w:u w:val="single" w:color="auto"/>
          <w:color w:val="auto"/>
        </w:rPr>
        <w:t>Effect of Transfer</w:t>
      </w:r>
      <w:r>
        <w:rPr>
          <w:rFonts w:ascii="Arial" w:cs="Arial" w:eastAsia="Arial" w:hAnsi="Arial"/>
          <w:sz w:val="15"/>
          <w:szCs w:val="15"/>
          <w:color w:val="auto"/>
        </w:rPr>
        <w:t>. If Landlord consents to a Transfer, (i) the TCCs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spacing w:after="0" w:line="43"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u w:val="single" w:color="auto"/>
          <w:color w:val="auto"/>
        </w:rPr>
        <w:t>Additional Transfers</w:t>
      </w:r>
      <w:r>
        <w:rPr>
          <w:rFonts w:ascii="Arial" w:cs="Arial" w:eastAsia="Arial" w:hAnsi="Arial"/>
          <w:sz w:val="16"/>
          <w:szCs w:val="16"/>
          <w:color w:val="auto"/>
        </w:rPr>
        <w:t xml:space="preserve">. Subject to the terms set forth in </w:t>
      </w:r>
      <w:r>
        <w:rPr>
          <w:rFonts w:ascii="Arial" w:cs="Arial" w:eastAsia="Arial" w:hAnsi="Arial"/>
          <w:sz w:val="16"/>
          <w:szCs w:val="16"/>
          <w:u w:val="single" w:color="auto"/>
          <w:color w:val="auto"/>
        </w:rPr>
        <w:t>Section 14.8</w:t>
      </w:r>
      <w:r>
        <w:rPr>
          <w:rFonts w:ascii="Arial" w:cs="Arial" w:eastAsia="Arial" w:hAnsi="Arial"/>
          <w:sz w:val="16"/>
          <w:szCs w:val="16"/>
          <w:color w:val="auto"/>
        </w:rPr>
        <w:t>, below, for purposes of this Lease, the term “</w:t>
      </w:r>
      <w:r>
        <w:rPr>
          <w:rFonts w:ascii="Arial" w:cs="Arial" w:eastAsia="Arial" w:hAnsi="Arial"/>
          <w:sz w:val="16"/>
          <w:szCs w:val="16"/>
          <w:b w:val="1"/>
          <w:bCs w:val="1"/>
          <w:color w:val="auto"/>
        </w:rPr>
        <w:t>Transfer</w:t>
      </w:r>
      <w:r>
        <w:rPr>
          <w:rFonts w:ascii="Arial" w:cs="Arial" w:eastAsia="Arial" w:hAnsi="Arial"/>
          <w:sz w:val="16"/>
          <w:szCs w:val="16"/>
          <w:color w:val="auto"/>
        </w:rPr>
        <w:t>” shall also include (i) if Tenant is a partnership, the withdrawal or change, voluntary, involuntary or by operation of law, of more than fifty percent (50%) or more of the partners, or transfer of more than fifty percent (50%) or more of partnership interests, within a twelve (12)-month period, or the dissolution of the partnership without immediate reconstitution thereof, and (ii) if Tenant is a closely held corporation ( i.e., whose stock is not publicly held and not traded through an exchange or over the counter), the dissolution, merger, consolidation or other reorganization of Tenant or (B) the sale or other transfer of an aggregate of more than fifty percent (50%) or more of the voting shares of Tenant within a twelve (12)-month period (but excluding transfers (a) to immediate family members by reason of gift or death, or (b) by any of Tenant’s investors to any such investor’s limited partners and/or members), or (C) the sale, mortgage, hypothecation or pledge of an aggregate of more than fifty percent (50%) or more of the value of the unencumbered assets of Tenant within a twelve (12)-month period; provided, however, the parties hereby acknowledge that transactions involving Tenant’s stock or assets that fall below the specified thresholds described in this sentence above shall not require Landlord’s consent. Notwithstanding the foregoing, the raising of capital by Tenant in connection with a sale, issuance or other offering of stock or ownership interests in Tenant (each, together with any related transactions, a “Capital Raising Event”) shall not be deemed a Transfer nor require Landlord’s consent hereunder; provided, however, (1) any such Capital Raising Event shall be for the bona fide purpose of raising capital in Tenant (as opposed to being for the purpose of a total or partial liquidation of an existing shareholder’s interest in Tenant) and is not otherwise a subterfuge by Tenant to avoid its obligations under this Lease, and (2) Tenant shall continue to conduct its business operations in the Premises in accordance with the Permitted Use.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271" w:right="259" w:bottom="1440" w:gutter="0" w:footer="0" w:header="0"/>
        </w:sectPr>
      </w:pPr>
    </w:p>
    <w:bookmarkStart w:id="280" w:name="page281"/>
    <w:bookmarkEnd w:id="280"/>
    <w:p>
      <w:pPr>
        <w:ind w:right="180" w:firstLine="457"/>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2975" cy="38100"/>
                    </a:xfrm>
                    <a:prstGeom prst="rect">
                      <a:avLst/>
                    </a:prstGeom>
                    <a:noFill/>
                  </pic:spPr>
                </pic:pic>
              </a:graphicData>
            </a:graphic>
          </wp:anchor>
        </w:drawing>
        <w:t xml:space="preserve">14.7 </w:t>
      </w:r>
      <w:r>
        <w:rPr>
          <w:rFonts w:ascii="Arial" w:cs="Arial" w:eastAsia="Arial" w:hAnsi="Arial"/>
          <w:sz w:val="15"/>
          <w:szCs w:val="15"/>
          <w:b w:val="1"/>
          <w:bCs w:val="1"/>
          <w:u w:val="single" w:color="auto"/>
          <w:color w:val="auto"/>
        </w:rPr>
        <w:t>Occurrence of Default</w:t>
      </w:r>
      <w:r>
        <w:rPr>
          <w:rFonts w:ascii="Arial" w:cs="Arial" w:eastAsia="Arial" w:hAnsi="Arial"/>
          <w:sz w:val="15"/>
          <w:szCs w:val="15"/>
          <w:color w:val="auto"/>
        </w:rPr>
        <w:t>.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w:t>
      </w:r>
    </w:p>
    <w:p>
      <w:pPr>
        <w:ind w:firstLine="5"/>
        <w:spacing w:after="0" w:line="298" w:lineRule="auto"/>
        <w:tabs>
          <w:tab w:leader="none" w:pos="257" w:val="left"/>
        </w:tabs>
        <w:numPr>
          <w:ilvl w:val="0"/>
          <w:numId w:val="184"/>
        </w:numPr>
        <w:rPr>
          <w:rFonts w:ascii="Arial" w:cs="Arial" w:eastAsia="Arial" w:hAnsi="Arial"/>
          <w:sz w:val="15"/>
          <w:szCs w:val="15"/>
          <w:color w:val="auto"/>
        </w:rPr>
      </w:pPr>
      <w:r>
        <w:rPr>
          <w:rFonts w:ascii="Arial" w:cs="Arial" w:eastAsia="Arial" w:hAnsi="Arial"/>
          <w:sz w:val="15"/>
          <w:szCs w:val="15"/>
          <w:color w:val="auto"/>
        </w:rPr>
        <w:t xml:space="preserve">require that such Transferee attorn to and recognize Landlord as its landlord under any such Transfer. If Tenant shall be in default under this Lease (beyond the applicable notice and cure period set forth in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b w:val="1"/>
          <w:bCs w:val="1"/>
          <w:u w:val="single" w:color="auto"/>
          <w:color w:val="auto"/>
        </w:rPr>
        <w:t>Non-Transfers</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(i) a Transfer of all or a portion of the Premises to an affiliate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Tenant (an entity which is controlled by, controls, or is under common control with, Tenant), (ii) a Transfer to an entity which acquires all or substantially all of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assets or interests (partnership, stock or other) of Tenant, or (iii) a Transfer to an entity which is the resulting entity of a merger, consolidation, public offering,</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or dissolution of Tenant, or which becomes the parent or successor of Tenant by reason of merger, consolidation, public offering, reorganization,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dissolution, or sale of stock, membership or partnership interests or assets, shall not be deemed a Transfer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provided that Tenant notifies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Landlord of any such assignment or sublease and promptly supplies Landlord with any documents or information requested by Landlord regarding such</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assignment or sublease or such affiliate, and further provided that such assignment or sublease is not a subterfuge by Tenant to avoid its obligations under this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Lease or otherwise effectuate any “release” by Tenant of such obligations and such Permitted Transferee shall thereafter become liable under this Lease, on a joint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and several basis, with Tenant. The assignee under an assignment specified in items (i), (ii) or (iii) above shall be referred to as a “</w:t>
      </w:r>
      <w:r>
        <w:rPr>
          <w:rFonts w:ascii="Arial" w:cs="Arial" w:eastAsia="Arial" w:hAnsi="Arial"/>
          <w:sz w:val="16"/>
          <w:szCs w:val="16"/>
          <w:b w:val="1"/>
          <w:bCs w:val="1"/>
          <w:color w:val="auto"/>
        </w:rPr>
        <w:t>Permitted Transferee</w:t>
      </w:r>
      <w:r>
        <w:rPr>
          <w:rFonts w:ascii="Arial" w:cs="Arial" w:eastAsia="Arial" w:hAnsi="Arial"/>
          <w:sz w:val="16"/>
          <w:szCs w:val="16"/>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14.8</w:t>
      </w:r>
      <w:r>
        <w:rPr>
          <w:rFonts w:ascii="Arial" w:cs="Arial" w:eastAsia="Arial" w:hAnsi="Arial"/>
          <w:sz w:val="16"/>
          <w:szCs w:val="16"/>
          <w:color w:val="auto"/>
        </w:rPr>
        <w:t>, shall mean the ownership, directly or indirectly, of more than fifty percent (50%) of the voting securities of, or possession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 the right to vote, in the ordinary direction of its affairs, of more than fifty percent (50%) of the voting interest in, any person or entity.</w:t>
      </w:r>
    </w:p>
    <w:p>
      <w:pPr>
        <w:spacing w:after="0" w:line="101"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b w:val="1"/>
          <w:bCs w:val="1"/>
          <w:u w:val="single" w:color="auto"/>
          <w:color w:val="auto"/>
        </w:rPr>
        <w:t>Occupancy by Others</w:t>
      </w:r>
      <w:r>
        <w:rPr>
          <w:rFonts w:ascii="Arial" w:cs="Arial" w:eastAsia="Arial" w:hAnsi="Arial"/>
          <w:sz w:val="17"/>
          <w:szCs w:val="17"/>
          <w:color w:val="auto"/>
        </w:rPr>
        <w:t xml:space="preserve">. Notwithstanding any contrary provision of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Tenant shall have the right (without the payment of a Transfer Premium, without being subject to </w:t>
      </w:r>
      <w:r>
        <w:rPr>
          <w:rFonts w:ascii="Arial" w:cs="Arial" w:eastAsia="Arial" w:hAnsi="Arial"/>
          <w:sz w:val="17"/>
          <w:szCs w:val="17"/>
          <w:u w:val="single" w:color="auto"/>
          <w:color w:val="auto"/>
        </w:rPr>
        <w:t>Section 14.4</w:t>
      </w:r>
      <w:r>
        <w:rPr>
          <w:rFonts w:ascii="Arial" w:cs="Arial" w:eastAsia="Arial" w:hAnsi="Arial"/>
          <w:sz w:val="17"/>
          <w:szCs w:val="17"/>
          <w:color w:val="auto"/>
        </w:rPr>
        <w:t>, and without the receipt of Landlord’s consent, but only following prior written notice to Landlord), to permit the occupancy (which shall otherwise be deemed a Transfer hereunder) of up to a cumulative total of twenty-five percent (25%) of the rentable square footage of the Premises, in the aggregate, to any individual(s) with an ongoing, business substantially similar to the Permitted Use (“</w:t>
      </w:r>
      <w:r>
        <w:rPr>
          <w:rFonts w:ascii="Arial" w:cs="Arial" w:eastAsia="Arial" w:hAnsi="Arial"/>
          <w:sz w:val="17"/>
          <w:szCs w:val="17"/>
          <w:b w:val="1"/>
          <w:bCs w:val="1"/>
          <w:color w:val="auto"/>
        </w:rPr>
        <w:t>Tenant’s Occupants</w:t>
      </w:r>
      <w:r>
        <w:rPr>
          <w:rFonts w:ascii="Arial" w:cs="Arial" w:eastAsia="Arial" w:hAnsi="Arial"/>
          <w:sz w:val="17"/>
          <w:szCs w:val="17"/>
          <w:color w:val="auto"/>
        </w:rPr>
        <w:t>”) on and subject to the following conditions: (i) such individuals or entities shall not be permitted to occupy a separately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265" w:right="239" w:bottom="1440" w:gutter="0" w:footer="0" w:header="0"/>
        </w:sectPr>
      </w:pPr>
    </w:p>
    <w:bookmarkStart w:id="281" w:name="page282"/>
    <w:bookmarkEnd w:id="281"/>
    <w:p>
      <w:pPr>
        <w:ind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demised portion of the Premises which contains an entrance to such portion of the Premises other than the primary entrance to the Premises; (ii) all such individuals or entities shall be of a character and reputation consistent with the first-class quality of the Building and the Project; and (iii) such occupancy shall not be a subterfuge by Tenant to avoid its obligations under this Lease or the restrictions on Transfers pursuant to this Article L 4. Tenant shall promptly supply Landlord with any documents or information reasonably requested by Landlord regarding any such individuals or entities. Notwithstanding the foregoing, no such occupancy shall relieve Tenant from any liability under this Lease.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SURRENDER OF PREMISES; OWNERSHIP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REMOVAL OF TRADE FIXTURES</w:t>
      </w:r>
    </w:p>
    <w:p>
      <w:pPr>
        <w:spacing w:after="0" w:line="206"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u w:val="single" w:color="auto"/>
          <w:color w:val="auto"/>
        </w:rPr>
        <w:t>Surrender of Premises</w:t>
      </w:r>
      <w:r>
        <w:rPr>
          <w:rFonts w:ascii="Arial" w:cs="Arial" w:eastAsia="Arial" w:hAnsi="Arial"/>
          <w:sz w:val="17"/>
          <w:szCs w:val="17"/>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72" w:lineRule="exact"/>
        <w:rPr>
          <w:sz w:val="20"/>
          <w:szCs w:val="20"/>
          <w:color w:val="auto"/>
        </w:rPr>
      </w:pPr>
    </w:p>
    <w:p>
      <w:pPr>
        <w:ind w:right="20" w:firstLine="457"/>
        <w:spacing w:after="0" w:line="304" w:lineRule="auto"/>
        <w:rPr>
          <w:sz w:val="20"/>
          <w:szCs w:val="20"/>
          <w:color w:val="auto"/>
        </w:rPr>
      </w:pPr>
      <w:r>
        <w:rPr>
          <w:rFonts w:ascii="Arial" w:cs="Arial" w:eastAsia="Arial" w:hAnsi="Arial"/>
          <w:sz w:val="15"/>
          <w:szCs w:val="15"/>
          <w:color w:val="auto"/>
        </w:rPr>
        <w:t xml:space="preserve">15.2 </w:t>
      </w:r>
      <w:r>
        <w:rPr>
          <w:rFonts w:ascii="Arial" w:cs="Arial" w:eastAsia="Arial" w:hAnsi="Arial"/>
          <w:sz w:val="15"/>
          <w:szCs w:val="15"/>
          <w:b w:val="1"/>
          <w:bCs w:val="1"/>
          <w:u w:val="single" w:color="auto"/>
          <w:color w:val="auto"/>
        </w:rPr>
        <w:t>Removal of Tenant Property by Tenant</w:t>
      </w:r>
      <w:r>
        <w:rPr>
          <w:rFonts w:ascii="Arial" w:cs="Arial" w:eastAsia="Arial" w:hAnsi="Arial"/>
          <w:sz w:val="15"/>
          <w:szCs w:val="15"/>
          <w:color w:val="auto"/>
        </w:rPr>
        <w:t xml:space="preserve">. Upon the expiration of the Lease Term, or upon any earlier termination of this Lease, Tenant shall, subject to the provisions of this </w:t>
      </w:r>
      <w:r>
        <w:rPr>
          <w:rFonts w:ascii="Arial" w:cs="Arial" w:eastAsia="Arial" w:hAnsi="Arial"/>
          <w:sz w:val="15"/>
          <w:szCs w:val="15"/>
          <w:u w:val="single" w:color="auto"/>
          <w:color w:val="auto"/>
        </w:rPr>
        <w:t>Article 15</w:t>
      </w:r>
      <w:r>
        <w:rPr>
          <w:rFonts w:ascii="Arial" w:cs="Arial" w:eastAsia="Arial" w:hAnsi="Arial"/>
          <w:sz w:val="15"/>
          <w:szCs w:val="15"/>
          <w:color w:val="auto"/>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excepted. Upon such expiration or termination, Tenant shall, without expense to Landlord, remove or cause to be removed from the Premises all debris and rubbish, and such items of furniture, equipment, business and trade fixtures,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ARTICLE 16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HOLDING OVER</w:t>
      </w:r>
    </w:p>
    <w:p>
      <w:pPr>
        <w:spacing w:after="0" w:line="230"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If Tenant holds over after the expiration of the Lease Term or earlier termination thereof, with or without the express or implied consent of Landlord, such tenancy shall be from month-to-month only, and shall not constitute a renewal hereof or an extension for any further term, and in such case Rent shall be payable at a monthly rate equal to the product of (i) the Rent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272" w:right="239" w:bottom="1440" w:gutter="0" w:footer="0" w:header="0"/>
        </w:sectPr>
      </w:pPr>
    </w:p>
    <w:bookmarkStart w:id="282" w:name="page283"/>
    <w:bookmarkEnd w:id="282"/>
    <w:p>
      <w:pPr>
        <w:ind w:right="4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applicable during the last rental period of the Lease Term under this Lease, and (ii) a percentage equal to one hundred fifty percent (150%). Such month-to-month tenancy shall be subject to every other applicable term, covenant and agreement contained herein. Nothing contained in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not be deemed to limit or constitute a waiver of any other rights or remedies of Landlord provided herein or at law; provided, however, to the extent Landlord affirmatively consents to Tenant’s holding over in the Premises, then in no event shall Tenant be liable to Landlord for, or otherwise be required to indemnify Landlord with respect to, any consequential damages in connection therewith. If Tenant fails to surrender the Premises upon the termination or expiration of this Lease without Landlord’s affirmative consent,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 provided, however, that in no event shall Tenant be liable for consequential damages attributable to the first thirty (30) days of any holding over by Tenant. In the event of any potential or actual holding over of the Premises by Tenant, Tenant may elect to send a written notice to Landlord (specifically referencing this </w:t>
      </w:r>
      <w:r>
        <w:rPr>
          <w:rFonts w:ascii="Arial" w:cs="Arial" w:eastAsia="Arial" w:hAnsi="Arial"/>
          <w:sz w:val="16"/>
          <w:szCs w:val="16"/>
          <w:u w:val="single" w:color="auto"/>
          <w:color w:val="auto"/>
        </w:rPr>
        <w:t>Article 16</w:t>
      </w:r>
      <w:r>
        <w:rPr>
          <w:rFonts w:ascii="Arial" w:cs="Arial" w:eastAsia="Arial" w:hAnsi="Arial"/>
          <w:sz w:val="16"/>
          <w:szCs w:val="16"/>
          <w:color w:val="auto"/>
        </w:rPr>
        <w:t>) requesting an update as to whether Landlord has entered into a third-party lease for the Premises following the expiration or earlier termination of this Lease, and Landlord shall, within ten</w:t>
      </w:r>
    </w:p>
    <w:p>
      <w:pPr>
        <w:spacing w:after="0" w:line="5" w:lineRule="exact"/>
        <w:rPr>
          <w:sz w:val="20"/>
          <w:szCs w:val="20"/>
          <w:color w:val="auto"/>
        </w:rPr>
      </w:pPr>
    </w:p>
    <w:p>
      <w:pPr>
        <w:ind w:right="60" w:firstLine="5"/>
        <w:spacing w:after="0" w:line="262" w:lineRule="auto"/>
        <w:tabs>
          <w:tab w:leader="none" w:pos="334"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business days of its receipt of such notice from Tenant, notify Tenant whether or not Landlord has entered into a third-party lease as of the date of such notice for the Premises following the expiration or earlier termination of this Lease; provided, however, in no event shall any such notice by Tenant to Landlord, or any subsequent notice from Landlord to Tenant (or any failure by Landlord to provide such notice) be deemed a waiver of any of Tenant’s obligations or liabilities under this </w:t>
      </w:r>
      <w:r>
        <w:rPr>
          <w:rFonts w:ascii="Arial" w:cs="Arial" w:eastAsia="Arial" w:hAnsi="Arial"/>
          <w:sz w:val="17"/>
          <w:szCs w:val="17"/>
          <w:u w:val="single" w:color="auto"/>
          <w:color w:val="auto"/>
        </w:rPr>
        <w:t>Article 16</w:t>
      </w:r>
      <w:r>
        <w:rPr>
          <w:rFonts w:ascii="Arial" w:cs="Arial" w:eastAsia="Arial" w:hAnsi="Arial"/>
          <w:sz w:val="17"/>
          <w:szCs w:val="17"/>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17</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ESTOPPEL CERTIFICATES</w:t>
      </w:r>
    </w:p>
    <w:p>
      <w:pPr>
        <w:spacing w:after="0" w:line="230"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 xml:space="preserve">Within ten (10) days following a request in writing by Landlord, Tenant shall execute, acknowledge and deliver to Landlord an estoppel certificate, which, as submitted by Landlord, shall be substantially in the form of </w:t>
      </w:r>
      <w:r>
        <w:rPr>
          <w:rFonts w:ascii="Arial" w:cs="Arial" w:eastAsia="Arial" w:hAnsi="Arial"/>
          <w:sz w:val="15"/>
          <w:szCs w:val="15"/>
          <w:b w:val="1"/>
          <w:bCs w:val="1"/>
          <w:u w:val="single" w:color="auto"/>
          <w:color w:val="auto"/>
        </w:rPr>
        <w:t>Exhibit E</w:t>
      </w:r>
      <w:r>
        <w:rPr>
          <w:rFonts w:ascii="Arial" w:cs="Arial" w:eastAsia="Arial" w:hAnsi="Arial"/>
          <w:sz w:val="15"/>
          <w:szCs w:val="15"/>
          <w:color w:val="auto"/>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commercially reasonable instruments may be reasonably required for such purposes. At any time during the Lease Term,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272" w:right="259" w:bottom="1440" w:gutter="0" w:footer="0" w:header="0"/>
        </w:sectPr>
      </w:pPr>
    </w:p>
    <w:bookmarkStart w:id="283" w:name="page284"/>
    <w:bookmarkEnd w:id="283"/>
    <w:p>
      <w:pPr>
        <w:ind w:right="1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deliver such estoppel certificate or other instruments shall constitute an acceptance of the Premises and an acknowledgment by Tenant that statements included in the estoppel certificate are true and correct, without exception.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18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SUBORDINATION</w:t>
      </w:r>
    </w:p>
    <w:p>
      <w:pPr>
        <w:spacing w:after="0" w:line="230"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Landlord covenants that there is no existing mortgage, deed of trust, ground lease or other encumbrance encumbering the Project or any portion thereof as of the Effective Date. This Lease shall be subject and subordinate to all future ground or underlying leases of the Building or Project and to the lien of any mortgage, trust deed or other encumbrances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(collectively, the “</w:t>
      </w:r>
      <w:r>
        <w:rPr>
          <w:rFonts w:ascii="Arial" w:cs="Arial" w:eastAsia="Arial" w:hAnsi="Arial"/>
          <w:sz w:val="16"/>
          <w:szCs w:val="16"/>
          <w:b w:val="1"/>
          <w:bCs w:val="1"/>
          <w:color w:val="auto"/>
        </w:rPr>
        <w:t>Superior Holders</w:t>
      </w:r>
      <w:r>
        <w:rPr>
          <w:rFonts w:ascii="Arial" w:cs="Arial" w:eastAsia="Arial" w:hAnsi="Arial"/>
          <w:sz w:val="16"/>
          <w:szCs w:val="16"/>
          <w:color w:val="auto"/>
        </w:rPr>
        <w:t>”); provided, however, that in consideration of and a condition precedent to Tenant’s agreement to subordinate this Lease, shall be the receipt by Tenant of a subordination non-disturbance and attornment agreement in a commercially reasonable form, which requires such Superior Holder to accept this lease, and not to disturb tenant’s possession, so long as an event of default has not occurred and be continuing (a “</w:t>
      </w:r>
      <w:r>
        <w:rPr>
          <w:rFonts w:ascii="Arial" w:cs="Arial" w:eastAsia="Arial" w:hAnsi="Arial"/>
          <w:sz w:val="16"/>
          <w:szCs w:val="16"/>
          <w:b w:val="1"/>
          <w:bCs w:val="1"/>
          <w:color w:val="auto"/>
        </w:rPr>
        <w:t>SNDA</w:t>
      </w:r>
      <w:r>
        <w:rPr>
          <w:rFonts w:ascii="Arial" w:cs="Arial" w:eastAsia="Arial" w:hAnsi="Arial"/>
          <w:sz w:val="16"/>
          <w:szCs w:val="16"/>
          <w:color w:val="auto"/>
        </w:rPr>
        <w:t>”) executed by Landlord and the appropriate Superior Holder. Subject to Tenant’s receipt of an SNDA, Tenant covenants and agrees that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TCCs of this Lease to be observed and performed by Tenant. Landlord’s interest herein may be assigned as security at any time to any lienholder. Tenant shall, within five (5)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19</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DEFAULTS; REMEDIES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19.1 </w:t>
      </w:r>
      <w:r>
        <w:rPr>
          <w:rFonts w:ascii="Arial" w:cs="Arial" w:eastAsia="Arial" w:hAnsi="Arial"/>
          <w:sz w:val="17"/>
          <w:szCs w:val="17"/>
          <w:b w:val="1"/>
          <w:bCs w:val="1"/>
          <w:u w:val="single" w:color="auto"/>
          <w:color w:val="auto"/>
        </w:rPr>
        <w:t>Events of Default</w:t>
      </w:r>
      <w:r>
        <w:rPr>
          <w:rFonts w:ascii="Arial" w:cs="Arial" w:eastAsia="Arial" w:hAnsi="Arial"/>
          <w:sz w:val="17"/>
          <w:szCs w:val="17"/>
          <w:color w:val="auto"/>
        </w:rPr>
        <w:t>. The occurrence of any of the following shall constitute a default of this Lease by Tenant: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271" w:right="239" w:bottom="1440" w:gutter="0" w:footer="0" w:header="0"/>
        </w:sectPr>
      </w:pPr>
    </w:p>
    <w:bookmarkStart w:id="284" w:name="page285"/>
    <w:bookmarkEnd w:id="284"/>
    <w:p>
      <w:pPr>
        <w:ind w:right="400"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19.1.1 Any failure by Tenant to pay any Rent or any other charge required to be paid under this Lease, or any part thereof, when due unless such failure is cured within five (5) business days after notice; or</w:t>
      </w:r>
    </w:p>
    <w:p>
      <w:pPr>
        <w:spacing w:after="0" w:line="53"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6"/>
          <w:szCs w:val="16"/>
          <w:u w:val="single" w:color="auto"/>
          <w:color w:val="auto"/>
        </w:rPr>
        <w:t>Section 19.1.2</w:t>
      </w:r>
      <w:r>
        <w:rPr>
          <w:rFonts w:ascii="Arial" w:cs="Arial" w:eastAsia="Arial" w:hAnsi="Arial"/>
          <w:sz w:val="16"/>
          <w:szCs w:val="16"/>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but in no event exceeding a period of time in excess of ninety (90) days after written notice thereof from Landlord to Tenant; or</w:t>
      </w:r>
    </w:p>
    <w:p>
      <w:pPr>
        <w:spacing w:after="0" w:line="60" w:lineRule="exact"/>
        <w:rPr>
          <w:sz w:val="20"/>
          <w:szCs w:val="20"/>
          <w:color w:val="auto"/>
        </w:rPr>
      </w:pPr>
    </w:p>
    <w:p>
      <w:pPr>
        <w:ind w:firstLine="913"/>
        <w:spacing w:after="0" w:line="297" w:lineRule="auto"/>
        <w:rPr>
          <w:sz w:val="20"/>
          <w:szCs w:val="20"/>
          <w:color w:val="auto"/>
        </w:rPr>
      </w:pPr>
      <w:r>
        <w:rPr>
          <w:rFonts w:ascii="Arial" w:cs="Arial" w:eastAsia="Arial" w:hAnsi="Arial"/>
          <w:sz w:val="15"/>
          <w:szCs w:val="15"/>
          <w:color w:val="auto"/>
        </w:rPr>
        <w:t>19.1.3 To the extent permitted by law, (i) Tenant or any guarantor of this Lease being placed into receivership or conservatorship, or becoming subject to similar proceedings under Federal or State law, or (ii) a general assignment by Tenant or any guarantor of this Lease for the benefit of creditors, or (iii) the taking of any corporate action in furtherance of bankruptcy or dissolution whether or not there exists any proceeding under an insolvency or bankruptcy law, or</w:t>
      </w:r>
    </w:p>
    <w:p>
      <w:pPr>
        <w:jc w:val="both"/>
        <w:ind w:right="60" w:firstLine="5"/>
        <w:spacing w:after="0" w:line="261" w:lineRule="auto"/>
        <w:tabs>
          <w:tab w:leader="none" w:pos="29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filing by or against Tenant or any guarantor of any proceeding under an insolvency or bankruptcy law, unless in the case of such a proceeding filed against Tenant or any guarantor the same is dismissed within sixty (60) days, or (v) the appointment of a trustee or receiver to take possession of all or substantially all of the assets of Tenant or any guarantor, unless possession is restored to Tenant or such guarantor within thirty (30) days, or (vi) any execution or other judicially authorized seizure of all or substantially all of Tenant’s assets located upon the Premises or of Tenant’s interest in this Lease, unless such seizure is- discharged within thirty (30) days; or</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19.1.4 Abandonment or vacation pursuant to the terms of California Civil Code Section 1951.3 of all or a substantial portion of the Premises by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Tenant; or</w:t>
      </w:r>
    </w:p>
    <w:p>
      <w:pPr>
        <w:spacing w:after="0" w:line="107" w:lineRule="exact"/>
        <w:rPr>
          <w:sz w:val="20"/>
          <w:szCs w:val="20"/>
          <w:color w:val="auto"/>
        </w:rPr>
      </w:pPr>
    </w:p>
    <w:p>
      <w:pPr>
        <w:ind w:right="360" w:firstLine="913"/>
        <w:spacing w:after="0" w:line="289" w:lineRule="auto"/>
        <w:rPr>
          <w:sz w:val="20"/>
          <w:szCs w:val="20"/>
          <w:color w:val="auto"/>
        </w:rPr>
      </w:pPr>
      <w:r>
        <w:rPr>
          <w:rFonts w:ascii="Arial" w:cs="Arial" w:eastAsia="Arial" w:hAnsi="Arial"/>
          <w:sz w:val="17"/>
          <w:szCs w:val="17"/>
          <w:color w:val="auto"/>
        </w:rPr>
        <w:t xml:space="preserve">19.1.5 The failure by Tenant to observe or perform according to the provisions of </w:t>
      </w:r>
      <w:r>
        <w:rPr>
          <w:rFonts w:ascii="Arial" w:cs="Arial" w:eastAsia="Arial" w:hAnsi="Arial"/>
          <w:sz w:val="17"/>
          <w:szCs w:val="17"/>
          <w:u w:val="single" w:color="auto"/>
          <w:color w:val="auto"/>
        </w:rPr>
        <w:t>Articles 17 or 18</w:t>
      </w:r>
      <w:r>
        <w:rPr>
          <w:rFonts w:ascii="Arial" w:cs="Arial" w:eastAsia="Arial" w:hAnsi="Arial"/>
          <w:sz w:val="17"/>
          <w:szCs w:val="17"/>
          <w:color w:val="auto"/>
        </w:rPr>
        <w:t xml:space="preserve"> of this Lease where such failure continues for more than five (5) business days after notice from Landlord; or</w:t>
      </w:r>
    </w:p>
    <w:p>
      <w:pPr>
        <w:spacing w:after="0" w:line="53" w:lineRule="exact"/>
        <w:rPr>
          <w:sz w:val="20"/>
          <w:szCs w:val="20"/>
          <w:color w:val="auto"/>
        </w:rPr>
      </w:pPr>
    </w:p>
    <w:p>
      <w:pPr>
        <w:ind w:right="40" w:firstLine="913"/>
        <w:spacing w:after="0" w:line="289" w:lineRule="auto"/>
        <w:rPr>
          <w:sz w:val="20"/>
          <w:szCs w:val="20"/>
          <w:color w:val="auto"/>
        </w:rPr>
      </w:pPr>
      <w:r>
        <w:rPr>
          <w:rFonts w:ascii="Arial" w:cs="Arial" w:eastAsia="Arial" w:hAnsi="Arial"/>
          <w:sz w:val="17"/>
          <w:szCs w:val="17"/>
          <w:color w:val="auto"/>
        </w:rPr>
        <w:t xml:space="preserve">19.1.6 The failure by Tenant to observe or perform according to the provisions of </w:t>
      </w:r>
      <w:r>
        <w:rPr>
          <w:rFonts w:ascii="Arial" w:cs="Arial" w:eastAsia="Arial" w:hAnsi="Arial"/>
          <w:sz w:val="17"/>
          <w:szCs w:val="17"/>
          <w:u w:val="single" w:color="auto"/>
          <w:color w:val="auto"/>
        </w:rPr>
        <w:t>Articles 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of this Lease where such failure continues for more than ten (10) business days after notice from Landlord; or</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19.1.7 Tenant’s failure to occupy the Premises within one hundred twenty (120) days after the Lease Commencement Date.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notice periods provided herein are in lieu of, and not in addition to, any notice periods provided by law.</w:t>
      </w:r>
    </w:p>
    <w:p>
      <w:pPr>
        <w:spacing w:after="0" w:line="113" w:lineRule="exact"/>
        <w:rPr>
          <w:sz w:val="20"/>
          <w:szCs w:val="20"/>
          <w:color w:val="auto"/>
        </w:rPr>
      </w:pPr>
    </w:p>
    <w:p>
      <w:pPr>
        <w:ind w:right="220" w:firstLine="457"/>
        <w:spacing w:after="0" w:line="296"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b w:val="1"/>
          <w:bCs w:val="1"/>
          <w:u w:val="single" w:color="auto"/>
          <w:color w:val="auto"/>
        </w:rPr>
        <w:t>Remedies Upon Default</w:t>
      </w:r>
      <w:r>
        <w:rPr>
          <w:rFonts w:ascii="Arial" w:cs="Arial" w:eastAsia="Arial" w:hAnsi="Arial"/>
          <w:sz w:val="17"/>
          <w:szCs w:val="17"/>
          <w:color w:val="auto"/>
        </w:rPr>
        <w:t>. Upon the occurrence of any event of default by Tenant, Landlord shall have, in addition to any other remedies available to Landlord at law or in equity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271" w:right="259" w:bottom="1440" w:gutter="0" w:footer="0" w:header="0"/>
        </w:sectPr>
      </w:pPr>
    </w:p>
    <w:bookmarkStart w:id="285" w:name="page286"/>
    <w:bookmarkEnd w:id="285"/>
    <w:p>
      <w:pPr>
        <w:ind w:right="20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2975" cy="38100"/>
                    </a:xfrm>
                    <a:prstGeom prst="rect">
                      <a:avLst/>
                    </a:prstGeom>
                    <a:noFill/>
                  </pic:spPr>
                </pic:pic>
              </a:graphicData>
            </a:graphic>
          </wp:anchor>
        </w:drawing>
        <w:t>(all of which remedies shall be distinct, separate and cumulative), the option to pursue any one or more of the following remedies, each and all of which shall be cumulative and nonexclusive, without any notice or demand whatsoever (except as otherwise expressly set forth in this Lease).</w:t>
      </w:r>
    </w:p>
    <w:p>
      <w:pPr>
        <w:spacing w:after="0" w:line="53" w:lineRule="exact"/>
        <w:rPr>
          <w:sz w:val="20"/>
          <w:szCs w:val="20"/>
          <w:color w:val="auto"/>
        </w:rPr>
      </w:pPr>
    </w:p>
    <w:p>
      <w:pPr>
        <w:jc w:val="both"/>
        <w:ind w:right="80" w:firstLine="913"/>
        <w:spacing w:after="0" w:line="267" w:lineRule="auto"/>
        <w:rPr>
          <w:sz w:val="20"/>
          <w:szCs w:val="20"/>
          <w:color w:val="auto"/>
        </w:rPr>
      </w:pPr>
      <w:r>
        <w:rPr>
          <w:rFonts w:ascii="Arial" w:cs="Arial" w:eastAsia="Arial" w:hAnsi="Arial"/>
          <w:sz w:val="17"/>
          <w:szCs w:val="17"/>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spacing w:after="0" w:line="73" w:lineRule="exact"/>
        <w:rPr>
          <w:sz w:val="20"/>
          <w:szCs w:val="20"/>
          <w:color w:val="auto"/>
        </w:rPr>
      </w:pPr>
    </w:p>
    <w:p>
      <w:pPr>
        <w:ind w:left="1720" w:hanging="231"/>
        <w:spacing w:after="0"/>
        <w:tabs>
          <w:tab w:leader="none" w:pos="17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worth at the time of award of any unpaid rent which has been earned at the time of such termination; plus</w:t>
      </w:r>
    </w:p>
    <w:p>
      <w:pPr>
        <w:spacing w:after="0" w:line="118" w:lineRule="exact"/>
        <w:rPr>
          <w:rFonts w:ascii="Arial" w:cs="Arial" w:eastAsia="Arial" w:hAnsi="Arial"/>
          <w:sz w:val="17"/>
          <w:szCs w:val="17"/>
          <w:color w:val="auto"/>
        </w:rPr>
      </w:pPr>
    </w:p>
    <w:p>
      <w:pPr>
        <w:ind w:right="140" w:firstLine="1489"/>
        <w:spacing w:after="0" w:line="289" w:lineRule="auto"/>
        <w:tabs>
          <w:tab w:leader="none" w:pos="173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53" w:lineRule="exact"/>
        <w:rPr>
          <w:rFonts w:ascii="Arial" w:cs="Arial" w:eastAsia="Arial" w:hAnsi="Arial"/>
          <w:sz w:val="17"/>
          <w:szCs w:val="17"/>
          <w:color w:val="auto"/>
        </w:rPr>
      </w:pPr>
    </w:p>
    <w:p>
      <w:pPr>
        <w:ind w:right="100" w:firstLine="1489"/>
        <w:spacing w:after="0" w:line="289" w:lineRule="auto"/>
        <w:tabs>
          <w:tab w:leader="none" w:pos="172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53" w:lineRule="exact"/>
        <w:rPr>
          <w:rFonts w:ascii="Arial" w:cs="Arial" w:eastAsia="Arial" w:hAnsi="Arial"/>
          <w:sz w:val="17"/>
          <w:szCs w:val="17"/>
          <w:color w:val="auto"/>
        </w:rPr>
      </w:pPr>
    </w:p>
    <w:p>
      <w:pPr>
        <w:ind w:right="140" w:firstLine="1489"/>
        <w:spacing w:after="0" w:line="267" w:lineRule="auto"/>
        <w:tabs>
          <w:tab w:leader="none" w:pos="173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72" w:lineRule="exact"/>
        <w:rPr>
          <w:rFonts w:ascii="Arial" w:cs="Arial" w:eastAsia="Arial" w:hAnsi="Arial"/>
          <w:sz w:val="17"/>
          <w:szCs w:val="17"/>
          <w:color w:val="auto"/>
        </w:rPr>
      </w:pPr>
    </w:p>
    <w:p>
      <w:pPr>
        <w:ind w:left="1720" w:hanging="231"/>
        <w:spacing w:after="0"/>
        <w:tabs>
          <w:tab w:leader="none" w:pos="17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 applicable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law.</w:t>
      </w:r>
    </w:p>
    <w:p>
      <w:pPr>
        <w:spacing w:after="0" w:line="206"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rent</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19.2</w:t>
      </w:r>
      <w:r>
        <w:rPr>
          <w:rFonts w:ascii="Arial" w:cs="Arial" w:eastAsia="Arial" w:hAnsi="Arial"/>
          <w:sz w:val="17"/>
          <w:szCs w:val="17"/>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7"/>
          <w:szCs w:val="17"/>
          <w:u w:val="single" w:color="auto"/>
          <w:color w:val="auto"/>
        </w:rPr>
        <w:t>Sections 19.2.1(a) and (b)</w:t>
      </w:r>
      <w:r>
        <w:rPr>
          <w:rFonts w:ascii="Arial" w:cs="Arial" w:eastAsia="Arial" w:hAnsi="Arial"/>
          <w:sz w:val="17"/>
          <w:szCs w:val="17"/>
          <w:color w:val="auto"/>
        </w:rPr>
        <w:t xml:space="preserve">, above, the “worth at the time of award” shall be computed by allowing interest at the Interest Rate. As used in </w:t>
      </w:r>
      <w:r>
        <w:rPr>
          <w:rFonts w:ascii="Arial" w:cs="Arial" w:eastAsia="Arial" w:hAnsi="Arial"/>
          <w:sz w:val="17"/>
          <w:szCs w:val="17"/>
          <w:u w:val="single" w:color="auto"/>
          <w:color w:val="auto"/>
        </w:rPr>
        <w:t>Section 19.2.1(c)</w:t>
      </w:r>
      <w:r>
        <w:rPr>
          <w:rFonts w:ascii="Arial" w:cs="Arial" w:eastAsia="Arial" w:hAnsi="Arial"/>
          <w:sz w:val="17"/>
          <w:szCs w:val="17"/>
          <w:color w:val="auto"/>
        </w:rPr>
        <w:t>, above, the “worth at the time of award” shall be computed by discounting such amount at the discount rate of the Federal Reserve Bank of San Francisco at the time of award plus one percent (1%).</w:t>
      </w:r>
    </w:p>
    <w:p>
      <w:pPr>
        <w:spacing w:after="0" w:line="69"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00"/>
          </w:cols>
          <w:pgMar w:left="240" w:top="271" w:right="259" w:bottom="1440" w:gutter="0" w:footer="0" w:header="0"/>
        </w:sectPr>
      </w:pPr>
    </w:p>
    <w:bookmarkStart w:id="286" w:name="page287"/>
    <w:bookmarkEnd w:id="286"/>
    <w:p>
      <w:pPr>
        <w:ind w:right="300" w:firstLine="91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89535</wp:posOffset>
            </wp:positionV>
            <wp:extent cx="7292975"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19.2.3 Landlord shall at all times have the rights and remedies (which shall be cumulative with each other and cumulative and in addition to those rights and remedies available under </w:t>
      </w:r>
      <w:r>
        <w:rPr>
          <w:rFonts w:ascii="Arial" w:cs="Arial" w:eastAsia="Arial" w:hAnsi="Arial"/>
          <w:sz w:val="17"/>
          <w:szCs w:val="17"/>
          <w:u w:val="single" w:color="auto"/>
          <w:color w:val="auto"/>
        </w:rPr>
        <w:t>Sections 19.2.1 and 19.2.2</w:t>
      </w:r>
      <w:r>
        <w:rPr>
          <w:rFonts w:ascii="Arial" w:cs="Arial" w:eastAsia="Arial" w:hAnsi="Arial"/>
          <w:sz w:val="17"/>
          <w:szCs w:val="17"/>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67" w:lineRule="exact"/>
        <w:rPr>
          <w:sz w:val="20"/>
          <w:szCs w:val="20"/>
          <w:color w:val="auto"/>
        </w:rPr>
      </w:pPr>
    </w:p>
    <w:p>
      <w:pPr>
        <w:jc w:val="both"/>
        <w:ind w:right="100" w:firstLine="913"/>
        <w:spacing w:after="0" w:line="287"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b w:val="1"/>
          <w:bCs w:val="1"/>
          <w:u w:val="single" w:color="auto"/>
          <w:color w:val="auto"/>
        </w:rPr>
        <w:t>Subleases of Tenant</w:t>
      </w:r>
      <w:r>
        <w:rPr>
          <w:rFonts w:ascii="Arial" w:cs="Arial" w:eastAsia="Arial" w:hAnsi="Arial"/>
          <w:sz w:val="16"/>
          <w:szCs w:val="16"/>
          <w:color w:val="auto"/>
        </w:rPr>
        <w:t xml:space="preserve">. Whether or not Landlord elects to terminate this Lease on account of any default by Tenant, as set forth in this </w:t>
      </w:r>
      <w:r>
        <w:rPr>
          <w:rFonts w:ascii="Arial" w:cs="Arial" w:eastAsia="Arial" w:hAnsi="Arial"/>
          <w:sz w:val="16"/>
          <w:szCs w:val="16"/>
          <w:u w:val="single" w:color="auto"/>
          <w:color w:val="auto"/>
        </w:rPr>
        <w:t>Article 19</w:t>
      </w:r>
      <w:r>
        <w:rPr>
          <w:rFonts w:ascii="Arial" w:cs="Arial" w:eastAsia="Arial" w:hAnsi="Arial"/>
          <w:sz w:val="16"/>
          <w:szCs w:val="16"/>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52" w:lineRule="exact"/>
        <w:rPr>
          <w:sz w:val="20"/>
          <w:szCs w:val="20"/>
          <w:color w:val="auto"/>
        </w:rPr>
      </w:pPr>
    </w:p>
    <w:p>
      <w:pPr>
        <w:ind w:right="40" w:firstLine="913"/>
        <w:spacing w:after="0" w:line="317" w:lineRule="auto"/>
        <w:rPr>
          <w:sz w:val="20"/>
          <w:szCs w:val="20"/>
          <w:color w:val="auto"/>
        </w:rPr>
      </w:pPr>
      <w:r>
        <w:rPr>
          <w:rFonts w:ascii="Arial" w:cs="Arial" w:eastAsia="Arial" w:hAnsi="Arial"/>
          <w:sz w:val="15"/>
          <w:szCs w:val="15"/>
          <w:color w:val="auto"/>
        </w:rPr>
        <w:t xml:space="preserve">19.4 </w:t>
      </w:r>
      <w:r>
        <w:rPr>
          <w:rFonts w:ascii="Arial" w:cs="Arial" w:eastAsia="Arial" w:hAnsi="Arial"/>
          <w:sz w:val="15"/>
          <w:szCs w:val="15"/>
          <w:b w:val="1"/>
          <w:bCs w:val="1"/>
          <w:u w:val="single" w:color="auto"/>
          <w:color w:val="auto"/>
        </w:rPr>
        <w:t>Form of Payment After Default</w:t>
      </w:r>
      <w:r>
        <w:rPr>
          <w:rFonts w:ascii="Arial" w:cs="Arial" w:eastAsia="Arial" w:hAnsi="Arial"/>
          <w:sz w:val="15"/>
          <w:szCs w:val="15"/>
          <w:color w:val="auto"/>
        </w:rPr>
        <w:t>. Following the occurrence of the second (2</w:t>
      </w:r>
      <w:r>
        <w:rPr>
          <w:rFonts w:ascii="Arial" w:cs="Arial" w:eastAsia="Arial" w:hAnsi="Arial"/>
          <w:sz w:val="12"/>
          <w:szCs w:val="12"/>
          <w:color w:val="auto"/>
        </w:rPr>
        <w:t>nd</w:t>
      </w:r>
      <w:r>
        <w:rPr>
          <w:rFonts w:ascii="Arial" w:cs="Arial" w:eastAsia="Arial" w:hAnsi="Arial"/>
          <w:sz w:val="15"/>
          <w:szCs w:val="15"/>
          <w:color w:val="auto"/>
        </w:rPr>
        <w:t>) event of economic default by Tenant (beyond all applicable notice and cure periods) occurring within any twelve (12) month period, Landlord shall have the right to require that any or all subsequent amounts paid by Tenant to Landlord hereunder, whether to cure the default in question or otherwise, be paid in the form of cash, money order, cashier’s or certified check drawn on an institution acceptable to Landlord, or by other means approved by Landlord, notwithstanding any prior practice of accepting payments in any different form.</w:t>
      </w:r>
    </w:p>
    <w:p>
      <w:pPr>
        <w:spacing w:after="0" w:line="32" w:lineRule="exact"/>
        <w:rPr>
          <w:sz w:val="20"/>
          <w:szCs w:val="20"/>
          <w:color w:val="auto"/>
        </w:rPr>
      </w:pPr>
    </w:p>
    <w:p>
      <w:pPr>
        <w:ind w:right="60" w:firstLine="913"/>
        <w:spacing w:after="0" w:line="267" w:lineRule="auto"/>
        <w:rPr>
          <w:sz w:val="20"/>
          <w:szCs w:val="20"/>
          <w:color w:val="auto"/>
        </w:rPr>
      </w:pPr>
      <w:r>
        <w:rPr>
          <w:rFonts w:ascii="Arial" w:cs="Arial" w:eastAsia="Arial" w:hAnsi="Arial"/>
          <w:sz w:val="17"/>
          <w:szCs w:val="17"/>
          <w:color w:val="auto"/>
        </w:rPr>
        <w:t xml:space="preserve">19.5 </w:t>
      </w:r>
      <w:r>
        <w:rPr>
          <w:rFonts w:ascii="Arial" w:cs="Arial" w:eastAsia="Arial" w:hAnsi="Arial"/>
          <w:sz w:val="17"/>
          <w:szCs w:val="17"/>
          <w:b w:val="1"/>
          <w:bCs w:val="1"/>
          <w:u w:val="single" w:color="auto"/>
          <w:color w:val="auto"/>
        </w:rPr>
        <w:t>Efforts to Relet</w:t>
      </w:r>
      <w:r>
        <w:rPr>
          <w:rFonts w:ascii="Arial" w:cs="Arial" w:eastAsia="Arial" w:hAnsi="Arial"/>
          <w:sz w:val="17"/>
          <w:szCs w:val="17"/>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65" w:lineRule="exact"/>
        <w:rPr>
          <w:sz w:val="20"/>
          <w:szCs w:val="20"/>
          <w:color w:val="auto"/>
        </w:rPr>
      </w:pPr>
    </w:p>
    <w:p>
      <w:pPr>
        <w:jc w:val="both"/>
        <w:ind w:right="420" w:firstLine="913"/>
        <w:spacing w:after="0" w:line="281" w:lineRule="auto"/>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b w:val="1"/>
          <w:bCs w:val="1"/>
          <w:u w:val="single" w:color="auto"/>
          <w:color w:val="auto"/>
        </w:rPr>
        <w:t>Landlord Default</w:t>
      </w:r>
      <w:r>
        <w:rPr>
          <w:rFonts w:ascii="Arial" w:cs="Arial" w:eastAsia="Arial" w:hAnsi="Arial"/>
          <w:sz w:val="16"/>
          <w:szCs w:val="16"/>
          <w:color w:val="auto"/>
        </w:rPr>
        <w:t>. Notwithstanding anything to the contrary set forth in this Lease, Landlord shall be in default in the performance of any obligation required to be performed by Landlord pursuant to this Lease if Landlord fails to perform such obligation within thirty (30) days after the receipt of notice from Tenant specifying in detail Landlord’s failure to perform; provided, however, if the nature of Landlord’s obligation is such that more than thirty</w:t>
      </w:r>
    </w:p>
    <w:p>
      <w:pPr>
        <w:ind w:firstLine="5"/>
        <w:spacing w:after="0" w:line="281" w:lineRule="auto"/>
        <w:tabs>
          <w:tab w:leader="none" w:pos="33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days are required for its performance, then Landlord shall not be in default under this Lease if it shall commence such performance within such thirty (30) day period and thereafter diligently pursues the same to completion. Upon any such default by Landlord under this Lease, Tenant may, except as otherwise specifically provided in this Lease to the contrary, exercise any of its rights provided at law or in equity. Any award from a court or arbitrator in favor of Tenant requiring payment by Landlord which is not paid by Landlord within the time period directed by such award, may be offset by Tenant from Rent next due and payable under this Lease; provided, however, Tenant may not deduct the amount of the award against more than fifty percent (50%)</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272" w:right="259" w:bottom="1440" w:gutter="0" w:footer="0" w:header="0"/>
        </w:sectPr>
      </w:pPr>
    </w:p>
    <w:bookmarkStart w:id="287" w:name="page288"/>
    <w:bookmarkEnd w:id="287"/>
    <w:p>
      <w:pPr>
        <w:ind w:right="3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of Base Rent next due and owing (until such time as the entire amount of such judgment is deducted) to the extent following a foreclosure or a deed-in-lieu of foreclosure.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20</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COVENANT OF QUIET ENJOYMENT</w:t>
      </w:r>
    </w:p>
    <w:p>
      <w:pPr>
        <w:spacing w:after="0" w:line="230"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Landlord covenants that Tenant, on paying the Rent, charges for services and other payments herein reserved and on keeping, observing and performing all the other TCCs, provisions and agreements herein contained on the part of Tenant to be kept, observed and performed, shall, during the Lease Term, peaceably and quietly have, hold and enjoy the Premises subject to the TCCs, provisions and agreements hereof without interference by any persons lawfully claiming by or through Landlord. The foregoing covenant is in lieu of any other covenant express or implied.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21</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SECURITY DEPOSIT</w:t>
      </w:r>
    </w:p>
    <w:p>
      <w:pPr>
        <w:spacing w:after="0" w:line="224"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Concurrent with Tenant’s execution of this Lease, Tenant shall deposit with Landlord a 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xml:space="preserve">”) in the amount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the Summary, as security for the faithful performance by Tenant of all of its obligations under this Lease. If Tenant defaults with respect to any provisions of this Lease, including, but not limited to, the provisions relating to the payment of Rent, the removal of property and the repair of resultant damage, Landlord may, without notice to Tenant, but shall not be required to apply all or any part of the Security Deposit for the payment of any Rent or any other sum in default and Tenant shall, upon demand therefor, restore the Security Deposit to its original amount. Any unapplied portion of the Security Deposit shall be returned to Tenant, or, at Landlord’s option, to the last assignee of Tenant’s interest hereunder, within thirty (30) days following the expiration of the Lease Term. Tenant shall not be entitled to any interest on the Security Deposit. Tenant hereby irrevocably waives and relinquishes any and all rights, benefits, or protections, if any, Tenant now has, or in the future may have, under </w:t>
      </w:r>
      <w:r>
        <w:rPr>
          <w:rFonts w:ascii="Arial" w:cs="Arial" w:eastAsia="Arial" w:hAnsi="Arial"/>
          <w:sz w:val="16"/>
          <w:szCs w:val="16"/>
          <w:u w:val="single" w:color="auto"/>
          <w:color w:val="auto"/>
        </w:rPr>
        <w:t>Section 1950.7</w:t>
      </w:r>
      <w:r>
        <w:rPr>
          <w:rFonts w:ascii="Arial" w:cs="Arial" w:eastAsia="Arial" w:hAnsi="Arial"/>
          <w:sz w:val="16"/>
          <w:szCs w:val="16"/>
          <w:color w:val="auto"/>
        </w:rPr>
        <w:t xml:space="preserve"> of the California Civil Code, any successor statute, and all other provisions of law, now or hereafter in effect, including, but not limited to, any provision of law which (i) establishes the time frame by which a landlord must refund a security deposit under a lease, or (ii) provides that a landlord may claim from a security deposit only those sums reasonably necessary to remedy defaults in the payment of rent, to repair damage caused by a tenant, or to clean the subject premises. Tenant acknowledges and agrees that (A) any statutory time frames for the return of a security deposit are superseded by the express period identified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above, and (B) rather than be so limited, Landlord may claim from the Security Deposit (i) any and all sums expressly identified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above, and (ii) any additional sums reasonably necessary to compensate Landlord for any and all losses or damages caused by Tenant’s default of this Lease, including, but not limited to, all damages or rent due upon termination of this Lease pursuant to </w:t>
      </w:r>
      <w:r>
        <w:rPr>
          <w:rFonts w:ascii="Arial" w:cs="Arial" w:eastAsia="Arial" w:hAnsi="Arial"/>
          <w:sz w:val="16"/>
          <w:szCs w:val="16"/>
          <w:u w:val="single" w:color="auto"/>
          <w:color w:val="auto"/>
        </w:rPr>
        <w:t>Section 1951.2</w:t>
      </w:r>
      <w:r>
        <w:rPr>
          <w:rFonts w:ascii="Arial" w:cs="Arial" w:eastAsia="Arial" w:hAnsi="Arial"/>
          <w:sz w:val="16"/>
          <w:szCs w:val="16"/>
          <w:color w:val="auto"/>
        </w:rPr>
        <w:t xml:space="preserve"> of the California Civil Code.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272" w:right="259" w:bottom="1440" w:gutter="0" w:footer="0" w:header="0"/>
        </w:sectPr>
      </w:pPr>
    </w:p>
    <w:bookmarkStart w:id="288" w:name="page289"/>
    <w:bookmarkEnd w:id="288"/>
    <w:p>
      <w:pPr>
        <w:jc w:val="center"/>
        <w:ind w:right="-1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22</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LETTER OF CREDIT</w:t>
      </w:r>
    </w:p>
    <w:p>
      <w:pPr>
        <w:spacing w:after="0" w:line="224"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Delivery of Letter of Credit</w:t>
      </w:r>
      <w:r>
        <w:rPr>
          <w:rFonts w:ascii="Arial" w:cs="Arial" w:eastAsia="Arial" w:hAnsi="Arial"/>
          <w:sz w:val="16"/>
          <w:szCs w:val="16"/>
          <w:color w:val="auto"/>
        </w:rPr>
        <w:t>. Tenant shall deliver to Landlord, within forty-five (45) days following Tenant’s execution of this Lease, an unconditional, clean, irrevocable letter of credit (the “</w:t>
      </w:r>
      <w:r>
        <w:rPr>
          <w:rFonts w:ascii="Arial" w:cs="Arial" w:eastAsia="Arial" w:hAnsi="Arial"/>
          <w:sz w:val="16"/>
          <w:szCs w:val="16"/>
          <w:b w:val="1"/>
          <w:bCs w:val="1"/>
          <w:color w:val="auto"/>
        </w:rPr>
        <w:t>L-C</w:t>
      </w:r>
      <w:r>
        <w:rPr>
          <w:rFonts w:ascii="Arial" w:cs="Arial" w:eastAsia="Arial" w:hAnsi="Arial"/>
          <w:sz w:val="16"/>
          <w:szCs w:val="16"/>
          <w:color w:val="auto"/>
        </w:rPr>
        <w:t xml:space="preserve">”) in the amount set forth in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below (the “</w:t>
      </w:r>
      <w:r>
        <w:rPr>
          <w:rFonts w:ascii="Arial" w:cs="Arial" w:eastAsia="Arial" w:hAnsi="Arial"/>
          <w:sz w:val="16"/>
          <w:szCs w:val="16"/>
          <w:b w:val="1"/>
          <w:bCs w:val="1"/>
          <w:color w:val="auto"/>
        </w:rPr>
        <w:t>L-C Amount</w:t>
      </w:r>
      <w:r>
        <w:rPr>
          <w:rFonts w:ascii="Arial" w:cs="Arial" w:eastAsia="Arial" w:hAnsi="Arial"/>
          <w:sz w:val="16"/>
          <w:szCs w:val="16"/>
          <w:color w:val="auto"/>
        </w:rPr>
        <w:t>”), which L-C shall be issued by a money-center, solvent and nationally recognized bank (a bank which accepts deposits, maintains accounts, has a local San Diego office which will negotiate a letter of credit, and whose deposits are insured by the FDIC) reasonably acceptable to Landlord, and Landlord hereby pre-approves UBS Bank USA (such approved, issuing bank being referred to herein as the “</w:t>
      </w:r>
      <w:r>
        <w:rPr>
          <w:rFonts w:ascii="Arial" w:cs="Arial" w:eastAsia="Arial" w:hAnsi="Arial"/>
          <w:sz w:val="16"/>
          <w:szCs w:val="16"/>
          <w:b w:val="1"/>
          <w:bCs w:val="1"/>
          <w:color w:val="auto"/>
        </w:rPr>
        <w:t>Bank</w:t>
      </w:r>
      <w:r>
        <w:rPr>
          <w:rFonts w:ascii="Arial" w:cs="Arial" w:eastAsia="Arial" w:hAnsi="Arial"/>
          <w:sz w:val="16"/>
          <w:szCs w:val="16"/>
          <w:color w:val="auto"/>
        </w:rPr>
        <w:t>”), which Bank must have a short term Fitch Rating which is not less than “F l “, and a long term Fitch Rating which is not less than “A”(or in the event such Fitch Ratings are no longer available, a comparable rating from Standard and Poor’ s Professional Rating Service or Moody’s Professional Rating Service) (collectively, the “</w:t>
      </w:r>
      <w:r>
        <w:rPr>
          <w:rFonts w:ascii="Arial" w:cs="Arial" w:eastAsia="Arial" w:hAnsi="Arial"/>
          <w:sz w:val="16"/>
          <w:szCs w:val="16"/>
          <w:b w:val="1"/>
          <w:bCs w:val="1"/>
          <w:color w:val="auto"/>
        </w:rPr>
        <w:t>Bank’s Credit Rating Threshold</w:t>
      </w:r>
      <w:r>
        <w:rPr>
          <w:rFonts w:ascii="Arial" w:cs="Arial" w:eastAsia="Arial" w:hAnsi="Arial"/>
          <w:sz w:val="16"/>
          <w:szCs w:val="16"/>
          <w:color w:val="auto"/>
        </w:rPr>
        <w:t xml:space="preserve">”), and which L-C shall be substantially in the form of </w:t>
      </w:r>
      <w:r>
        <w:rPr>
          <w:rFonts w:ascii="Arial" w:cs="Arial" w:eastAsia="Arial" w:hAnsi="Arial"/>
          <w:sz w:val="16"/>
          <w:szCs w:val="16"/>
          <w:b w:val="1"/>
          <w:bCs w:val="1"/>
          <w:u w:val="single" w:color="auto"/>
          <w:color w:val="auto"/>
        </w:rPr>
        <w:t>Exhibit G</w:t>
      </w:r>
      <w:r>
        <w:rPr>
          <w:rFonts w:ascii="Arial" w:cs="Arial" w:eastAsia="Arial" w:hAnsi="Arial"/>
          <w:sz w:val="16"/>
          <w:szCs w:val="16"/>
          <w:color w:val="auto"/>
        </w:rPr>
        <w:t>, attached hereto. Tenant shall pay all expenses, points and/or fees incurred by Tenant in obtaining the L-C. The L-C shall (i) be “callable” at sight, irrevocable and unconditional, (ii) be maintained in effect, whether through renewal or extension, for the period commencing on the date of issuance of such L-C and continuing until the date (the “</w:t>
      </w:r>
      <w:r>
        <w:rPr>
          <w:rFonts w:ascii="Arial" w:cs="Arial" w:eastAsia="Arial" w:hAnsi="Arial"/>
          <w:sz w:val="16"/>
          <w:szCs w:val="16"/>
          <w:b w:val="1"/>
          <w:bCs w:val="1"/>
          <w:color w:val="auto"/>
        </w:rPr>
        <w:t>L-C Expiration Date</w:t>
      </w:r>
      <w:r>
        <w:rPr>
          <w:rFonts w:ascii="Arial" w:cs="Arial" w:eastAsia="Arial" w:hAnsi="Arial"/>
          <w:sz w:val="16"/>
          <w:szCs w:val="16"/>
          <w:color w:val="auto"/>
        </w:rPr>
        <w:t>”) that is no less than one hundred twenty (120) days after the expiration of the Lease Term, as the same may be extended, and Tenant shall deliver a new L-C or certificate of renewal or extension to Landlord at least thirty (30) days prior to the expiration of the L-C then held by Landlord, without any action whatsoever on the part of Landlord, (iii) be fully assignable by Landlord, its successors and assigns, (iv) permit partial draws and multiple presentations and drawings, and (v) be otherwise subject to the Uniform Customs and Practices for Documentary Credits (1993-Rev), International Chamber of Commerce Publication #500, or the International Standby Practices- ISP 98, International Chamber of Commerce Publication #590. Landlord, or its then managing agent, shall have the right to draw down an amount up to the face amount of the L-C if any of the following shall have occurred or be applicable: (A) such amount is due to Landlord under the terms and conditions of this Lease, or (B) Tenant has filed a voluntary petition under the U. S. Bankruptcy Code or any state bankruptcy code (collectively, “</w:t>
      </w:r>
      <w:r>
        <w:rPr>
          <w:rFonts w:ascii="Arial" w:cs="Arial" w:eastAsia="Arial" w:hAnsi="Arial"/>
          <w:sz w:val="16"/>
          <w:szCs w:val="16"/>
          <w:b w:val="1"/>
          <w:bCs w:val="1"/>
          <w:color w:val="auto"/>
        </w:rPr>
        <w:t>Bankruptcy Code</w:t>
      </w:r>
      <w:r>
        <w:rPr>
          <w:rFonts w:ascii="Arial" w:cs="Arial" w:eastAsia="Arial" w:hAnsi="Arial"/>
          <w:sz w:val="16"/>
          <w:szCs w:val="16"/>
          <w:color w:val="auto"/>
        </w:rPr>
        <w:t xml:space="preserve">”), or (C) an involuntary petition has been filed against Tenant under the Bankruptcy Code, or (D) the Bank has notified Landlord that the L-C will not be renewed or extended through the L-C Expiration Date, or (E) Tenant is placed into receivership or conservatorship, or becomes subject to similar proceedings under Federal or State law, or (F) Tenant executes an assignment for the benefit of creditors, or (G) if (I)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(including, but not limited to, the requirements placed on the issuing Bank more particularly set forth in this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above), in the amount of the applicable L-C Amount, within ten (IO) days following Landlord’s written demand therefor (with no other notice or cure or grace period being applicable thereto, notwithstanding anything in this Lease to the contrary) (each of the foregoing being an “</w:t>
      </w:r>
      <w:r>
        <w:rPr>
          <w:rFonts w:ascii="Arial" w:cs="Arial" w:eastAsia="Arial" w:hAnsi="Arial"/>
          <w:sz w:val="16"/>
          <w:szCs w:val="16"/>
          <w:b w:val="1"/>
          <w:bCs w:val="1"/>
          <w:color w:val="auto"/>
        </w:rPr>
        <w:t>L-C Draw Event</w:t>
      </w:r>
      <w:r>
        <w:rPr>
          <w:rFonts w:ascii="Arial" w:cs="Arial" w:eastAsia="Arial" w:hAnsi="Arial"/>
          <w:sz w:val="16"/>
          <w:szCs w:val="16"/>
          <w:color w:val="auto"/>
        </w:rPr>
        <w:t>”). The L-C shall be honored by the Bank regardless of whether Tenant disputes Landlord’s right to draw upon the L-C. In addition, in the event the Bank is placed into receivership or conservatorship by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20"/>
          </w:cols>
          <w:pgMar w:left="240" w:top="265" w:right="339" w:bottom="1440" w:gutter="0" w:footer="0" w:header="0"/>
        </w:sectPr>
      </w:pPr>
    </w:p>
    <w:bookmarkStart w:id="289" w:name="page290"/>
    <w:bookmarkEnd w:id="289"/>
    <w:p>
      <w:pPr>
        <w:ind w:right="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Federal Deposit Insurance Corporation or any successor or similar entity, then, effective as of the date such receivership or conservatorship occurs, said L-C shall be deemed to fail to meet the requirements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and, within ten (10) days following Landlord’s notice to Tenant of such receivership or conservatorship (the “</w:t>
      </w:r>
      <w:r>
        <w:rPr>
          <w:rFonts w:ascii="Arial" w:cs="Arial" w:eastAsia="Arial" w:hAnsi="Arial"/>
          <w:sz w:val="16"/>
          <w:szCs w:val="16"/>
          <w:b w:val="1"/>
          <w:bCs w:val="1"/>
          <w:color w:val="auto"/>
        </w:rPr>
        <w:t>L-C FDIC Replacement Notice</w:t>
      </w:r>
      <w:r>
        <w:rPr>
          <w:rFonts w:ascii="Arial" w:cs="Arial" w:eastAsia="Arial" w:hAnsi="Arial"/>
          <w:sz w:val="16"/>
          <w:szCs w:val="16"/>
          <w:color w:val="auto"/>
        </w:rPr>
        <w:t xml:space="preserve">”), Tenant shall replace such L-C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If Tenant fails to replace such L-C with such conforming, substitute letter of credit pursuant to the terms and conditions of this </w:t>
      </w:r>
      <w:r>
        <w:rPr>
          <w:rFonts w:ascii="Arial" w:cs="Arial" w:eastAsia="Arial" w:hAnsi="Arial"/>
          <w:sz w:val="16"/>
          <w:szCs w:val="16"/>
          <w:u w:val="single" w:color="auto"/>
          <w:color w:val="auto"/>
        </w:rPr>
        <w:t>Section 22.1</w:t>
      </w:r>
      <w:r>
        <w:rPr>
          <w:rFonts w:ascii="Arial" w:cs="Arial" w:eastAsia="Arial" w:hAnsi="Arial"/>
          <w:sz w:val="16"/>
          <w:szCs w:val="16"/>
          <w:color w:val="auto"/>
        </w:rPr>
        <w:t>,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costs incurred with the review of any replacement L-C (including without limitation Landlord’s reasonable attorneys’ fees), which replacement is required pursuant to this Section or is otherwise requested by Tenant.</w:t>
      </w:r>
    </w:p>
    <w:p>
      <w:pPr>
        <w:spacing w:after="0" w:line="59"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u w:val="single" w:color="auto"/>
          <w:color w:val="auto"/>
        </w:rPr>
        <w:t>Application of L-C</w:t>
      </w:r>
      <w:r>
        <w:rPr>
          <w:rFonts w:ascii="Arial" w:cs="Arial" w:eastAsia="Arial" w:hAnsi="Arial"/>
          <w:sz w:val="16"/>
          <w:szCs w:val="16"/>
          <w:color w:val="auto"/>
        </w:rPr>
        <w:t>. Tenant hereby acknowledges and agrees that Landlord is entering into this Lease in material reliance upon the ability of Landlord to draw upon the L-C upon the occurrence of any L-C Draw Event. In the event of any L-C Draw Event, Landlord may, but without obligation to do so, and without notice to Tenant, draw upon the L-C, in part or in whole,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such L-C shall not operate as a limitation on any recovery to which Landlord may otherwise be entitled. No condition or term of this Lease shall be deemed to render the L-C conditional to justify the issuer of the L-C in failing to honor a drawing upon such L-C in a timely manner. Tenant agrees and acknowledges that the L-C constitutes a separate and independent contract between Landlord and the Bank, Tenant is not a third party beneficiary of such contract, (iii) Tenant has no property interest whatsoever in the L-C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proceeds thereof by application of Section 502(b)(6) of the U. S. Bankruptcy Code or otherwise.</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b w:val="1"/>
          <w:bCs w:val="1"/>
          <w:u w:val="single" w:color="auto"/>
          <w:color w:val="auto"/>
        </w:rPr>
        <w:t>L-C Amount; Maintenance of L-C by Tenant; Liquidated Damages</w:t>
      </w:r>
      <w:r>
        <w:rPr>
          <w:rFonts w:ascii="Arial" w:cs="Arial" w:eastAsia="Arial" w:hAnsi="Arial"/>
          <w:sz w:val="17"/>
          <w:szCs w:val="17"/>
          <w:color w:val="auto"/>
        </w:rPr>
        <w:t>.</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22.3.1 </w:t>
      </w:r>
      <w:r>
        <w:rPr>
          <w:rFonts w:ascii="Arial" w:cs="Arial" w:eastAsia="Arial" w:hAnsi="Arial"/>
          <w:sz w:val="17"/>
          <w:szCs w:val="17"/>
          <w:b w:val="1"/>
          <w:bCs w:val="1"/>
          <w:u w:val="single" w:color="auto"/>
          <w:color w:val="auto"/>
        </w:rPr>
        <w:t>L-C Amount</w:t>
      </w:r>
      <w:r>
        <w:rPr>
          <w:rFonts w:ascii="Arial" w:cs="Arial" w:eastAsia="Arial" w:hAnsi="Arial"/>
          <w:sz w:val="17"/>
          <w:szCs w:val="17"/>
          <w:color w:val="auto"/>
        </w:rPr>
        <w:t>. The L-C Amount shall initially be equal to One Hundred Sixty Thousand and 00/100 Dollars ($160,000.00).</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271" w:right="259" w:bottom="1440" w:gutter="0" w:footer="0" w:header="0"/>
        </w:sectPr>
      </w:pPr>
    </w:p>
    <w:bookmarkStart w:id="290" w:name="page291"/>
    <w:bookmarkEnd w:id="290"/>
    <w:p>
      <w:pPr>
        <w:ind w:right="60" w:firstLine="913"/>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22.3.2 </w:t>
      </w:r>
      <w:r>
        <w:rPr>
          <w:rFonts w:ascii="Arial" w:cs="Arial" w:eastAsia="Arial" w:hAnsi="Arial"/>
          <w:sz w:val="17"/>
          <w:szCs w:val="17"/>
          <w:b w:val="1"/>
          <w:bCs w:val="1"/>
          <w:u w:val="single" w:color="auto"/>
          <w:color w:val="auto"/>
        </w:rPr>
        <w:t>Reduction of L-C Amount</w:t>
      </w:r>
      <w:r>
        <w:rPr>
          <w:rFonts w:ascii="Arial" w:cs="Arial" w:eastAsia="Arial" w:hAnsi="Arial"/>
          <w:sz w:val="17"/>
          <w:szCs w:val="17"/>
          <w:color w:val="auto"/>
        </w:rPr>
        <w:t>. To the extent that Tenant is not in default under this Lease (beyond the applicable notice and cure period set forth in this Lease), the L-C Amount shall be reduced as follows:</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3"/>
        </w:trPr>
        <w:tc>
          <w:tcPr>
            <w:tcW w:w="6780" w:type="dxa"/>
            <w:vAlign w:val="bottom"/>
            <w:gridSpan w:val="2"/>
          </w:tcPr>
          <w:p>
            <w:pPr>
              <w:spacing w:after="0"/>
              <w:rPr>
                <w:sz w:val="20"/>
                <w:szCs w:val="20"/>
                <w:color w:val="auto"/>
              </w:rPr>
            </w:pPr>
            <w:r>
              <w:rPr>
                <w:rFonts w:ascii="Arial" w:cs="Arial" w:eastAsia="Arial" w:hAnsi="Arial"/>
                <w:sz w:val="14"/>
                <w:szCs w:val="14"/>
                <w:color w:val="auto"/>
              </w:rPr>
              <w:t>Date of Reduction</w:t>
            </w:r>
          </w:p>
        </w:tc>
        <w:tc>
          <w:tcPr>
            <w:tcW w:w="960" w:type="dxa"/>
            <w:vAlign w:val="bottom"/>
            <w:gridSpan w:val="3"/>
          </w:tcPr>
          <w:p>
            <w:pPr>
              <w:ind w:left="80"/>
              <w:spacing w:after="0"/>
              <w:rPr>
                <w:sz w:val="20"/>
                <w:szCs w:val="20"/>
                <w:color w:val="auto"/>
              </w:rPr>
            </w:pPr>
            <w:r>
              <w:rPr>
                <w:rFonts w:ascii="Arial" w:cs="Arial" w:eastAsia="Arial" w:hAnsi="Arial"/>
                <w:sz w:val="14"/>
                <w:szCs w:val="14"/>
                <w:color w:val="auto"/>
              </w:rPr>
              <w:t>L-C Amount</w:t>
            </w:r>
          </w:p>
        </w:tc>
      </w:tr>
      <w:tr>
        <w:trPr>
          <w:trHeight w:val="20"/>
        </w:trPr>
        <w:tc>
          <w:tcPr>
            <w:tcW w:w="1020" w:type="dxa"/>
            <w:vAlign w:val="bottom"/>
            <w:tcBorders>
              <w:bottom w:val="single" w:sz="8" w:color="CCEEFF"/>
            </w:tcBorders>
            <w:shd w:val="clear" w:color="auto" w:fill="000000"/>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6"/>
        </w:trPr>
        <w:tc>
          <w:tcPr>
            <w:tcW w:w="6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1,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135,000.00</w:t>
            </w:r>
          </w:p>
        </w:tc>
        <w:tc>
          <w:tcPr>
            <w:tcW w:w="80" w:type="dxa"/>
            <w:vAlign w:val="bottom"/>
            <w:shd w:val="clear" w:color="auto" w:fill="CCEEFF"/>
          </w:tcPr>
          <w:p>
            <w:pPr>
              <w:spacing w:after="0"/>
              <w:rPr>
                <w:sz w:val="17"/>
                <w:szCs w:val="17"/>
                <w:color w:val="auto"/>
              </w:rPr>
            </w:pPr>
          </w:p>
        </w:tc>
      </w:tr>
      <w:tr>
        <w:trPr>
          <w:trHeight w:val="210"/>
        </w:trPr>
        <w:tc>
          <w:tcPr>
            <w:tcW w:w="6780" w:type="dxa"/>
            <w:vAlign w:val="bottom"/>
            <w:gridSpan w:val="2"/>
          </w:tcPr>
          <w:p>
            <w:pPr>
              <w:spacing w:after="0"/>
              <w:rPr>
                <w:sz w:val="20"/>
                <w:szCs w:val="20"/>
                <w:color w:val="auto"/>
              </w:rPr>
            </w:pPr>
            <w:r>
              <w:rPr>
                <w:rFonts w:ascii="Arial" w:cs="Arial" w:eastAsia="Arial" w:hAnsi="Arial"/>
                <w:sz w:val="17"/>
                <w:szCs w:val="17"/>
                <w:color w:val="auto"/>
              </w:rPr>
              <w:t>September 1, 2013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110,000.00</w:t>
            </w:r>
          </w:p>
        </w:tc>
      </w:tr>
      <w:tr>
        <w:trPr>
          <w:trHeight w:val="210"/>
        </w:trPr>
        <w:tc>
          <w:tcPr>
            <w:tcW w:w="6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1,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85,000.00</w:t>
            </w:r>
          </w:p>
        </w:tc>
      </w:tr>
      <w:tr>
        <w:trPr>
          <w:trHeight w:val="222"/>
        </w:trPr>
        <w:tc>
          <w:tcPr>
            <w:tcW w:w="6780" w:type="dxa"/>
            <w:vAlign w:val="bottom"/>
            <w:gridSpan w:val="2"/>
          </w:tcPr>
          <w:p>
            <w:pPr>
              <w:spacing w:after="0"/>
              <w:rPr>
                <w:sz w:val="20"/>
                <w:szCs w:val="20"/>
                <w:color w:val="auto"/>
              </w:rPr>
            </w:pPr>
            <w:r>
              <w:rPr>
                <w:rFonts w:ascii="Arial" w:cs="Arial" w:eastAsia="Arial" w:hAnsi="Arial"/>
                <w:sz w:val="17"/>
                <w:szCs w:val="17"/>
                <w:color w:val="auto"/>
              </w:rPr>
              <w:t>September 1, 2015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60,000.00</w:t>
            </w:r>
          </w:p>
        </w:tc>
      </w:tr>
    </w:tbl>
    <w:p>
      <w:pPr>
        <w:spacing w:after="0" w:line="18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Notwithstanding anything to the contrary set forth in this </w:t>
      </w:r>
      <w:r>
        <w:rPr>
          <w:rFonts w:ascii="Arial" w:cs="Arial" w:eastAsia="Arial" w:hAnsi="Arial"/>
          <w:sz w:val="16"/>
          <w:szCs w:val="16"/>
          <w:u w:val="single" w:color="auto"/>
          <w:color w:val="auto"/>
        </w:rPr>
        <w:t>Section 22.3.2</w:t>
      </w:r>
      <w:r>
        <w:rPr>
          <w:rFonts w:ascii="Arial" w:cs="Arial" w:eastAsia="Arial" w:hAnsi="Arial"/>
          <w:sz w:val="16"/>
          <w:szCs w:val="16"/>
          <w:color w:val="auto"/>
        </w:rPr>
        <w:t>, in no event shall the L-C Amount as set forth above decrease during any period in which Tenant is in default under this Lease (beyond any applicable notice and cure periods), but such decrease shall take place retroactively after such default is cured, provided that no such decrease shall thereafter take effect in the event this Lease is terminated early due to such default by Tenant.</w:t>
      </w:r>
    </w:p>
    <w:p>
      <w:pPr>
        <w:spacing w:after="0" w:line="44" w:lineRule="exact"/>
        <w:rPr>
          <w:sz w:val="20"/>
          <w:szCs w:val="20"/>
          <w:color w:val="auto"/>
        </w:rPr>
      </w:pPr>
    </w:p>
    <w:p>
      <w:pPr>
        <w:ind w:firstLine="913"/>
        <w:spacing w:after="0" w:line="277" w:lineRule="auto"/>
        <w:rPr>
          <w:sz w:val="20"/>
          <w:szCs w:val="20"/>
          <w:color w:val="auto"/>
        </w:rPr>
      </w:pPr>
      <w:r>
        <w:rPr>
          <w:rFonts w:ascii="Arial" w:cs="Arial" w:eastAsia="Arial" w:hAnsi="Arial"/>
          <w:sz w:val="16"/>
          <w:szCs w:val="16"/>
          <w:color w:val="auto"/>
        </w:rPr>
        <w:t xml:space="preserve">22.3.3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xml:space="preserve">. If, as a result of any drawing by Landlord of all or any portion of the L-C, the amount of the L-C shall be less than the L-C Amount, Tenant shall, within ten (10) days thereafter, provide Landlord with additional letter(s) of credit in an amount equal to the deficiency, and any such additional letter(s) of credit shall comply with all of the provisions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and if Tenant fails to comply with the foregoing, the same shall be subject to the terms of </w:t>
      </w:r>
      <w:r>
        <w:rPr>
          <w:rFonts w:ascii="Arial" w:cs="Arial" w:eastAsia="Arial" w:hAnsi="Arial"/>
          <w:sz w:val="16"/>
          <w:szCs w:val="16"/>
          <w:u w:val="single" w:color="auto"/>
          <w:color w:val="auto"/>
        </w:rPr>
        <w:t>Section 22.3.3</w:t>
      </w:r>
      <w:r>
        <w:rPr>
          <w:rFonts w:ascii="Arial" w:cs="Arial" w:eastAsia="Arial" w:hAnsi="Arial"/>
          <w:sz w:val="16"/>
          <w:szCs w:val="16"/>
          <w:color w:val="auto"/>
        </w:rPr>
        <w:t xml:space="preserve"> below.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 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L-C Expiration Date upon the same terms as the expiring L-C or such other terms as may be acceptable to Landlord in its sole discretion. If Tenant exercises its option to extend the Lease Term pursuant to Section 2.3 of this Lease then, not later than one hundred twenty (120) days prior to the commencement of the applicable Option Term, Tenant shall deliver to Landlord a new L-C or certificate of renewal or extension evidencing the L-C Expiration Date as one hundred twenty (120) days after the expiration of the Option Term. However, if the L-C is not timely renewed, or if Tenant fails to maintain the L-C in the amount and in accordance with the terms set forth in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Landlord shall have the right to either (x) present the L-C to the Bank in accordance with the terms of this </w:t>
      </w:r>
      <w:r>
        <w:rPr>
          <w:rFonts w:ascii="Arial" w:cs="Arial" w:eastAsia="Arial" w:hAnsi="Arial"/>
          <w:sz w:val="16"/>
          <w:szCs w:val="16"/>
          <w:u w:val="single" w:color="auto"/>
          <w:color w:val="auto"/>
        </w:rPr>
        <w:t>Article 22</w:t>
      </w:r>
      <w:r>
        <w:rPr>
          <w:rFonts w:ascii="Arial" w:cs="Arial" w:eastAsia="Arial" w:hAnsi="Arial"/>
          <w:sz w:val="16"/>
          <w:szCs w:val="16"/>
          <w:color w:val="auto"/>
        </w:rPr>
        <w:t xml:space="preserve">,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or (y) pursue its remedy under </w:t>
      </w:r>
      <w:r>
        <w:rPr>
          <w:rFonts w:ascii="Arial" w:cs="Arial" w:eastAsia="Arial" w:hAnsi="Arial"/>
          <w:sz w:val="16"/>
          <w:szCs w:val="16"/>
          <w:u w:val="single" w:color="auto"/>
          <w:color w:val="auto"/>
        </w:rPr>
        <w:t>Section 22.3.3</w:t>
      </w:r>
      <w:r>
        <w:rPr>
          <w:rFonts w:ascii="Arial" w:cs="Arial" w:eastAsia="Arial" w:hAnsi="Arial"/>
          <w:sz w:val="16"/>
          <w:szCs w:val="16"/>
          <w:color w:val="auto"/>
        </w:rPr>
        <w:t xml:space="preserve"> below. In the event Landlord elects to exercise its rights under the foregoing item (x), (I) any unused proceeds shall constitute the property of Landlord (and not Tenant’s property or, in the event of 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265" w:right="259" w:bottom="1440" w:gutter="0" w:footer="0" w:header="0"/>
        </w:sectPr>
      </w:pPr>
    </w:p>
    <w:bookmarkStart w:id="291" w:name="page292"/>
    <w:bookmarkEnd w:id="291"/>
    <w:p>
      <w:pPr>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receivership, conservatorship, or a bankruptcy filing by Tenant, property of such receivership, conservatorship or Tenant’s bankruptcy estate) and need not be segregated from Landlord’s other assets, and (II) Landlord agrees to pay to Tenant within thirty (30) days after the L-C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spacing w:after="0" w:line="74" w:lineRule="exact"/>
        <w:rPr>
          <w:sz w:val="20"/>
          <w:szCs w:val="20"/>
          <w:color w:val="auto"/>
        </w:rPr>
      </w:pPr>
    </w:p>
    <w:p>
      <w:pPr>
        <w:jc w:val="both"/>
        <w:ind w:right="320" w:firstLine="913"/>
        <w:spacing w:after="0" w:line="279" w:lineRule="auto"/>
        <w:rPr>
          <w:sz w:val="20"/>
          <w:szCs w:val="20"/>
          <w:color w:val="auto"/>
        </w:rPr>
      </w:pPr>
      <w:r>
        <w:rPr>
          <w:rFonts w:ascii="Arial" w:cs="Arial" w:eastAsia="Arial" w:hAnsi="Arial"/>
          <w:sz w:val="16"/>
          <w:szCs w:val="16"/>
          <w:color w:val="auto"/>
        </w:rPr>
        <w:t xml:space="preserve">22.3.4 </w:t>
      </w:r>
      <w:r>
        <w:rPr>
          <w:rFonts w:ascii="Arial" w:cs="Arial" w:eastAsia="Arial" w:hAnsi="Arial"/>
          <w:sz w:val="16"/>
          <w:szCs w:val="16"/>
          <w:b w:val="1"/>
          <w:bCs w:val="1"/>
          <w:u w:val="single" w:color="auto"/>
          <w:color w:val="auto"/>
        </w:rPr>
        <w:t>FAILURE TO MAINTAIN; REPLACE AND/OR REINSTATE L-C; LIQUIDATED DAMAGES</w:t>
      </w:r>
      <w:r>
        <w:rPr>
          <w:rFonts w:ascii="Arial" w:cs="Arial" w:eastAsia="Arial" w:hAnsi="Arial"/>
          <w:sz w:val="16"/>
          <w:szCs w:val="16"/>
          <w:color w:val="auto"/>
        </w:rPr>
        <w:t xml:space="preserve">. IN THE EVENT THAT TENANT FAILS, WITHIN (I) THAT PERIOD SET FORTH IN </w:t>
      </w:r>
      <w:r>
        <w:rPr>
          <w:rFonts w:ascii="Arial" w:cs="Arial" w:eastAsia="Arial" w:hAnsi="Arial"/>
          <w:sz w:val="16"/>
          <w:szCs w:val="16"/>
          <w:u w:val="single" w:color="auto"/>
          <w:color w:val="auto"/>
        </w:rPr>
        <w:t>SECTION 22.3.2</w:t>
      </w:r>
      <w:r>
        <w:rPr>
          <w:rFonts w:ascii="Arial" w:cs="Arial" w:eastAsia="Arial" w:hAnsi="Arial"/>
          <w:sz w:val="16"/>
          <w:szCs w:val="16"/>
          <w:color w:val="auto"/>
        </w:rPr>
        <w:t xml:space="preserve"> ABOVE, OR (II) THAT PERIOD SET FORTH IN THE L-C FDIC REPLACEMENT NOTICE, TO PROVIDE LANDLORD WITH ADDITIONAL L-C(S) IN AN AMOUNT EQUAL TO THE DEFICIENCY OR A REPLACEMENT L-C (AS APPLICABLE), THEN TENANT’S MONTHLY INSTALLMENT OF BASE RENT SHALL BE INCREASED TO ONE HUNDRED TEN PERCENT</w:t>
      </w:r>
    </w:p>
    <w:p>
      <w:pPr>
        <w:spacing w:after="0" w:line="1"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 xml:space="preserve">(110%) OF ITS THEN EXISTING LEVEL DURING THE PERIOD COMMENCING ON THE DATE WHICH IS THE LAST DAY OF THE PERIOD IDENTIFIED IN </w:t>
      </w:r>
      <w:r>
        <w:rPr>
          <w:rFonts w:ascii="Arial" w:cs="Arial" w:eastAsia="Arial" w:hAnsi="Arial"/>
          <w:sz w:val="16"/>
          <w:szCs w:val="16"/>
          <w:u w:val="single" w:color="auto"/>
          <w:color w:val="auto"/>
        </w:rPr>
        <w:t>SECTION 22.3.2</w:t>
      </w:r>
      <w:r>
        <w:rPr>
          <w:rFonts w:ascii="Arial" w:cs="Arial" w:eastAsia="Arial" w:hAnsi="Arial"/>
          <w:sz w:val="16"/>
          <w:szCs w:val="16"/>
          <w:color w:val="auto"/>
        </w:rPr>
        <w:t xml:space="preserve"> OR THE L-C FDIC REPLACEMENT NOTICE (AS APPLICABLE), AND ENDING ON THE EARLIER TO OCCUR OF</w:t>
      </w:r>
    </w:p>
    <w:p>
      <w:pPr>
        <w:ind w:right="20" w:firstLine="5"/>
        <w:spacing w:after="0" w:line="258" w:lineRule="auto"/>
        <w:tabs>
          <w:tab w:leader="none" w:pos="28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THE DATE TENANT PROVIDES LANDLORD WITH ADDITIONAL L-C(S) IN AN AMOUNT EQUAL TO THE DEFICIENCY AS CONTEMPLATED BY THE TERMS OF </w:t>
      </w:r>
      <w:r>
        <w:rPr>
          <w:rFonts w:ascii="Arial" w:cs="Arial" w:eastAsia="Arial" w:hAnsi="Arial"/>
          <w:sz w:val="17"/>
          <w:szCs w:val="17"/>
          <w:u w:val="single" w:color="auto"/>
          <w:color w:val="auto"/>
        </w:rPr>
        <w:t>SECTION 22.3.2</w:t>
      </w:r>
      <w:r>
        <w:rPr>
          <w:rFonts w:ascii="Arial" w:cs="Arial" w:eastAsia="Arial" w:hAnsi="Arial"/>
          <w:sz w:val="17"/>
          <w:szCs w:val="17"/>
          <w:color w:val="auto"/>
        </w:rPr>
        <w:t xml:space="preserve"> ABOVE, OR THE L-C FDIC REPLACEMENT NOTICE (AS APPLICABLE), OR (Y) THE DATE WHICH IS NINETY (90) DAYS AFTER THE LAST DAY OF THE PERIOD IDENTIFIED IN </w:t>
      </w:r>
      <w:r>
        <w:rPr>
          <w:rFonts w:ascii="Arial" w:cs="Arial" w:eastAsia="Arial" w:hAnsi="Arial"/>
          <w:sz w:val="17"/>
          <w:szCs w:val="17"/>
          <w:u w:val="single" w:color="auto"/>
          <w:color w:val="auto"/>
        </w:rPr>
        <w:t>SECTION 22.3.2</w:t>
      </w:r>
      <w:r>
        <w:rPr>
          <w:rFonts w:ascii="Arial" w:cs="Arial" w:eastAsia="Arial" w:hAnsi="Arial"/>
          <w:sz w:val="17"/>
          <w:szCs w:val="17"/>
          <w:color w:val="auto"/>
        </w:rPr>
        <w:t xml:space="preserve"> OR THE L-C FDIC REPLACEMENT NOTICE (AS APPLICABLE). IN THE EVENT THAT TENANT FAILS, DURING SUCH NINETY (90) DAY PERIOD FOLLOWING THE LAST DAY OF THE PERIOD IDENTIFIED IN </w:t>
      </w:r>
      <w:r>
        <w:rPr>
          <w:rFonts w:ascii="Arial" w:cs="Arial" w:eastAsia="Arial" w:hAnsi="Arial"/>
          <w:sz w:val="17"/>
          <w:szCs w:val="17"/>
          <w:u w:val="single" w:color="auto"/>
          <w:color w:val="auto"/>
        </w:rPr>
        <w:t>SECTION 22.3.2</w:t>
      </w:r>
      <w:r>
        <w:rPr>
          <w:rFonts w:ascii="Arial" w:cs="Arial" w:eastAsia="Arial" w:hAnsi="Arial"/>
          <w:sz w:val="17"/>
          <w:szCs w:val="17"/>
          <w:color w:val="auto"/>
        </w:rPr>
        <w:t xml:space="preserve"> OR THE L-C FDIC REPLACEMENT NOTICE (AS APPLICABLE), TO PROVIDE LANDLORD WITH ADDITIONAL L-C(S) IN AN AMOUNT EQUAL TO THE DEFICIENCY OR A REPLACEMENT L-C (AS APPLICABLE), THEN TENANT’S MONTHLY INSTALLMENT OF BASE RENT SHALL BE INCREASED TO ONE HUNDRED TWENTY PERCENT (120%) OF ITS THEN EXISTING LEVEL DURING THE PERIOD COMMENCING ON THE DATE WHICH IS NINETY (90) DAYS AFTER THE LAST DAY OF THE PERIOD IDENTIFIED IN </w:t>
      </w:r>
      <w:r>
        <w:rPr>
          <w:rFonts w:ascii="Arial" w:cs="Arial" w:eastAsia="Arial" w:hAnsi="Arial"/>
          <w:sz w:val="17"/>
          <w:szCs w:val="17"/>
          <w:u w:val="single" w:color="auto"/>
          <w:color w:val="auto"/>
        </w:rPr>
        <w:t>SECTION 22.3.2</w:t>
      </w:r>
      <w:r>
        <w:rPr>
          <w:rFonts w:ascii="Arial" w:cs="Arial" w:eastAsia="Arial" w:hAnsi="Arial"/>
          <w:sz w:val="17"/>
          <w:szCs w:val="17"/>
          <w:color w:val="auto"/>
        </w:rPr>
        <w:t xml:space="preserve"> OR THE L-C FDIC REPLACEMENT NOTICE (AS APPLICABLE) AND ENDING ON THE DATE SUCH ADDITIONAL L-C(S) ARE ISSUED IN AN AMOUNT EQUAL TO THE DEFICIENCY OR SUCH A REPLACEMENT L-C IS ISSUED (AS APPLICABLE) PURSUANT TO THE TERMS OF SECTION 22.3.2 OR THE L-C FDIC REPLACEMENT NOTICE (AS APPLICABLE). THE PARTIES AGREE THAT IT WOULD BE IMPRACTICABLE AND EXTREMELY DIFFICULT TO ASCERTAIN THE ACTUAL DAMAGES SUFFERED BY LANDLORD AS A RESULT OF TENANT’S FAILURE TO TIMELY PROVIDE LANDLORD WITH ADDITIONAL L-C(S) IN AN AMOUNT EQUAL TO THE DEFICIENCY AS REQUIRED IN </w:t>
      </w:r>
      <w:r>
        <w:rPr>
          <w:rFonts w:ascii="Arial" w:cs="Arial" w:eastAsia="Arial" w:hAnsi="Arial"/>
          <w:sz w:val="17"/>
          <w:szCs w:val="17"/>
          <w:u w:val="single" w:color="auto"/>
          <w:color w:val="auto"/>
        </w:rPr>
        <w:t>SECTION 22.3.2</w:t>
      </w:r>
      <w:r>
        <w:rPr>
          <w:rFonts w:ascii="Arial" w:cs="Arial" w:eastAsia="Arial" w:hAnsi="Arial"/>
          <w:sz w:val="17"/>
          <w:szCs w:val="17"/>
          <w:color w:val="auto"/>
        </w:rPr>
        <w:t>, OR A REPLACEMENT L-C AS CONTEMPLATED BY THE L-C FDIC REPLACEMENT NOTICE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271" w:right="239" w:bottom="1440" w:gutter="0" w:footer="0" w:header="0"/>
        </w:sectPr>
      </w:pPr>
    </w:p>
    <w:bookmarkStart w:id="292" w:name="page293"/>
    <w:bookmarkEnd w:id="292"/>
    <w:p>
      <w:pPr>
        <w:ind w:right="12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(AS APPLICABLE), AND THAT UNDER THE CIRCUMSTANCES EXISTING AS OF THE EFFECTIVE DATE, THE LIQUIDATED DAMAGES PROVIDED FOR IN THIS </w:t>
      </w:r>
      <w:r>
        <w:rPr>
          <w:rFonts w:ascii="Arial" w:cs="Arial" w:eastAsia="Arial" w:hAnsi="Arial"/>
          <w:sz w:val="17"/>
          <w:szCs w:val="17"/>
          <w:u w:val="single" w:color="auto"/>
          <w:color w:val="auto"/>
        </w:rPr>
        <w:t>SECTION 22.3.3</w:t>
      </w:r>
      <w:r>
        <w:rPr>
          <w:rFonts w:ascii="Arial" w:cs="Arial" w:eastAsia="Arial" w:hAnsi="Arial"/>
          <w:sz w:val="17"/>
          <w:szCs w:val="17"/>
          <w:color w:val="auto"/>
        </w:rPr>
        <w:t xml:space="preserve"> REPRESENT A REASONABLE ESTIMATE OF THE DAMAGES WHICH LANDLORD WILL INCUR AS A RESULT OF SUCH FAILURE, PROVIDED, HOWEVER, THAT THIS PROVISION SHALL NOT WAIVE OR AFFECT LANDLORD’S RIGHTS AND TENANT’S INDEMNITY OBLIGATIONS UNDER OTHER SECTIONS OF THIS LEASE (EXCEPT THAT THE PARTIES SPECIFICALLY AGREE THAT THE FOREGOING PROVISION WAS AGREED TO IN LIEU OF MAKING FAILURE TO PROVIDE LANDLORD WITH ADDITIONAL L-C(S) IN AN AMOUNT EQUAL TO THE DEFICIENCY OR A REPLACEMENT L-C (AS APPLICABLE) A DEFAULT UNDER THIS LEASE). THE PARTIES ACKNOWLEDGE THAT THE PAYMENT OF SUCH LIQUIDATED DAMAGES IS NOT INTENDED AS A FORFEITURE OR PENALTY WITHIN THE MEANING OF CALIFORNIA CIVIL CODE SECTION 3275 OR 3369, BUT IS INTENDED TO CONSTITUTE LIQUIDATED DAMAGES TO LANDLORD PURSUANT TO CALIFORNIA CIVIL CODE SECTION 1671. THE PARTIES HAVE SET FORTH THEIR INITIALS BELOW TO INDICATE THEIR AGREEMENT WITH THE LIQUIDATED DAMAGES PROVISION CONTAINED IN THIS </w:t>
      </w:r>
      <w:r>
        <w:rPr>
          <w:rFonts w:ascii="Arial" w:cs="Arial" w:eastAsia="Arial" w:hAnsi="Arial"/>
          <w:sz w:val="17"/>
          <w:szCs w:val="17"/>
          <w:u w:val="single" w:color="auto"/>
          <w:color w:val="auto"/>
        </w:rPr>
        <w:t>SECTION 22.3</w:t>
      </w:r>
      <w:r>
        <w:rPr>
          <w:rFonts w:ascii="Arial" w:cs="Arial" w:eastAsia="Arial" w:hAnsi="Arial"/>
          <w:sz w:val="17"/>
          <w:szCs w:val="17"/>
          <w:color w:val="auto"/>
        </w:rPr>
        <w:t>.</w:t>
      </w:r>
    </w:p>
    <w:p>
      <w:pPr>
        <w:spacing w:after="0" w:line="207" w:lineRule="exact"/>
        <w:rPr>
          <w:sz w:val="20"/>
          <w:szCs w:val="20"/>
          <w:color w:val="auto"/>
        </w:rPr>
      </w:pPr>
    </w:p>
    <w:tbl>
      <w:tblPr>
        <w:tblLayout w:type="fixed"/>
        <w:tblInd w:w="3220" w:type="dxa"/>
        <w:tblCellMar>
          <w:top w:w="0" w:type="dxa"/>
          <w:left w:w="0" w:type="dxa"/>
          <w:bottom w:w="0" w:type="dxa"/>
          <w:right w:w="0" w:type="dxa"/>
        </w:tblCellMar>
      </w:tblPr>
      <w:tr>
        <w:trPr>
          <w:trHeight w:val="176"/>
        </w:trPr>
        <w:tc>
          <w:tcPr>
            <w:tcW w:w="262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ACK</w:t>
            </w:r>
          </w:p>
        </w:tc>
        <w:tc>
          <w:tcPr>
            <w:tcW w:w="240" w:type="dxa"/>
            <w:vAlign w:val="bottom"/>
          </w:tcPr>
          <w:p>
            <w:pPr>
              <w:spacing w:after="0"/>
              <w:rPr>
                <w:sz w:val="15"/>
                <w:szCs w:val="15"/>
                <w:color w:val="auto"/>
              </w:rPr>
            </w:pPr>
          </w:p>
        </w:tc>
        <w:tc>
          <w:tcPr>
            <w:tcW w:w="262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TES/HS</w:t>
            </w:r>
          </w:p>
        </w:tc>
      </w:tr>
      <w:tr>
        <w:trPr>
          <w:trHeight w:val="215"/>
        </w:trPr>
        <w:tc>
          <w:tcPr>
            <w:tcW w:w="2620" w:type="dxa"/>
            <w:vAlign w:val="bottom"/>
          </w:tcPr>
          <w:p>
            <w:pPr>
              <w:spacing w:after="0"/>
              <w:rPr>
                <w:sz w:val="20"/>
                <w:szCs w:val="20"/>
                <w:color w:val="auto"/>
              </w:rPr>
            </w:pPr>
            <w:r>
              <w:rPr>
                <w:rFonts w:ascii="Arial" w:cs="Arial" w:eastAsia="Arial" w:hAnsi="Arial"/>
                <w:sz w:val="17"/>
                <w:szCs w:val="17"/>
                <w:color w:val="auto"/>
              </w:rPr>
              <w:t>LANDLORD’S INITIALS</w:t>
            </w:r>
          </w:p>
        </w:tc>
        <w:tc>
          <w:tcPr>
            <w:tcW w:w="2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TENANT’S INITIALS</w:t>
            </w:r>
          </w:p>
        </w:tc>
      </w:tr>
    </w:tbl>
    <w:p>
      <w:pPr>
        <w:spacing w:after="0" w:line="179"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b w:val="1"/>
          <w:bCs w:val="1"/>
          <w:u w:val="single" w:color="auto"/>
          <w:color w:val="auto"/>
        </w:rPr>
        <w:t>Transfer and Encumbrance</w:t>
      </w:r>
      <w:r>
        <w:rPr>
          <w:rFonts w:ascii="Arial" w:cs="Arial" w:eastAsia="Arial" w:hAnsi="Arial"/>
          <w:sz w:val="17"/>
          <w:szCs w:val="17"/>
          <w:color w:val="auto"/>
        </w:rPr>
        <w:t>. The L-C shall also provide that Landlord may, at any time and without notice to Tenant and without first obtaining Tenant’s consent thereto, transfer (one or more times) all of its interest in and to the L-C to another party, in connection with the assignment by Landlord of its rights and interests in and to this Lease. In the event of a transfer of Landlord’s interest in under this Lease, Landlord shall transfer the L-C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execute and submit to the Bank such applications, documents and instruments as may be necessary to effectuate such transfer; provided, however, with regard to the cost of any particular transfer, Landlord shall be responsible for, and shall pay, the first $1000 of the Bank’s transfer and processing fees in connection therewith, with Tenant being responsible for any excess.</w:t>
      </w:r>
    </w:p>
    <w:p>
      <w:pPr>
        <w:spacing w:after="0" w:line="74"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b w:val="1"/>
          <w:bCs w:val="1"/>
          <w:u w:val="single" w:color="auto"/>
          <w:color w:val="auto"/>
        </w:rPr>
        <w:t>L-C Not a Security Deposit</w:t>
      </w:r>
      <w:r>
        <w:rPr>
          <w:rFonts w:ascii="Arial" w:cs="Arial" w:eastAsia="Arial" w:hAnsi="Arial"/>
          <w:sz w:val="17"/>
          <w:szCs w:val="17"/>
          <w:color w:val="auto"/>
        </w:rPr>
        <w:t>. Landlord and Tenant (1) acknowledge and agree that in no event or circumstance shall the L-C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7"/>
          <w:szCs w:val="17"/>
          <w:b w:val="1"/>
          <w:bCs w:val="1"/>
          <w:color w:val="auto"/>
        </w:rPr>
        <w:t>Security Deposit Laws</w:t>
      </w:r>
      <w:r>
        <w:rPr>
          <w:rFonts w:ascii="Arial" w:cs="Arial" w:eastAsia="Arial" w:hAnsi="Arial"/>
          <w:sz w:val="17"/>
          <w:szCs w:val="17"/>
          <w:color w:val="auto"/>
        </w:rPr>
        <w:t>”), (2) acknowledge and agree that the L-C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statue, and all other provisions of law, now or hereafter in effect, which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271" w:right="239" w:bottom="1440" w:gutter="0" w:footer="0" w:header="0"/>
        </w:sectPr>
      </w:pPr>
    </w:p>
    <w:bookmarkStart w:id="293" w:name="page294"/>
    <w:bookmarkEnd w:id="293"/>
    <w:p>
      <w:pPr>
        <w:ind w:right="20" w:firstLine="5"/>
        <w:spacing w:after="0" w:line="263" w:lineRule="auto"/>
        <w:tabs>
          <w:tab w:leader="none" w:pos="247" w:val="left"/>
        </w:tabs>
        <w:numPr>
          <w:ilvl w:val="0"/>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Article 22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w:t>
      </w:r>
    </w:p>
    <w:p>
      <w:pPr>
        <w:spacing w:after="0" w:line="71"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b w:val="1"/>
          <w:bCs w:val="1"/>
          <w:u w:val="single" w:color="auto"/>
          <w:color w:val="auto"/>
        </w:rPr>
        <w:t>Non-Interference By Tenant</w:t>
      </w:r>
      <w:r>
        <w:rPr>
          <w:rFonts w:ascii="Arial" w:cs="Arial" w:eastAsia="Arial" w:hAnsi="Arial"/>
          <w:sz w:val="17"/>
          <w:szCs w:val="17"/>
          <w:color w:val="auto"/>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 shall not request or instruct the Bank of any L-C to refrain from paying sight draft(s) drawn under such L-C.</w:t>
      </w:r>
    </w:p>
    <w:p>
      <w:pPr>
        <w:spacing w:after="0" w:line="65" w:lineRule="exact"/>
        <w:rPr>
          <w:sz w:val="20"/>
          <w:szCs w:val="20"/>
          <w:color w:val="auto"/>
        </w:rPr>
      </w:pPr>
    </w:p>
    <w:p>
      <w:pPr>
        <w:ind w:right="280" w:firstLine="457"/>
        <w:spacing w:after="0" w:line="296" w:lineRule="auto"/>
        <w:rPr>
          <w:sz w:val="20"/>
          <w:szCs w:val="20"/>
          <w:color w:val="auto"/>
        </w:rPr>
      </w:pPr>
      <w:r>
        <w:rPr>
          <w:rFonts w:ascii="Arial" w:cs="Arial" w:eastAsia="Arial" w:hAnsi="Arial"/>
          <w:sz w:val="17"/>
          <w:szCs w:val="17"/>
          <w:color w:val="auto"/>
        </w:rPr>
        <w:t xml:space="preserve">22.7 </w:t>
      </w:r>
      <w:r>
        <w:rPr>
          <w:rFonts w:ascii="Arial" w:cs="Arial" w:eastAsia="Arial" w:hAnsi="Arial"/>
          <w:sz w:val="17"/>
          <w:szCs w:val="17"/>
          <w:b w:val="1"/>
          <w:bCs w:val="1"/>
          <w:u w:val="single" w:color="auto"/>
          <w:color w:val="auto"/>
        </w:rPr>
        <w:t>Waiver of Certain Relief</w:t>
      </w:r>
      <w:r>
        <w:rPr>
          <w:rFonts w:ascii="Arial" w:cs="Arial" w:eastAsia="Arial" w:hAnsi="Arial"/>
          <w:sz w:val="17"/>
          <w:szCs w:val="17"/>
          <w:color w:val="auto"/>
        </w:rPr>
        <w:t>. Tenant unconditionally and irrevocably waives (and as an independent covenant hereunder, covenants not to assert) any right to claim or obtain any of the following relief in connection with the L-C:</w:t>
      </w:r>
    </w:p>
    <w:p>
      <w:pPr>
        <w:spacing w:after="0" w:line="48" w:lineRule="exact"/>
        <w:rPr>
          <w:sz w:val="20"/>
          <w:szCs w:val="20"/>
          <w:color w:val="auto"/>
        </w:rPr>
      </w:pPr>
    </w:p>
    <w:p>
      <w:pPr>
        <w:ind w:right="760" w:firstLine="913"/>
        <w:spacing w:after="0" w:line="289" w:lineRule="auto"/>
        <w:rPr>
          <w:sz w:val="20"/>
          <w:szCs w:val="20"/>
          <w:color w:val="auto"/>
        </w:rPr>
      </w:pPr>
      <w:r>
        <w:rPr>
          <w:rFonts w:ascii="Arial" w:cs="Arial" w:eastAsia="Arial" w:hAnsi="Arial"/>
          <w:sz w:val="17"/>
          <w:szCs w:val="17"/>
          <w:color w:val="auto"/>
        </w:rPr>
        <w:t>22.7.1 A temporary restraining order, temporary injunction, permanent injunction, or other order that would prevent, restrain or restrict the presentment of sight drafts drawn under any L-C or the Bank’s honoring or payment of sight draft(s); or</w:t>
      </w:r>
    </w:p>
    <w:p>
      <w:pPr>
        <w:spacing w:after="0" w:line="53" w:lineRule="exact"/>
        <w:rPr>
          <w:sz w:val="20"/>
          <w:szCs w:val="20"/>
          <w:color w:val="auto"/>
        </w:rPr>
      </w:pPr>
    </w:p>
    <w:p>
      <w:pPr>
        <w:ind w:right="60" w:firstLine="913"/>
        <w:spacing w:after="0" w:line="289" w:lineRule="auto"/>
        <w:rPr>
          <w:sz w:val="20"/>
          <w:szCs w:val="20"/>
          <w:color w:val="auto"/>
        </w:rPr>
      </w:pPr>
      <w:r>
        <w:rPr>
          <w:rFonts w:ascii="Arial" w:cs="Arial" w:eastAsia="Arial" w:hAnsi="Arial"/>
          <w:sz w:val="17"/>
          <w:szCs w:val="17"/>
          <w:color w:val="auto"/>
        </w:rPr>
        <w:t>22.7.2 Any attachment, garnishment, or levy in any manner upon either the proceeds of any L-C or the obligations of the Bank (either before or after the presentment to the Bank of sight drafts drawn under such L-C) based on any theory whatever.</w:t>
      </w:r>
    </w:p>
    <w:p>
      <w:pPr>
        <w:spacing w:after="0" w:line="4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b w:val="1"/>
          <w:bCs w:val="1"/>
          <w:u w:val="single" w:color="auto"/>
          <w:color w:val="auto"/>
        </w:rPr>
        <w:t>Remedy for Improper Drafts</w:t>
      </w:r>
      <w:r>
        <w:rPr>
          <w:rFonts w:ascii="Arial" w:cs="Arial" w:eastAsia="Arial" w:hAnsi="Arial"/>
          <w:sz w:val="16"/>
          <w:szCs w:val="16"/>
          <w:u w:val="single" w:color="auto"/>
          <w:color w:val="auto"/>
        </w:rPr>
        <w:t>.</w:t>
      </w:r>
      <w:r>
        <w:rPr>
          <w:rFonts w:ascii="Arial" w:cs="Arial" w:eastAsia="Arial" w:hAnsi="Arial"/>
          <w:sz w:val="16"/>
          <w:szCs w:val="16"/>
          <w:color w:val="auto"/>
        </w:rPr>
        <w:t xml:space="preserve"> Tenant’s sole remedy in connection with the improper presentment or payment of sight drafts drawn under any L-C shall be the right to obtain from Landlord a refund of the amount of any sight draft(s) that were improperly presented or the proceeds of which were misapplied, together with interest at the Interest Rate and reasonable actual out-of-pocket attorneys’ fees, provided that at the time of such refund, Tenant increases the amount of such L-C to the amount (if any) then required under the applicable provisions of this Lease. Tenant acknowledges that the presentment of sight drafts drawn under any L-C, or the Bank’s payment of sight drafts drawn under such L-C,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60"/>
          </w:cols>
          <w:pgMar w:left="240" w:top="272" w:right="29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23</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SIGNS</w:t>
      </w:r>
    </w:p>
    <w:p>
      <w:pPr>
        <w:spacing w:after="0" w:line="224" w:lineRule="exact"/>
        <w:rPr>
          <w:sz w:val="20"/>
          <w:szCs w:val="20"/>
          <w:color w:val="auto"/>
        </w:rPr>
      </w:pPr>
    </w:p>
    <w:p>
      <w:pPr>
        <w:ind w:right="40" w:firstLine="457"/>
        <w:spacing w:after="0" w:line="296" w:lineRule="auto"/>
        <w:rPr>
          <w:sz w:val="20"/>
          <w:szCs w:val="20"/>
          <w:color w:val="auto"/>
        </w:rPr>
      </w:pPr>
      <w:r>
        <w:rPr>
          <w:rFonts w:ascii="Arial" w:cs="Arial" w:eastAsia="Arial" w:hAnsi="Arial"/>
          <w:sz w:val="15"/>
          <w:szCs w:val="15"/>
          <w:color w:val="auto"/>
        </w:rPr>
        <w:t xml:space="preserve">23.1 </w:t>
      </w:r>
      <w:r>
        <w:rPr>
          <w:rFonts w:ascii="Arial" w:cs="Arial" w:eastAsia="Arial" w:hAnsi="Arial"/>
          <w:sz w:val="15"/>
          <w:szCs w:val="15"/>
          <w:b w:val="1"/>
          <w:bCs w:val="1"/>
          <w:u w:val="single" w:color="auto"/>
          <w:color w:val="auto"/>
        </w:rPr>
        <w:t>Full Floors</w:t>
      </w:r>
      <w:r>
        <w:rPr>
          <w:rFonts w:ascii="Arial" w:cs="Arial" w:eastAsia="Arial" w:hAnsi="Arial"/>
          <w:sz w:val="15"/>
          <w:szCs w:val="15"/>
          <w:color w:val="auto"/>
        </w:rPr>
        <w:t>. Subject to Landlord’s prior written approval, in its sole discretion, and provided all signs are compatible with the quality, design and style of the Project’s sign criteria then established by Landlord (the “</w:t>
      </w:r>
      <w:r>
        <w:rPr>
          <w:rFonts w:ascii="Arial" w:cs="Arial" w:eastAsia="Arial" w:hAnsi="Arial"/>
          <w:sz w:val="15"/>
          <w:szCs w:val="15"/>
          <w:b w:val="1"/>
          <w:bCs w:val="1"/>
          <w:color w:val="auto"/>
        </w:rPr>
        <w:t>Project Sign Criteria</w:t>
      </w:r>
      <w:r>
        <w:rPr>
          <w:rFonts w:ascii="Arial" w:cs="Arial" w:eastAsia="Arial" w:hAnsi="Arial"/>
          <w:sz w:val="15"/>
          <w:szCs w:val="15"/>
          <w:color w:val="auto"/>
        </w:rPr>
        <w:t>”), and provided all signs are in keeping with the quality, design and style of the Building and Project, Tenant and any of Tenant’s Permitted Transferees or Tenant’s Occupants, at its sole cost and expense, may install identification signage anywhere on the floor in which the Premises is located including in the elevator lobby of the floor where the Premises is located, provided that such signs must not be visible from the exterior of the Building. In addition, Tenant shall have the right, at Tenant’s sole cost and expense, to have its name listed by Landlord on one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 line in the directory to be located in a mutually and reasonably determined location in the lobby of the Building.</w:t>
      </w:r>
    </w:p>
    <w:p>
      <w:pPr>
        <w:spacing w:after="0" w:line="101"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b w:val="1"/>
          <w:bCs w:val="1"/>
          <w:u w:val="single" w:color="auto"/>
          <w:color w:val="auto"/>
        </w:rPr>
        <w:t>Prohibited Signage and Other Items</w:t>
      </w:r>
      <w:r>
        <w:rPr>
          <w:rFonts w:ascii="Arial" w:cs="Arial" w:eastAsia="Arial" w:hAnsi="Arial"/>
          <w:sz w:val="17"/>
          <w:szCs w:val="17"/>
          <w:color w:val="auto"/>
        </w:rPr>
        <w:t xml:space="preserve">. Any signs, notices, logos, pictures, names or advertisements which are installed and that have not been separately approved by Landlord may be removed without notice by Landlord at the sole expense of Tenant. Except as otherwise expressly provided in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23.3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23.4</w:t>
      </w:r>
      <w:r>
        <w:rPr>
          <w:rFonts w:ascii="Arial" w:cs="Arial" w:eastAsia="Arial" w:hAnsi="Arial"/>
          <w:sz w:val="17"/>
          <w:szCs w:val="17"/>
          <w:color w:val="auto"/>
        </w:rPr>
        <w:t>, below,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6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b w:val="1"/>
          <w:bCs w:val="1"/>
          <w:u w:val="single" w:color="auto"/>
          <w:color w:val="auto"/>
        </w:rPr>
        <w:t>Building Top Sign</w:t>
      </w:r>
      <w:r>
        <w:rPr>
          <w:rFonts w:ascii="Arial" w:cs="Arial" w:eastAsia="Arial" w:hAnsi="Arial"/>
          <w:sz w:val="17"/>
          <w:szCs w:val="17"/>
          <w:color w:val="auto"/>
        </w:rPr>
        <w:t xml:space="preserve">. Notwithstanding any provision to the contrary contained in this </w:t>
      </w:r>
      <w:r>
        <w:rPr>
          <w:rFonts w:ascii="Arial" w:cs="Arial" w:eastAsia="Arial" w:hAnsi="Arial"/>
          <w:sz w:val="17"/>
          <w:szCs w:val="17"/>
          <w:u w:val="single" w:color="auto"/>
          <w:color w:val="auto"/>
        </w:rPr>
        <w:t>Article 23</w:t>
      </w:r>
      <w:r>
        <w:rPr>
          <w:rFonts w:ascii="Arial" w:cs="Arial" w:eastAsia="Arial" w:hAnsi="Arial"/>
          <w:sz w:val="17"/>
          <w:szCs w:val="17"/>
          <w:color w:val="auto"/>
        </w:rPr>
        <w:t>, the Original Tenant and any of its Permitted Transferees shall have the right, but not the obligation, at the sole cost and expense of Tenant, to install one (1) non-exclusive Building-top sign on the roof of the Building in one ( l ) location to be mutually and reasonably agreed upon by Landlord and Tenant (the “</w:t>
      </w:r>
      <w:r>
        <w:rPr>
          <w:rFonts w:ascii="Arial" w:cs="Arial" w:eastAsia="Arial" w:hAnsi="Arial"/>
          <w:sz w:val="17"/>
          <w:szCs w:val="17"/>
          <w:b w:val="1"/>
          <w:bCs w:val="1"/>
          <w:color w:val="auto"/>
        </w:rPr>
        <w:t>Building-Top Sign</w:t>
      </w:r>
      <w:r>
        <w:rPr>
          <w:rFonts w:ascii="Arial" w:cs="Arial" w:eastAsia="Arial" w:hAnsi="Arial"/>
          <w:sz w:val="17"/>
          <w:szCs w:val="17"/>
          <w:color w:val="auto"/>
        </w:rPr>
        <w:t xml:space="preserve">”), which Building-Top Sign may, subject to the terms set forth in </w:t>
      </w:r>
      <w:r>
        <w:rPr>
          <w:rFonts w:ascii="Arial" w:cs="Arial" w:eastAsia="Arial" w:hAnsi="Arial"/>
          <w:sz w:val="17"/>
          <w:szCs w:val="17"/>
          <w:u w:val="single" w:color="auto"/>
          <w:color w:val="auto"/>
        </w:rPr>
        <w:t>Section 23.6</w:t>
      </w:r>
      <w:r>
        <w:rPr>
          <w:rFonts w:ascii="Arial" w:cs="Arial" w:eastAsia="Arial" w:hAnsi="Arial"/>
          <w:sz w:val="17"/>
          <w:szCs w:val="17"/>
          <w:color w:val="auto"/>
        </w:rPr>
        <w:t>, below, contain Tenant’s name and/or Tenant’s logo. Such Building-Top Sign shall conform to all zoning and CC&amp;Rs, and shall be subject to the Project Sign Criteria and Landlord’s reasonable review and approval. All costs associated with the Building-Top Sign, including, without limitation, the costs to purchase, install, maintain, and remove it, shall be borne exclusively by Tenant.</w:t>
      </w:r>
    </w:p>
    <w:p>
      <w:pPr>
        <w:spacing w:after="0" w:line="67" w:lineRule="exact"/>
        <w:rPr>
          <w:sz w:val="20"/>
          <w:szCs w:val="20"/>
          <w:color w:val="auto"/>
        </w:rPr>
      </w:pPr>
    </w:p>
    <w:p>
      <w:pPr>
        <w:ind w:right="120" w:firstLine="457"/>
        <w:spacing w:after="0" w:line="304" w:lineRule="auto"/>
        <w:rPr>
          <w:sz w:val="20"/>
          <w:szCs w:val="20"/>
          <w:color w:val="auto"/>
        </w:rPr>
      </w:pPr>
      <w:r>
        <w:rPr>
          <w:rFonts w:ascii="Arial" w:cs="Arial" w:eastAsia="Arial" w:hAnsi="Arial"/>
          <w:sz w:val="15"/>
          <w:szCs w:val="15"/>
          <w:color w:val="auto"/>
        </w:rPr>
        <w:t xml:space="preserve">23.4 </w:t>
      </w:r>
      <w:r>
        <w:rPr>
          <w:rFonts w:ascii="Arial" w:cs="Arial" w:eastAsia="Arial" w:hAnsi="Arial"/>
          <w:sz w:val="15"/>
          <w:szCs w:val="15"/>
          <w:b w:val="1"/>
          <w:bCs w:val="1"/>
          <w:u w:val="single" w:color="auto"/>
          <w:color w:val="auto"/>
        </w:rPr>
        <w:t>Monument Signage</w:t>
      </w:r>
      <w:r>
        <w:rPr>
          <w:rFonts w:ascii="Arial" w:cs="Arial" w:eastAsia="Arial" w:hAnsi="Arial"/>
          <w:sz w:val="15"/>
          <w:szCs w:val="15"/>
          <w:color w:val="auto"/>
        </w:rPr>
        <w:t xml:space="preserve">. Original Tenant and any of its Permitted Transferees shall have the non-exclusive right, but not the obligation, to have its name and/or logo as determined by Tenant placed on portion of any multi-tenant monument sign serving the Building (which portion shall be determined based on the rentable square footage then leased by Tenant), and such signage shall be compatible with the quality, design and style of the Project’s Sign Criteria; provided, however, in no event shall Tenant’s signage include an “Objectionable Name,” as that term is defined in </w:t>
      </w:r>
      <w:r>
        <w:rPr>
          <w:rFonts w:ascii="Arial" w:cs="Arial" w:eastAsia="Arial" w:hAnsi="Arial"/>
          <w:sz w:val="15"/>
          <w:szCs w:val="15"/>
          <w:u w:val="single" w:color="auto"/>
          <w:color w:val="auto"/>
        </w:rPr>
        <w:t>Section 23.8</w:t>
      </w:r>
      <w:r>
        <w:rPr>
          <w:rFonts w:ascii="Arial" w:cs="Arial" w:eastAsia="Arial" w:hAnsi="Arial"/>
          <w:sz w:val="15"/>
          <w:szCs w:val="15"/>
          <w:color w:val="auto"/>
        </w:rPr>
        <w:t>, of this Lease. Landlord shall have the right to (i) position or prioritize Tenant’s name in any position on such monument signage as it shall determine in its sole discretion, from time to time, (ii) design and organize such monument signage (and the materials, design, script size, type face, colors and all other characteristics thereof) in such manner as it shall determine in its sole discretion, (iii) place such other names, business names, trade names or affiliate names representing such other tenants as it shall determine in its sole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265" w:right="239" w:bottom="1440" w:gutter="0" w:footer="0" w:header="0"/>
        </w:sectPr>
      </w:pPr>
    </w:p>
    <w:bookmarkStart w:id="295" w:name="page296"/>
    <w:bookmarkEnd w:id="295"/>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discretion, (iv) make such modifications to such monument signage as it shall desire from time to time so long as such changes do not materially adversely affect Tenant’s monument signage rights under this </w:t>
      </w:r>
      <w:r>
        <w:rPr>
          <w:rFonts w:ascii="Arial" w:cs="Arial" w:eastAsia="Arial" w:hAnsi="Arial"/>
          <w:sz w:val="17"/>
          <w:szCs w:val="17"/>
          <w:u w:val="single" w:color="auto"/>
          <w:color w:val="auto"/>
        </w:rPr>
        <w:t>Section 23.4</w:t>
      </w:r>
      <w:r>
        <w:rPr>
          <w:rFonts w:ascii="Arial" w:cs="Arial" w:eastAsia="Arial" w:hAnsi="Arial"/>
          <w:sz w:val="17"/>
          <w:szCs w:val="17"/>
          <w:color w:val="auto"/>
        </w:rPr>
        <w:t>, and (v) place thereon the name of (and/or other identifying information for) the Building and/or Project as Landlord shall determine in its sole discretion.</w:t>
      </w:r>
    </w:p>
    <w:p>
      <w:pPr>
        <w:spacing w:after="0" w:line="60"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b w:val="1"/>
          <w:bCs w:val="1"/>
          <w:u w:val="single" w:color="auto"/>
          <w:color w:val="auto"/>
        </w:rPr>
        <w:t>Rights Personal</w:t>
      </w:r>
      <w:r>
        <w:rPr>
          <w:rFonts w:ascii="Arial" w:cs="Arial" w:eastAsia="Arial" w:hAnsi="Arial"/>
          <w:sz w:val="17"/>
          <w:szCs w:val="17"/>
          <w:color w:val="auto"/>
        </w:rPr>
        <w:t xml:space="preserve">. The rights granted under </w:t>
      </w:r>
      <w:r>
        <w:rPr>
          <w:rFonts w:ascii="Arial" w:cs="Arial" w:eastAsia="Arial" w:hAnsi="Arial"/>
          <w:sz w:val="17"/>
          <w:szCs w:val="17"/>
          <w:u w:val="single" w:color="auto"/>
          <w:color w:val="auto"/>
        </w:rPr>
        <w:t>Sections 23.3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23.4</w:t>
      </w:r>
      <w:r>
        <w:rPr>
          <w:rFonts w:ascii="Arial" w:cs="Arial" w:eastAsia="Arial" w:hAnsi="Arial"/>
          <w:sz w:val="17"/>
          <w:szCs w:val="17"/>
          <w:color w:val="auto"/>
        </w:rPr>
        <w:t xml:space="preserve"> are personal to the Original Tenant and its Permitted Transferees, and shall not be transferable in any other respect whatsoever. If (i) the Lease shall be assigned to any party other than Permitted Transferee, (ii) there is an event of default (beyond the applicable notice and cure periods) exists under this Lease, or (iii) the Original Tenant or its Permitted Transferee (together with any Tenant’s Occupants) occupies less than the entire Premises (except for time periods during repairs, remodeling or similar circumstances), Landlord shall have the right to cancel Tenant’s rights under this </w:t>
      </w:r>
      <w:r>
        <w:rPr>
          <w:rFonts w:ascii="Arial" w:cs="Arial" w:eastAsia="Arial" w:hAnsi="Arial"/>
          <w:sz w:val="17"/>
          <w:szCs w:val="17"/>
          <w:u w:val="single" w:color="auto"/>
          <w:color w:val="auto"/>
        </w:rPr>
        <w:t>Section 23.5</w:t>
      </w:r>
      <w:r>
        <w:rPr>
          <w:rFonts w:ascii="Arial" w:cs="Arial" w:eastAsia="Arial" w:hAnsi="Arial"/>
          <w:sz w:val="17"/>
          <w:szCs w:val="17"/>
          <w:color w:val="auto"/>
        </w:rPr>
        <w:t xml:space="preserve"> and to require Tenant to remove at Tenant’s sole cost and expense Tenant’s name from such monument signage within fifteen ( 15) days after delivery of Landlord ‘s written notice to do so.</w:t>
      </w:r>
    </w:p>
    <w:p>
      <w:pPr>
        <w:spacing w:after="0" w:line="67"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 xml:space="preserve">23.6 </w:t>
      </w:r>
      <w:r>
        <w:rPr>
          <w:rFonts w:ascii="Arial" w:cs="Arial" w:eastAsia="Arial" w:hAnsi="Arial"/>
          <w:sz w:val="16"/>
          <w:szCs w:val="16"/>
          <w:b w:val="1"/>
          <w:bCs w:val="1"/>
          <w:u w:val="single" w:color="auto"/>
          <w:color w:val="auto"/>
        </w:rPr>
        <w:t>Specifications and Permits</w:t>
      </w:r>
      <w:r>
        <w:rPr>
          <w:rFonts w:ascii="Arial" w:cs="Arial" w:eastAsia="Arial" w:hAnsi="Arial"/>
          <w:sz w:val="16"/>
          <w:szCs w:val="16"/>
          <w:color w:val="auto"/>
        </w:rPr>
        <w:t>. The graphics, materials, color, design, lettering, size and specifications of Tenant’s name on such monument signage and Building-Top Sign (collectively, the “</w:t>
      </w:r>
      <w:r>
        <w:rPr>
          <w:rFonts w:ascii="Arial" w:cs="Arial" w:eastAsia="Arial" w:hAnsi="Arial"/>
          <w:sz w:val="16"/>
          <w:szCs w:val="16"/>
          <w:b w:val="1"/>
          <w:bCs w:val="1"/>
          <w:color w:val="auto"/>
        </w:rPr>
        <w:t>Sign Specifications</w:t>
      </w:r>
      <w:r>
        <w:rPr>
          <w:rFonts w:ascii="Arial" w:cs="Arial" w:eastAsia="Arial" w:hAnsi="Arial"/>
          <w:sz w:val="16"/>
          <w:szCs w:val="16"/>
          <w:color w:val="auto"/>
        </w:rPr>
        <w:t>”) shall be (i) subject to the prior written consent of Landlord, including, without limitation, as to the design, materials, color, size and all other aesthetic factors of such signage and which consent thereto shall be in Landlord’s sole discretion; (ii) consistent with the size and quality of comparable signage on comparable institutionally owned first-class office buildings in the local market, (iii) in compliance with all Laws,</w:t>
      </w:r>
    </w:p>
    <w:p>
      <w:pPr>
        <w:spacing w:after="0" w:line="1" w:lineRule="exact"/>
        <w:rPr>
          <w:sz w:val="20"/>
          <w:szCs w:val="20"/>
          <w:color w:val="auto"/>
        </w:rPr>
      </w:pPr>
    </w:p>
    <w:p>
      <w:pPr>
        <w:ind w:right="60" w:firstLine="5"/>
        <w:spacing w:after="0" w:line="262" w:lineRule="auto"/>
        <w:tabs>
          <w:tab w:leader="none" w:pos="29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subject to receipt by Tenant of all required governmental permits and approvals therefore, and (v) consistent with the Project Sign Criteria and the overall character of the Building’s/Project’s architecture (as determined by Landlord). In addition, Tenant’s name on such monument signage and Building-Top Sign shall be subject to the receipt of all required governmental permits and approvals (and the submission of copies thereof to Landlord), and shall be subject to all applicable Laws.</w:t>
      </w:r>
    </w:p>
    <w:p>
      <w:pPr>
        <w:spacing w:after="0" w:line="71"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23.7 </w:t>
      </w:r>
      <w:r>
        <w:rPr>
          <w:rFonts w:ascii="Arial" w:cs="Arial" w:eastAsia="Arial" w:hAnsi="Arial"/>
          <w:sz w:val="17"/>
          <w:szCs w:val="17"/>
          <w:b w:val="1"/>
          <w:bCs w:val="1"/>
          <w:u w:val="single" w:color="auto"/>
          <w:color w:val="auto"/>
        </w:rPr>
        <w:t>Cost and Maintenance</w:t>
      </w:r>
      <w:r>
        <w:rPr>
          <w:rFonts w:ascii="Arial" w:cs="Arial" w:eastAsia="Arial" w:hAnsi="Arial"/>
          <w:sz w:val="17"/>
          <w:szCs w:val="17"/>
          <w:color w:val="auto"/>
        </w:rPr>
        <w:t>. Landlord’s actual, out-of-pocket costs of the actual signs comprising Tenant’s name and/or logo on such monument sign and Building-Top Sign, as well as the installation, design, construction, and any and all other costs associated with Tenant’s name on such monument signage and/or the Building-Top Sign, including, without limitation, utility charges and hook-up fees (if applicable), permits, and maintenance and repairs, shall be the sole responsibility of Tenant provided that Tenant shall have the opportunity to preview estimates for any such amounts to be charged to Tenant; provided that Landlord shall reasonably cooperate with Tenant’s use of Common Areas to allow Tenant to install, operate, maintain and repair Tenant’s name on such monument sign and/or the Building- Top Sign. Should Tenant’s name and/or logo on such monument sign and/or the Building-Top Sign require repairs and/or maintenance, Landlord shall have the right to provide notice thereof to Tenant and Tenant (except as set forth above) shall cause such repairs and/or maintenance to commence to be performed within thirty (30) days after receipt of such notice from Landlord, at Tenant’s sole cost and expense; provided, however, if such repairs and/or maintenance are reasonably expected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00"/>
          </w:cols>
          <w:pgMar w:left="240" w:top="271" w:right="259" w:bottom="1440" w:gutter="0" w:footer="0" w:header="0"/>
        </w:sectPr>
      </w:pPr>
    </w:p>
    <w:bookmarkStart w:id="296" w:name="page297"/>
    <w:bookmarkEnd w:id="296"/>
    <w:p>
      <w:pPr>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2975" cy="38100"/>
                    </a:xfrm>
                    <a:prstGeom prst="rect">
                      <a:avLst/>
                    </a:prstGeom>
                    <a:noFill/>
                  </pic:spPr>
                </pic:pic>
              </a:graphicData>
            </a:graphic>
          </wp:anchor>
        </w:drawing>
        <w:t xml:space="preserve">to require longer than thirty (30) days to perform, Tenant shall commence such repairs and/or maintenance within such thirty (30) day period and shall thereafter diligently prosecute such repairs and maintenance to completion at Tenant’s sole cost and expense. Should Tenant fail to perform such repairs and/or maintenance within the periods described in the immediately preceding sentence, Landlord shall have the right to cause such work to be performed and to charge Tenant as Additional Rent for the actual out-of-pocket cost of such work plus interest at the Interest Rate from the date of Landlord’s payment of such actual costs to the date of Tenant’s reimbursement to Landlord. Tenant shall bear a pro rata share (based upon the number of tenants identified on such monument sign) of all of Landlord’s actual out-of-pocket costs of maintenance and operation of such monument sign and all such costs shall be paid by Tenant to Landlord as Additional Rent within ten (10) days of receipt of Landlord’s written demand therefore. Within a reasonable time following the expiration or earlier termination of this Lease (which shall in no event be later than thirty (30) days after such expiration or termination of this Lease), Tenant shall, at Tenant’s sole cost and expense, commence, and thereafter shall diligently pursue, the removal of Tenant’s name from such monument sign and the Building-Top Sign, and shall cause the areas in which such Tenant’s name on such monument sign and the Building-Top Sign was located to be restored to the condition existing immediately prior to the placement of such Tenant’s name on such monument signage and the installation of the Building-Top Sign. If Tenant fails to timely remove Tenant’s name from such monument sign and/or the Building-Top Sign or to restore the areas in which Tenant’s name on such monument sign and/or Building-Top Sign was located, as provided in the immediately preceding sentence, then Landlord may perform such work, and all actual costs reasonably incurred by Landlord in so performing, plus interest at the Interest Rate from the date of Landlord’s payment of such costs to the date of Tenant’s reimbursement to Landlord, shall be reimbursed by Tenant to Landlord within thirty (30) days after Tenant’s receipt of an invoice therefore. The terms of this </w:t>
      </w:r>
      <w:r>
        <w:rPr>
          <w:rFonts w:ascii="Arial" w:cs="Arial" w:eastAsia="Arial" w:hAnsi="Arial"/>
          <w:sz w:val="16"/>
          <w:szCs w:val="16"/>
          <w:u w:val="single" w:color="auto"/>
          <w:color w:val="auto"/>
        </w:rPr>
        <w:t>Section 23.7</w:t>
      </w:r>
      <w:r>
        <w:rPr>
          <w:rFonts w:ascii="Arial" w:cs="Arial" w:eastAsia="Arial" w:hAnsi="Arial"/>
          <w:sz w:val="16"/>
          <w:szCs w:val="16"/>
          <w:color w:val="auto"/>
        </w:rPr>
        <w:t xml:space="preserve"> shall survive the expiration or earlier termination of this Lease.</w:t>
      </w:r>
    </w:p>
    <w:p>
      <w:pPr>
        <w:spacing w:after="0" w:line="66"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 xml:space="preserve">23.8 </w:t>
      </w:r>
      <w:r>
        <w:rPr>
          <w:rFonts w:ascii="Arial" w:cs="Arial" w:eastAsia="Arial" w:hAnsi="Arial"/>
          <w:sz w:val="17"/>
          <w:szCs w:val="17"/>
          <w:b w:val="1"/>
          <w:bCs w:val="1"/>
          <w:u w:val="single" w:color="auto"/>
          <w:color w:val="auto"/>
        </w:rPr>
        <w:t>Objectionable Name</w:t>
      </w:r>
      <w:r>
        <w:rPr>
          <w:rFonts w:ascii="Arial" w:cs="Arial" w:eastAsia="Arial" w:hAnsi="Arial"/>
          <w:sz w:val="17"/>
          <w:szCs w:val="17"/>
          <w:color w:val="auto"/>
        </w:rPr>
        <w:t>. In no event shall Tenant’s signage include, identify or otherwise refer to a name which relates to an entity which is of a character or reputation, or is associated with a political faction or orientation, which is inconsistent with the quality of the Project, or which would otherwise reasonably offend a landlord of a Comparable Building (an “</w:t>
      </w:r>
      <w:r>
        <w:rPr>
          <w:rFonts w:ascii="Arial" w:cs="Arial" w:eastAsia="Arial" w:hAnsi="Arial"/>
          <w:sz w:val="17"/>
          <w:szCs w:val="17"/>
          <w:b w:val="1"/>
          <w:bCs w:val="1"/>
          <w:color w:val="auto"/>
        </w:rPr>
        <w:t>Objectionable Name</w:t>
      </w:r>
      <w:r>
        <w:rPr>
          <w:rFonts w:ascii="Arial" w:cs="Arial" w:eastAsia="Arial" w:hAnsi="Arial"/>
          <w:sz w:val="17"/>
          <w:szCs w:val="17"/>
          <w:color w:val="auto"/>
        </w:rPr>
        <w:t>”). The parties hereby agree that the name “AnaptysBio, Inc.” or any reasonable derivation thereof, shall not be deemed an Objectionable Name.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24</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COMPLIANCE WITH LAW</w:t>
      </w:r>
    </w:p>
    <w:p>
      <w:pPr>
        <w:spacing w:after="0" w:line="230"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Tenant shall not do anything or suffer anything to be done in or about the Premises or the Project which will in any way conflict with any law, statute, ordinance or other governmental rule, regulation or requirement now in force or which may hereafter be enacted or promulgated and is applicable to the Premises or Tenant’s use or occupancy of the Premises (collectively, “</w:t>
      </w:r>
      <w:r>
        <w:rPr>
          <w:rFonts w:ascii="Arial" w:cs="Arial" w:eastAsia="Arial" w:hAnsi="Arial"/>
          <w:sz w:val="17"/>
          <w:szCs w:val="17"/>
          <w:b w:val="1"/>
          <w:bCs w:val="1"/>
          <w:color w:val="auto"/>
        </w:rPr>
        <w:t>Applicable Laws</w:t>
      </w:r>
      <w:r>
        <w:rPr>
          <w:rFonts w:ascii="Arial" w:cs="Arial" w:eastAsia="Arial" w:hAnsi="Arial"/>
          <w:sz w:val="17"/>
          <w:szCs w:val="17"/>
          <w:color w:val="auto"/>
        </w:rPr>
        <w:t>”). At its sole cost and expense, Tenant shall promptly comply with all such Applicable Laws which relate to (i) Tenant’s use of the Premises for the Permitted Use (but which for purposes of this provision shall not apply to the extent resulting directly from the particular nature of Tenant’s tissue culture room and rodent vivarium uses) , (ii) the Alterations or the Improvements in the Premises, or (iii) the Base Building, but, as to the Base Building,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00"/>
          </w:cols>
          <w:pgMar w:left="240" w:top="271" w:right="259" w:bottom="1440" w:gutter="0" w:footer="0" w:header="0"/>
        </w:sectPr>
      </w:pPr>
    </w:p>
    <w:bookmarkStart w:id="297" w:name="page298"/>
    <w:bookmarkEnd w:id="297"/>
    <w:p>
      <w:pPr>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only to the extent such obligations are triggered by Tenant’s Alterations, the Improvements, or use of the Premises for other than the Permitted Use (but which for purposes of this provision shall not apply to the extent resulting directly from the particular nature of Tenant’s tissue culture room and rodent vivarium uses).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The judgment of any court of competent jurisdiction or the admission of Tenant in any judicial action, regardless of whether Landlord is a party thereto, that Tenant has violated any of said governmental measures, shall be conclusive of that fact as between Landlord and Tenant. Landlord shall comply with all Applicable Laws relating to the Base Building, provided that compliance with such Applicable Laws is not the responsibility of Tenant under this Lease, and provided further that Landlord’s failure to comply therewith would prohibit Tenant from obtaining or maintaining a certificate of occupancy for the Premises, or would unreasonably and materially affect the safety of Tenant’s employees or create a significant health hazard for Tenant’s employees. Landlord shall be permitted to include in Operating Expenses any costs or expenses incurred by Landlord under this </w:t>
      </w:r>
      <w:r>
        <w:rPr>
          <w:rFonts w:ascii="Arial" w:cs="Arial" w:eastAsia="Arial" w:hAnsi="Arial"/>
          <w:sz w:val="17"/>
          <w:szCs w:val="17"/>
          <w:u w:val="single" w:color="auto"/>
          <w:color w:val="auto"/>
        </w:rPr>
        <w:t>Article 24</w:t>
      </w:r>
      <w:r>
        <w:rPr>
          <w:rFonts w:ascii="Arial" w:cs="Arial" w:eastAsia="Arial" w:hAnsi="Arial"/>
          <w:sz w:val="17"/>
          <w:szCs w:val="17"/>
          <w:color w:val="auto"/>
        </w:rPr>
        <w:t xml:space="preserve"> to the extent consistent with the terms of </w:t>
      </w:r>
      <w:r>
        <w:rPr>
          <w:rFonts w:ascii="Arial" w:cs="Arial" w:eastAsia="Arial" w:hAnsi="Arial"/>
          <w:sz w:val="17"/>
          <w:szCs w:val="17"/>
          <w:u w:val="single" w:color="auto"/>
          <w:color w:val="auto"/>
        </w:rPr>
        <w:t>Section 4.2.4</w:t>
      </w:r>
      <w:r>
        <w:rPr>
          <w:rFonts w:ascii="Arial" w:cs="Arial" w:eastAsia="Arial" w:hAnsi="Arial"/>
          <w:sz w:val="17"/>
          <w:szCs w:val="17"/>
          <w:color w:val="auto"/>
        </w:rPr>
        <w:t>, above, and which are not inconsistent with the terms set forth in the Work Letter in connection with the Landlord Work.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25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LATE CHARGES</w:t>
      </w:r>
    </w:p>
    <w:p>
      <w:pPr>
        <w:spacing w:after="0" w:line="230" w:lineRule="exact"/>
        <w:rPr>
          <w:sz w:val="20"/>
          <w:szCs w:val="20"/>
          <w:color w:val="auto"/>
        </w:rPr>
      </w:pPr>
    </w:p>
    <w:p>
      <w:pPr>
        <w:ind w:right="180" w:firstLine="457"/>
        <w:spacing w:after="0" w:line="299" w:lineRule="auto"/>
        <w:rPr>
          <w:sz w:val="20"/>
          <w:szCs w:val="20"/>
          <w:color w:val="auto"/>
        </w:rPr>
      </w:pPr>
      <w:r>
        <w:rPr>
          <w:rFonts w:ascii="Arial" w:cs="Arial" w:eastAsia="Arial" w:hAnsi="Arial"/>
          <w:sz w:val="15"/>
          <w:szCs w:val="15"/>
          <w:color w:val="auto"/>
        </w:rPr>
        <w:t>If any installment of Rent or any other sum due from Tenant shall not be received by Landlord or Landlord’s designee when due, then Tenant shall pay to Landlord a late charge equal to five percent (5%) of the overdue amount plus any attorneys’ fees incurred by Landlord by reason of Tenant’s failure to pay Rent and/or other charges when due hereunder; provided, however, with regard to the first such failure in any twelve (12) month period, Landlord will waive such late charge to the extent Tenant cures such failure within five (5) business days following Tenant’s receipt of written notice from Landlord that the same was not received when due.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the “Interest Rate.” For purposes of this Lease, the “</w:t>
      </w:r>
      <w:r>
        <w:rPr>
          <w:rFonts w:ascii="Arial" w:cs="Arial" w:eastAsia="Arial" w:hAnsi="Arial"/>
          <w:sz w:val="15"/>
          <w:szCs w:val="15"/>
          <w:b w:val="1"/>
          <w:bCs w:val="1"/>
          <w:color w:val="auto"/>
        </w:rPr>
        <w:t>Interest Rate</w:t>
      </w:r>
      <w:r>
        <w:rPr>
          <w:rFonts w:ascii="Arial" w:cs="Arial" w:eastAsia="Arial" w:hAnsi="Arial"/>
          <w:sz w:val="15"/>
          <w:szCs w:val="15"/>
          <w:color w:val="auto"/>
        </w:rPr>
        <w:t>” shall be an annual rate equal to the lesser of (i) the annual “</w:t>
      </w:r>
      <w:r>
        <w:rPr>
          <w:rFonts w:ascii="Arial" w:cs="Arial" w:eastAsia="Arial" w:hAnsi="Arial"/>
          <w:sz w:val="15"/>
          <w:szCs w:val="15"/>
          <w:b w:val="1"/>
          <w:bCs w:val="1"/>
          <w:color w:val="auto"/>
        </w:rPr>
        <w:t>Bank Prime Loan</w:t>
      </w:r>
      <w:r>
        <w:rPr>
          <w:rFonts w:ascii="Arial" w:cs="Arial" w:eastAsia="Arial" w:hAnsi="Arial"/>
          <w:sz w:val="15"/>
          <w:szCs w:val="15"/>
          <w:color w:val="auto"/>
        </w:rPr>
        <w:t>” rate cited in the Federal Reserve Statistical Release Publication H. l 5(519), published weekly (or such other comparable index as Landlord and Tenant shall reasonably agree upon if such rate ceases to be published), plus two (2) percentage points, and (ii) the highest rate permitted by applicable law.</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271" w:right="239"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ARTICLE 26</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LANDLORD’S RIGHT TO CURE DEFAULT; PAYMENTS BY TENANT</w:t>
      </w:r>
    </w:p>
    <w:p>
      <w:pPr>
        <w:spacing w:after="0" w:line="224"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Landlord’s Cure</w:t>
      </w:r>
      <w:r>
        <w:rPr>
          <w:rFonts w:ascii="Arial" w:cs="Arial" w:eastAsia="Arial" w:hAnsi="Arial"/>
          <w:sz w:val="17"/>
          <w:szCs w:val="17"/>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7"/>
          <w:szCs w:val="17"/>
          <w:u w:val="single" w:color="auto"/>
          <w:color w:val="auto"/>
        </w:rPr>
        <w:t>Section 19.1.2</w:t>
      </w:r>
      <w:r>
        <w:rPr>
          <w:rFonts w:ascii="Arial" w:cs="Arial" w:eastAsia="Arial" w:hAnsi="Arial"/>
          <w:sz w:val="17"/>
          <w:szCs w:val="17"/>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71"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 xml:space="preserve">26.2 Tenant’s Reimbursement. Except as may be specifically provided to the contrary in this Lease, Tenant shall pay to Landlord, upon delivery by Landlord to Tenant of statements therefor: (i) sums equal to expenditures reasonably made and obligations reasonably incurred by Landlord in connection with the remedying by Landlord of Tenant’s defaults pursuant to the provisions of </w:t>
      </w:r>
      <w:r>
        <w:rPr>
          <w:rFonts w:ascii="Arial" w:cs="Arial" w:eastAsia="Arial" w:hAnsi="Arial"/>
          <w:sz w:val="16"/>
          <w:szCs w:val="16"/>
          <w:u w:val="single" w:color="auto"/>
          <w:color w:val="auto"/>
        </w:rPr>
        <w:t>Section 26.1</w:t>
      </w:r>
      <w:r>
        <w:rPr>
          <w:rFonts w:ascii="Arial" w:cs="Arial" w:eastAsia="Arial" w:hAnsi="Arial"/>
          <w:sz w:val="16"/>
          <w:szCs w:val="16"/>
          <w:color w:val="auto"/>
        </w:rPr>
        <w:t xml:space="preserve">; (ii) sums equal to all losses, costs, liabilities, damages and expenses referred to in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and (iii) sums equal to all expenditures reasonably made and obligations reasonably incurred by Landlord in collecting or attempting to collect the Rent or in enforcing or attempting to enforce any rights of Landlord under this Lease or pursuant to law, including, without limitation, all legal fees and other amounts so expended. Tenant’s obligations under this </w:t>
      </w:r>
      <w:r>
        <w:rPr>
          <w:rFonts w:ascii="Arial" w:cs="Arial" w:eastAsia="Arial" w:hAnsi="Arial"/>
          <w:sz w:val="16"/>
          <w:szCs w:val="16"/>
          <w:u w:val="single" w:color="auto"/>
          <w:color w:val="auto"/>
        </w:rPr>
        <w:t>Section 26.2</w:t>
      </w:r>
      <w:r>
        <w:rPr>
          <w:rFonts w:ascii="Arial" w:cs="Arial" w:eastAsia="Arial" w:hAnsi="Arial"/>
          <w:sz w:val="16"/>
          <w:szCs w:val="16"/>
          <w:color w:val="auto"/>
        </w:rPr>
        <w:t xml:space="preserve"> shall survive the expiration or sooner termination of the Lease Term.</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27</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ENTRY BY LANDLORD</w:t>
      </w:r>
    </w:p>
    <w:p>
      <w:pPr>
        <w:spacing w:after="0" w:line="230" w:lineRule="exact"/>
        <w:rPr>
          <w:sz w:val="20"/>
          <w:szCs w:val="20"/>
          <w:color w:val="auto"/>
        </w:rPr>
      </w:pPr>
    </w:p>
    <w:p>
      <w:pPr>
        <w:ind w:right="20" w:firstLine="457"/>
        <w:spacing w:after="0" w:line="275" w:lineRule="auto"/>
        <w:rPr>
          <w:sz w:val="20"/>
          <w:szCs w:val="20"/>
          <w:color w:val="auto"/>
        </w:rPr>
      </w:pPr>
      <w:r>
        <w:rPr>
          <w:rFonts w:ascii="Arial" w:cs="Arial" w:eastAsia="Arial" w:hAnsi="Arial"/>
          <w:sz w:val="16"/>
          <w:szCs w:val="16"/>
          <w:color w:val="auto"/>
        </w:rPr>
        <w:t xml:space="preserve">Landlord reserves the right at all reasonable times (during Building Hours with respect to items (i) and (ii) below) and upon at least twenty-four (24) hours prior notice to Tenant (except in the case of an emergency) to enter the Premises to (i) inspect them; (ii) show the Premises to prospective purchasers, or to current or prospective mortgagees, ground or underlying lessors or insurers, or during the last nine (9) months of the Lease Term, to prospective tenants; (iii) post notices of nonresponsibility; or (iv) alter, improve or repair the Premises or the Building, or for structural alterations, repairs or improvements to the Building or the Building’s systems and equipment; provided, however, except in the event of an emergency, Tenant shall have the option upon at least twelve (12) hours prior notice to Landlord to require Landlord’s entry be delayed by up to seventy-two (72) hours if Tenant deems such delay to be reasonably necessary to avoid disruption of Tenant’s business operations from within the Premises. Notwithstanding anything to the contrary contained in this </w:t>
      </w:r>
      <w:r>
        <w:rPr>
          <w:rFonts w:ascii="Arial" w:cs="Arial" w:eastAsia="Arial" w:hAnsi="Arial"/>
          <w:sz w:val="16"/>
          <w:szCs w:val="16"/>
          <w:u w:val="single" w:color="auto"/>
          <w:color w:val="auto"/>
        </w:rPr>
        <w:t>Article 27</w:t>
      </w:r>
      <w:r>
        <w:rPr>
          <w:rFonts w:ascii="Arial" w:cs="Arial" w:eastAsia="Arial" w:hAnsi="Arial"/>
          <w:sz w:val="16"/>
          <w:szCs w:val="16"/>
          <w:color w:val="auto"/>
        </w:rPr>
        <w:t>, Landlord may enter the Premises at any time to (A) perform services required of Landlord; (B) take possession due to any breach of this Lease in the manner provided herein; and</w:t>
      </w:r>
    </w:p>
    <w:p>
      <w:pPr>
        <w:spacing w:after="0" w:line="2" w:lineRule="exact"/>
        <w:rPr>
          <w:sz w:val="20"/>
          <w:szCs w:val="20"/>
          <w:color w:val="auto"/>
        </w:rPr>
      </w:pPr>
    </w:p>
    <w:p>
      <w:pPr>
        <w:ind w:right="420" w:firstLine="5"/>
        <w:spacing w:after="0" w:line="291" w:lineRule="auto"/>
        <w:tabs>
          <w:tab w:leader="none" w:pos="276" w:val="left"/>
        </w:tabs>
        <w:numPr>
          <w:ilvl w:val="0"/>
          <w:numId w:val="192"/>
        </w:numPr>
        <w:rPr>
          <w:rFonts w:ascii="Arial" w:cs="Arial" w:eastAsia="Arial" w:hAnsi="Arial"/>
          <w:sz w:val="15"/>
          <w:szCs w:val="15"/>
          <w:color w:val="auto"/>
        </w:rPr>
      </w:pPr>
      <w:r>
        <w:rPr>
          <w:rFonts w:ascii="Arial" w:cs="Arial" w:eastAsia="Arial" w:hAnsi="Arial"/>
          <w:sz w:val="15"/>
          <w:szCs w:val="15"/>
          <w:color w:val="auto"/>
        </w:rPr>
        <w:t>perform any covenants of Tenant which Tenant fails to perform. Landlord may make any such entries without the abatement of Rent, except as otherwise provided in this Lease, and may take such reasonable steps as required to accomplish the stated purposes; provided, however, except for (x) emergencies ,</w:t>
      </w:r>
    </w:p>
    <w:p>
      <w:pPr>
        <w:spacing w:after="0" w:line="274" w:lineRule="auto"/>
        <w:rPr>
          <w:rFonts w:ascii="Arial" w:cs="Arial" w:eastAsia="Arial" w:hAnsi="Arial"/>
          <w:sz w:val="15"/>
          <w:szCs w:val="15"/>
          <w:color w:val="auto"/>
        </w:rPr>
      </w:pPr>
      <w:r>
        <w:rPr>
          <w:rFonts w:ascii="Arial" w:cs="Arial" w:eastAsia="Arial" w:hAnsi="Arial"/>
          <w:sz w:val="17"/>
          <w:szCs w:val="17"/>
          <w:color w:val="auto"/>
        </w:rPr>
        <w:t>(y) repairs, alterations, improvements or additions required by governmental or quasi-governmental authorities or court order or decree, or (z) repairs which are the obligation of Tenant hereunder, any such entry shall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266" w:right="259" w:bottom="1440" w:gutter="0" w:footer="0" w:header="0"/>
        </w:sectPr>
      </w:pPr>
    </w:p>
    <w:bookmarkStart w:id="299" w:name="page300"/>
    <w:bookmarkEnd w:id="299"/>
    <w:p>
      <w:pPr>
        <w:ind w:right="2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be performed in a manner so as not to unreasonably interfere with Tenant’s use of the Premises and shall be performed after normal business hours if reasonably practical. With respect to items (y) and (z) above, Landlord shall use commercially reasonable efforts to not materially interfere with Tenant’s use of, or access to, the Premises. Tenant’s rights under the terms of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apply to Landlord’s entry under the terms of this </w:t>
      </w:r>
      <w:r>
        <w:rPr>
          <w:rFonts w:ascii="Arial" w:cs="Arial" w:eastAsia="Arial" w:hAnsi="Arial"/>
          <w:sz w:val="16"/>
          <w:szCs w:val="16"/>
          <w:u w:val="single" w:color="auto"/>
          <w:color w:val="auto"/>
        </w:rPr>
        <w:t>Article 27</w:t>
      </w:r>
      <w:r>
        <w:rPr>
          <w:rFonts w:ascii="Arial" w:cs="Arial" w:eastAsia="Arial" w:hAnsi="Arial"/>
          <w:sz w:val="16"/>
          <w:szCs w:val="16"/>
          <w:color w:val="auto"/>
        </w:rPr>
        <w:t xml:space="preserve"> (other than an entry pursuant to the terms of item (B) above), and otherwise (except to the extent of Landlord’s express indemnification obligations under this Lease)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ARTICLE 28</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TENANT PARKING</w:t>
      </w:r>
    </w:p>
    <w:p>
      <w:pPr>
        <w:spacing w:after="0" w:line="230"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 xml:space="preserve">Tenant, Tenant’s Permitted Transferees and Tenant’s Occupants shall have the right to use, commencing on the Lease Commencement Date, the amount of parking passes set forth in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of the Summary, on a monthly basis throughout the Lease Term, which parking passes shall pertain to the Project parking facility. Tenant hereby acknowledges and agrees that notwithstanding the permitted occupancy density of five (5) persons per each one thousand (1,000) rentable square feet of the Premises as more particularly set forth in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above, in no event shall Tenant be entitled to park automobiles anywhere in the Project parking facility in a total amount that would at anytime exceed an amount equal to three and one-half (3 </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24"/>
          <w:szCs w:val="24"/>
          <w:color w:val="auto"/>
          <w:vertAlign w:val="subscript"/>
        </w:rPr>
        <w:t>2</w:t>
      </w:r>
      <w:r>
        <w:rPr>
          <w:rFonts w:ascii="Arial" w:cs="Arial" w:eastAsia="Arial" w:hAnsi="Arial"/>
          <w:sz w:val="15"/>
          <w:szCs w:val="15"/>
          <w:color w:val="auto"/>
        </w:rPr>
        <w:t>) unreserved parking passes for every one thousand (1,000) rentable square feet of the Premises. Tenant shall not be obligated to pay any fee for automobile parking passes during the initial Lease Term or any Option Term; provided, however, to the extent not included in Tax Expenses, Tenant shall be responsible for the full amount of any taxes imposed by any governmental authority in connection with use of the parking facility by Tenant. Tenant’s continued right to use the parking passes is conditioned upon Tenant abiding by all rules and regulations which are prescribed from time to time for the orderly operation and use of the parking facility where the parking passes are located, including any sticker or other identification system established by Landlord, Tenant’s cooperation in seeing that Tenant’s employees and visitors also comply with such rules and regulations and Tenant not being in default under this Lease. Landlord specifically reserves the right to change the size, configuration, design, layout and all other aspects of the Project parking facility at any time and Tenant acknowledges and agrees that Landlord may, without incurring any liability to Tenant and without any abatement of Rent under this Lease, from time to time, temporarily close-off or restrict access to the Project parking facility for purposes of permitting or facilitating any such construction, alteration or improvements; provided, however, in no event shall the number of parking passes available for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40" w:top="271" w:right="259" w:bottom="1440" w:gutter="0" w:footer="0" w:header="0"/>
        </w:sectPr>
      </w:pPr>
    </w:p>
    <w:bookmarkStart w:id="300" w:name="page301"/>
    <w:bookmarkEnd w:id="300"/>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Tenant’s use decrease below the number of parking passes expressly allocated to Tenant under this Lease. Landlord may delegate its responsibilities hereunder to a parking operator in which case such parking operator shall have all the rights of control attributed hereby to the Landlord. The parking passes provided to Tenant pursuant to this </w:t>
      </w:r>
      <w:r>
        <w:rPr>
          <w:rFonts w:ascii="Arial" w:cs="Arial" w:eastAsia="Arial" w:hAnsi="Arial"/>
          <w:sz w:val="17"/>
          <w:szCs w:val="17"/>
          <w:u w:val="single" w:color="auto"/>
          <w:color w:val="auto"/>
        </w:rPr>
        <w:t>Article 28</w:t>
      </w:r>
      <w:r>
        <w:rPr>
          <w:rFonts w:ascii="Arial" w:cs="Arial" w:eastAsia="Arial" w:hAnsi="Arial"/>
          <w:sz w:val="17"/>
          <w:szCs w:val="17"/>
          <w:color w:val="auto"/>
        </w:rPr>
        <w:t xml:space="preserve"> are provided to Tenant solely for use by Tenant’s own personnel and such passes may not be transferred, assigned, subleased or otherwise alienated by Tenant without Landlord’s prior approval.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ARTICLE 29</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MISCELLANEOUS PROVISIONS</w:t>
      </w:r>
    </w:p>
    <w:p>
      <w:pPr>
        <w:spacing w:after="0" w:line="224"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 xml:space="preserve">29.1 </w:t>
      </w:r>
      <w:r>
        <w:rPr>
          <w:rFonts w:ascii="Arial" w:cs="Arial" w:eastAsia="Arial" w:hAnsi="Arial"/>
          <w:sz w:val="17"/>
          <w:szCs w:val="17"/>
          <w:b w:val="1"/>
          <w:bCs w:val="1"/>
          <w:u w:val="single" w:color="auto"/>
          <w:color w:val="auto"/>
        </w:rPr>
        <w:t>Terms; Captions</w:t>
      </w:r>
      <w:r>
        <w:rPr>
          <w:rFonts w:ascii="Arial" w:cs="Arial" w:eastAsia="Arial" w:hAnsi="Arial"/>
          <w:sz w:val="17"/>
          <w:szCs w:val="17"/>
          <w:color w:val="auto"/>
        </w:rPr>
        <w:t>.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63" w:lineRule="exact"/>
        <w:rPr>
          <w:sz w:val="20"/>
          <w:szCs w:val="20"/>
          <w:color w:val="auto"/>
        </w:rPr>
      </w:pPr>
    </w:p>
    <w:p>
      <w:pPr>
        <w:ind w:right="40" w:firstLine="457"/>
        <w:spacing w:after="0" w:line="301"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41"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 xml:space="preserve">29.3 </w:t>
      </w:r>
      <w:r>
        <w:rPr>
          <w:rFonts w:ascii="Arial" w:cs="Arial" w:eastAsia="Arial" w:hAnsi="Arial"/>
          <w:sz w:val="17"/>
          <w:szCs w:val="17"/>
          <w:b w:val="1"/>
          <w:bCs w:val="1"/>
          <w:u w:val="single" w:color="auto"/>
          <w:color w:val="auto"/>
        </w:rPr>
        <w:t>No Air Rights</w:t>
      </w:r>
      <w:r>
        <w:rPr>
          <w:rFonts w:ascii="Arial" w:cs="Arial" w:eastAsia="Arial" w:hAnsi="Arial"/>
          <w:sz w:val="17"/>
          <w:szCs w:val="17"/>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63" w:lineRule="exact"/>
        <w:rPr>
          <w:sz w:val="20"/>
          <w:szCs w:val="20"/>
          <w:color w:val="auto"/>
        </w:rPr>
      </w:pPr>
    </w:p>
    <w:p>
      <w:pPr>
        <w:ind w:right="80" w:firstLine="457"/>
        <w:spacing w:after="0" w:line="287" w:lineRule="auto"/>
        <w:rPr>
          <w:sz w:val="20"/>
          <w:szCs w:val="20"/>
          <w:color w:val="auto"/>
        </w:rPr>
      </w:pPr>
      <w:r>
        <w:rPr>
          <w:rFonts w:ascii="Arial" w:cs="Arial" w:eastAsia="Arial" w:hAnsi="Arial"/>
          <w:sz w:val="16"/>
          <w:szCs w:val="16"/>
          <w:color w:val="auto"/>
        </w:rPr>
        <w:t xml:space="preserve">29.4 </w:t>
      </w:r>
      <w:r>
        <w:rPr>
          <w:rFonts w:ascii="Arial" w:cs="Arial" w:eastAsia="Arial" w:hAnsi="Arial"/>
          <w:sz w:val="16"/>
          <w:szCs w:val="16"/>
          <w:b w:val="1"/>
          <w:bCs w:val="1"/>
          <w:u w:val="single" w:color="auto"/>
          <w:color w:val="auto"/>
        </w:rPr>
        <w:t>Modification of Lease</w:t>
      </w:r>
      <w:r>
        <w:rPr>
          <w:rFonts w:ascii="Arial" w:cs="Arial" w:eastAsia="Arial" w:hAnsi="Arial"/>
          <w:sz w:val="16"/>
          <w:szCs w:val="16"/>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days following a request therefor. At the request of Landlord or any mortgagee or ground lessor, Tenant agrees to execute a short form of Lease and deliver the same to Landlord within ten (10) days following the request therefor.</w:t>
      </w:r>
    </w:p>
    <w:p>
      <w:pPr>
        <w:spacing w:after="0" w:line="52"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 xml:space="preserve">29.5 </w:t>
      </w:r>
      <w:r>
        <w:rPr>
          <w:rFonts w:ascii="Arial" w:cs="Arial" w:eastAsia="Arial" w:hAnsi="Arial"/>
          <w:sz w:val="17"/>
          <w:szCs w:val="17"/>
          <w:b w:val="1"/>
          <w:bCs w:val="1"/>
          <w:u w:val="single" w:color="auto"/>
          <w:color w:val="auto"/>
        </w:rPr>
        <w:t>Transfer of Landlord’s Interest</w:t>
      </w:r>
      <w:r>
        <w:rPr>
          <w:rFonts w:ascii="Arial" w:cs="Arial" w:eastAsia="Arial" w:hAnsi="Arial"/>
          <w:sz w:val="17"/>
          <w:szCs w:val="17"/>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not accrued as of the date of the transfer (provided such transferee assumes such obligations in writing) and Tenant agrees to look solely to such transferee for the performance of Landlord’s obligations hereunder after the date of transfer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272" w:right="239" w:bottom="1440" w:gutter="0" w:footer="0" w:header="0"/>
        </w:sectPr>
      </w:pPr>
    </w:p>
    <w:bookmarkStart w:id="301" w:name="page302"/>
    <w:bookmarkEnd w:id="30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such transferee shall be deemed to have fully assumed and be liable for all obligations of this Lease to be performed by Landlord, including the return of any Security Deposit, and Tenant shall attorn to such transferee.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spacing w:after="0" w:line="67" w:lineRule="exact"/>
        <w:rPr>
          <w:sz w:val="20"/>
          <w:szCs w:val="20"/>
          <w:color w:val="auto"/>
        </w:rPr>
      </w:pPr>
    </w:p>
    <w:p>
      <w:pPr>
        <w:ind w:right="140" w:firstLine="457"/>
        <w:spacing w:after="0" w:line="330" w:lineRule="auto"/>
        <w:rPr>
          <w:sz w:val="20"/>
          <w:szCs w:val="20"/>
          <w:color w:val="auto"/>
        </w:rPr>
      </w:pPr>
      <w:r>
        <w:rPr>
          <w:rFonts w:ascii="Arial" w:cs="Arial" w:eastAsia="Arial" w:hAnsi="Arial"/>
          <w:sz w:val="16"/>
          <w:szCs w:val="16"/>
          <w:color w:val="auto"/>
        </w:rPr>
        <w:t xml:space="preserve">29.6 </w:t>
      </w:r>
      <w:r>
        <w:rPr>
          <w:rFonts w:ascii="Arial" w:cs="Arial" w:eastAsia="Arial" w:hAnsi="Arial"/>
          <w:sz w:val="16"/>
          <w:szCs w:val="16"/>
          <w:b w:val="1"/>
          <w:bCs w:val="1"/>
          <w:u w:val="single" w:color="auto"/>
          <w:color w:val="auto"/>
        </w:rPr>
        <w:t>Prohibition Against Recording or Publication</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29.4</w:t>
      </w:r>
      <w:r>
        <w:rPr>
          <w:rFonts w:ascii="Arial" w:cs="Arial" w:eastAsia="Arial" w:hAnsi="Arial"/>
          <w:sz w:val="16"/>
          <w:szCs w:val="16"/>
          <w:color w:val="auto"/>
        </w:rPr>
        <w:t xml:space="preserve"> of this Lease, neither this Lease, nor any memorandum, affidavit or other writing with respect thereto, shall be recorded or otherwise published by Tenant or by anyone acting through, under or on behalf of Tenant.</w:t>
      </w:r>
    </w:p>
    <w:p>
      <w:pPr>
        <w:spacing w:after="0" w:line="18" w:lineRule="exact"/>
        <w:rPr>
          <w:sz w:val="20"/>
          <w:szCs w:val="20"/>
          <w:color w:val="auto"/>
        </w:rPr>
      </w:pPr>
    </w:p>
    <w:p>
      <w:pPr>
        <w:ind w:right="40" w:firstLine="457"/>
        <w:spacing w:after="0" w:line="296" w:lineRule="auto"/>
        <w:rPr>
          <w:sz w:val="20"/>
          <w:szCs w:val="20"/>
          <w:color w:val="auto"/>
        </w:rPr>
      </w:pPr>
      <w:r>
        <w:rPr>
          <w:rFonts w:ascii="Arial" w:cs="Arial" w:eastAsia="Arial" w:hAnsi="Arial"/>
          <w:sz w:val="17"/>
          <w:szCs w:val="17"/>
          <w:color w:val="auto"/>
        </w:rPr>
        <w:t xml:space="preserve">29.7 </w:t>
      </w:r>
      <w:r>
        <w:rPr>
          <w:rFonts w:ascii="Arial" w:cs="Arial" w:eastAsia="Arial" w:hAnsi="Arial"/>
          <w:sz w:val="17"/>
          <w:szCs w:val="17"/>
          <w:b w:val="1"/>
          <w:bCs w:val="1"/>
          <w:u w:val="single" w:color="auto"/>
          <w:color w:val="auto"/>
        </w:rPr>
        <w:t>Landlord’s Title</w:t>
      </w:r>
      <w:r>
        <w:rPr>
          <w:rFonts w:ascii="Arial" w:cs="Arial" w:eastAsia="Arial" w:hAnsi="Arial"/>
          <w:sz w:val="17"/>
          <w:szCs w:val="17"/>
          <w:color w:val="auto"/>
        </w:rPr>
        <w:t>. Landlord’s title is and always shall be paramount to the title of Tenant. Nothing herein contained shall empower Tenant to do any act which can, shall or may encumber the title of Landlord.</w:t>
      </w:r>
    </w:p>
    <w:p>
      <w:pPr>
        <w:spacing w:after="0" w:line="42" w:lineRule="exact"/>
        <w:rPr>
          <w:sz w:val="20"/>
          <w:szCs w:val="20"/>
          <w:color w:val="auto"/>
        </w:rPr>
      </w:pPr>
    </w:p>
    <w:p>
      <w:pPr>
        <w:ind w:right="680" w:firstLine="457"/>
        <w:spacing w:after="0" w:line="296" w:lineRule="auto"/>
        <w:rPr>
          <w:sz w:val="20"/>
          <w:szCs w:val="20"/>
          <w:color w:val="auto"/>
        </w:rPr>
      </w:pPr>
      <w:r>
        <w:rPr>
          <w:rFonts w:ascii="Arial" w:cs="Arial" w:eastAsia="Arial" w:hAnsi="Arial"/>
          <w:sz w:val="17"/>
          <w:szCs w:val="17"/>
          <w:color w:val="auto"/>
        </w:rPr>
        <w:t xml:space="preserve">29.8 </w:t>
      </w:r>
      <w:r>
        <w:rPr>
          <w:rFonts w:ascii="Arial" w:cs="Arial" w:eastAsia="Arial" w:hAnsi="Arial"/>
          <w:sz w:val="17"/>
          <w:szCs w:val="17"/>
          <w:b w:val="1"/>
          <w:bCs w:val="1"/>
          <w:u w:val="single" w:color="auto"/>
          <w:color w:val="auto"/>
        </w:rPr>
        <w:t>Relationship of Parties</w:t>
      </w:r>
      <w:r>
        <w:rPr>
          <w:rFonts w:ascii="Arial" w:cs="Arial" w:eastAsia="Arial" w:hAnsi="Arial"/>
          <w:sz w:val="17"/>
          <w:szCs w:val="17"/>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42"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u w:val="single" w:color="auto"/>
          <w:color w:val="auto"/>
        </w:rPr>
        <w:t>Application of Payments</w:t>
      </w:r>
      <w:r>
        <w:rPr>
          <w:rFonts w:ascii="Arial" w:cs="Arial" w:eastAsia="Arial" w:hAnsi="Arial"/>
          <w:sz w:val="16"/>
          <w:szCs w:val="16"/>
          <w:color w:val="auto"/>
        </w:rPr>
        <w:t xml:space="preserve">. To the extent Landlord has delivered a written notice to Tenant pursuant to the terms of </w:t>
      </w:r>
      <w:r>
        <w:rPr>
          <w:rFonts w:ascii="Arial" w:cs="Arial" w:eastAsia="Arial" w:hAnsi="Arial"/>
          <w:sz w:val="16"/>
          <w:szCs w:val="16"/>
          <w:u w:val="single" w:color="auto"/>
          <w:color w:val="auto"/>
        </w:rPr>
        <w:t>Section 19.1.1</w:t>
      </w:r>
      <w:r>
        <w:rPr>
          <w:rFonts w:ascii="Arial" w:cs="Arial" w:eastAsia="Arial" w:hAnsi="Arial"/>
          <w:sz w:val="16"/>
          <w:szCs w:val="16"/>
          <w:color w:val="auto"/>
        </w:rPr>
        <w:t xml:space="preserve"> of this Lease (and until the amounts represented by such notice, together with all other then-outstanding amounts due and owning under this Lease, are satisfied), Landlord shall have the right to apply payments received from Tenant pursuant to this Lease, regardless of Tenant’s designation of such payments, to satisfy any obligations of Tenant hereunder, in such order and amounts as Land lord, in its sole discretion, may elect, it nevertheless being acknowledged that Tenant may be free to make any such payments “under protest,” and such payments shall remain subject to successful contest by Tenant over any obligations in dispute.</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29.10 </w:t>
      </w:r>
      <w:r>
        <w:rPr>
          <w:rFonts w:ascii="Arial" w:cs="Arial" w:eastAsia="Arial" w:hAnsi="Arial"/>
          <w:sz w:val="16"/>
          <w:szCs w:val="16"/>
          <w:b w:val="1"/>
          <w:bCs w:val="1"/>
          <w:u w:val="single" w:color="auto"/>
          <w:color w:val="auto"/>
        </w:rPr>
        <w:t>Time of Essence</w:t>
      </w:r>
      <w:r>
        <w:rPr>
          <w:rFonts w:ascii="Arial" w:cs="Arial" w:eastAsia="Arial" w:hAnsi="Arial"/>
          <w:sz w:val="16"/>
          <w:szCs w:val="16"/>
          <w:color w:val="auto"/>
        </w:rPr>
        <w:t>. Time is of the essence with respect to the performance of every provision of this Lease in which time of performance is a factor.</w:t>
      </w:r>
    </w:p>
    <w:p>
      <w:pPr>
        <w:spacing w:after="0" w:line="130"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 xml:space="preserve">29.11 </w:t>
      </w:r>
      <w:r>
        <w:rPr>
          <w:rFonts w:ascii="Arial" w:cs="Arial" w:eastAsia="Arial" w:hAnsi="Arial"/>
          <w:sz w:val="17"/>
          <w:szCs w:val="17"/>
          <w:b w:val="1"/>
          <w:bCs w:val="1"/>
          <w:u w:val="single" w:color="auto"/>
          <w:color w:val="auto"/>
        </w:rPr>
        <w:t>Partial Invalidity</w:t>
      </w:r>
      <w:r>
        <w:rPr>
          <w:rFonts w:ascii="Arial" w:cs="Arial" w:eastAsia="Arial" w:hAnsi="Arial"/>
          <w:sz w:val="17"/>
          <w:szCs w:val="17"/>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63"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 xml:space="preserve">29.12 </w:t>
      </w:r>
      <w:r>
        <w:rPr>
          <w:rFonts w:ascii="Arial" w:cs="Arial" w:eastAsia="Arial" w:hAnsi="Arial"/>
          <w:sz w:val="17"/>
          <w:szCs w:val="17"/>
          <w:b w:val="1"/>
          <w:bCs w:val="1"/>
          <w:u w:val="single" w:color="auto"/>
          <w:color w:val="auto"/>
        </w:rPr>
        <w:t>No Warranty</w:t>
      </w:r>
      <w:r>
        <w:rPr>
          <w:rFonts w:ascii="Arial" w:cs="Arial" w:eastAsia="Arial" w:hAnsi="Arial"/>
          <w:sz w:val="17"/>
          <w:szCs w:val="17"/>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271" w:right="239" w:bottom="1440" w:gutter="0" w:footer="0" w:header="0"/>
        </w:sectPr>
      </w:pPr>
    </w:p>
    <w:bookmarkStart w:id="302" w:name="page303"/>
    <w:bookmarkEnd w:id="302"/>
    <w:p>
      <w:pPr>
        <w:ind w:firstLine="457"/>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29.13 </w:t>
      </w:r>
      <w:r>
        <w:rPr>
          <w:rFonts w:ascii="Arial" w:cs="Arial" w:eastAsia="Arial" w:hAnsi="Arial"/>
          <w:sz w:val="16"/>
          <w:szCs w:val="16"/>
          <w:b w:val="1"/>
          <w:bCs w:val="1"/>
          <w:u w:val="single" w:color="auto"/>
          <w:color w:val="auto"/>
        </w:rPr>
        <w:t>Landlord Exculpation</w:t>
      </w:r>
      <w:r>
        <w:rPr>
          <w:rFonts w:ascii="Arial" w:cs="Arial" w:eastAsia="Arial" w:hAnsi="Arial"/>
          <w:sz w:val="16"/>
          <w:szCs w:val="16"/>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net interest of Landlord in the Project (following payment of any outstanding liens and/or mortgages, whether attributable to sales or insurance proceeds or otherwise).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6"/>
          <w:szCs w:val="16"/>
          <w:u w:val="single" w:color="auto"/>
          <w:color w:val="auto"/>
        </w:rPr>
        <w:t>Section 29.13</w:t>
      </w:r>
      <w:r>
        <w:rPr>
          <w:rFonts w:ascii="Arial" w:cs="Arial" w:eastAsia="Arial" w:hAnsi="Arial"/>
          <w:sz w:val="16"/>
          <w:szCs w:val="16"/>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w:t>
      </w:r>
    </w:p>
    <w:p>
      <w:pPr>
        <w:spacing w:after="0" w:line="65"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 xml:space="preserve">29.14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It is understood and acknowledged that there are no oral agreements between the pa(ties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65" w:lineRule="exact"/>
        <w:rPr>
          <w:sz w:val="20"/>
          <w:szCs w:val="20"/>
          <w:color w:val="auto"/>
        </w:rPr>
      </w:pPr>
    </w:p>
    <w:p>
      <w:pPr>
        <w:ind w:right="240" w:firstLine="457"/>
        <w:spacing w:after="0" w:line="276" w:lineRule="auto"/>
        <w:rPr>
          <w:sz w:val="20"/>
          <w:szCs w:val="20"/>
          <w:color w:val="auto"/>
        </w:rPr>
      </w:pPr>
      <w:r>
        <w:rPr>
          <w:rFonts w:ascii="Arial" w:cs="Arial" w:eastAsia="Arial" w:hAnsi="Arial"/>
          <w:sz w:val="17"/>
          <w:szCs w:val="17"/>
          <w:color w:val="auto"/>
        </w:rPr>
        <w:t xml:space="preserve">29.15 </w:t>
      </w:r>
      <w:r>
        <w:rPr>
          <w:rFonts w:ascii="Arial" w:cs="Arial" w:eastAsia="Arial" w:hAnsi="Arial"/>
          <w:sz w:val="17"/>
          <w:szCs w:val="17"/>
          <w:b w:val="1"/>
          <w:bCs w:val="1"/>
          <w:u w:val="single" w:color="auto"/>
          <w:color w:val="auto"/>
        </w:rPr>
        <w:t>Right to Lease</w:t>
      </w:r>
      <w:r>
        <w:rPr>
          <w:rFonts w:ascii="Arial" w:cs="Arial" w:eastAsia="Arial" w:hAnsi="Arial"/>
          <w:sz w:val="17"/>
          <w:szCs w:val="17"/>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59"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 xml:space="preserve">29.16 </w:t>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xml:space="preserve">. Any prevention, delay or stoppage due to strikes, lockouts, labor disputes, acts of God,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and except as to Tenant’s obligations under </w:t>
      </w:r>
      <w:r>
        <w:rPr>
          <w:rFonts w:ascii="Arial" w:cs="Arial" w:eastAsia="Arial" w:hAnsi="Arial"/>
          <w:sz w:val="17"/>
          <w:szCs w:val="17"/>
          <w:u w:val="single" w:color="auto"/>
          <w:color w:val="auto"/>
        </w:rPr>
        <w:t>Articles 5 and 24</w:t>
      </w:r>
      <w:r>
        <w:rPr>
          <w:rFonts w:ascii="Arial" w:cs="Arial" w:eastAsia="Arial" w:hAnsi="Arial"/>
          <w:sz w:val="17"/>
          <w:szCs w:val="17"/>
          <w:color w:val="auto"/>
        </w:rPr>
        <w:t xml:space="preserve"> of this Lease (collectively, a “</w:t>
      </w:r>
      <w:r>
        <w:rPr>
          <w:rFonts w:ascii="Arial" w:cs="Arial" w:eastAsia="Arial" w:hAnsi="Arial"/>
          <w:sz w:val="17"/>
          <w:szCs w:val="17"/>
          <w:b w:val="1"/>
          <w:bCs w:val="1"/>
          <w:color w:val="auto"/>
        </w:rPr>
        <w:t>Force Majeure</w:t>
      </w:r>
      <w:r>
        <w:rPr>
          <w:rFonts w:ascii="Arial" w:cs="Arial" w:eastAsia="Arial" w:hAnsi="Arial"/>
          <w:sz w:val="17"/>
          <w:szCs w:val="17"/>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265" w:right="239" w:bottom="1440" w:gutter="0" w:footer="0" w:header="0"/>
        </w:sectPr>
      </w:pPr>
    </w:p>
    <w:bookmarkStart w:id="303" w:name="page304"/>
    <w:bookmarkEnd w:id="303"/>
    <w:p>
      <w:pPr>
        <w:jc w:val="both"/>
        <w:ind w:right="320" w:firstLine="45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29.17 </w:t>
      </w:r>
      <w:r>
        <w:rPr>
          <w:rFonts w:ascii="Arial" w:cs="Arial" w:eastAsia="Arial" w:hAnsi="Arial"/>
          <w:sz w:val="17"/>
          <w:szCs w:val="17"/>
          <w:b w:val="1"/>
          <w:bCs w:val="1"/>
          <w:u w:val="single" w:color="auto"/>
          <w:color w:val="auto"/>
        </w:rPr>
        <w:t>Waiver of Redemption by Tenant</w:t>
      </w:r>
      <w:r>
        <w:rPr>
          <w:rFonts w:ascii="Arial" w:cs="Arial" w:eastAsia="Arial" w:hAnsi="Arial"/>
          <w:sz w:val="17"/>
          <w:szCs w:val="17"/>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5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 xml:space="preserve">29.18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demands, statements, designations, approvals or other communications (collectively, “</w:t>
      </w:r>
      <w:r>
        <w:rPr>
          <w:rFonts w:ascii="Arial" w:cs="Arial" w:eastAsia="Arial" w:hAnsi="Arial"/>
          <w:sz w:val="16"/>
          <w:szCs w:val="16"/>
          <w:b w:val="1"/>
          <w:bCs w:val="1"/>
          <w:color w:val="auto"/>
        </w:rPr>
        <w:t>Notices</w:t>
      </w:r>
      <w:r>
        <w:rPr>
          <w:rFonts w:ascii="Arial" w:cs="Arial" w:eastAsia="Arial" w:hAnsi="Arial"/>
          <w:sz w:val="16"/>
          <w:szCs w:val="16"/>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6"/>
          <w:szCs w:val="16"/>
          <w:b w:val="1"/>
          <w:bCs w:val="1"/>
          <w:color w:val="auto"/>
        </w:rPr>
        <w:t>Mail</w:t>
      </w:r>
      <w:r>
        <w:rPr>
          <w:rFonts w:ascii="Arial" w:cs="Arial" w:eastAsia="Arial" w:hAnsi="Arial"/>
          <w:sz w:val="16"/>
          <w:szCs w:val="16"/>
          <w:color w:val="auto"/>
        </w:rPr>
        <w:t xml:space="preserve">”), (B) transmitted by telecopy, if such telecopy is promptly followed by a Notice sent by Mail, (C) delivered by a nationally recognized overnight courier, or (D) delivered personally. Any Notice shall be sent, transmitted, or delivered, as the case may be, to Tenant at the appropriate address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days after the date it is posted if sent by Mail, (ii) the date the telecopy is transmitted, (iii) the date the overnight courier delivery is made, or (iv) the date personal delivery is made or attempted to be made. If Tenant is notified of the identity and address of Landlord’s mortgagee or ground or underlying lessor, Tenant shall give to such mortgagee or ground or underlying lessor written notice of any default by Landlord under the terms of this Lease by registered or certified mail, and such mortgagee or ground or underlying lessor shall be given a reasonable opportunity to cure such default prior to Tenant’s exercising any remedy available to Tenant. As of the Effective Date of this Lease, any Notices to Landlord must be sent, transmitted, or delivered, as the case may be, to the following addresses:</w:t>
      </w:r>
    </w:p>
    <w:p>
      <w:pPr>
        <w:spacing w:after="0" w:line="17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Kilroy Realty Corporation</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12200 West Olympic Boulevard</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Suite 200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Los Angeles, California 90064</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Legal Department</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with copies to:</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Kilroy Realty Corporation</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3611 Valley Centre Drive, Suite 550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San Diego, California 92130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Mr. Brian Galligan</w:t>
      </w: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and</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Allen Matkins Leck Gamble Mallory &amp; Natsis LLP</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1901 Avenue of the Stars, Suite 1800</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Los Angeles, California 90067</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Attention: Anton N. Natsis, Esq.</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29.19 </w:t>
      </w:r>
      <w:r>
        <w:rPr>
          <w:rFonts w:ascii="Arial" w:cs="Arial" w:eastAsia="Arial" w:hAnsi="Arial"/>
          <w:sz w:val="17"/>
          <w:szCs w:val="17"/>
          <w:b w:val="1"/>
          <w:bCs w:val="1"/>
          <w:u w:val="single" w:color="auto"/>
          <w:color w:val="auto"/>
        </w:rPr>
        <w:t>Joint and Several</w:t>
      </w:r>
      <w:r>
        <w:rPr>
          <w:rFonts w:ascii="Arial" w:cs="Arial" w:eastAsia="Arial" w:hAnsi="Arial"/>
          <w:sz w:val="17"/>
          <w:szCs w:val="17"/>
          <w:color w:val="auto"/>
        </w:rPr>
        <w:t>. If there is more than one Tenant, the obligations imposed upon Tenant under this Lease shall be joint and several.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380"/>
          </w:cols>
          <w:pgMar w:left="240" w:top="266" w:right="279" w:bottom="1440" w:gutter="0" w:footer="0" w:header="0"/>
        </w:sectPr>
      </w:pPr>
    </w:p>
    <w:bookmarkStart w:id="304" w:name="page305"/>
    <w:bookmarkEnd w:id="304"/>
    <w:p>
      <w:pPr>
        <w:ind w:right="140" w:firstLine="457"/>
        <w:spacing w:after="0" w:line="31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29.20 </w:t>
      </w:r>
      <w:r>
        <w:rPr>
          <w:rFonts w:ascii="Arial" w:cs="Arial" w:eastAsia="Arial" w:hAnsi="Arial"/>
          <w:sz w:val="15"/>
          <w:szCs w:val="15"/>
          <w:b w:val="1"/>
          <w:bCs w:val="1"/>
          <w:u w:val="single" w:color="auto"/>
          <w:color w:val="auto"/>
        </w:rPr>
        <w:t>Authority</w:t>
      </w:r>
      <w:r>
        <w:rPr>
          <w:rFonts w:ascii="Arial" w:cs="Arial" w:eastAsia="Arial" w:hAnsi="Arial"/>
          <w:sz w:val="15"/>
          <w:szCs w:val="15"/>
          <w:color w:val="auto"/>
        </w:rPr>
        <w:t>. Tenant hereby represents and warrants that Tenant is a duly formed and existing entity qualified to do business in California and that Tenant has full right and authority to execute and deliver this Lease and that each person signing on behalf of Tenant is authorized to do so. In such event, Tenant shall, within ten (10)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California.</w:t>
      </w:r>
    </w:p>
    <w:p>
      <w:pPr>
        <w:spacing w:after="0" w:line="32" w:lineRule="exact"/>
        <w:rPr>
          <w:sz w:val="20"/>
          <w:szCs w:val="20"/>
          <w:color w:val="auto"/>
        </w:rPr>
      </w:pPr>
    </w:p>
    <w:p>
      <w:pPr>
        <w:ind w:right="100" w:firstLine="457"/>
        <w:spacing w:after="0" w:line="292" w:lineRule="auto"/>
        <w:rPr>
          <w:sz w:val="20"/>
          <w:szCs w:val="20"/>
          <w:color w:val="auto"/>
        </w:rPr>
      </w:pPr>
      <w:r>
        <w:rPr>
          <w:rFonts w:ascii="Arial" w:cs="Arial" w:eastAsia="Arial" w:hAnsi="Arial"/>
          <w:sz w:val="16"/>
          <w:szCs w:val="16"/>
          <w:color w:val="auto"/>
        </w:rPr>
        <w:t xml:space="preserve">29.21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4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29.22 </w:t>
      </w:r>
      <w:r>
        <w:rPr>
          <w:rFonts w:ascii="Arial" w:cs="Arial" w:eastAsia="Arial" w:hAnsi="Arial"/>
          <w:sz w:val="17"/>
          <w:szCs w:val="17"/>
          <w:b w:val="1"/>
          <w:bCs w:val="1"/>
          <w:u w:val="single" w:color="auto"/>
          <w:color w:val="auto"/>
        </w:rPr>
        <w:t>Governing Law; WAIVER OF TRIAL BY JURY</w:t>
      </w:r>
      <w:r>
        <w:rPr>
          <w:rFonts w:ascii="Arial" w:cs="Arial" w:eastAsia="Arial" w:hAnsi="Arial"/>
          <w:sz w:val="17"/>
          <w:szCs w:val="17"/>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74" w:lineRule="exact"/>
        <w:rPr>
          <w:sz w:val="20"/>
          <w:szCs w:val="20"/>
          <w:color w:val="auto"/>
        </w:rPr>
      </w:pPr>
    </w:p>
    <w:p>
      <w:pPr>
        <w:ind w:right="120" w:firstLine="457"/>
        <w:spacing w:after="0" w:line="296" w:lineRule="auto"/>
        <w:rPr>
          <w:sz w:val="20"/>
          <w:szCs w:val="20"/>
          <w:color w:val="auto"/>
        </w:rPr>
      </w:pPr>
      <w:r>
        <w:rPr>
          <w:rFonts w:ascii="Arial" w:cs="Arial" w:eastAsia="Arial" w:hAnsi="Arial"/>
          <w:sz w:val="17"/>
          <w:szCs w:val="17"/>
          <w:color w:val="auto"/>
        </w:rPr>
        <w:t xml:space="preserve">29.23 </w:t>
      </w:r>
      <w:r>
        <w:rPr>
          <w:rFonts w:ascii="Arial" w:cs="Arial" w:eastAsia="Arial" w:hAnsi="Arial"/>
          <w:sz w:val="17"/>
          <w:szCs w:val="17"/>
          <w:b w:val="1"/>
          <w:bCs w:val="1"/>
          <w:u w:val="single" w:color="auto"/>
          <w:color w:val="auto"/>
        </w:rPr>
        <w:t>Submission of Lease</w:t>
      </w:r>
      <w:r>
        <w:rPr>
          <w:rFonts w:ascii="Arial" w:cs="Arial" w:eastAsia="Arial" w:hAnsi="Arial"/>
          <w:sz w:val="17"/>
          <w:szCs w:val="17"/>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42"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 xml:space="preserve">29.24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Brokers</w:t>
      </w:r>
      <w:r>
        <w:rPr>
          <w:rFonts w:ascii="Arial" w:cs="Arial" w:eastAsia="Arial" w:hAnsi="Arial"/>
          <w:sz w:val="17"/>
          <w:szCs w:val="17"/>
          <w:color w:val="auto"/>
        </w:rPr>
        <w:t>”), and that they know of no other real estate broker or agent who is entitled to a commission in connection with this Lease. Landlord shall pay the Brokers pursuant to the terms of separate commission agreements.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00"/>
          </w:cols>
          <w:pgMar w:left="240" w:top="265" w:right="25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account of any dealings with any real estate broker or agent, other than the Brokers, occurring by, through, or under the indemnifying party.</w:t>
      </w:r>
    </w:p>
    <w:p>
      <w:pPr>
        <w:spacing w:after="0" w:line="113"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 xml:space="preserve">29.25 </w:t>
      </w:r>
      <w:r>
        <w:rPr>
          <w:rFonts w:ascii="Arial" w:cs="Arial" w:eastAsia="Arial" w:hAnsi="Arial"/>
          <w:sz w:val="17"/>
          <w:szCs w:val="17"/>
          <w:b w:val="1"/>
          <w:bCs w:val="1"/>
          <w:u w:val="single" w:color="auto"/>
          <w:color w:val="auto"/>
        </w:rPr>
        <w:t>Independent Covenants</w:t>
      </w:r>
      <w:r>
        <w:rPr>
          <w:rFonts w:ascii="Arial" w:cs="Arial" w:eastAsia="Arial" w:hAnsi="Arial"/>
          <w:sz w:val="17"/>
          <w:szCs w:val="17"/>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63"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 xml:space="preserve">29.26 </w:t>
      </w:r>
      <w:r>
        <w:rPr>
          <w:rFonts w:ascii="Arial" w:cs="Arial" w:eastAsia="Arial" w:hAnsi="Arial"/>
          <w:sz w:val="17"/>
          <w:szCs w:val="17"/>
          <w:b w:val="1"/>
          <w:bCs w:val="1"/>
          <w:u w:val="single" w:color="auto"/>
          <w:color w:val="auto"/>
        </w:rPr>
        <w:t>Project or Building Name and Signage</w:t>
      </w:r>
      <w:r>
        <w:rPr>
          <w:rFonts w:ascii="Arial" w:cs="Arial" w:eastAsia="Arial" w:hAnsi="Arial"/>
          <w:sz w:val="17"/>
          <w:szCs w:val="17"/>
          <w:color w:val="auto"/>
        </w:rPr>
        <w:t>. Landlord shall have the right at any time to change the name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63" w:lineRule="exact"/>
        <w:rPr>
          <w:sz w:val="20"/>
          <w:szCs w:val="20"/>
          <w:color w:val="auto"/>
        </w:rPr>
      </w:pPr>
    </w:p>
    <w:p>
      <w:pPr>
        <w:ind w:right="440" w:firstLine="457"/>
        <w:spacing w:after="0" w:line="296" w:lineRule="auto"/>
        <w:rPr>
          <w:sz w:val="20"/>
          <w:szCs w:val="20"/>
          <w:color w:val="auto"/>
        </w:rPr>
      </w:pPr>
      <w:r>
        <w:rPr>
          <w:rFonts w:ascii="Arial" w:cs="Arial" w:eastAsia="Arial" w:hAnsi="Arial"/>
          <w:sz w:val="17"/>
          <w:szCs w:val="17"/>
          <w:color w:val="auto"/>
        </w:rPr>
        <w:t xml:space="preserve">29.27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Lease may be executed in counterparts with the same effect as if both parties hereto had executed the same document. Both counterparts shall be construed together and shall constitute a single lease.</w:t>
      </w:r>
    </w:p>
    <w:p>
      <w:pPr>
        <w:spacing w:after="0" w:line="42"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 xml:space="preserve">29.28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Landlord and Tenant acknowledge that the content of this Lease and any related documents are confidential information. Except as required by any law and/or regulation (including without limitation any SEC regulation), Landlord and Tenant shall keep such confidential information strictly confidential and shall not disclose such confidential information to any person or entity other than Tenant’s or Landlord’s financial, legal, and space planning consultants.</w:t>
      </w:r>
    </w:p>
    <w:p>
      <w:pPr>
        <w:spacing w:after="0" w:line="63"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 xml:space="preserve">29.29 </w:t>
      </w:r>
      <w:r>
        <w:rPr>
          <w:rFonts w:ascii="Arial" w:cs="Arial" w:eastAsia="Arial" w:hAnsi="Arial"/>
          <w:sz w:val="17"/>
          <w:szCs w:val="17"/>
          <w:b w:val="1"/>
          <w:bCs w:val="1"/>
          <w:u w:val="single" w:color="auto"/>
          <w:color w:val="auto"/>
        </w:rPr>
        <w:t>Transportation Management</w:t>
      </w:r>
      <w:r>
        <w:rPr>
          <w:rFonts w:ascii="Arial" w:cs="Arial" w:eastAsia="Arial" w:hAnsi="Arial"/>
          <w:sz w:val="17"/>
          <w:szCs w:val="17"/>
          <w:color w:val="auto"/>
        </w:rPr>
        <w:t>. Tenant shall fully comply with all present or future programs intended to manage parking, transportation or traffic in and around the Building so long as Tenant’s parking rights under this Lease are not materially, adversely affected,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63" w:lineRule="exact"/>
        <w:rPr>
          <w:sz w:val="20"/>
          <w:szCs w:val="20"/>
          <w:color w:val="auto"/>
        </w:rPr>
      </w:pPr>
    </w:p>
    <w:p>
      <w:pPr>
        <w:jc w:val="both"/>
        <w:ind w:firstLine="457"/>
        <w:spacing w:after="0" w:line="306" w:lineRule="auto"/>
        <w:rPr>
          <w:sz w:val="20"/>
          <w:szCs w:val="20"/>
          <w:color w:val="auto"/>
        </w:rPr>
      </w:pPr>
      <w:r>
        <w:rPr>
          <w:rFonts w:ascii="Arial" w:cs="Arial" w:eastAsia="Arial" w:hAnsi="Arial"/>
          <w:sz w:val="15"/>
          <w:szCs w:val="15"/>
          <w:color w:val="auto"/>
        </w:rPr>
        <w:t xml:space="preserve">29.30 </w:t>
      </w:r>
      <w:r>
        <w:rPr>
          <w:rFonts w:ascii="Arial" w:cs="Arial" w:eastAsia="Arial" w:hAnsi="Arial"/>
          <w:sz w:val="15"/>
          <w:szCs w:val="15"/>
          <w:b w:val="1"/>
          <w:bCs w:val="1"/>
          <w:u w:val="single" w:color="auto"/>
          <w:color w:val="auto"/>
        </w:rPr>
        <w:t>Building Renovations</w:t>
      </w:r>
      <w:r>
        <w:rPr>
          <w:rFonts w:ascii="Arial" w:cs="Arial" w:eastAsia="Arial" w:hAnsi="Arial"/>
          <w:sz w:val="15"/>
          <w:szCs w:val="15"/>
          <w:color w:val="auto"/>
        </w:rPr>
        <w:t>. It is specifically understood and agreed that Landlord has made no representation or warranty to Tenant and has no obligation and has made no promises to alter, remodel, improve, renovate, repair or decorate the Premises, Building, or any part thereof and that no representations respecting the condition of the Premises or the Building have been made by Landlord to Tenant except as specifically set forth herein or in the Work Letter. However, Tenant hereby acknowledges that Landlord is currently renovating or may during the Lease Term renovate, improve, alter, or modify (collectively, the “</w:t>
      </w:r>
      <w:r>
        <w:rPr>
          <w:rFonts w:ascii="Arial" w:cs="Arial" w:eastAsia="Arial" w:hAnsi="Arial"/>
          <w:sz w:val="15"/>
          <w:szCs w:val="15"/>
          <w:b w:val="1"/>
          <w:bCs w:val="1"/>
          <w:color w:val="auto"/>
        </w:rPr>
        <w:t>Renovations</w:t>
      </w:r>
      <w:r>
        <w:rPr>
          <w:rFonts w:ascii="Arial" w:cs="Arial" w:eastAsia="Arial" w:hAnsi="Arial"/>
          <w:sz w:val="15"/>
          <w:szCs w:val="15"/>
          <w:color w:val="auto"/>
        </w:rPr>
        <w:t>”) the Project, the Building and/or the Premises including without limitation the parking structure, common areas, systems and equipment, roof, and structural portions of the same, which Renovations may include, without limitation, (i) installing sprinklers in the Building common areas and tenant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40" w:top="271" w:right="259" w:bottom="1440" w:gutter="0" w:footer="0" w:header="0"/>
        </w:sectPr>
      </w:pPr>
    </w:p>
    <w:bookmarkStart w:id="306" w:name="page307"/>
    <w:bookmarkEnd w:id="306"/>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spaces, (ii) modifying the common areas and tenant spaces to comply with applicable laws and regulations, including regulations relating to the physically disabled, seismic conditions, and building safety and security, and (iii) installing new floor covering, lighting, and wall coverings in the Building common areas, and in connection with any Renovations, Landlord may, among other things, erect scaffolding or other necessary structures in the Building, limit or eliminate access to portions of the Project, including portions of the common areas, or perform work in the Building, which work may create noise, dust or leave debris in the Building. Tenant hereby agrees that such Renovations and Landlord’s actions in connection with such Renovations shall in no way constitute a constructive eviction of Tenant nor, except as expressly set forth in Section 6.7 above,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Landlord’s actions in connection with such Renovations, or for any inconvenience or annoyance occasioned by such Renovations or Landlord’s actions. Landlord shall perform such Renovations in compliance with the terms of this Lease, and shall use commercially reasonable efforts to have all such work performed on a continuous basis, and once started, to be completed reasonably expeditiously, with such work being organized, conducted and scheduled in a manner which will minimize any interference to Tenant’s business operations in the Premises.</w:t>
      </w:r>
    </w:p>
    <w:p>
      <w:pPr>
        <w:spacing w:after="0" w:line="65"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 xml:space="preserve">29.31 </w:t>
      </w:r>
      <w:r>
        <w:rPr>
          <w:rFonts w:ascii="Arial" w:cs="Arial" w:eastAsia="Arial" w:hAnsi="Arial"/>
          <w:sz w:val="17"/>
          <w:szCs w:val="17"/>
          <w:b w:val="1"/>
          <w:bCs w:val="1"/>
          <w:u w:val="single" w:color="auto"/>
          <w:color w:val="auto"/>
        </w:rPr>
        <w:t>No Violation</w:t>
      </w:r>
      <w:r>
        <w:rPr>
          <w:rFonts w:ascii="Arial" w:cs="Arial" w:eastAsia="Arial" w:hAnsi="Arial"/>
          <w:sz w:val="17"/>
          <w:szCs w:val="17"/>
          <w:u w:val="single" w:color="auto"/>
          <w:color w:val="auto"/>
        </w:rPr>
        <w:t>.</w:t>
      </w:r>
      <w:r>
        <w:rPr>
          <w:rFonts w:ascii="Arial" w:cs="Arial" w:eastAsia="Arial" w:hAnsi="Arial"/>
          <w:sz w:val="17"/>
          <w:szCs w:val="17"/>
          <w:color w:val="auto"/>
        </w:rPr>
        <w:t xml:space="preserve">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63"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 xml:space="preserve">29.32 </w:t>
      </w:r>
      <w:r>
        <w:rPr>
          <w:rFonts w:ascii="Arial" w:cs="Arial" w:eastAsia="Arial" w:hAnsi="Arial"/>
          <w:sz w:val="17"/>
          <w:szCs w:val="17"/>
          <w:b w:val="1"/>
          <w:bCs w:val="1"/>
          <w:u w:val="single" w:color="auto"/>
          <w:color w:val="auto"/>
        </w:rPr>
        <w:t>Communications and Computer Lines</w:t>
      </w:r>
      <w:r>
        <w:rPr>
          <w:rFonts w:ascii="Arial" w:cs="Arial" w:eastAsia="Arial" w:hAnsi="Arial"/>
          <w:sz w:val="17"/>
          <w:szCs w:val="17"/>
          <w:color w:val="auto"/>
        </w:rPr>
        <w:t>. Landlord and Tenant acknowledge that Tenant plans to utilize a significant portion of the existing communications and computer wires and cables in the Premises. Tenant may install, maintain, replace, remove or use any communications or computer wires and cables (collectively with such existing cabling infrastructure, the “</w:t>
      </w:r>
      <w:r>
        <w:rPr>
          <w:rFonts w:ascii="Arial" w:cs="Arial" w:eastAsia="Arial" w:hAnsi="Arial"/>
          <w:sz w:val="17"/>
          <w:szCs w:val="17"/>
          <w:b w:val="1"/>
          <w:bCs w:val="1"/>
          <w:color w:val="auto"/>
        </w:rPr>
        <w:t>Lines</w:t>
      </w:r>
      <w:r>
        <w:rPr>
          <w:rFonts w:ascii="Arial" w:cs="Arial" w:eastAsia="Arial" w:hAnsi="Arial"/>
          <w:sz w:val="17"/>
          <w:szCs w:val="17"/>
          <w:color w:val="auto"/>
        </w:rPr>
        <w:t xml:space="preserve">”) at the Project in or serving the Premises, provided that (i) Tenant shall obtain Landlord’s prior written consent, use an experienced and qualified contractor approved in writing by Landlord, and comply with all of the other provisions of </w:t>
      </w:r>
      <w:r>
        <w:rPr>
          <w:rFonts w:ascii="Arial" w:cs="Arial" w:eastAsia="Arial" w:hAnsi="Arial"/>
          <w:sz w:val="17"/>
          <w:szCs w:val="17"/>
          <w:u w:val="single" w:color="auto"/>
          <w:color w:val="auto"/>
        </w:rPr>
        <w:t>Articles 7 and 8</w:t>
      </w:r>
      <w:r>
        <w:rPr>
          <w:rFonts w:ascii="Arial" w:cs="Arial" w:eastAsia="Arial" w:hAnsi="Arial"/>
          <w:sz w:val="17"/>
          <w:szCs w:val="17"/>
          <w:color w:val="auto"/>
        </w:rPr>
        <w:t xml:space="preserve"> of this Lease, (ii) an acceptable number of spare Lines and space for additional Lines shall be maintained for existing and future occupants of the Project, as determined in Landlord’s reasonable opinion, (iii) the Lines therefor (including riser cables) shall be (x) appropriately insulated to prevent excessive electromagnetic fields or radiation, (y) surrounded by a protective conduit reasonably acceptable to Landlord, and (z) identified in accordance with the “Identification Requirements,” as that term is set forth hereinbelow, (iv) any new or existing Lines servicing the Premises shall comply with all applicable governmental laws and regulations, (v) as a condition to permitting the installation of new Lines, Tenant shall remove any then-existing, unused Lines previously installed by or on behalf of Tenant and which are located in or serving the Premises and repair any damage in connection with such removal, and (vi) Tenant shall pay all costs in connection therewith. All Lines shall be clearly marked with adhesive plastic labels (or plastic tags attached to such Lines with wire) to show Tenant’s name, suite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00"/>
          </w:cols>
          <w:pgMar w:left="240" w:top="271" w:right="259" w:bottom="1440" w:gutter="0" w:footer="0" w:header="0"/>
        </w:sectPr>
      </w:pPr>
    </w:p>
    <w:bookmarkStart w:id="307" w:name="page308"/>
    <w:bookmarkEnd w:id="307"/>
    <w:p>
      <w:pPr>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Arial" w:cs="Arial" w:eastAsia="Arial" w:hAnsi="Arial"/>
          <w:sz w:val="15"/>
          <w:szCs w:val="15"/>
          <w:b w:val="1"/>
          <w:bCs w:val="1"/>
          <w:color w:val="auto"/>
        </w:rPr>
        <w:t>Identification</w:t>
      </w:r>
      <w:r>
        <w:rPr>
          <w:rFonts w:ascii="Arial" w:cs="Arial" w:eastAsia="Arial" w:hAnsi="Arial"/>
          <w:sz w:val="15"/>
          <w:szCs w:val="15"/>
          <w:color w:val="auto"/>
        </w:rPr>
        <w:t xml:space="preserve"> </w:t>
      </w:r>
      <w:r>
        <w:rPr>
          <w:rFonts w:ascii="Arial" w:cs="Arial" w:eastAsia="Arial" w:hAnsi="Arial"/>
          <w:sz w:val="15"/>
          <w:szCs w:val="15"/>
          <w:b w:val="1"/>
          <w:bCs w:val="1"/>
          <w:color w:val="auto"/>
        </w:rPr>
        <w:t>Requirements</w:t>
      </w:r>
      <w:r>
        <w:rPr>
          <w:rFonts w:ascii="Arial" w:cs="Arial" w:eastAsia="Arial" w:hAnsi="Arial"/>
          <w:sz w:val="15"/>
          <w:szCs w:val="15"/>
          <w:color w:val="auto"/>
        </w:rPr>
        <w:t>”). Upon the expiration of the Lease Term, or immediately following any earlier termination of this Lease, Tenant shall, at Tenant’s sole cost and</w:t>
      </w:r>
      <w:r>
        <w:rPr>
          <w:rFonts w:ascii="Arial" w:cs="Arial" w:eastAsia="Arial" w:hAnsi="Arial"/>
          <w:sz w:val="15"/>
          <w:szCs w:val="15"/>
          <w:b w:val="1"/>
          <w:bCs w:val="1"/>
          <w:color w:val="auto"/>
        </w:rPr>
        <w:t xml:space="preserve"> </w:t>
      </w:r>
      <w:r>
        <w:rPr>
          <w:rFonts w:ascii="Arial" w:cs="Arial" w:eastAsia="Arial" w:hAnsi="Arial"/>
          <w:sz w:val="15"/>
          <w:szCs w:val="15"/>
          <w:color w:val="auto"/>
        </w:rPr>
        <w:t>expense, remove all Lines installed by Tenant (but not any Lines existing in the Premises prior to the Effective Date and repair any damage caused by such removal. In the event that Tenant fails to complete such removal and/or fails to repair any damage caused by the removal of any Lines, Landlord may do so and may charge the cost thereof to Tenant. Landlord reserves the right to require that Tenant remove any Lines located in or serving the Premises which are installed by or on behalf of Tenant in violation of these provisions, or which are at any time (1) are in violation of any Applicable Laws, (2) are inconsistent with then-existing industry standards (such as the standards promulgated by the National Fire Protection Association (e.g., such organization’s “2002 National Electrical Code”)), or</w:t>
      </w:r>
    </w:p>
    <w:p>
      <w:pPr>
        <w:spacing w:after="0" w:line="4" w:lineRule="exact"/>
        <w:rPr>
          <w:sz w:val="20"/>
          <w:szCs w:val="20"/>
          <w:color w:val="auto"/>
        </w:rPr>
      </w:pPr>
    </w:p>
    <w:p>
      <w:pPr>
        <w:ind w:left="460" w:right="6440" w:hanging="455"/>
        <w:spacing w:after="0" w:line="374" w:lineRule="auto"/>
        <w:tabs>
          <w:tab w:leader="none" w:pos="25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otherwise represent a dangerous or potentially dangerous condition. 29.33 </w:t>
      </w:r>
      <w:r>
        <w:rPr>
          <w:rFonts w:ascii="Arial" w:cs="Arial" w:eastAsia="Arial" w:hAnsi="Arial"/>
          <w:sz w:val="17"/>
          <w:szCs w:val="17"/>
          <w:b w:val="1"/>
          <w:bCs w:val="1"/>
          <w:u w:val="single" w:color="auto"/>
          <w:color w:val="auto"/>
        </w:rPr>
        <w:t>Hazardous Substances</w:t>
      </w:r>
      <w:r>
        <w:rPr>
          <w:rFonts w:ascii="Arial" w:cs="Arial" w:eastAsia="Arial" w:hAnsi="Arial"/>
          <w:sz w:val="17"/>
          <w:szCs w:val="17"/>
          <w:u w:val="single" w:color="auto"/>
          <w:color w:val="auto"/>
        </w:rPr>
        <w:t>.</w:t>
      </w:r>
    </w:p>
    <w:p>
      <w:pPr>
        <w:spacing w:after="0" w:line="1" w:lineRule="exact"/>
        <w:rPr>
          <w:sz w:val="20"/>
          <w:szCs w:val="20"/>
          <w:color w:val="auto"/>
        </w:rPr>
      </w:pPr>
    </w:p>
    <w:p>
      <w:pPr>
        <w:ind w:firstLine="913"/>
        <w:spacing w:after="0" w:line="278" w:lineRule="auto"/>
        <w:rPr>
          <w:sz w:val="20"/>
          <w:szCs w:val="20"/>
          <w:color w:val="auto"/>
        </w:rPr>
      </w:pPr>
      <w:r>
        <w:rPr>
          <w:rFonts w:ascii="Arial" w:cs="Arial" w:eastAsia="Arial" w:hAnsi="Arial"/>
          <w:sz w:val="16"/>
          <w:szCs w:val="16"/>
          <w:color w:val="auto"/>
        </w:rPr>
        <w:t xml:space="preserve">29.33.1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of this Lease, the following definitions shall apply: “</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any solid, liquid or gaseous substance or material that is described or characterized as a toxic or hazardous substance, waste, material, pollutant, contaminant or infectious waste, or any matter that in certain specified quantities would be injurious to the public health or welfare, or words of similar import, in any of the “Environmental Laws,” as that term is defined below, or any other words which are intended to define, list or classify substances by reason of deleterious properties such as ignitability, corrosivity, reactivity, carcinogenicity, toxicity or reproductive toxicity and includes, without limitation, asbestos, petroleum (including crude oil or any fraction thereof, natural gas, natural gas liquids, liquefied natural gas, or synthetic gas usable for fuel, or any mixture thereof), petroleum products, polychlorinated biphenyls, urea formaldehyde, radon gas, nuclear or radioactive matter, medical waste, soot, vapors, fumes, acids, alkalis, chemicals, microbial matters (such as molds, fungi or other bacterial matters), biological agents and chemicals which may cause adverse health effects, including but not limited to, cancers and /or toxicity. “</w:t>
      </w:r>
      <w:r>
        <w:rPr>
          <w:rFonts w:ascii="Arial" w:cs="Arial" w:eastAsia="Arial" w:hAnsi="Arial"/>
          <w:sz w:val="16"/>
          <w:szCs w:val="16"/>
          <w:b w:val="1"/>
          <w:bCs w:val="1"/>
          <w:color w:val="auto"/>
        </w:rPr>
        <w:t>Environmental Laws</w:t>
      </w:r>
      <w:r>
        <w:rPr>
          <w:rFonts w:ascii="Arial" w:cs="Arial" w:eastAsia="Arial" w:hAnsi="Arial"/>
          <w:sz w:val="16"/>
          <w:szCs w:val="16"/>
          <w:color w:val="auto"/>
        </w:rPr>
        <w:t>” shall mean any and all federal, state, local or quasi-governmental laws (whether under common law, statute or otherwise), ordinances, decrees, codes, rulings, awards, rules, regulations or guidance or policy documents now or hereafter enacted or promulgated and as amended from time to time, in any way relating to (i) the protection of the environment, the health and safety of persons (including employees), property or the public welfare from actual or potential release, discharge, escape or emission (whether past or present) of any Hazardous Materials or (ii) the manufacture, processing, distribution, use, treatment, storage, disposal, transport or handling of any Hazardous Materials.</w:t>
      </w:r>
    </w:p>
    <w:p>
      <w:pPr>
        <w:spacing w:after="0" w:line="58" w:lineRule="exact"/>
        <w:rPr>
          <w:sz w:val="20"/>
          <w:szCs w:val="20"/>
          <w:color w:val="auto"/>
        </w:rPr>
      </w:pPr>
    </w:p>
    <w:p>
      <w:pPr>
        <w:ind w:right="360" w:firstLine="913"/>
        <w:spacing w:after="0" w:line="270" w:lineRule="auto"/>
        <w:rPr>
          <w:sz w:val="20"/>
          <w:szCs w:val="20"/>
          <w:color w:val="auto"/>
        </w:rPr>
      </w:pPr>
      <w:r>
        <w:rPr>
          <w:rFonts w:ascii="Arial" w:cs="Arial" w:eastAsia="Arial" w:hAnsi="Arial"/>
          <w:sz w:val="17"/>
          <w:szCs w:val="17"/>
          <w:color w:val="auto"/>
        </w:rPr>
        <w:t xml:space="preserve">29.33.2 </w:t>
      </w:r>
      <w:r>
        <w:rPr>
          <w:rFonts w:ascii="Arial" w:cs="Arial" w:eastAsia="Arial" w:hAnsi="Arial"/>
          <w:sz w:val="17"/>
          <w:szCs w:val="17"/>
          <w:b w:val="1"/>
          <w:bCs w:val="1"/>
          <w:u w:val="single" w:color="auto"/>
          <w:color w:val="auto"/>
        </w:rPr>
        <w:t>Compliance with Environmental Laws</w:t>
      </w:r>
      <w:r>
        <w:rPr>
          <w:rFonts w:ascii="Arial" w:cs="Arial" w:eastAsia="Arial" w:hAnsi="Arial"/>
          <w:sz w:val="17"/>
          <w:szCs w:val="17"/>
          <w:color w:val="auto"/>
        </w:rPr>
        <w:t xml:space="preserve">. Landlord covenants that during the Lease Term, Landlord shall comply with all Environmental Laws in accordance with, and as required by, the TCCs of </w:t>
      </w:r>
      <w:r>
        <w:rPr>
          <w:rFonts w:ascii="Arial" w:cs="Arial" w:eastAsia="Arial" w:hAnsi="Arial"/>
          <w:sz w:val="17"/>
          <w:szCs w:val="17"/>
          <w:u w:val="single" w:color="auto"/>
          <w:color w:val="auto"/>
        </w:rPr>
        <w:t>Article 24</w:t>
      </w:r>
      <w:r>
        <w:rPr>
          <w:rFonts w:ascii="Arial" w:cs="Arial" w:eastAsia="Arial" w:hAnsi="Arial"/>
          <w:sz w:val="17"/>
          <w:szCs w:val="17"/>
          <w:color w:val="auto"/>
        </w:rPr>
        <w:t xml:space="preserve"> of this Lease. Tenant shall not sell, use, or store in or around the Premises any Hazardous Materials, provided that the use or storage of Hazardous Materials shall be permitted to the extent the same is performed in accordance with applicable Environmental Laws, and subject to Tenant’s receipt, at Tenant’s sole cost, of all applicable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271" w:right="239" w:bottom="1440" w:gutter="0" w:footer="0" w:header="0"/>
        </w:sectPr>
      </w:pPr>
    </w:p>
    <w:bookmarkStart w:id="308" w:name="page309"/>
    <w:bookmarkEnd w:id="308"/>
    <w:p>
      <w:pPr>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permits and required governmental approvals. In addition, Tenant agrees that it: (i) shall not cause or suffer to occur, the release, discharge, escape or emission of any Hazardous Materials at, upon, under or within the Premises or any contiguous or adjacent premises; (ii) shall not engage in activities at the Premises that could result in, give rise to, or lead to the imposition of liability upon Tenant or Landlord or the creation of a lien upon the building or land upon which the Premises is located; (iii) shall notify Landlord promptly following receipt of any knowledge with respect to any actual release, discharge, escape or emission (whether past or present) of any Hazardous Materials at, upon, under or within the Premises; (iv) shall promptly forward to Landlord copies of all orders, notices, permits, applications and other communications and reports in connection with any release, discharge, escape or emission of any Hazardous Materials at, upon, under or within the Premises or any contiguous or adjacent premises, and (v) in connection with Tenant’s surrender of the Premises upon the expiration or earlier termination of this Lease, Tenant shall deliver the same free of Hazardous Materials brought upon, kept or used in or about the Premises by any persons during the period of Tenant’s lease of, use of, or occupancy of, the Premises, and shall obtain and provide to Landlord (A) any and all licenses, clearances or other authorizations of any kind required to permit the presence of Hazardous Materials in the Premises by any governmental or quasi-governmental agency having jurisdiction over the use, storage, release or removal of Hazardous Materials, (B) evidence from the applicable governmental entities of “closure” of all permits which had been required for Tenant’s use of the Premises, together with “no further action letters” from such applicable governmental entities and a “no further action letter” for unrestricted future use of the Premises, and (C) a Phase I report with regard to the Premises. Landlord and Tenant hereby agree that for purposes of establishing a baseline, Landlord shall, promptly following the Effective Date of this Lease, obtain and provide to Tenant an updated Phase I report with regard to the Premises.</w:t>
      </w:r>
    </w:p>
    <w:p>
      <w:pPr>
        <w:spacing w:after="0" w:line="68" w:lineRule="exact"/>
        <w:rPr>
          <w:sz w:val="20"/>
          <w:szCs w:val="20"/>
          <w:color w:val="auto"/>
        </w:rPr>
      </w:pPr>
    </w:p>
    <w:p>
      <w:pPr>
        <w:ind w:firstLine="913"/>
        <w:spacing w:after="0" w:line="278" w:lineRule="auto"/>
        <w:rPr>
          <w:sz w:val="20"/>
          <w:szCs w:val="20"/>
          <w:color w:val="auto"/>
        </w:rPr>
      </w:pPr>
      <w:r>
        <w:rPr>
          <w:rFonts w:ascii="Arial" w:cs="Arial" w:eastAsia="Arial" w:hAnsi="Arial"/>
          <w:sz w:val="16"/>
          <w:szCs w:val="16"/>
          <w:color w:val="auto"/>
        </w:rPr>
        <w:t xml:space="preserve">29.33.3 </w:t>
      </w:r>
      <w:r>
        <w:rPr>
          <w:rFonts w:ascii="Arial" w:cs="Arial" w:eastAsia="Arial" w:hAnsi="Arial"/>
          <w:sz w:val="16"/>
          <w:szCs w:val="16"/>
          <w:b w:val="1"/>
          <w:bCs w:val="1"/>
          <w:u w:val="single" w:color="auto"/>
          <w:color w:val="auto"/>
        </w:rPr>
        <w:t>Tenant Hazardous Materials</w:t>
      </w:r>
      <w:r>
        <w:rPr>
          <w:rFonts w:ascii="Arial" w:cs="Arial" w:eastAsia="Arial" w:hAnsi="Arial"/>
          <w:sz w:val="16"/>
          <w:szCs w:val="16"/>
          <w:color w:val="auto"/>
        </w:rPr>
        <w:t>. Tenant will (i) obtain and maintain in full force and effect all Environmental Permits (as defined below) that may be required from time to time under any Environmental Laws applicable to Tenant or the Premises, and (ii) be and remain in compliance with all terms and conditions of all such Environmental Permits and with all other Environmental Laws. “</w:t>
      </w:r>
      <w:r>
        <w:rPr>
          <w:rFonts w:ascii="Arial" w:cs="Arial" w:eastAsia="Arial" w:hAnsi="Arial"/>
          <w:sz w:val="16"/>
          <w:szCs w:val="16"/>
          <w:b w:val="1"/>
          <w:bCs w:val="1"/>
          <w:color w:val="auto"/>
        </w:rPr>
        <w:t>Environmental Permits</w:t>
      </w:r>
      <w:r>
        <w:rPr>
          <w:rFonts w:ascii="Arial" w:cs="Arial" w:eastAsia="Arial" w:hAnsi="Arial"/>
          <w:sz w:val="16"/>
          <w:szCs w:val="16"/>
          <w:color w:val="auto"/>
        </w:rPr>
        <w:t>” means, collectively, any and all permits, consents, licenses, approvals and registrations of any nature at any time required pursuant to, or in order to comply with any Environmental Law. On or before the Lease Commencement Date and on each annual anniversary of the Commencement Date thereafter, as well as at any other time following Tenant’s receipt of a reasonable request from Landlord, Tenant agrees to deliver to Landlord a list (the “</w:t>
      </w:r>
      <w:r>
        <w:rPr>
          <w:rFonts w:ascii="Arial" w:cs="Arial" w:eastAsia="Arial" w:hAnsi="Arial"/>
          <w:sz w:val="16"/>
          <w:szCs w:val="16"/>
          <w:b w:val="1"/>
          <w:bCs w:val="1"/>
          <w:color w:val="auto"/>
        </w:rPr>
        <w:t>HazMat List</w:t>
      </w:r>
      <w:r>
        <w:rPr>
          <w:rFonts w:ascii="Arial" w:cs="Arial" w:eastAsia="Arial" w:hAnsi="Arial"/>
          <w:sz w:val="16"/>
          <w:szCs w:val="16"/>
          <w:color w:val="auto"/>
        </w:rPr>
        <w:t>”) of all Hazardous Materials anticipated to be used by Tenant in the Premises and the quantities thereof. Upon the expiration or earlier termination of this Lease, Tenant agrees to promptly remove from the Premises, the Building and the Project, at its sole cost and expense, any and all Hazardous Materials, including any equipment or systems containing Hazardous Materials, which are installed, brought upon, stored, used, generated or released upon, in, under or about the Premises, the Building, and/or the Project or any portion thereof by Tenant and/or any Tenant Parties (such obligation to survive the expiration or sooner termination of this Lease). Nothing in this Lease shall impose any liability on Tenant for any Hazardous Materials in existence on the Premises, Building or Project prior to the Lease Commencement Date or brought onto the Premises, Building or Project after the Lease Commencement Date by any third parties not under Tenant’s control.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00"/>
          </w:cols>
          <w:pgMar w:left="240" w:top="271" w:right="259" w:bottom="1440" w:gutter="0" w:footer="0" w:header="0"/>
        </w:sectPr>
      </w:pPr>
    </w:p>
    <w:bookmarkStart w:id="309" w:name="page310"/>
    <w:bookmarkEnd w:id="309"/>
    <w:p>
      <w:pPr>
        <w:ind w:firstLine="913"/>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29.33.4 </w:t>
      </w:r>
      <w:r>
        <w:rPr>
          <w:rFonts w:ascii="Arial" w:cs="Arial" w:eastAsia="Arial" w:hAnsi="Arial"/>
          <w:sz w:val="16"/>
          <w:szCs w:val="16"/>
          <w:b w:val="1"/>
          <w:bCs w:val="1"/>
          <w:u w:val="single" w:color="auto"/>
          <w:color w:val="auto"/>
        </w:rPr>
        <w:t>Landlord’s Right of Environmental Audit</w:t>
      </w:r>
      <w:r>
        <w:rPr>
          <w:rFonts w:ascii="Arial" w:cs="Arial" w:eastAsia="Arial" w:hAnsi="Arial"/>
          <w:sz w:val="16"/>
          <w:szCs w:val="16"/>
          <w:color w:val="auto"/>
        </w:rPr>
        <w:t>. Landlord may, upon reasonable notice to Tenant, be granted access to and enter the Premises no more than once annually to perform or cause to have performed an environmental inspection, site assessment or audit. Such environmental inspector or auditor may be chosen by Landlord, in its sole discretion, and be performed at Landlord’s sole expense. To the extent that the report prepared upon such inspection, assessment or audit, indicates the presence of Hazardous Materials in violation of Environmental Laws, or provides recommendations or suggestions to prohibit the release, discharge, escape or emission of any Hazardous Materials at, upon, under or within the Premises, or to comply with any Environmental Laws, Tenant shall promptly, at Tenant’s sole expense, comply with such recommendations or suggestions, including, but not limited to performing such additional investigative or subsurface investigations or remediation(s) as recommended by such inspector or auditor. Notwithstanding the above, if at any time, Landlord has actual notice or reasonable cause to believe that Tenant has violated, or permitted any violations of any Environmental Law, then Landlord will be entitled to perform its environmental inspection, assessment or audit at any time, notwithstanding the above mentioned annual limitation, and Tenant must reimburse Landlord for the cost or fees incurred for such as Additional Rent if a violation is discovered.</w:t>
      </w:r>
    </w:p>
    <w:p>
      <w:pPr>
        <w:spacing w:after="0" w:line="61" w:lineRule="exact"/>
        <w:rPr>
          <w:sz w:val="20"/>
          <w:szCs w:val="20"/>
          <w:color w:val="auto"/>
        </w:rPr>
      </w:pPr>
    </w:p>
    <w:p>
      <w:pPr>
        <w:ind w:right="40" w:firstLine="913"/>
        <w:spacing w:after="0" w:line="282" w:lineRule="auto"/>
        <w:rPr>
          <w:sz w:val="20"/>
          <w:szCs w:val="20"/>
          <w:color w:val="auto"/>
        </w:rPr>
      </w:pPr>
      <w:r>
        <w:rPr>
          <w:rFonts w:ascii="Arial" w:cs="Arial" w:eastAsia="Arial" w:hAnsi="Arial"/>
          <w:sz w:val="16"/>
          <w:szCs w:val="16"/>
          <w:color w:val="auto"/>
        </w:rPr>
        <w:t xml:space="preserve">29.33.5 </w:t>
      </w:r>
      <w:r>
        <w:rPr>
          <w:rFonts w:ascii="Arial" w:cs="Arial" w:eastAsia="Arial" w:hAnsi="Arial"/>
          <w:sz w:val="16"/>
          <w:szCs w:val="16"/>
          <w:b w:val="1"/>
          <w:bCs w:val="1"/>
          <w:u w:val="single" w:color="auto"/>
          <w:color w:val="auto"/>
        </w:rPr>
        <w:t>Indemnifications</w:t>
      </w:r>
      <w:r>
        <w:rPr>
          <w:rFonts w:ascii="Arial" w:cs="Arial" w:eastAsia="Arial" w:hAnsi="Arial"/>
          <w:sz w:val="16"/>
          <w:szCs w:val="16"/>
          <w:color w:val="auto"/>
        </w:rPr>
        <w:t>. Landlord agrees to indemnify, defend, protect and hold harmless the Tenant Parties from and against any liability, obligation, damage or costs, including without limitation, attorneys’ fees and costs, resulting directly or indirectly from any use, presence, removal or disposal of any Hazardous Materials in the Project, Building or Premises prior to the Effective Date and otherwise to the extent such liability, obligation, damage or costs was a result of actions caused or knowingly permitted by Landlord or a Landlord Party. Tenant agrees to indemnify, defend, protect and hold harmless the Landlord Parties from and against any liability, obligation, damage or costs, including without limitation, attorneys’ fees and costs, resulting directly or indirectly from any use, presence, removal or disposal of any Hazardous Materials or breach of any provision of this section, to the extent such liability, obligation, damage or costs was a result of actions caused or permitted by Tenant or a Tenant Party.</w:t>
      </w:r>
    </w:p>
    <w:p>
      <w:pPr>
        <w:spacing w:after="0" w:line="58" w:lineRule="exact"/>
        <w:rPr>
          <w:sz w:val="20"/>
          <w:szCs w:val="20"/>
          <w:color w:val="auto"/>
        </w:rPr>
      </w:pPr>
    </w:p>
    <w:p>
      <w:pPr>
        <w:jc w:val="both"/>
        <w:ind w:right="120" w:firstLine="913"/>
        <w:spacing w:after="0" w:line="301" w:lineRule="auto"/>
        <w:rPr>
          <w:sz w:val="20"/>
          <w:szCs w:val="20"/>
          <w:color w:val="auto"/>
        </w:rPr>
      </w:pPr>
      <w:r>
        <w:rPr>
          <w:rFonts w:ascii="Arial" w:cs="Arial" w:eastAsia="Arial" w:hAnsi="Arial"/>
          <w:sz w:val="16"/>
          <w:szCs w:val="16"/>
          <w:color w:val="auto"/>
        </w:rPr>
        <w:t xml:space="preserve">29.33.6 </w:t>
      </w:r>
      <w:r>
        <w:rPr>
          <w:rFonts w:ascii="Arial" w:cs="Arial" w:eastAsia="Arial" w:hAnsi="Arial"/>
          <w:sz w:val="16"/>
          <w:szCs w:val="16"/>
          <w:b w:val="1"/>
          <w:bCs w:val="1"/>
          <w:u w:val="single" w:color="auto"/>
          <w:color w:val="auto"/>
        </w:rPr>
        <w:t>Control Areas; Storage</w:t>
      </w:r>
      <w:r>
        <w:rPr>
          <w:rFonts w:ascii="Arial" w:cs="Arial" w:eastAsia="Arial" w:hAnsi="Arial"/>
          <w:sz w:val="16"/>
          <w:szCs w:val="16"/>
          <w:color w:val="auto"/>
        </w:rPr>
        <w:t xml:space="preserve">. In connection with Tenant’s storage of any Hazardous Materials permitted in accordance with this </w:t>
      </w:r>
      <w:r>
        <w:rPr>
          <w:rFonts w:ascii="Arial" w:cs="Arial" w:eastAsia="Arial" w:hAnsi="Arial"/>
          <w:sz w:val="16"/>
          <w:szCs w:val="16"/>
          <w:u w:val="single" w:color="auto"/>
          <w:color w:val="auto"/>
        </w:rPr>
        <w:t>Section 29.33</w:t>
      </w:r>
      <w:r>
        <w:rPr>
          <w:rFonts w:ascii="Arial" w:cs="Arial" w:eastAsia="Arial" w:hAnsi="Arial"/>
          <w:sz w:val="16"/>
          <w:szCs w:val="16"/>
          <w:color w:val="auto"/>
        </w:rPr>
        <w:t xml:space="preserve">, Tenant shall be allowed to utilize up to Tenant’s Share of the control areas or zones identified on </w:t>
      </w:r>
      <w:r>
        <w:rPr>
          <w:rFonts w:ascii="Arial" w:cs="Arial" w:eastAsia="Arial" w:hAnsi="Arial"/>
          <w:sz w:val="16"/>
          <w:szCs w:val="16"/>
          <w:b w:val="1"/>
          <w:bCs w:val="1"/>
          <w:u w:val="single" w:color="auto"/>
          <w:color w:val="auto"/>
        </w:rPr>
        <w:t>Exhibit A-3</w:t>
      </w:r>
      <w:r>
        <w:rPr>
          <w:rFonts w:ascii="Arial" w:cs="Arial" w:eastAsia="Arial" w:hAnsi="Arial"/>
          <w:sz w:val="16"/>
          <w:szCs w:val="16"/>
          <w:color w:val="auto"/>
        </w:rPr>
        <w:t xml:space="preserve"> attached hereto (but such use shall be limited to the extent such areas/zones are located within the Premises), as designated by the applicable building code, for chemical use or storage.</w:t>
      </w:r>
    </w:p>
    <w:p>
      <w:pPr>
        <w:spacing w:after="0" w:line="41"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29.34 </w:t>
      </w:r>
      <w:r>
        <w:rPr>
          <w:rFonts w:ascii="Arial" w:cs="Arial" w:eastAsia="Arial" w:hAnsi="Arial"/>
          <w:sz w:val="16"/>
          <w:szCs w:val="16"/>
          <w:b w:val="1"/>
          <w:bCs w:val="1"/>
          <w:u w:val="single" w:color="auto"/>
          <w:color w:val="auto"/>
        </w:rPr>
        <w:t>Rooftop Rights</w:t>
      </w:r>
      <w:r>
        <w:rPr>
          <w:rFonts w:ascii="Arial" w:cs="Arial" w:eastAsia="Arial" w:hAnsi="Arial"/>
          <w:sz w:val="16"/>
          <w:szCs w:val="16"/>
          <w:color w:val="auto"/>
        </w:rPr>
        <w:t xml:space="preserve">. Provided that Tenant is then in occupancy of the Premises, then in accordance with, and subject to, the terms and conditions set forth in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above, and this </w:t>
      </w:r>
      <w:r>
        <w:rPr>
          <w:rFonts w:ascii="Arial" w:cs="Arial" w:eastAsia="Arial" w:hAnsi="Arial"/>
          <w:sz w:val="16"/>
          <w:szCs w:val="16"/>
          <w:u w:val="single" w:color="auto"/>
          <w:color w:val="auto"/>
        </w:rPr>
        <w:t>Section 29.34</w:t>
      </w:r>
      <w:r>
        <w:rPr>
          <w:rFonts w:ascii="Arial" w:cs="Arial" w:eastAsia="Arial" w:hAnsi="Arial"/>
          <w:sz w:val="16"/>
          <w:szCs w:val="16"/>
          <w:color w:val="auto"/>
        </w:rPr>
        <w:t>, Tenant may install and maintain, at Tenant’s sole cost and expense, but without the payment of any Base Rent or a license or similar fee or charge, the following equipment: (i) one (1) satellite dish/antennae on the roof of the Building which shall be no larger than twenty-four inches (24”) in diameter and which shall weigh no more than fifty pounds (and reasonable equipment and cabling related thereto), for receiving of signals or broadcasts (as opposed to the generation or transmission of any such signals or broadcasts) servicing the business conducted by Tenant from within the Premises (all such equipment is defined collectively as the “</w:t>
      </w:r>
      <w:r>
        <w:rPr>
          <w:rFonts w:ascii="Arial" w:cs="Arial" w:eastAsia="Arial" w:hAnsi="Arial"/>
          <w:sz w:val="16"/>
          <w:szCs w:val="16"/>
          <w:b w:val="1"/>
          <w:bCs w:val="1"/>
          <w:color w:val="auto"/>
        </w:rPr>
        <w:t>Telecommunications Equipment</w:t>
      </w:r>
      <w:r>
        <w:rPr>
          <w:rFonts w:ascii="Arial" w:cs="Arial" w:eastAsia="Arial" w:hAnsi="Arial"/>
          <w:sz w:val="16"/>
          <w:szCs w:val="16"/>
          <w:color w:val="auto"/>
        </w:rPr>
        <w:t>”); and (ii) HVAC equipment to the extent necessary in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380"/>
          </w:cols>
          <w:pgMar w:left="240" w:top="265" w:right="279" w:bottom="1440" w:gutter="0" w:footer="0" w:header="0"/>
        </w:sectPr>
      </w:pPr>
    </w:p>
    <w:bookmarkStart w:id="310" w:name="page311"/>
    <w:bookmarkEnd w:id="3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connection with Tenant’s One-Pass Air System (the “</w:t>
      </w:r>
      <w:r>
        <w:rPr>
          <w:rFonts w:ascii="Arial" w:cs="Arial" w:eastAsia="Arial" w:hAnsi="Arial"/>
          <w:sz w:val="17"/>
          <w:szCs w:val="17"/>
          <w:b w:val="1"/>
          <w:bCs w:val="1"/>
          <w:color w:val="auto"/>
        </w:rPr>
        <w:t>HVAC Equipment</w:t>
      </w:r>
      <w:r>
        <w:rPr>
          <w:rFonts w:ascii="Arial" w:cs="Arial" w:eastAsia="Arial" w:hAnsi="Arial"/>
          <w:sz w:val="17"/>
          <w:szCs w:val="17"/>
          <w:color w:val="auto"/>
        </w:rPr>
        <w:t>”) (collectively, the “Rooftop Equipment”).</w:t>
      </w:r>
    </w:p>
    <w:p>
      <w:pPr>
        <w:spacing w:after="0" w:line="125" w:lineRule="exact"/>
        <w:rPr>
          <w:sz w:val="20"/>
          <w:szCs w:val="20"/>
          <w:color w:val="auto"/>
        </w:rPr>
      </w:pPr>
    </w:p>
    <w:p>
      <w:pPr>
        <w:ind w:right="200" w:firstLine="913"/>
        <w:spacing w:after="0" w:line="267" w:lineRule="auto"/>
        <w:rPr>
          <w:sz w:val="20"/>
          <w:szCs w:val="20"/>
          <w:color w:val="auto"/>
        </w:rPr>
      </w:pPr>
      <w:r>
        <w:rPr>
          <w:rFonts w:ascii="Arial" w:cs="Arial" w:eastAsia="Arial" w:hAnsi="Arial"/>
          <w:sz w:val="17"/>
          <w:szCs w:val="17"/>
          <w:color w:val="auto"/>
        </w:rPr>
        <w:t>29.34.1 Landlord makes no representations or warranties whatsoever with respect to the condition of the roof of the Building, or the fitness or suitability of the roof of the Building for the installation, maintenance and operation of the Rooftop Equipment, including, without limitation, with respect to the quality and clarity of any receptions and transmissions to or from the Telecommunications Equipment and the presence of any interference with such signals whether emanating from the Building or otherwise.</w:t>
      </w:r>
    </w:p>
    <w:p>
      <w:pPr>
        <w:spacing w:after="0" w:line="73" w:lineRule="exact"/>
        <w:rPr>
          <w:sz w:val="20"/>
          <w:szCs w:val="20"/>
          <w:color w:val="auto"/>
        </w:rPr>
      </w:pPr>
    </w:p>
    <w:p>
      <w:pPr>
        <w:ind w:firstLine="913"/>
        <w:spacing w:after="0" w:line="300" w:lineRule="auto"/>
        <w:rPr>
          <w:sz w:val="20"/>
          <w:szCs w:val="20"/>
          <w:color w:val="auto"/>
        </w:rPr>
      </w:pPr>
      <w:r>
        <w:rPr>
          <w:rFonts w:ascii="Arial" w:cs="Arial" w:eastAsia="Arial" w:hAnsi="Arial"/>
          <w:sz w:val="15"/>
          <w:szCs w:val="15"/>
          <w:color w:val="auto"/>
        </w:rPr>
        <w:t>29.34.2 In the event Tenant elects to exercise its right to install any Rooftop Equipment, then Tenant shall give Landlord prior notice thereof. Such Rooftop Equipment shall be installed pursuant to plans and specifications approved by Landlord (specifically including, without limitation, all mounting and waterproofing details), which approval will not be unreasonably withheld, conditioned, or delayed. In addition, the physical appearance and the size of the Rooftop Equipment shall be subject to Landlord’s reasonable approval, the location of any such installation of the Rooftop Equipment shall be designated by Tenant subject to Landlord’s reasonable approval and Landlord may require Tenant to install screening around such Rooftop Equipment, at Tenant’s sole cost and expense, as reasonably designated by Landlord. Tenant shall reimburse to Landlord the actual costs reasonably incurred by Landlord in approving such Rooftop Equipment. Notwithstanding any such review or approval by Landlord, Tenant shall remain solely liable for any damage to any portion of the roof or roof membrane, specifically including any penetrations, in connection with Tenant’s installation, use, maintenance and/or repair of such Rooftop Equipment, and Landlord shall have no liability therewith. Such Rooftop Equipment shall, in all instances, comply with applicable governmental laws, codes, rules and regulations.</w:t>
      </w:r>
    </w:p>
    <w:p>
      <w:pPr>
        <w:spacing w:after="0" w:line="50" w:lineRule="exact"/>
        <w:rPr>
          <w:sz w:val="20"/>
          <w:szCs w:val="20"/>
          <w:color w:val="auto"/>
        </w:rPr>
      </w:pPr>
    </w:p>
    <w:p>
      <w:pPr>
        <w:ind w:right="160" w:firstLine="913"/>
        <w:spacing w:after="0" w:line="267" w:lineRule="auto"/>
        <w:rPr>
          <w:sz w:val="20"/>
          <w:szCs w:val="20"/>
          <w:color w:val="auto"/>
        </w:rPr>
      </w:pPr>
      <w:r>
        <w:rPr>
          <w:rFonts w:ascii="Arial" w:cs="Arial" w:eastAsia="Arial" w:hAnsi="Arial"/>
          <w:sz w:val="17"/>
          <w:szCs w:val="17"/>
          <w:color w:val="auto"/>
        </w:rPr>
        <w:t xml:space="preserve">29.34.3 Tenant shall maintain such Rooftop Equipment, at Tenant’s sole cost and expense. Tenant shall remove such Rooftop Equipment upon the expiration or earlier termination of the “Lease, or, in the event Tenant no longer occupies the Premises, then upon the termination of Tenant’s rights under this </w:t>
      </w:r>
      <w:r>
        <w:rPr>
          <w:rFonts w:ascii="Arial" w:cs="Arial" w:eastAsia="Arial" w:hAnsi="Arial"/>
          <w:sz w:val="17"/>
          <w:szCs w:val="17"/>
          <w:u w:val="single" w:color="auto"/>
          <w:color w:val="auto"/>
        </w:rPr>
        <w:t>Section 29.34</w:t>
      </w:r>
      <w:r>
        <w:rPr>
          <w:rFonts w:ascii="Arial" w:cs="Arial" w:eastAsia="Arial" w:hAnsi="Arial"/>
          <w:sz w:val="17"/>
          <w:szCs w:val="17"/>
          <w:color w:val="auto"/>
        </w:rPr>
        <w:t>, and shall return the affected portion of the rooftop and the Premises to the condition the rooftop and the Premises would have been in had no such Rooftop Equipment been installed (reasonable wear and tear excepted).</w:t>
      </w:r>
    </w:p>
    <w:p>
      <w:pPr>
        <w:spacing w:after="0" w:line="73" w:lineRule="exact"/>
        <w:rPr>
          <w:sz w:val="20"/>
          <w:szCs w:val="20"/>
          <w:color w:val="auto"/>
        </w:rPr>
      </w:pPr>
    </w:p>
    <w:p>
      <w:pPr>
        <w:ind w:right="120" w:firstLine="913"/>
        <w:spacing w:after="0" w:line="263" w:lineRule="auto"/>
        <w:rPr>
          <w:sz w:val="20"/>
          <w:szCs w:val="20"/>
          <w:color w:val="auto"/>
        </w:rPr>
      </w:pPr>
      <w:r>
        <w:rPr>
          <w:rFonts w:ascii="Arial" w:cs="Arial" w:eastAsia="Arial" w:hAnsi="Arial"/>
          <w:sz w:val="17"/>
          <w:szCs w:val="17"/>
          <w:color w:val="auto"/>
        </w:rPr>
        <w:t xml:space="preserve">29.34.4 Tenant shall not be entitled to assign, sublease, license or otherwise transfer all or any portion of its right to use such Rooftop Equipment (other than in connection with an assignment of this Lease under the terms of </w:t>
      </w:r>
      <w:r>
        <w:rPr>
          <w:rFonts w:ascii="Arial" w:cs="Arial" w:eastAsia="Arial" w:hAnsi="Arial"/>
          <w:sz w:val="17"/>
          <w:szCs w:val="17"/>
          <w:u w:val="single" w:color="auto"/>
          <w:color w:val="auto"/>
        </w:rPr>
        <w:t>Article 14</w:t>
      </w:r>
      <w:r>
        <w:rPr>
          <w:rFonts w:ascii="Arial" w:cs="Arial" w:eastAsia="Arial" w:hAnsi="Arial"/>
          <w:sz w:val="17"/>
          <w:szCs w:val="17"/>
          <w:color w:val="auto"/>
        </w:rPr>
        <w:t>), nor shall Tenant be permitted to receive any revenues, fees or any other consideration for the use of such Rooftop Equipment by an unrelated third party. Tenant’s right to install such Rooftop Equipment shall be non-exclusive, and Tenant hereby expressly acknowledges Landlord’s continued right (i) to itself utilize any rooftop space, and (ii) to re-sell, license or lease any rooftop space to an unaffiliated third party; provided, however, such Landlord (or third-party) use shall not materially interfere with (or preclude the installation of) Tenant’s Rooftop Equipment.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immediately follows</w:t>
      </w:r>
      <w:r>
        <w:rPr>
          <w:rFonts w:ascii="Arial" w:cs="Arial" w:eastAsia="Arial" w:hAnsi="Arial"/>
          <w:sz w:val="17"/>
          <w:szCs w:val="17"/>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00"/>
          </w:cols>
          <w:pgMar w:left="240" w:top="265" w:right="259" w:bottom="1440" w:gutter="0" w:footer="0" w:header="0"/>
        </w:sectPr>
      </w:pPr>
    </w:p>
    <w:bookmarkStart w:id="311" w:name="page312"/>
    <w:bookmarkEnd w:id="31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Landlord and Tenant have caused this Lease to be executed the day and date first above written.</w:t>
      </w: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“LANDLORD”:</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KILROY REALTY, L.P.,</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limited partnership</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10"/>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120" w:type="dxa"/>
            <w:vAlign w:val="bottom"/>
            <w:gridSpan w:val="2"/>
          </w:tcPr>
          <w:p>
            <w:pPr>
              <w:ind w:left="160"/>
              <w:spacing w:after="0"/>
              <w:rPr>
                <w:sz w:val="20"/>
                <w:szCs w:val="20"/>
                <w:color w:val="auto"/>
              </w:rPr>
            </w:pPr>
            <w:r>
              <w:rPr>
                <w:rFonts w:ascii="Arial" w:cs="Arial" w:eastAsia="Arial" w:hAnsi="Arial"/>
                <w:sz w:val="17"/>
                <w:szCs w:val="17"/>
                <w:color w:val="auto"/>
              </w:rPr>
              <w:t>Kilroy Realty Corporation,</w:t>
            </w:r>
          </w:p>
        </w:tc>
      </w:tr>
      <w:tr>
        <w:trPr>
          <w:trHeight w:val="210"/>
        </w:trPr>
        <w:tc>
          <w:tcPr>
            <w:tcW w:w="440" w:type="dxa"/>
            <w:vAlign w:val="bottom"/>
          </w:tcPr>
          <w:p>
            <w:pPr>
              <w:spacing w:after="0"/>
              <w:rPr>
                <w:sz w:val="18"/>
                <w:szCs w:val="18"/>
                <w:color w:val="auto"/>
              </w:rPr>
            </w:pPr>
          </w:p>
        </w:tc>
        <w:tc>
          <w:tcPr>
            <w:tcW w:w="4120" w:type="dxa"/>
            <w:vAlign w:val="bottom"/>
            <w:gridSpan w:val="2"/>
          </w:tcPr>
          <w:p>
            <w:pPr>
              <w:ind w:left="160"/>
              <w:spacing w:after="0"/>
              <w:rPr>
                <w:sz w:val="20"/>
                <w:szCs w:val="20"/>
                <w:color w:val="auto"/>
              </w:rPr>
            </w:pPr>
            <w:r>
              <w:rPr>
                <w:rFonts w:ascii="Arial" w:cs="Arial" w:eastAsia="Arial" w:hAnsi="Arial"/>
                <w:sz w:val="17"/>
                <w:szCs w:val="17"/>
                <w:color w:val="auto"/>
              </w:rPr>
              <w:t>a Maryland corporation,</w:t>
            </w:r>
          </w:p>
        </w:tc>
      </w:tr>
      <w:tr>
        <w:trPr>
          <w:trHeight w:val="222"/>
        </w:trPr>
        <w:tc>
          <w:tcPr>
            <w:tcW w:w="440" w:type="dxa"/>
            <w:vAlign w:val="bottom"/>
          </w:tcPr>
          <w:p>
            <w:pPr>
              <w:spacing w:after="0"/>
              <w:rPr>
                <w:sz w:val="19"/>
                <w:szCs w:val="19"/>
                <w:color w:val="auto"/>
              </w:rPr>
            </w:pPr>
          </w:p>
        </w:tc>
        <w:tc>
          <w:tcPr>
            <w:tcW w:w="4120" w:type="dxa"/>
            <w:vAlign w:val="bottom"/>
            <w:gridSpan w:val="2"/>
          </w:tcPr>
          <w:p>
            <w:pPr>
              <w:ind w:left="160"/>
              <w:spacing w:after="0"/>
              <w:rPr>
                <w:sz w:val="20"/>
                <w:szCs w:val="20"/>
                <w:color w:val="auto"/>
              </w:rPr>
            </w:pPr>
            <w:r>
              <w:rPr>
                <w:rFonts w:ascii="Arial" w:cs="Arial" w:eastAsia="Arial" w:hAnsi="Arial"/>
                <w:sz w:val="17"/>
                <w:szCs w:val="17"/>
                <w:color w:val="auto"/>
              </w:rPr>
              <w:t>general partner</w:t>
            </w:r>
          </w:p>
        </w:tc>
      </w:tr>
      <w:tr>
        <w:trPr>
          <w:trHeight w:val="432"/>
        </w:trPr>
        <w:tc>
          <w:tcPr>
            <w:tcW w:w="44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Jeffrey C. Hawken</w:t>
            </w:r>
          </w:p>
        </w:tc>
      </w:tr>
      <w:tr>
        <w:trPr>
          <w:trHeight w:val="204"/>
        </w:trPr>
        <w:tc>
          <w:tcPr>
            <w:tcW w:w="4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Name:</w:t>
            </w:r>
          </w:p>
        </w:tc>
        <w:tc>
          <w:tcPr>
            <w:tcW w:w="3360" w:type="dxa"/>
            <w:vAlign w:val="bottom"/>
          </w:tcPr>
          <w:p>
            <w:pPr>
              <w:spacing w:after="0"/>
              <w:rPr>
                <w:sz w:val="20"/>
                <w:szCs w:val="20"/>
                <w:color w:val="auto"/>
              </w:rPr>
            </w:pPr>
            <w:r>
              <w:rPr>
                <w:rFonts w:ascii="Arial" w:cs="Arial" w:eastAsia="Arial" w:hAnsi="Arial"/>
                <w:sz w:val="17"/>
                <w:szCs w:val="17"/>
                <w:color w:val="auto"/>
              </w:rPr>
              <w:t>Jeffrey C. Hawken</w:t>
            </w:r>
          </w:p>
        </w:tc>
      </w:tr>
      <w:tr>
        <w:trPr>
          <w:trHeight w:val="210"/>
        </w:trPr>
        <w:tc>
          <w:tcPr>
            <w:tcW w:w="44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Its:</w:t>
            </w:r>
          </w:p>
        </w:tc>
        <w:tc>
          <w:tcPr>
            <w:tcW w:w="3360" w:type="dxa"/>
            <w:vAlign w:val="bottom"/>
          </w:tcPr>
          <w:p>
            <w:pPr>
              <w:spacing w:after="0"/>
              <w:rPr>
                <w:sz w:val="20"/>
                <w:szCs w:val="20"/>
                <w:color w:val="auto"/>
              </w:rPr>
            </w:pPr>
            <w:r>
              <w:rPr>
                <w:rFonts w:ascii="Arial" w:cs="Arial" w:eastAsia="Arial" w:hAnsi="Arial"/>
                <w:sz w:val="17"/>
                <w:szCs w:val="17"/>
                <w:color w:val="auto"/>
              </w:rPr>
              <w:t>Executive Vice President</w:t>
            </w:r>
          </w:p>
        </w:tc>
      </w:tr>
      <w:tr>
        <w:trPr>
          <w:trHeight w:val="222"/>
        </w:trPr>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Chief Operating Officer</w:t>
            </w:r>
          </w:p>
        </w:tc>
      </w:tr>
      <w:tr>
        <w:trPr>
          <w:trHeight w:val="419"/>
        </w:trPr>
        <w:tc>
          <w:tcPr>
            <w:tcW w:w="44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 Christian Krogh</w:t>
            </w:r>
          </w:p>
        </w:tc>
      </w:tr>
      <w:tr>
        <w:trPr>
          <w:trHeight w:val="204"/>
        </w:trPr>
        <w:tc>
          <w:tcPr>
            <w:tcW w:w="44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Name:</w:t>
            </w:r>
          </w:p>
        </w:tc>
        <w:tc>
          <w:tcPr>
            <w:tcW w:w="3360" w:type="dxa"/>
            <w:vAlign w:val="bottom"/>
          </w:tcPr>
          <w:p>
            <w:pPr>
              <w:spacing w:after="0"/>
              <w:rPr>
                <w:sz w:val="20"/>
                <w:szCs w:val="20"/>
                <w:color w:val="auto"/>
              </w:rPr>
            </w:pPr>
            <w:r>
              <w:rPr>
                <w:rFonts w:ascii="Arial" w:cs="Arial" w:eastAsia="Arial" w:hAnsi="Arial"/>
                <w:sz w:val="17"/>
                <w:szCs w:val="17"/>
                <w:color w:val="auto"/>
              </w:rPr>
              <w:t>A. Christian Krogh</w:t>
            </w:r>
          </w:p>
        </w:tc>
      </w:tr>
      <w:tr>
        <w:trPr>
          <w:trHeight w:val="222"/>
        </w:trPr>
        <w:tc>
          <w:tcPr>
            <w:tcW w:w="440" w:type="dxa"/>
            <w:vAlign w:val="bottom"/>
          </w:tcPr>
          <w:p>
            <w:pPr>
              <w:spacing w:after="0"/>
              <w:rPr>
                <w:sz w:val="19"/>
                <w:szCs w:val="19"/>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Its:</w:t>
            </w:r>
          </w:p>
        </w:tc>
        <w:tc>
          <w:tcPr>
            <w:tcW w:w="3360" w:type="dxa"/>
            <w:vAlign w:val="bottom"/>
          </w:tcPr>
          <w:p>
            <w:pPr>
              <w:spacing w:after="0"/>
              <w:rPr>
                <w:sz w:val="20"/>
                <w:szCs w:val="20"/>
                <w:color w:val="auto"/>
              </w:rPr>
            </w:pPr>
            <w:r>
              <w:rPr>
                <w:rFonts w:ascii="Arial" w:cs="Arial" w:eastAsia="Arial" w:hAnsi="Arial"/>
                <w:sz w:val="17"/>
                <w:szCs w:val="17"/>
                <w:color w:val="auto"/>
              </w:rPr>
              <w:t>Vice President, Asset Management</w:t>
            </w:r>
          </w:p>
        </w:tc>
      </w:tr>
    </w:tbl>
    <w:p>
      <w:pPr>
        <w:spacing w:after="0" w:line="192"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ANAPTYSBIO, INC.,</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Tom Smart</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Tom Smart</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Its:</w:t>
            </w:r>
          </w:p>
        </w:tc>
        <w:tc>
          <w:tcPr>
            <w:tcW w:w="3960" w:type="dxa"/>
            <w:vAlign w:val="bottom"/>
          </w:tcPr>
          <w:p>
            <w:pPr>
              <w:spacing w:after="0"/>
              <w:rPr>
                <w:sz w:val="20"/>
                <w:szCs w:val="20"/>
                <w:color w:val="auto"/>
              </w:rPr>
            </w:pPr>
            <w:r>
              <w:rPr>
                <w:rFonts w:ascii="Arial" w:cs="Arial" w:eastAsia="Arial" w:hAnsi="Arial"/>
                <w:sz w:val="17"/>
                <w:szCs w:val="17"/>
                <w:color w:val="auto"/>
              </w:rPr>
              <w:t>Chairman &amp; CEO</w:t>
            </w:r>
          </w:p>
        </w:tc>
      </w:tr>
      <w:tr>
        <w:trPr>
          <w:trHeight w:val="419"/>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Hamza Suria</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Hamza Suria</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Its:</w:t>
            </w:r>
          </w:p>
        </w:tc>
        <w:tc>
          <w:tcPr>
            <w:tcW w:w="3960" w:type="dxa"/>
            <w:vAlign w:val="bottom"/>
          </w:tcPr>
          <w:p>
            <w:pPr>
              <w:spacing w:after="0"/>
              <w:rPr>
                <w:sz w:val="20"/>
                <w:szCs w:val="20"/>
                <w:color w:val="auto"/>
              </w:rPr>
            </w:pPr>
            <w:r>
              <w:rPr>
                <w:rFonts w:ascii="Arial" w:cs="Arial" w:eastAsia="Arial" w:hAnsi="Arial"/>
                <w:sz w:val="17"/>
                <w:szCs w:val="17"/>
                <w:color w:val="auto"/>
              </w:rPr>
              <w:t>VP, Corporate Development</w:t>
            </w:r>
          </w:p>
        </w:tc>
      </w:tr>
    </w:tbl>
    <w:p>
      <w:pPr>
        <w:spacing w:after="0" w:line="13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960"/>
          </w:cols>
          <w:pgMar w:left="700" w:top="271" w:right="23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PACIFIC CORPORATE CENTER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OUTLINE OF PREMISES</w:t>
      </w: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[ATTACHED]</w:t>
      </w:r>
    </w:p>
    <w:p>
      <w:pPr>
        <w:spacing w:after="0" w:line="16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EXHIBIT A-1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265" w:right="1440" w:bottom="1440" w:gutter="0" w:footer="0" w:header="0"/>
        </w:sectPr>
      </w:pPr>
    </w:p>
    <w:bookmarkStart w:id="313" w:name="page314"/>
    <w:bookmarkEnd w:id="3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52635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2975" cy="526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314" w:name="page315"/>
    <w:bookmarkEnd w:id="3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59124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2975" cy="5912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440" w:right="1440" w:bottom="1440" w:gutter="0" w:footer="0" w:header="0"/>
        </w:sectPr>
      </w:pPr>
    </w:p>
    <w:bookmarkStart w:id="315" w:name="page316"/>
    <w:bookmarkEnd w:id="315"/>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PACIFIC CORPORATE CENTER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PREMISES DEMISING PLAN</w:t>
      </w: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[ATTACHED]</w:t>
      </w:r>
    </w:p>
    <w:p>
      <w:pPr>
        <w:spacing w:after="0" w:line="16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EXHIBIT A-1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265" w:right="1440" w:bottom="1440" w:gutter="0" w:footer="0" w:header="0"/>
        </w:sectPr>
      </w:pPr>
    </w:p>
    <w:bookmarkStart w:id="316" w:name="page317"/>
    <w:bookmarkEnd w:id="3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6102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2975" cy="6102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317" w:name="page318"/>
    <w:bookmarkEnd w:id="3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52635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2975" cy="526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440" w:right="1440" w:bottom="1440" w:gutter="0" w:footer="0" w:header="0"/>
        </w:sectPr>
      </w:pPr>
    </w:p>
    <w:bookmarkStart w:id="318" w:name="page319"/>
    <w:bookmarkEnd w:id="318"/>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PACIFIC CORPORATE CENTER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OUTLINE OF TANVEX EXCLUSIVE AREA</w:t>
      </w: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[ATTACHED]</w:t>
      </w:r>
    </w:p>
    <w:p>
      <w:pPr>
        <w:spacing w:after="0" w:line="16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EXHIBIT A-2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265" w:right="1440" w:bottom="1440" w:gutter="0" w:footer="0" w:header="0"/>
        </w:sectPr>
      </w:pPr>
    </w:p>
    <w:bookmarkStart w:id="319" w:name="page320"/>
    <w:bookmarkEnd w:id="3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64770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2975" cy="647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320" w:name="page321"/>
    <w:bookmarkEnd w:id="3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51885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2975" cy="518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440" w:right="1440" w:bottom="1440" w:gutter="0" w:footer="0" w:header="0"/>
        </w:sectPr>
      </w:pPr>
    </w:p>
    <w:bookmarkStart w:id="321" w:name="page322"/>
    <w:bookmarkEnd w:id="321"/>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PACIFIC CORPORATE CENTER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BUILDING CONTROL AREA PLAN</w:t>
      </w: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[ATTACHED]</w:t>
      </w:r>
    </w:p>
    <w:p>
      <w:pPr>
        <w:spacing w:after="0" w:line="16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EXHIBIT A-3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265" w:right="1440" w:bottom="1440" w:gutter="0" w:footer="0" w:header="0"/>
        </w:sectPr>
      </w:pPr>
    </w:p>
    <w:bookmarkStart w:id="322" w:name="page323"/>
    <w:bookmarkEnd w:id="3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55543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2975" cy="555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323" w:name="page324"/>
    <w:bookmarkEnd w:id="3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9555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2975" cy="495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440" w:right="1440" w:bottom="1440" w:gutter="0" w:footer="0" w:header="0"/>
        </w:sectPr>
      </w:pPr>
    </w:p>
    <w:bookmarkStart w:id="324" w:name="page325"/>
    <w:bookmarkEnd w:id="324"/>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B</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PACIFIC CORPORATE CENTER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WORK LETTER AGREEMENT</w:t>
      </w:r>
    </w:p>
    <w:p>
      <w:pPr>
        <w:spacing w:after="0" w:line="230"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 xml:space="preserve">This Work Letter shall set forth the terms and conditions relating to the construction of the improvements in the Premises. This Work Letter is essentially organized chronologically and addresses the issues of the construction of the Premises, in sequence, as such issues will arise during the actual construction of the Premises. All references in this Work Letter to Articles or Sections of “this Lease” shall mean the relevant portion of </w:t>
      </w:r>
      <w:r>
        <w:rPr>
          <w:rFonts w:ascii="Arial" w:cs="Arial" w:eastAsia="Arial" w:hAnsi="Arial"/>
          <w:sz w:val="17"/>
          <w:szCs w:val="17"/>
          <w:u w:val="single" w:color="auto"/>
          <w:color w:val="auto"/>
        </w:rPr>
        <w:t>Articles l</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29</w:t>
      </w:r>
      <w:r>
        <w:rPr>
          <w:rFonts w:ascii="Arial" w:cs="Arial" w:eastAsia="Arial" w:hAnsi="Arial"/>
          <w:sz w:val="17"/>
          <w:szCs w:val="17"/>
          <w:color w:val="auto"/>
        </w:rPr>
        <w:t xml:space="preserve"> of the Office Lease to which this Work Letter is attached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and of which this Work Letter forms a part, and all references in this Work Letter to Sections of “this Work Letter” shall mean the relevant portion of </w:t>
      </w:r>
      <w:r>
        <w:rPr>
          <w:rFonts w:ascii="Arial" w:cs="Arial" w:eastAsia="Arial" w:hAnsi="Arial"/>
          <w:sz w:val="17"/>
          <w:szCs w:val="17"/>
          <w:u w:val="single" w:color="auto"/>
          <w:color w:val="auto"/>
        </w:rPr>
        <w:t>Sections l</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this Work Letter.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LANDLORD’S INITIAL CONSTRUCTION</w:t>
      </w:r>
    </w:p>
    <w:p>
      <w:pPr>
        <w:spacing w:after="0" w:line="224" w:lineRule="exact"/>
        <w:rPr>
          <w:sz w:val="20"/>
          <w:szCs w:val="20"/>
          <w:color w:val="auto"/>
        </w:rPr>
      </w:pPr>
    </w:p>
    <w:p>
      <w:pPr>
        <w:ind w:right="80" w:firstLine="457"/>
        <w:spacing w:after="0" w:line="359"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Base Building as Constructed by Landlord</w:t>
      </w:r>
      <w:r>
        <w:rPr>
          <w:rFonts w:ascii="Arial" w:cs="Arial" w:eastAsia="Arial" w:hAnsi="Arial"/>
          <w:sz w:val="15"/>
          <w:szCs w:val="15"/>
          <w:color w:val="auto"/>
        </w:rPr>
        <w:t>. Landlord has constructed, at its sole cost and expense, the Base Building. The Base Building shall consist of those portions of the Premises which were in existence prior to the construction of the improvements in the Premises for the prior tenant (if any) of the Premises.</w:t>
      </w:r>
    </w:p>
    <w:p>
      <w:pPr>
        <w:spacing w:after="0" w:line="8" w:lineRule="exact"/>
        <w:rPr>
          <w:sz w:val="20"/>
          <w:szCs w:val="20"/>
          <w:color w:val="auto"/>
        </w:rPr>
      </w:pPr>
    </w:p>
    <w:p>
      <w:pPr>
        <w:ind w:right="140" w:firstLine="457"/>
        <w:spacing w:after="0" w:line="29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Landlord Work</w:t>
      </w:r>
      <w:r>
        <w:rPr>
          <w:rFonts w:ascii="Arial" w:cs="Arial" w:eastAsia="Arial" w:hAnsi="Arial"/>
          <w:sz w:val="16"/>
          <w:szCs w:val="16"/>
          <w:color w:val="auto"/>
        </w:rPr>
        <w:t>. Landlord shall cause the construction or installation of the following items on the floor of the Building containing the Premises (collectively, the “</w:t>
      </w:r>
      <w:r>
        <w:rPr>
          <w:rFonts w:ascii="Arial" w:cs="Arial" w:eastAsia="Arial" w:hAnsi="Arial"/>
          <w:sz w:val="16"/>
          <w:szCs w:val="16"/>
          <w:b w:val="1"/>
          <w:bCs w:val="1"/>
          <w:color w:val="auto"/>
        </w:rPr>
        <w:t>Landlord Work</w:t>
      </w:r>
      <w:r>
        <w:rPr>
          <w:rFonts w:ascii="Arial" w:cs="Arial" w:eastAsia="Arial" w:hAnsi="Arial"/>
          <w:sz w:val="16"/>
          <w:szCs w:val="16"/>
          <w:color w:val="auto"/>
        </w:rPr>
        <w:t>”). The Landlord Work shall be performed in compliance with all Applicable Laws at Landlord’s sole cost and expense, which cost and expense shall be expressly excluded from Operating Expenses and the Improvement Allowance. Tenant may not change or alter the Landlord Work.</w:t>
      </w:r>
    </w:p>
    <w:p>
      <w:pPr>
        <w:spacing w:after="0" w:line="50" w:lineRule="exact"/>
        <w:rPr>
          <w:sz w:val="20"/>
          <w:szCs w:val="20"/>
          <w:color w:val="auto"/>
        </w:rPr>
      </w:pPr>
    </w:p>
    <w:p>
      <w:pPr>
        <w:ind w:right="340" w:firstLine="913"/>
        <w:spacing w:after="0" w:line="289" w:lineRule="auto"/>
        <w:rPr>
          <w:sz w:val="20"/>
          <w:szCs w:val="20"/>
          <w:color w:val="auto"/>
        </w:rPr>
      </w:pPr>
      <w:r>
        <w:rPr>
          <w:rFonts w:ascii="Arial" w:cs="Arial" w:eastAsia="Arial" w:hAnsi="Arial"/>
          <w:sz w:val="17"/>
          <w:szCs w:val="17"/>
          <w:color w:val="auto"/>
        </w:rPr>
        <w:t xml:space="preserve">1.2.l </w:t>
      </w:r>
      <w:r>
        <w:rPr>
          <w:rFonts w:ascii="Arial" w:cs="Arial" w:eastAsia="Arial" w:hAnsi="Arial"/>
          <w:sz w:val="17"/>
          <w:szCs w:val="17"/>
          <w:u w:val="single" w:color="auto"/>
          <w:color w:val="auto"/>
        </w:rPr>
        <w:t>Demising of Premises</w:t>
      </w:r>
      <w:r>
        <w:rPr>
          <w:rFonts w:ascii="Arial" w:cs="Arial" w:eastAsia="Arial" w:hAnsi="Arial"/>
          <w:sz w:val="17"/>
          <w:szCs w:val="17"/>
          <w:color w:val="auto"/>
        </w:rPr>
        <w:t xml:space="preserve">. Landlord has, at Landlord’s cost, previously demised the Premises in accordance with the demising plan indicated on </w:t>
      </w:r>
      <w:r>
        <w:rPr>
          <w:rFonts w:ascii="Arial" w:cs="Arial" w:eastAsia="Arial" w:hAnsi="Arial"/>
          <w:sz w:val="17"/>
          <w:szCs w:val="17"/>
          <w:b w:val="1"/>
          <w:bCs w:val="1"/>
          <w:u w:val="single" w:color="auto"/>
          <w:color w:val="auto"/>
        </w:rPr>
        <w:t>Exhibit A-1</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Lease.</w:t>
      </w:r>
    </w:p>
    <w:p>
      <w:pPr>
        <w:spacing w:after="0" w:line="53" w:lineRule="exact"/>
        <w:rPr>
          <w:sz w:val="20"/>
          <w:szCs w:val="20"/>
          <w:color w:val="auto"/>
        </w:rPr>
      </w:pPr>
    </w:p>
    <w:p>
      <w:pPr>
        <w:ind w:firstLine="913"/>
        <w:spacing w:after="0" w:line="262" w:lineRule="auto"/>
        <w:rPr>
          <w:sz w:val="20"/>
          <w:szCs w:val="20"/>
          <w:color w:val="auto"/>
        </w:rPr>
      </w:pPr>
      <w:r>
        <w:rPr>
          <w:rFonts w:ascii="Arial" w:cs="Arial" w:eastAsia="Arial" w:hAnsi="Arial"/>
          <w:sz w:val="17"/>
          <w:szCs w:val="17"/>
          <w:color w:val="auto"/>
        </w:rPr>
        <w:t xml:space="preserve">l.2.2 </w:t>
      </w:r>
      <w:r>
        <w:rPr>
          <w:rFonts w:ascii="Arial" w:cs="Arial" w:eastAsia="Arial" w:hAnsi="Arial"/>
          <w:sz w:val="17"/>
          <w:szCs w:val="17"/>
          <w:u w:val="single" w:color="auto"/>
          <w:color w:val="auto"/>
        </w:rPr>
        <w:t>Building System</w:t>
      </w:r>
      <w:r>
        <w:rPr>
          <w:rFonts w:ascii="Arial" w:cs="Arial" w:eastAsia="Arial" w:hAnsi="Arial"/>
          <w:sz w:val="17"/>
          <w:szCs w:val="17"/>
          <w:color w:val="auto"/>
        </w:rPr>
        <w:t>. Landlord has previously separated the following Building Systems serving the Premises from those servicing the non-Premises portions of the Building: (i) HVAC; (ii) electrical; (iii) natural gas; (iv) deionized water; (v) Carbon-Dioxide (C02) piping; (vi) vacuum piping; (vii) laboratory compressed air; and (viii) city water. Further, Landlord shall, at Landlord’s cost and on a contemporaneous basis with Landlord’s control of the construction of the Improvements as set forth in the remainder of this Work Letter, (A) install sample ports in the lab waste system; (B) provide an emergency generator enclosure with associated pad and feeders (excluding the generator itself) in a reasonably designated area adjacent to the Building; (C) provide HYAC consisting of packaged heat pumps with l2 thermal zones that will provide a re-circulated environment; (D) provide plumbing connections from second floor dedicated water meter to second floor plumbing fixtures; and (E) reinstall the drop ceiling in laboratory areas.</w:t>
      </w:r>
    </w:p>
    <w:p>
      <w:pPr>
        <w:sectPr>
          <w:pgSz w:w="11900" w:h="16838" w:orient="portrait"/>
          <w:cols w:equalWidth="0" w:num="1">
            <w:col w:w="11420"/>
          </w:cols>
          <w:pgMar w:left="240" w:top="265" w:right="239" w:bottom="1440" w:gutter="0" w:footer="0" w:header="0"/>
        </w:sectPr>
      </w:pPr>
    </w:p>
    <w:bookmarkStart w:id="325" w:name="page326"/>
    <w:bookmarkEnd w:id="325"/>
    <w:p>
      <w:pPr>
        <w:ind w:right="180" w:firstLine="913"/>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1.2.3 </w:t>
      </w:r>
      <w:r>
        <w:rPr>
          <w:rFonts w:ascii="Arial" w:cs="Arial" w:eastAsia="Arial" w:hAnsi="Arial"/>
          <w:sz w:val="17"/>
          <w:szCs w:val="17"/>
          <w:u w:val="single" w:color="auto"/>
          <w:color w:val="auto"/>
        </w:rPr>
        <w:t>Architect’s and Engineer’s Fees and Costs</w:t>
      </w:r>
      <w:r>
        <w:rPr>
          <w:rFonts w:ascii="Arial" w:cs="Arial" w:eastAsia="Arial" w:hAnsi="Arial"/>
          <w:sz w:val="17"/>
          <w:szCs w:val="17"/>
          <w:color w:val="auto"/>
        </w:rPr>
        <w:t xml:space="preserve">. Landlord shall be solely responsible for the payment of the fees of the architects and engineers utilized in connection with the Landlord Work. In addition, and notwithstanding any contrary provisions set forth in this Work Letter, Landlord shall be solely responsible for the payment of the fees of the “Architect” and the “Engineers,” as those terms are defined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Work Letter, and payment of the fees incurred by, and the cost of documents and materials supplied by, Landlord and Landlord’s consultants in connection with the preparation and review of the “Construction Drawings,” as that term is defined in </w:t>
      </w:r>
      <w:r>
        <w:rPr>
          <w:rFonts w:ascii="Arial" w:cs="Arial" w:eastAsia="Arial" w:hAnsi="Arial"/>
          <w:sz w:val="17"/>
          <w:szCs w:val="17"/>
          <w:u w:val="single" w:color="auto"/>
          <w:color w:val="auto"/>
        </w:rPr>
        <w:t>Section 3.l</w:t>
      </w:r>
      <w:r>
        <w:rPr>
          <w:rFonts w:ascii="Arial" w:cs="Arial" w:eastAsia="Arial" w:hAnsi="Arial"/>
          <w:sz w:val="17"/>
          <w:szCs w:val="17"/>
          <w:color w:val="auto"/>
        </w:rPr>
        <w:t xml:space="preserve"> of this Work Letter.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SECTION 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IMPROVEMENTS</w:t>
      </w:r>
    </w:p>
    <w:p>
      <w:pPr>
        <w:spacing w:after="0" w:line="21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Improvement Allowance</w:t>
      </w:r>
      <w:r>
        <w:rPr>
          <w:rFonts w:ascii="Arial" w:cs="Arial" w:eastAsia="Arial" w:hAnsi="Arial"/>
          <w:sz w:val="17"/>
          <w:szCs w:val="17"/>
          <w:color w:val="auto"/>
        </w:rPr>
        <w:t>. Tenant shall be entitled to a one-time improvement allowance (the “</w:t>
      </w:r>
      <w:r>
        <w:rPr>
          <w:rFonts w:ascii="Arial" w:cs="Arial" w:eastAsia="Arial" w:hAnsi="Arial"/>
          <w:sz w:val="17"/>
          <w:szCs w:val="17"/>
          <w:b w:val="1"/>
          <w:bCs w:val="1"/>
          <w:color w:val="auto"/>
        </w:rPr>
        <w:t>Improvement Allowance</w:t>
      </w:r>
      <w:r>
        <w:rPr>
          <w:rFonts w:ascii="Arial" w:cs="Arial" w:eastAsia="Arial" w:hAnsi="Arial"/>
          <w:sz w:val="17"/>
          <w:szCs w:val="17"/>
          <w:color w:val="auto"/>
        </w:rPr>
        <w:t>”) in the amount of Thirteen and 00/100 Dollars ($13.00) per rentable square foot of the Premises for the costs relating to the initial design and construction of the improvements which are permanently affixed to the Premises (the “</w:t>
      </w:r>
      <w:r>
        <w:rPr>
          <w:rFonts w:ascii="Arial" w:cs="Arial" w:eastAsia="Arial" w:hAnsi="Arial"/>
          <w:sz w:val="17"/>
          <w:szCs w:val="17"/>
          <w:b w:val="1"/>
          <w:bCs w:val="1"/>
          <w:color w:val="auto"/>
        </w:rPr>
        <w:t>Improvements</w:t>
      </w:r>
      <w:r>
        <w:rPr>
          <w:rFonts w:ascii="Arial" w:cs="Arial" w:eastAsia="Arial" w:hAnsi="Arial"/>
          <w:sz w:val="17"/>
          <w:szCs w:val="17"/>
          <w:color w:val="auto"/>
        </w:rPr>
        <w:t xml:space="preserve">”). In no event shall Landlord be obligated to make disbursements pursuant to this Work Letter in the event that Tenant fails to immediately pay any portion of the “Over-Allowance Amount,” as defined in </w:t>
      </w:r>
      <w:r>
        <w:rPr>
          <w:rFonts w:ascii="Arial" w:cs="Arial" w:eastAsia="Arial" w:hAnsi="Arial"/>
          <w:sz w:val="17"/>
          <w:szCs w:val="17"/>
          <w:u w:val="single" w:color="auto"/>
          <w:color w:val="auto"/>
        </w:rPr>
        <w:t>Section 4.2.l</w:t>
      </w:r>
      <w:r>
        <w:rPr>
          <w:rFonts w:ascii="Arial" w:cs="Arial" w:eastAsia="Arial" w:hAnsi="Arial"/>
          <w:sz w:val="17"/>
          <w:szCs w:val="17"/>
          <w:color w:val="auto"/>
        </w:rPr>
        <w:t xml:space="preserve">, nor shall Landlord be obligated to pay a total amount which exceeds the sum of the Improvement Allowance and the cost of the Landlord Work. Notwithstanding the foregoing or any contrary provision of this Lease, all Improvements shall be deemed Landlord’s property under the terms of this Lease except to the extent otherwise expressly excluded from Landlord’s property pursuant to the TCCs of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of this Lease. Any unused portion of the Improvement Allowance remaining as of June 30, 2013 shall remain with Landlord and Tenant shall have no further right thereto.</w:t>
      </w:r>
    </w:p>
    <w:p>
      <w:pPr>
        <w:spacing w:after="0" w:line="80"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Disbursement of the Improvement Allowance</w:t>
      </w:r>
      <w:r>
        <w:rPr>
          <w:rFonts w:ascii="Arial" w:cs="Arial" w:eastAsia="Arial" w:hAnsi="Arial"/>
          <w:sz w:val="17"/>
          <w:szCs w:val="17"/>
          <w:color w:val="auto"/>
        </w:rPr>
        <w:t>. Except as otherwise set forth in this Work Letter, the Improvement Allowance shall be disbursed by Landlord (each of which disbursements shall be made pursuant to Landlord’s disbursement process, including, without limitation, Landlord’s receipt of invoices for all costs and fees described herein) for costs related to the construction of the Improvements and for the following items and costs (collectively, the “</w:t>
      </w:r>
      <w:r>
        <w:rPr>
          <w:rFonts w:ascii="Arial" w:cs="Arial" w:eastAsia="Arial" w:hAnsi="Arial"/>
          <w:sz w:val="17"/>
          <w:szCs w:val="17"/>
          <w:b w:val="1"/>
          <w:bCs w:val="1"/>
          <w:color w:val="auto"/>
        </w:rPr>
        <w:t>Improvement Allowance Items</w:t>
      </w:r>
      <w:r>
        <w:rPr>
          <w:rFonts w:ascii="Arial" w:cs="Arial" w:eastAsia="Arial" w:hAnsi="Arial"/>
          <w:sz w:val="17"/>
          <w:szCs w:val="17"/>
          <w:color w:val="auto"/>
        </w:rPr>
        <w:t>”):</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2.2.l The cost of any changes to the Construction Drawings or Improvements required by all applicable building codes (the “</w:t>
      </w:r>
      <w:r>
        <w:rPr>
          <w:rFonts w:ascii="Arial" w:cs="Arial" w:eastAsia="Arial" w:hAnsi="Arial"/>
          <w:sz w:val="17"/>
          <w:szCs w:val="17"/>
          <w:b w:val="1"/>
          <w:bCs w:val="1"/>
          <w:color w:val="auto"/>
        </w:rPr>
        <w:t>Code</w:t>
      </w:r>
      <w:r>
        <w:rPr>
          <w:rFonts w:ascii="Arial" w:cs="Arial" w:eastAsia="Arial" w:hAnsi="Arial"/>
          <w:sz w:val="17"/>
          <w:szCs w:val="17"/>
          <w:color w:val="auto"/>
        </w:rPr>
        <w:t>”);</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2.2.2 The cost of any changes in the Base Building when such changes are required by the Construction Drawings;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2.2.3 The cost of all plan check, permit and license fees relating to construction of the Improvements;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2.2.4 The “Landlord Supervision Fee’’, as that term is defined in </w:t>
      </w:r>
      <w:r>
        <w:rPr>
          <w:rFonts w:ascii="Arial" w:cs="Arial" w:eastAsia="Arial" w:hAnsi="Arial"/>
          <w:sz w:val="17"/>
          <w:szCs w:val="17"/>
          <w:u w:val="single" w:color="auto"/>
          <w:color w:val="auto"/>
        </w:rPr>
        <w:t>Section 4.3.2</w:t>
      </w:r>
      <w:r>
        <w:rPr>
          <w:rFonts w:ascii="Arial" w:cs="Arial" w:eastAsia="Arial" w:hAnsi="Arial"/>
          <w:sz w:val="17"/>
          <w:szCs w:val="17"/>
          <w:color w:val="auto"/>
        </w:rPr>
        <w:t xml:space="preserve"> of this Work Letter;</w:t>
      </w:r>
    </w:p>
    <w:p>
      <w:pPr>
        <w:spacing w:after="0" w:line="224" w:lineRule="exact"/>
        <w:rPr>
          <w:sz w:val="20"/>
          <w:szCs w:val="20"/>
          <w:color w:val="auto"/>
        </w:rPr>
      </w:pPr>
    </w:p>
    <w:p>
      <w:pPr>
        <w:ind w:right="180" w:firstLine="913"/>
        <w:spacing w:after="0" w:line="289" w:lineRule="auto"/>
        <w:rPr>
          <w:sz w:val="20"/>
          <w:szCs w:val="20"/>
          <w:color w:val="auto"/>
        </w:rPr>
      </w:pPr>
      <w:r>
        <w:rPr>
          <w:rFonts w:ascii="Arial" w:cs="Arial" w:eastAsia="Arial" w:hAnsi="Arial"/>
          <w:sz w:val="17"/>
          <w:szCs w:val="17"/>
          <w:color w:val="auto"/>
        </w:rPr>
        <w:t>2.2.5 To the extent designated for inclusion by Tenant, the cost of Tenant’s telecommunications systems, internet connectivity and network cabling, moving costs, and any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71" w:right="279" w:bottom="1440" w:gutter="0" w:footer="0" w:header="0"/>
        </w:sectPr>
      </w:pPr>
    </w:p>
    <w:bookmarkStart w:id="326" w:name="page327"/>
    <w:bookmarkEnd w:id="326"/>
    <w:p>
      <w:pPr>
        <w:ind w:right="160"/>
        <w:spacing w:after="0" w:line="29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other costs relating to the Premises (other than the cost of furniture or leasing costs) (“</w:t>
      </w:r>
      <w:r>
        <w:rPr>
          <w:rFonts w:ascii="Arial" w:cs="Arial" w:eastAsia="Arial" w:hAnsi="Arial"/>
          <w:sz w:val="17"/>
          <w:szCs w:val="17"/>
          <w:b w:val="1"/>
          <w:bCs w:val="1"/>
          <w:color w:val="auto"/>
        </w:rPr>
        <w:t>Soft Costs</w:t>
      </w:r>
      <w:r>
        <w:rPr>
          <w:rFonts w:ascii="Arial" w:cs="Arial" w:eastAsia="Arial" w:hAnsi="Arial"/>
          <w:sz w:val="17"/>
          <w:szCs w:val="17"/>
          <w:color w:val="auto"/>
        </w:rPr>
        <w:t>”); provided, however, in no event shall the foregoing exceed an aggregate amount equal to Three Dollars ($3.00) per rentable square foot of the Premises.</w:t>
      </w:r>
    </w:p>
    <w:p>
      <w:pPr>
        <w:spacing w:after="0" w:line="48"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Building Standards</w:t>
      </w:r>
      <w:r>
        <w:rPr>
          <w:rFonts w:ascii="Arial" w:cs="Arial" w:eastAsia="Arial" w:hAnsi="Arial"/>
          <w:sz w:val="17"/>
          <w:szCs w:val="17"/>
          <w:color w:val="auto"/>
        </w:rPr>
        <w:t>. Landlord has established or may establish specifications for certain Building standard components to be used in the construction of the Improvements in the Premises. The quality of Improvements shall be equal to or of greater quality than the quality of such Building standards, provided that Landlord may, at Landlord’s option, require the Improvements to comply with certain Building standards. Landlord may make changes to said specifications for Building standards from time to time.</w:t>
      </w:r>
    </w:p>
    <w:p>
      <w:pPr>
        <w:spacing w:after="0" w:line="73"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Removal of Improvements</w:t>
      </w:r>
      <w:r>
        <w:rPr>
          <w:rFonts w:ascii="Arial" w:cs="Arial" w:eastAsia="Arial" w:hAnsi="Arial"/>
          <w:sz w:val="16"/>
          <w:szCs w:val="16"/>
          <w:color w:val="auto"/>
        </w:rPr>
        <w:t xml:space="preserve">. Other than with respect to Above Standard Improvements as set forth in this </w:t>
      </w:r>
      <w:r>
        <w:rPr>
          <w:rFonts w:ascii="Arial" w:cs="Arial" w:eastAsia="Arial" w:hAnsi="Arial"/>
          <w:sz w:val="16"/>
          <w:szCs w:val="16"/>
          <w:u w:val="single" w:color="auto"/>
          <w:color w:val="auto"/>
        </w:rPr>
        <w:t>Section 2.4</w:t>
      </w:r>
      <w:r>
        <w:rPr>
          <w:rFonts w:ascii="Arial" w:cs="Arial" w:eastAsia="Arial" w:hAnsi="Arial"/>
          <w:sz w:val="16"/>
          <w:szCs w:val="16"/>
          <w:color w:val="auto"/>
        </w:rPr>
        <w:t>, Landlord shall not require Tenant to remove from the Premises any Improvements (to the extent the same are construction in the Premises in accordance with the terms of this Work Letter) upon the expiration or any earlier termination of this Lease. “</w:t>
      </w:r>
      <w:r>
        <w:rPr>
          <w:rFonts w:ascii="Arial" w:cs="Arial" w:eastAsia="Arial" w:hAnsi="Arial"/>
          <w:sz w:val="16"/>
          <w:szCs w:val="16"/>
          <w:b w:val="1"/>
          <w:bCs w:val="1"/>
          <w:color w:val="auto"/>
        </w:rPr>
        <w:t>Above Standard Improvements</w:t>
      </w:r>
      <w:r>
        <w:rPr>
          <w:rFonts w:ascii="Arial" w:cs="Arial" w:eastAsia="Arial" w:hAnsi="Arial"/>
          <w:sz w:val="16"/>
          <w:szCs w:val="16"/>
          <w:color w:val="auto"/>
        </w:rPr>
        <w:t xml:space="preserve">” shall mean any part of the Improvements which do not constitute normal and customary general office improvements as reasonably determined by Landlord (Above Standard Improvements shall include, without limitation, improvements such as voice, data and other cabling, raised floors, floor penetrations, any installations outside the Premises, or any areas requiring floor reinforcement, personal baths and showers, vaults, rolling file systems, any vivariums or vivarium related improvements, laboratory space, and structural alterations of any type), and identified by Landlord for removal at the time of Landlord’s review and approval (to the extent such approval is granted) of the Final Space and/or the Final Working Drawings. In the event so identified by Landlord, Tenant shall remove such Above Standard Improvements upon the expiration or earlier termination of this Lease as more particularly set forth in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of this Lease.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CONSTRUCTION DRAWINGS</w:t>
      </w:r>
    </w:p>
    <w:p>
      <w:pPr>
        <w:spacing w:after="0" w:line="224"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Selection of Architect/Construction Drawings</w:t>
      </w:r>
      <w:r>
        <w:rPr>
          <w:rFonts w:ascii="Arial" w:cs="Arial" w:eastAsia="Arial" w:hAnsi="Arial"/>
          <w:sz w:val="17"/>
          <w:szCs w:val="17"/>
          <w:color w:val="auto"/>
        </w:rPr>
        <w:t xml:space="preserve">. Landlord shall retain, on behalf of Tenant, FPBA Architects (the “Architect”) to prepare the “Construction Drawings,” as that term is defined in this </w:t>
      </w:r>
      <w:r>
        <w:rPr>
          <w:rFonts w:ascii="Arial" w:cs="Arial" w:eastAsia="Arial" w:hAnsi="Arial"/>
          <w:sz w:val="17"/>
          <w:szCs w:val="17"/>
          <w:u w:val="single" w:color="auto"/>
          <w:color w:val="auto"/>
        </w:rPr>
        <w:t>Section 3.1</w:t>
      </w:r>
      <w:r>
        <w:rPr>
          <w:rFonts w:ascii="Arial" w:cs="Arial" w:eastAsia="Arial" w:hAnsi="Arial"/>
          <w:sz w:val="17"/>
          <w:szCs w:val="17"/>
          <w:color w:val="auto"/>
        </w:rPr>
        <w:t>. Landlord shall retain, on behalf of Tenant, engineering consultants and/or design-build consultants designated by Landlord (the “</w:t>
      </w:r>
      <w:r>
        <w:rPr>
          <w:rFonts w:ascii="Arial" w:cs="Arial" w:eastAsia="Arial" w:hAnsi="Arial"/>
          <w:sz w:val="17"/>
          <w:szCs w:val="17"/>
          <w:b w:val="1"/>
          <w:bCs w:val="1"/>
          <w:color w:val="auto"/>
        </w:rPr>
        <w:t>Engineers</w:t>
      </w:r>
      <w:r>
        <w:rPr>
          <w:rFonts w:ascii="Arial" w:cs="Arial" w:eastAsia="Arial" w:hAnsi="Arial"/>
          <w:sz w:val="17"/>
          <w:szCs w:val="17"/>
          <w:color w:val="auto"/>
        </w:rPr>
        <w:t>”) to prepare all plans and engineering working drawings relating to the structural, mechanical, electrical, plumbing and HYAC work of the Improvements and any relevant components of the Landlord Work. The plans and drawings to be prepared by Architect and the Engineers hereunder shall be known collectively as the “</w:t>
      </w:r>
      <w:r>
        <w:rPr>
          <w:rFonts w:ascii="Arial" w:cs="Arial" w:eastAsia="Arial" w:hAnsi="Arial"/>
          <w:sz w:val="17"/>
          <w:szCs w:val="17"/>
          <w:b w:val="1"/>
          <w:bCs w:val="1"/>
          <w:color w:val="auto"/>
        </w:rPr>
        <w:t>Construction Drawings</w:t>
      </w:r>
      <w:r>
        <w:rPr>
          <w:rFonts w:ascii="Arial" w:cs="Arial" w:eastAsia="Arial" w:hAnsi="Arial"/>
          <w:sz w:val="17"/>
          <w:szCs w:val="17"/>
          <w:color w:val="auto"/>
        </w:rPr>
        <w:t xml:space="preserve">.” All Construction Drawings shall comply with the drawing format and specifications as determined by Landlord, and shall be subject to Landlord’s approval as more particularly set forth in </w:t>
      </w:r>
      <w:r>
        <w:rPr>
          <w:rFonts w:ascii="Arial" w:cs="Arial" w:eastAsia="Arial" w:hAnsi="Arial"/>
          <w:sz w:val="17"/>
          <w:szCs w:val="17"/>
          <w:u w:val="single" w:color="auto"/>
          <w:color w:val="auto"/>
        </w:rPr>
        <w:t>Sections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3.3</w:t>
      </w:r>
      <w:r>
        <w:rPr>
          <w:rFonts w:ascii="Arial" w:cs="Arial" w:eastAsia="Arial" w:hAnsi="Arial"/>
          <w:sz w:val="17"/>
          <w:szCs w:val="17"/>
          <w:color w:val="auto"/>
        </w:rPr>
        <w:t>, below. Notwithstanding Landlord’s retention of the Architect and Engineers, Tenant shall be responsible for, and shall fully cooperate and coordinate in good faith with Landlord, the Architect and the Engineers to supply all of the necessary information within Tenant’s possession to allow the Architect and the Engineers to initially prepare and then complete, the Construction Drawings. Landlord hereby agrees (at no cost to Landlord) to cooperate, on a commercially reasonable basis, with Tenant to assist Tenant in the preparation of the Construction Drawings. Landlord’s review of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5" w:right="239" w:bottom="1440" w:gutter="0" w:footer="0" w:header="0"/>
        </w:sectPr>
      </w:pPr>
    </w:p>
    <w:bookmarkStart w:id="327" w:name="page328"/>
    <w:bookmarkEnd w:id="327"/>
    <w:p>
      <w:pPr>
        <w:ind w:right="10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Construction Drawings applicable to the Improvements (as opposed to Landlord Work) and as set forth in this Section 3, shall be for its sole purpose and shall not imply Landlord’s review of the same, or obligate Landlord to review the same, for quality, design, Code compliance or other like matters. Accordingly, notwithstanding that any Improvement-related portions of such Construction Drawings are reviewed by Landlord, and notwithstanding any advice or assistance which may be rendered to Tenant by Landlord, Landlord shall have no liability whatsoever in connection therewith and shall not be responsible for any omissions or errors contained in such portions of the Construction Drawings, and Tenant’s waiver and indemnity set forth in this Lease shall specifically apply to such portions of the Construction Drawings.</w:t>
      </w:r>
    </w:p>
    <w:p>
      <w:pPr>
        <w:spacing w:after="0" w:line="77"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Final Space Plan</w:t>
      </w:r>
      <w:r>
        <w:rPr>
          <w:rFonts w:ascii="Arial" w:cs="Arial" w:eastAsia="Arial" w:hAnsi="Arial"/>
          <w:sz w:val="16"/>
          <w:szCs w:val="16"/>
          <w:color w:val="auto"/>
        </w:rPr>
        <w:t xml:space="preserve">. On or before the date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attached hereto, Tenant and the Architect shall prepare the final space plan for Improvements in the Premises (collectively, the “</w:t>
      </w:r>
      <w:r>
        <w:rPr>
          <w:rFonts w:ascii="Arial" w:cs="Arial" w:eastAsia="Arial" w:hAnsi="Arial"/>
          <w:sz w:val="16"/>
          <w:szCs w:val="16"/>
          <w:b w:val="1"/>
          <w:bCs w:val="1"/>
          <w:color w:val="auto"/>
        </w:rPr>
        <w:t>Final Space Plan</w:t>
      </w:r>
      <w:r>
        <w:rPr>
          <w:rFonts w:ascii="Arial" w:cs="Arial" w:eastAsia="Arial" w:hAnsi="Arial"/>
          <w:sz w:val="16"/>
          <w:szCs w:val="16"/>
          <w:color w:val="auto"/>
        </w:rPr>
        <w:t xml:space="preserve">”), which Final Space Plan shall include a layout and designation of all offices, rooms and other partitioning, their intended use, and equipment to be contained therein, and shall deliver four (4) hard copies signed by Tenant to Landlord for Landlord’s approval, and concurrently with Tenant’s delivery of such hard copies, Tenant shall send to Landlord via electronic mail one (1) .pdf electronic copy of such Final Space Plan. Landlord shall advise Tenant within five (5) business days after Landlord’s receipt of the Final Space Plan for the Premises if the same is unsatisfactory or incomplete in any respect; provided, however, Landlord shall only disapprove such Final Space Plan to the extent of a Design Problem. Landlord shall set forth with reasonable specificity in what respect the Final Space Plan is unsatisfactory or incomplete. If Tenant is so advised, Tenant shall promptly cause the Final Space Plan to be revised within five (5) business days in order to correct any deficiencies or other matters Landlord may reasonably require, and immediately thereafter Architect shall promptly re-submit the Final Space Plan to Landlord for its approval. Such procedure shall continue (except that the time frame to consent to any revisions shall be shortened to three (3) business days) until the Final Space Plan is approved by Landlord. For purposes of this Work Letter, a “Design Problem” shall be any aspect of the Final Space Plan that (a) have an adverse effect on the structural integrity of the Building; (b) are not in compliance with Applicable Law; (c) have an adverse effect on the systems and equipment of the Building; (d) have an effect on the exterior appearance of the Building; (e) do not comply with the Building standards identified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this Work Letter, (f) cause unreasonable interference with the normal and customary operations of any other tenant in the Building, or (g) has incomplete, missing or inaccurate information.</w:t>
      </w:r>
    </w:p>
    <w:p>
      <w:pPr>
        <w:spacing w:after="0" w:line="65"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Final Working Drawings</w:t>
      </w:r>
      <w:r>
        <w:rPr>
          <w:rFonts w:ascii="Arial" w:cs="Arial" w:eastAsia="Arial" w:hAnsi="Arial"/>
          <w:sz w:val="16"/>
          <w:szCs w:val="16"/>
          <w:color w:val="auto"/>
        </w:rPr>
        <w:t xml:space="preserve">. On or before the date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Tenant, the Architect and the Engineers shall complete the architectural and engineering drawings for the Premises, and the final architectural working drawings in a form which is complete to allow subcontractors to bid on the work and to obtain all applicable permits (collectively, the “</w:t>
      </w:r>
      <w:r>
        <w:rPr>
          <w:rFonts w:ascii="Arial" w:cs="Arial" w:eastAsia="Arial" w:hAnsi="Arial"/>
          <w:sz w:val="16"/>
          <w:szCs w:val="16"/>
          <w:b w:val="1"/>
          <w:bCs w:val="1"/>
          <w:color w:val="auto"/>
        </w:rPr>
        <w:t>Final Working Drawings</w:t>
      </w:r>
      <w:r>
        <w:rPr>
          <w:rFonts w:ascii="Arial" w:cs="Arial" w:eastAsia="Arial" w:hAnsi="Arial"/>
          <w:sz w:val="16"/>
          <w:szCs w:val="16"/>
          <w:color w:val="auto"/>
        </w:rPr>
        <w:t>”) and shall submit four (4) hard copies signed by Tenant of the Final Working Drawings to Landlord for Landlord’s approval, and concurrently with Tenant’s delivery of such hard copies, Tenant shall send to Landlord via electronic mail one (1) .pdf electronic copy of such Final Working Drawings; provided, however, Landlord shall only disapprove of the Final Working Drawings to the extent the same are not consistent with, or a logical evolution of, the Final Space Plan. Landlord shall advise Tenant within five (5) business days after Landlord’s receipt of all of the Final Working Drawings, either (i) approve the Final Working Drawings, (ii) approve the Final Working Drawings subject to specified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1" w:right="239" w:bottom="1440" w:gutter="0" w:footer="0" w:header="0"/>
        </w:sectPr>
      </w:pPr>
    </w:p>
    <w:bookmarkStart w:id="328" w:name="page329"/>
    <w:bookmarkEnd w:id="328"/>
    <w:p>
      <w:pPr>
        <w:ind w:right="200"/>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conditions, which conditions must be stated in a reasonably clear and complete manner, or (iii) disapprove and return the Construction Drawings to Tenant with requested revisions. If Landlord disapproves the Final Working Drawings, Tenant shall promptly cause the Final Working Drawings to be revised within five</w:t>
      </w:r>
    </w:p>
    <w:p>
      <w:pPr>
        <w:spacing w:after="0" w:line="1" w:lineRule="exact"/>
        <w:rPr>
          <w:sz w:val="20"/>
          <w:szCs w:val="20"/>
          <w:color w:val="auto"/>
        </w:rPr>
      </w:pPr>
    </w:p>
    <w:p>
      <w:pPr>
        <w:ind w:right="120" w:firstLine="5"/>
        <w:spacing w:after="0" w:line="265" w:lineRule="auto"/>
        <w:tabs>
          <w:tab w:leader="none" w:pos="247"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business days in order to correct any deficiencies or other matters Landlord may reasonably require, and immediately thereafter Architect shall promptly re-submit the Final Space Plan to Landlord for its approval based upon the criteria set forth in this </w:t>
      </w:r>
      <w:r>
        <w:rPr>
          <w:rFonts w:ascii="Arial" w:cs="Arial" w:eastAsia="Arial" w:hAnsi="Arial"/>
          <w:sz w:val="17"/>
          <w:szCs w:val="17"/>
          <w:u w:val="single" w:color="auto"/>
          <w:color w:val="auto"/>
        </w:rPr>
        <w:t>Section 3.3</w:t>
      </w:r>
      <w:r>
        <w:rPr>
          <w:rFonts w:ascii="Arial" w:cs="Arial" w:eastAsia="Arial" w:hAnsi="Arial"/>
          <w:sz w:val="17"/>
          <w:szCs w:val="17"/>
          <w:color w:val="auto"/>
        </w:rPr>
        <w:t>, within five (5) business days after Landlord receives such resubmitted Final Working Drawings. Such procedure shall be repeated until the Final Working Drawings are approved.</w:t>
      </w:r>
    </w:p>
    <w:p>
      <w:pPr>
        <w:spacing w:after="0" w:line="6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Permits</w:t>
      </w:r>
      <w:r>
        <w:rPr>
          <w:rFonts w:ascii="Arial" w:cs="Arial" w:eastAsia="Arial" w:hAnsi="Arial"/>
          <w:sz w:val="17"/>
          <w:szCs w:val="17"/>
          <w:color w:val="auto"/>
        </w:rPr>
        <w:t>. The Final Working Drawings shall be approved by Landlord (the “</w:t>
      </w:r>
      <w:r>
        <w:rPr>
          <w:rFonts w:ascii="Arial" w:cs="Arial" w:eastAsia="Arial" w:hAnsi="Arial"/>
          <w:sz w:val="17"/>
          <w:szCs w:val="17"/>
          <w:b w:val="1"/>
          <w:bCs w:val="1"/>
          <w:color w:val="auto"/>
        </w:rPr>
        <w:t>Approved Working Drawings</w:t>
      </w:r>
      <w:r>
        <w:rPr>
          <w:rFonts w:ascii="Arial" w:cs="Arial" w:eastAsia="Arial" w:hAnsi="Arial"/>
          <w:sz w:val="17"/>
          <w:szCs w:val="17"/>
          <w:color w:val="auto"/>
        </w:rPr>
        <w:t xml:space="preserve">”) prior to the commencement of the construction of the Improvements. Landlord shall cause the Approved Working Drawings to be immediately submitted to the appropriate municipal authorities for all applicable building and other permits necessary to allow “Contractor,” as that term is defined in </w:t>
      </w:r>
      <w:r>
        <w:rPr>
          <w:rFonts w:ascii="Arial" w:cs="Arial" w:eastAsia="Arial" w:hAnsi="Arial"/>
          <w:sz w:val="17"/>
          <w:szCs w:val="17"/>
          <w:u w:val="single" w:color="auto"/>
          <w:color w:val="auto"/>
        </w:rPr>
        <w:t>Section 4.1</w:t>
      </w:r>
      <w:r>
        <w:rPr>
          <w:rFonts w:ascii="Arial" w:cs="Arial" w:eastAsia="Arial" w:hAnsi="Arial"/>
          <w:sz w:val="17"/>
          <w:szCs w:val="17"/>
          <w:color w:val="auto"/>
        </w:rPr>
        <w:t>, below, to commence and fully complete the construction of the Improvements and the relevant Landlord Work (the “</w:t>
      </w:r>
      <w:r>
        <w:rPr>
          <w:rFonts w:ascii="Arial" w:cs="Arial" w:eastAsia="Arial" w:hAnsi="Arial"/>
          <w:sz w:val="17"/>
          <w:szCs w:val="17"/>
          <w:b w:val="1"/>
          <w:bCs w:val="1"/>
          <w:color w:val="auto"/>
        </w:rPr>
        <w:t>Permits</w:t>
      </w:r>
      <w:r>
        <w:rPr>
          <w:rFonts w:ascii="Arial" w:cs="Arial" w:eastAsia="Arial" w:hAnsi="Arial"/>
          <w:sz w:val="17"/>
          <w:szCs w:val="17"/>
          <w:color w:val="auto"/>
        </w:rPr>
        <w:t xml:space="preserve">”). No changes, modifications or alterations in the Approved Working Drawings may be made without the prior written consent of Landlord, provided that Landlord may withhold its consent, in its sole discretion, to any change in the Approved Working Drawings if such change would directly or indirectly delay the “Substantial Completion” of the Premises as that term is defined in </w:t>
      </w:r>
      <w:r>
        <w:rPr>
          <w:rFonts w:ascii="Arial" w:cs="Arial" w:eastAsia="Arial" w:hAnsi="Arial"/>
          <w:sz w:val="17"/>
          <w:szCs w:val="17"/>
          <w:u w:val="single" w:color="auto"/>
          <w:color w:val="auto"/>
        </w:rPr>
        <w:t>Section 5.l</w:t>
      </w:r>
      <w:r>
        <w:rPr>
          <w:rFonts w:ascii="Arial" w:cs="Arial" w:eastAsia="Arial" w:hAnsi="Arial"/>
          <w:sz w:val="17"/>
          <w:szCs w:val="17"/>
          <w:color w:val="auto"/>
        </w:rPr>
        <w:t xml:space="preserve"> of this Work Letter.</w:t>
      </w:r>
    </w:p>
    <w:p>
      <w:pPr>
        <w:spacing w:after="0" w:line="78" w:lineRule="exact"/>
        <w:rPr>
          <w:sz w:val="20"/>
          <w:szCs w:val="20"/>
          <w:color w:val="auto"/>
        </w:rPr>
      </w:pPr>
    </w:p>
    <w:p>
      <w:pPr>
        <w:ind w:right="60" w:firstLine="457"/>
        <w:spacing w:after="0" w:line="28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Time Deadlines</w:t>
      </w:r>
      <w:r>
        <w:rPr>
          <w:rFonts w:ascii="Arial" w:cs="Arial" w:eastAsia="Arial" w:hAnsi="Arial"/>
          <w:sz w:val="16"/>
          <w:szCs w:val="16"/>
          <w:color w:val="auto"/>
        </w:rPr>
        <w:t xml:space="preserve">. Landlord and Tenant shall use their best, good faith, efforts and all due diligence to cooperate with the Architect, the Engineers, and each other to complete all phases of the Construction Drawings and the permitting process and to receive the permits, and with Contractor for approval of the “Cost Proposal,” as that term is defined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of this Work Letter, as soon as possible after the execution of the Lease, and, in that regard, shall meet with Landlord on a scheduled basis to be mutually and reasonably determined by Landlord and Tenant, to discuss Tenant’s progress in connection with the same. The applicable dates for approval of items, plans and drawings as described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and in this Work Letter are set forth and further elaborated upon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w:t>
      </w:r>
      <w:r>
        <w:rPr>
          <w:rFonts w:ascii="Arial" w:cs="Arial" w:eastAsia="Arial" w:hAnsi="Arial"/>
          <w:sz w:val="16"/>
          <w:szCs w:val="16"/>
          <w:b w:val="1"/>
          <w:bCs w:val="1"/>
          <w:color w:val="auto"/>
        </w:rPr>
        <w:t>Time Deadlines</w:t>
      </w:r>
      <w:r>
        <w:rPr>
          <w:rFonts w:ascii="Arial" w:cs="Arial" w:eastAsia="Arial" w:hAnsi="Arial"/>
          <w:sz w:val="16"/>
          <w:szCs w:val="16"/>
          <w:color w:val="auto"/>
        </w:rPr>
        <w:t>”), attached hereto. Tenant agrees to comply with the Time Deadlines.</w:t>
      </w:r>
    </w:p>
    <w:p>
      <w:pPr>
        <w:spacing w:after="0" w:line="60" w:lineRule="exact"/>
        <w:rPr>
          <w:sz w:val="20"/>
          <w:szCs w:val="20"/>
          <w:color w:val="auto"/>
        </w:rPr>
      </w:pPr>
    </w:p>
    <w:p>
      <w:pPr>
        <w:jc w:val="both"/>
        <w:ind w:right="160" w:firstLine="457"/>
        <w:spacing w:after="0" w:line="273"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Electronic Approvals</w:t>
      </w:r>
      <w:r>
        <w:rPr>
          <w:rFonts w:ascii="Arial" w:cs="Arial" w:eastAsia="Arial" w:hAnsi="Arial"/>
          <w:sz w:val="17"/>
          <w:szCs w:val="17"/>
          <w:color w:val="auto"/>
        </w:rPr>
        <w:t xml:space="preserve">. Notwithstanding any provision to the contrary contained in the Lease or this Work Letter, Landlord may, in Landlord’s sole and absolute discretion, transmit or otherwise deliver any of the approvals required under this Work Letter via electronic mail to Tenant’s representative identified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this Work Letter, or by any of the other means identified in </w:t>
      </w:r>
      <w:r>
        <w:rPr>
          <w:rFonts w:ascii="Arial" w:cs="Arial" w:eastAsia="Arial" w:hAnsi="Arial"/>
          <w:sz w:val="17"/>
          <w:szCs w:val="17"/>
          <w:u w:val="single" w:color="auto"/>
          <w:color w:val="auto"/>
        </w:rPr>
        <w:t>Section 29.18</w:t>
      </w:r>
      <w:r>
        <w:rPr>
          <w:rFonts w:ascii="Arial" w:cs="Arial" w:eastAsia="Arial" w:hAnsi="Arial"/>
          <w:sz w:val="17"/>
          <w:szCs w:val="17"/>
          <w:color w:val="auto"/>
        </w:rPr>
        <w:t xml:space="preserve"> of this Lease.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271" w:right="299" w:bottom="1440" w:gutter="0" w:footer="0" w:header="0"/>
        </w:sectPr>
      </w:pPr>
    </w:p>
    <w:bookmarkStart w:id="329" w:name="page330"/>
    <w:bookmarkEnd w:id="329"/>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4</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CONSTRUCTION OF THE IMPROVEMENTS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Contractor</w:t>
      </w:r>
      <w:r>
        <w:rPr>
          <w:rFonts w:ascii="Arial" w:cs="Arial" w:eastAsia="Arial" w:hAnsi="Arial"/>
          <w:sz w:val="17"/>
          <w:szCs w:val="17"/>
          <w:color w:val="auto"/>
        </w:rPr>
        <w:t>. Landlord shall retain DPR Construction as the contractor (the “</w:t>
      </w:r>
      <w:r>
        <w:rPr>
          <w:rFonts w:ascii="Arial" w:cs="Arial" w:eastAsia="Arial" w:hAnsi="Arial"/>
          <w:sz w:val="17"/>
          <w:szCs w:val="17"/>
          <w:b w:val="1"/>
          <w:bCs w:val="1"/>
          <w:color w:val="auto"/>
        </w:rPr>
        <w:t>Contractor</w:t>
      </w:r>
      <w:r>
        <w:rPr>
          <w:rFonts w:ascii="Arial" w:cs="Arial" w:eastAsia="Arial" w:hAnsi="Arial"/>
          <w:sz w:val="17"/>
          <w:szCs w:val="17"/>
          <w:color w:val="auto"/>
        </w:rPr>
        <w:t>”) to construct the Improvements.</w:t>
      </w:r>
    </w:p>
    <w:p>
      <w:pPr>
        <w:spacing w:after="0" w:line="125"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Cost Proposal</w:t>
      </w:r>
      <w:r>
        <w:rPr>
          <w:rFonts w:ascii="Arial" w:cs="Arial" w:eastAsia="Arial" w:hAnsi="Arial"/>
          <w:sz w:val="16"/>
          <w:szCs w:val="16"/>
          <w:color w:val="auto"/>
        </w:rPr>
        <w:t>. After the Approved Working Drawings are signed by Landlord and Tenant, Landlord shall provide Tenant with a cost proposal in accordance with the Approved Working Drawings, which cost proposal shall include, as nearly as possible, the cost of all Improvement Allowance Items to be incurred by Tenant in connection with the design and construction of the Improvements (the “</w:t>
      </w:r>
      <w:r>
        <w:rPr>
          <w:rFonts w:ascii="Arial" w:cs="Arial" w:eastAsia="Arial" w:hAnsi="Arial"/>
          <w:sz w:val="16"/>
          <w:szCs w:val="16"/>
          <w:b w:val="1"/>
          <w:bCs w:val="1"/>
          <w:color w:val="auto"/>
        </w:rPr>
        <w:t>Cost Proposal</w:t>
      </w:r>
      <w:r>
        <w:rPr>
          <w:rFonts w:ascii="Arial" w:cs="Arial" w:eastAsia="Arial" w:hAnsi="Arial"/>
          <w:sz w:val="16"/>
          <w:szCs w:val="16"/>
          <w:color w:val="auto"/>
        </w:rPr>
        <w:t>”). Tenant shall approve and deliver the Cost Proposal to Landlord within five (5) business days of the receipt of the same, and upon receipt of the same by Landlord, Landlord shall be released by Tenant to purchase the items set forth in the Cost Proposal and to commence the construction relating to such items. The date by which Tenant must approve and deliver the Cost Proposal to Landlord shall be known hereafter as the “</w:t>
      </w:r>
      <w:r>
        <w:rPr>
          <w:rFonts w:ascii="Arial" w:cs="Arial" w:eastAsia="Arial" w:hAnsi="Arial"/>
          <w:sz w:val="16"/>
          <w:szCs w:val="16"/>
          <w:b w:val="1"/>
          <w:bCs w:val="1"/>
          <w:color w:val="auto"/>
        </w:rPr>
        <w:t>Cost Proposal Delivery Date</w:t>
      </w:r>
      <w:r>
        <w:rPr>
          <w:rFonts w:ascii="Arial" w:cs="Arial" w:eastAsia="Arial" w:hAnsi="Arial"/>
          <w:sz w:val="16"/>
          <w:szCs w:val="16"/>
          <w:color w:val="auto"/>
        </w:rPr>
        <w:t xml:space="preserve">”. Notwithstanding the foregoing, Tenant shall have the one-time right to object to such Cost Proposal prior to the Cost Proposal Delivery Date by providing Landlord with written notice of such objection, and which notice shall specifically identify, in detail, the proposed changes that Tenant desires such the Cost Proposal would be acceptable to Tenant, as well as Tenant’s desired pricing parameters. In the event Tenant so objects to the Cost Proposal, Tenant shall work directly with the Architect and/or Engineers to revise the Final Space Plan and/or Approved Working Drawings (as applicable), and resubmit the Final Space Plan and/or Approved Working Drawings (as applicable) to Landlord within three (3) business days following Tenant’s objection, which revised Final Space Plan and/or Approved Working Drawings (as applicable) shall be subject to Landlord’s approval in accordance with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Work Letter, and following the approval of the revised Final Space Plan and/or Approved Working Drawings (as applicable) by Landlord and Tenant, Landlord shall submit a revised cost proposal “</w:t>
      </w:r>
      <w:r>
        <w:rPr>
          <w:rFonts w:ascii="Arial" w:cs="Arial" w:eastAsia="Arial" w:hAnsi="Arial"/>
          <w:sz w:val="16"/>
          <w:szCs w:val="16"/>
          <w:b w:val="1"/>
          <w:bCs w:val="1"/>
          <w:color w:val="auto"/>
        </w:rPr>
        <w:t>Revised Cost Proposal</w:t>
      </w:r>
      <w:r>
        <w:rPr>
          <w:rFonts w:ascii="Arial" w:cs="Arial" w:eastAsia="Arial" w:hAnsi="Arial"/>
          <w:sz w:val="16"/>
          <w:szCs w:val="16"/>
          <w:color w:val="auto"/>
        </w:rPr>
        <w:t xml:space="preserve">” to Tenant for its approval in accordance with the terms set forth above in this </w:t>
      </w:r>
      <w:r>
        <w:rPr>
          <w:rFonts w:ascii="Arial" w:cs="Arial" w:eastAsia="Arial" w:hAnsi="Arial"/>
          <w:sz w:val="16"/>
          <w:szCs w:val="16"/>
          <w:u w:val="single" w:color="auto"/>
          <w:color w:val="auto"/>
        </w:rPr>
        <w:t>Section 4.2</w:t>
      </w:r>
      <w:r>
        <w:rPr>
          <w:rFonts w:ascii="Arial" w:cs="Arial" w:eastAsia="Arial" w:hAnsi="Arial"/>
          <w:sz w:val="16"/>
          <w:szCs w:val="16"/>
          <w:color w:val="auto"/>
        </w:rPr>
        <w:t>. The date by which Tenant must approve and deliver the Cost Proposal to Landlord shall be known hereafter as the “</w:t>
      </w:r>
      <w:r>
        <w:rPr>
          <w:rFonts w:ascii="Arial" w:cs="Arial" w:eastAsia="Arial" w:hAnsi="Arial"/>
          <w:sz w:val="16"/>
          <w:szCs w:val="16"/>
          <w:u w:val="single" w:color="auto"/>
          <w:color w:val="auto"/>
        </w:rPr>
        <w:t>Revised Cost Proposal Delivery Date</w:t>
      </w:r>
      <w:r>
        <w:rPr>
          <w:rFonts w:ascii="Arial" w:cs="Arial" w:eastAsia="Arial" w:hAnsi="Arial"/>
          <w:sz w:val="16"/>
          <w:szCs w:val="16"/>
          <w:color w:val="auto"/>
        </w:rPr>
        <w:t xml:space="preserve">.” In the event Tenant fails to approve or timely object to the original Cost Proposal or Revised Cost Proposal on or before the Cost Proposal Delivery Date, or the Revised Cost Proposal Delivery Date, respectively, such failures shall be deemed to be Tenant delays subject to the terms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Work Letter.</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Construction of Improvements by Contractor under the Supervision of Landlord</w:t>
      </w:r>
      <w:r>
        <w:rPr>
          <w:rFonts w:ascii="Arial" w:cs="Arial" w:eastAsia="Arial" w:hAnsi="Arial"/>
          <w:sz w:val="17"/>
          <w:szCs w:val="17"/>
          <w:color w:val="auto"/>
        </w:rPr>
        <w:t>.</w:t>
      </w:r>
    </w:p>
    <w:p>
      <w:pPr>
        <w:spacing w:after="0" w:line="113" w:lineRule="exact"/>
        <w:rPr>
          <w:sz w:val="20"/>
          <w:szCs w:val="20"/>
          <w:color w:val="auto"/>
        </w:rPr>
      </w:pPr>
    </w:p>
    <w:p>
      <w:pPr>
        <w:ind w:right="20" w:firstLine="913"/>
        <w:spacing w:after="0" w:line="265"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Over-Allowance Amount</w:t>
      </w:r>
      <w:r>
        <w:rPr>
          <w:rFonts w:ascii="Arial" w:cs="Arial" w:eastAsia="Arial" w:hAnsi="Arial"/>
          <w:sz w:val="17"/>
          <w:szCs w:val="17"/>
          <w:color w:val="auto"/>
        </w:rPr>
        <w:t>. On the Cost Proposal Delivery Date, Tenant shall deliver to Landlord cash in an amount (the “</w:t>
      </w:r>
      <w:r>
        <w:rPr>
          <w:rFonts w:ascii="Arial" w:cs="Arial" w:eastAsia="Arial" w:hAnsi="Arial"/>
          <w:sz w:val="17"/>
          <w:szCs w:val="17"/>
          <w:b w:val="1"/>
          <w:bCs w:val="1"/>
          <w:color w:val="auto"/>
        </w:rPr>
        <w:t>Over-Allowance</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equal to the difference between (i) the amount of the Cost Proposal and (ii) the amount of the Improvement Allowance. The Over-Allowance Amount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disbursed by Landlord on a pro-rata basis along with any then remaining portion of the Improvement Allowance, and such disbursement shall be pursuant to the same procedure as the Improvement Allowance. In the event that, after the Cost Proposal Delivery Date, any revisions, changes, or substitutions shall be made to the Construction Drawings or the Improvements, any additional costs which arise in connection with such revisions, changes or substitutions or any other additional costs shall be paid by Tenant to</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40" w:top="271" w:right="299" w:bottom="1440" w:gutter="0" w:footer="0" w:header="0"/>
        </w:sectPr>
      </w:pPr>
    </w:p>
    <w:bookmarkStart w:id="330" w:name="page331"/>
    <w:bookmarkEnd w:id="330"/>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Landlord immediately upon Landlord’s request as an addition to the Over-Allowance Amount. In addition, if the Final Working Drawings or any amendment thereof or supplement thereto shall require alterations in the Base Building (as contrasted with the Improvements), and if Landlord in its sole and exclusive discretion agrees to any such alterations, and notifies Tenant of the need and cost for such alterations, then Tenant shall pay the cost of such required changes in advance upon receipt of notice thereof (but only to the extent that no Improvement Allowance funds remain unallocated and undisbursed and are available to pay for the same). Tenant shall pay all direct architectural and/or engineering fees in connection therewith, plus six percent (6%) of such direct costs for Landlord’s servicing and overhead. In the event that Tenant fails to deliver the Over-Allowance Amount as provided in this </w:t>
      </w:r>
      <w:r>
        <w:rPr>
          <w:rFonts w:ascii="Arial" w:cs="Arial" w:eastAsia="Arial" w:hAnsi="Arial"/>
          <w:sz w:val="16"/>
          <w:szCs w:val="16"/>
          <w:u w:val="single" w:color="auto"/>
          <w:color w:val="auto"/>
        </w:rPr>
        <w:t>Section 4.3.1</w:t>
      </w:r>
      <w:r>
        <w:rPr>
          <w:rFonts w:ascii="Arial" w:cs="Arial" w:eastAsia="Arial" w:hAnsi="Arial"/>
          <w:sz w:val="16"/>
          <w:szCs w:val="16"/>
          <w:color w:val="auto"/>
        </w:rPr>
        <w:t xml:space="preserve">, then Landlord may, at its option, cease work in the Premises until such time as Landlord receives payment of the Over- Allowance Amount (and such failure to deliver shall be treated as a Tenant delay in accordance with the terms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below).</w:t>
      </w:r>
    </w:p>
    <w:p>
      <w:pPr>
        <w:spacing w:after="0" w:line="64"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 xml:space="preserve">4.3.2 </w:t>
      </w:r>
      <w:r>
        <w:rPr>
          <w:rFonts w:ascii="Arial" w:cs="Arial" w:eastAsia="Arial" w:hAnsi="Arial"/>
          <w:sz w:val="15"/>
          <w:szCs w:val="15"/>
          <w:u w:val="single" w:color="auto"/>
          <w:color w:val="auto"/>
        </w:rPr>
        <w:t>Landlord’s Retention of Contractor</w:t>
      </w:r>
      <w:r>
        <w:rPr>
          <w:rFonts w:ascii="Arial" w:cs="Arial" w:eastAsia="Arial" w:hAnsi="Arial"/>
          <w:sz w:val="15"/>
          <w:szCs w:val="15"/>
          <w:color w:val="auto"/>
        </w:rPr>
        <w:t>. Landlord shall independently retain Contractor to construct the Improvements in accordance with the Approved Working Drawings and the Cost Proposal and Landlord shall supervise the construction by Contractor, and Tenant shall pay a construction supervision and management fee (the “</w:t>
      </w:r>
      <w:r>
        <w:rPr>
          <w:rFonts w:ascii="Arial" w:cs="Arial" w:eastAsia="Arial" w:hAnsi="Arial"/>
          <w:sz w:val="15"/>
          <w:szCs w:val="15"/>
          <w:b w:val="1"/>
          <w:bCs w:val="1"/>
          <w:color w:val="auto"/>
        </w:rPr>
        <w:t>Landlord Supervision Fee</w:t>
      </w:r>
      <w:r>
        <w:rPr>
          <w:rFonts w:ascii="Arial" w:cs="Arial" w:eastAsia="Arial" w:hAnsi="Arial"/>
          <w:sz w:val="15"/>
          <w:szCs w:val="15"/>
          <w:color w:val="auto"/>
        </w:rPr>
        <w:t>”) to Landlord in an amount equal to the product of (i) six percent (6%) and (ii) an amount equal to the Improvement Allowance plus the Over-Allowance Amount (as such Over-Allowance Amount may increase pursuant to the terms of this Work Letter).</w:t>
      </w:r>
    </w:p>
    <w:p>
      <w:pPr>
        <w:spacing w:after="0" w:line="40" w:lineRule="exact"/>
        <w:rPr>
          <w:sz w:val="20"/>
          <w:szCs w:val="20"/>
          <w:color w:val="auto"/>
        </w:rPr>
      </w:pPr>
    </w:p>
    <w:p>
      <w:pPr>
        <w:ind w:right="640" w:firstLine="913"/>
        <w:spacing w:after="0" w:line="322"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Contractor’s Warranties and Guaranties</w:t>
      </w:r>
      <w:r>
        <w:rPr>
          <w:rFonts w:ascii="Arial" w:cs="Arial" w:eastAsia="Arial" w:hAnsi="Arial"/>
          <w:sz w:val="16"/>
          <w:szCs w:val="16"/>
          <w:color w:val="auto"/>
        </w:rPr>
        <w:t>. Landlord hereby assigns to Tenant all warranties and guaranties by Contractor relating to the Improvements, and Tenant hereby waives all claims against Landlord relating to, or arising out of the construction of, the Improvements.</w:t>
      </w:r>
    </w:p>
    <w:p>
      <w:pPr>
        <w:spacing w:after="0" w:line="30" w:lineRule="exact"/>
        <w:rPr>
          <w:sz w:val="20"/>
          <w:szCs w:val="20"/>
          <w:color w:val="auto"/>
        </w:rPr>
      </w:pPr>
    </w:p>
    <w:p>
      <w:pPr>
        <w:jc w:val="both"/>
        <w:ind w:right="260" w:firstLine="913"/>
        <w:spacing w:after="0" w:line="273"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Additional Items</w:t>
      </w:r>
      <w:r>
        <w:rPr>
          <w:rFonts w:ascii="Arial" w:cs="Arial" w:eastAsia="Arial" w:hAnsi="Arial"/>
          <w:sz w:val="17"/>
          <w:szCs w:val="17"/>
          <w:color w:val="auto"/>
        </w:rPr>
        <w:t>. Landlord may elect to cause Contractor and Architect to cause a Notice of Completion to be recorded in the office of the County Recorder of the county in which the Building is located in accordance with Section 3093 of the Civil Code of the State of California or any successor statute.</w:t>
      </w: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SECTION 5</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DELAY OF SUBSTANTIAL COMPLETION OF PREMISES;</w:t>
      </w:r>
    </w:p>
    <w:p>
      <w:pPr>
        <w:spacing w:after="0" w:line="2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EXTENSION OF LEASE COMMENCEMENT DATE</w:t>
      </w:r>
    </w:p>
    <w:p>
      <w:pPr>
        <w:spacing w:after="0" w:line="212"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Delay of the Substantial Completion of the Premises</w:t>
      </w:r>
      <w:r>
        <w:rPr>
          <w:rFonts w:ascii="Arial" w:cs="Arial" w:eastAsia="Arial" w:hAnsi="Arial"/>
          <w:sz w:val="17"/>
          <w:szCs w:val="17"/>
          <w:color w:val="auto"/>
        </w:rPr>
        <w:t xml:space="preserve">. Except as provided in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the Lease Commencement Date shall occur as set forth in the Lease and </w:t>
      </w:r>
      <w:r>
        <w:rPr>
          <w:rFonts w:ascii="Arial" w:cs="Arial" w:eastAsia="Arial" w:hAnsi="Arial"/>
          <w:sz w:val="17"/>
          <w:szCs w:val="17"/>
          <w:u w:val="single" w:color="auto"/>
          <w:color w:val="auto"/>
        </w:rPr>
        <w:t>Section 5.2</w:t>
      </w:r>
      <w:r>
        <w:rPr>
          <w:rFonts w:ascii="Arial" w:cs="Arial" w:eastAsia="Arial" w:hAnsi="Arial"/>
          <w:sz w:val="17"/>
          <w:szCs w:val="17"/>
          <w:color w:val="auto"/>
        </w:rPr>
        <w:t>, below. If there shall be a delay or there are delays in the Substantial Completion of the Improvements as a direct, indirect, partial, or total result of:</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5.1.1 Tenant’s failure to comply with the Time Deadlines;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5.1.2 Tenant’s failure to timely approve any matter requiring Tenant’s approval;</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5.1.3 A breach by Tenant of the terms of this Work Letter or the Lease;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240" w:top="272" w:right="399" w:bottom="1440" w:gutter="0" w:footer="0" w:header="0"/>
        </w:sectPr>
      </w:pPr>
    </w:p>
    <w:bookmarkStart w:id="331" w:name="page332"/>
    <w:bookmarkEnd w:id="331"/>
    <w:p>
      <w:pPr>
        <w:ind w:right="100" w:firstLine="91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5.1.4 Changes in any of the Construction Drawings after disapproval of the same by Landlord or because the same do not comply with Code or other applicable laws;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5.1.5 Tenant’s request for changes in the Approved Working Drawings;</w:t>
      </w:r>
    </w:p>
    <w:p>
      <w:pPr>
        <w:spacing w:after="0" w:line="119" w:lineRule="exact"/>
        <w:rPr>
          <w:sz w:val="20"/>
          <w:szCs w:val="20"/>
          <w:color w:val="auto"/>
        </w:rPr>
      </w:pPr>
    </w:p>
    <w:p>
      <w:pPr>
        <w:jc w:val="both"/>
        <w:ind w:right="440" w:firstLine="913"/>
        <w:spacing w:after="0" w:line="322" w:lineRule="auto"/>
        <w:rPr>
          <w:sz w:val="20"/>
          <w:szCs w:val="20"/>
          <w:color w:val="auto"/>
        </w:rPr>
      </w:pPr>
      <w:r>
        <w:rPr>
          <w:rFonts w:ascii="Arial" w:cs="Arial" w:eastAsia="Arial" w:hAnsi="Arial"/>
          <w:sz w:val="16"/>
          <w:szCs w:val="16"/>
          <w:color w:val="auto"/>
        </w:rPr>
        <w:t>5.1.6 Tenant’s requirement for materials, components, finishes or improvements which are not available in a commercially reasonable time (and where no reasonable substitute exists) given the anticipated date of Substantial Completion of the Improvements, as set forth in the Lease;</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5.1.7 Changes to the Base Building required by the Approved Working Drawings;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5.1.8 Tenant’s use of specialized or unusual improvements and/or delays m obtaining Permits due thereto;</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5.1.9 Any failure by Tenant to timely pay to Landlord any portion of the Over-Allowance Amount; or</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5.1.10 Any other acts or omissions of Tenant, or its agents, or employees;</w:t>
      </w:r>
    </w:p>
    <w:p>
      <w:pPr>
        <w:spacing w:after="0" w:line="119" w:lineRule="exact"/>
        <w:rPr>
          <w:sz w:val="20"/>
          <w:szCs w:val="20"/>
          <w:color w:val="auto"/>
        </w:rPr>
      </w:pPr>
    </w:p>
    <w:p>
      <w:pPr>
        <w:jc w:val="both"/>
        <w:ind w:right="440"/>
        <w:spacing w:after="0" w:line="273" w:lineRule="auto"/>
        <w:rPr>
          <w:sz w:val="20"/>
          <w:szCs w:val="20"/>
          <w:color w:val="auto"/>
        </w:rPr>
      </w:pPr>
      <w:r>
        <w:rPr>
          <w:rFonts w:ascii="Arial" w:cs="Arial" w:eastAsia="Arial" w:hAnsi="Arial"/>
          <w:sz w:val="17"/>
          <w:szCs w:val="17"/>
          <w:color w:val="auto"/>
        </w:rPr>
        <w:t>then, notwithstanding anything to the contrary set forth in the Lease or this Work Letter and regardless of the actual date of the Substantial Completion of the Improvements, Substantial Completion of the Improvements shall be deemed to have occurred on the date such Substantial Completion of the Improvements would have occurred if no Tenant delay or delays, as set forth above, had occurred.</w:t>
      </w:r>
    </w:p>
    <w:p>
      <w:pPr>
        <w:spacing w:after="0" w:line="66"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Substantial Completion: Extension of Lease Commencement Date</w:t>
      </w:r>
      <w:r>
        <w:rPr>
          <w:rFonts w:ascii="Arial" w:cs="Arial" w:eastAsia="Arial" w:hAnsi="Arial"/>
          <w:sz w:val="17"/>
          <w:szCs w:val="17"/>
          <w:color w:val="auto"/>
        </w:rPr>
        <w:t xml:space="preserve">. For purposes of this Lease, and subject to adjustment for any Tenant delay or delays as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this Work Letter above, “</w:t>
      </w:r>
      <w:r>
        <w:rPr>
          <w:rFonts w:ascii="Arial" w:cs="Arial" w:eastAsia="Arial" w:hAnsi="Arial"/>
          <w:sz w:val="17"/>
          <w:szCs w:val="17"/>
          <w:b w:val="1"/>
          <w:bCs w:val="1"/>
          <w:color w:val="auto"/>
        </w:rPr>
        <w:t>Substantial Completion</w:t>
      </w:r>
      <w:r>
        <w:rPr>
          <w:rFonts w:ascii="Arial" w:cs="Arial" w:eastAsia="Arial" w:hAnsi="Arial"/>
          <w:sz w:val="17"/>
          <w:szCs w:val="17"/>
          <w:color w:val="auto"/>
        </w:rPr>
        <w:t xml:space="preserve">” of the Improvements shall occur upon the completion of construction of the Improvements in the Premises pursuant to the Approved Working Drawings, with the exception of any punch list items and any tenant fixtures, work- stations, built-in furniture, or equipment to be installed by Tenant or under the supervision of Contractor. To the extent Substantial Completion of the Improvements has not occurred on or before August 16, 2011, the Lease Commencement Date otherwise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the Summary to this Lease shall be extended on a day-for-day basis (in which event any other dates calculated based upon the Lease Commencement Date, such as the Lease Expiration Date and the Rent Abatement Period, shall be adjusted accordingly).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6</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224" w:lineRule="exact"/>
        <w:rPr>
          <w:sz w:val="20"/>
          <w:szCs w:val="20"/>
          <w:color w:val="auto"/>
        </w:rPr>
      </w:pPr>
    </w:p>
    <w:p>
      <w:pPr>
        <w:ind w:right="180" w:firstLine="457"/>
        <w:spacing w:after="0" w:line="29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Tenant’s Entry Into the Premises Prior to Substantial Completion</w:t>
      </w:r>
      <w:r>
        <w:rPr>
          <w:rFonts w:ascii="Arial" w:cs="Arial" w:eastAsia="Arial" w:hAnsi="Arial"/>
          <w:sz w:val="16"/>
          <w:szCs w:val="16"/>
          <w:color w:val="auto"/>
        </w:rPr>
        <w:t>. Provided that Tenant and its agents do not interfere with construction of the Improvements, Landlord shall allow Tenant access to the Premises up to sixty (60) days prior to the Substantial Completion of the Improvements for the purpose of Tenant installing over standard equipment or fixtures (including Tenant’s data and telephone equipment) in the Premises, which installation shall be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1" w:right="239" w:bottom="1440" w:gutter="0" w:footer="0" w:header="0"/>
        </w:sectPr>
      </w:pPr>
    </w:p>
    <w:bookmarkStart w:id="332" w:name="page333"/>
    <w:bookmarkEnd w:id="3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subject to Tenant’s receipt, at Tenant’s sole cost and expense, of any required approvals and/or permits from the applicable governmental agencies. Prior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Tenant’s entry into the Premises as permitted by the terms of this </w:t>
      </w:r>
      <w:r>
        <w:rPr>
          <w:rFonts w:ascii="Arial" w:cs="Arial" w:eastAsia="Arial" w:hAnsi="Arial"/>
          <w:sz w:val="15"/>
          <w:szCs w:val="15"/>
          <w:u w:val="single" w:color="auto"/>
          <w:color w:val="auto"/>
        </w:rPr>
        <w:t>Section 6.1</w:t>
      </w:r>
      <w:r>
        <w:rPr>
          <w:rFonts w:ascii="Arial" w:cs="Arial" w:eastAsia="Arial" w:hAnsi="Arial"/>
          <w:sz w:val="15"/>
          <w:szCs w:val="15"/>
          <w:color w:val="auto"/>
        </w:rPr>
        <w:t>, Tenant shall submit a schedule to Landlord and Contractor, for their approval, which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schedule shall detail the timing and purpose of Tenant’s entry. Additionally, all of Tenant’s Agents, as that term is defined in </w:t>
      </w:r>
      <w:r>
        <w:rPr>
          <w:rFonts w:ascii="Arial" w:cs="Arial" w:eastAsia="Arial" w:hAnsi="Arial"/>
          <w:sz w:val="16"/>
          <w:szCs w:val="16"/>
          <w:u w:val="single" w:color="auto"/>
          <w:color w:val="auto"/>
        </w:rPr>
        <w:t>Section 6.5</w:t>
      </w:r>
      <w:r>
        <w:rPr>
          <w:rFonts w:ascii="Arial" w:cs="Arial" w:eastAsia="Arial" w:hAnsi="Arial"/>
          <w:sz w:val="16"/>
          <w:szCs w:val="16"/>
          <w:color w:val="auto"/>
        </w:rPr>
        <w:t>, below, shall carry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worker’s compensation insurance covering all of their respective employees, and shall also carry public liability insurance, including property damage, all with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limits, in form and with companies as are required to be carried by Tenant as set forth in this Lease. Certificates for all insurance carried pursuant to this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shall be delivered to Landlord prior to Tenant’s entry into the Premises. Tenant’s Agents shall maintain all of the foregoing insurance coverage in force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until the Improvements are fully completed and accepted by Landlord. All policies carried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insure Landlord and Tenant, as their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interests may appear, as well as Contractor and Tenant’s Agents. All insurance, except Workers’ Compensation, maintained by Tenant’s Agents shall preclude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subrogation claims by the insurer against anyone insured thereunder. Such insurance shall provide that it is primary insurance as respects the owner and that any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insurance maintained by owner is excess and noncontributing with the insurance required hereunder. Tenant shall hold Landlord harmless from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indemnify, protect and defend Landlord against any loss or damage to the Building or Premises and against injury to any persons caused by Tenant’s actions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pursuant to this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107" w:lineRule="exact"/>
        <w:rPr>
          <w:sz w:val="20"/>
          <w:szCs w:val="20"/>
          <w:color w:val="auto"/>
        </w:rPr>
      </w:pPr>
    </w:p>
    <w:p>
      <w:pPr>
        <w:jc w:val="both"/>
        <w:ind w:right="140" w:firstLine="457"/>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Freight Elevators</w:t>
      </w:r>
      <w:r>
        <w:rPr>
          <w:rFonts w:ascii="Arial" w:cs="Arial" w:eastAsia="Arial" w:hAnsi="Arial"/>
          <w:sz w:val="17"/>
          <w:szCs w:val="17"/>
          <w:color w:val="auto"/>
        </w:rPr>
        <w:t xml:space="preserve">. As indicated in </w:t>
      </w:r>
      <w:r>
        <w:rPr>
          <w:rFonts w:ascii="Arial" w:cs="Arial" w:eastAsia="Arial" w:hAnsi="Arial"/>
          <w:sz w:val="17"/>
          <w:szCs w:val="17"/>
          <w:u w:val="single" w:color="auto"/>
          <w:color w:val="auto"/>
        </w:rPr>
        <w:t>Section 6.4.2</w:t>
      </w:r>
      <w:r>
        <w:rPr>
          <w:rFonts w:ascii="Arial" w:cs="Arial" w:eastAsia="Arial" w:hAnsi="Arial"/>
          <w:sz w:val="17"/>
          <w:szCs w:val="17"/>
          <w:color w:val="auto"/>
        </w:rPr>
        <w:t xml:space="preserve"> of this Lease, Landlord shall use commercially reasonable efforts to coordinate with Tanvex, the tenant of the remainder of the Building, to allow Tenant the temporary use of the Building elevator located in the back warehouse portion the first floor, which elevator services the Building mezzanine, in order to initially move Tenant’s furniture, fixtures and equipment into the Premises.</w:t>
      </w:r>
    </w:p>
    <w:p>
      <w:pPr>
        <w:spacing w:after="0" w:line="66" w:lineRule="exact"/>
        <w:rPr>
          <w:sz w:val="20"/>
          <w:szCs w:val="20"/>
          <w:color w:val="auto"/>
        </w:rPr>
      </w:pPr>
    </w:p>
    <w:p>
      <w:pPr>
        <w:jc w:val="both"/>
        <w:ind w:right="160" w:firstLine="457"/>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Tenant’s Representative</w:t>
      </w:r>
      <w:r>
        <w:rPr>
          <w:rFonts w:ascii="Arial" w:cs="Arial" w:eastAsia="Arial" w:hAnsi="Arial"/>
          <w:sz w:val="17"/>
          <w:szCs w:val="17"/>
          <w:color w:val="auto"/>
        </w:rPr>
        <w:t xml:space="preserve">. Tenant has designated Ed Marples as its sole representative with respect to the matters set forth in this Work Letter (whose e-mail address for the purposes of this Work Letter is </w:t>
      </w:r>
      <w:r>
        <w:rPr>
          <w:rFonts w:ascii="Arial" w:cs="Arial" w:eastAsia="Arial" w:hAnsi="Arial"/>
          <w:sz w:val="17"/>
          <w:szCs w:val="17"/>
          <w:u w:val="single" w:color="auto"/>
          <w:color w:val="auto"/>
        </w:rPr>
        <w:t>emarples@anaptvsbio.com</w:t>
      </w:r>
      <w:r>
        <w:rPr>
          <w:rFonts w:ascii="Arial" w:cs="Arial" w:eastAsia="Arial" w:hAnsi="Arial"/>
          <w:sz w:val="17"/>
          <w:szCs w:val="17"/>
          <w:color w:val="auto"/>
        </w:rPr>
        <w:t>), who, until further notice to Landlord, shall have full authority and responsibility to act on behalf of the Tenant as required in this Work Letter.</w:t>
      </w:r>
    </w:p>
    <w:p>
      <w:pPr>
        <w:spacing w:after="0" w:line="60"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Landlord’s Representatives</w:t>
      </w:r>
      <w:r>
        <w:rPr>
          <w:rFonts w:ascii="Arial" w:cs="Arial" w:eastAsia="Arial" w:hAnsi="Arial"/>
          <w:sz w:val="16"/>
          <w:szCs w:val="16"/>
          <w:color w:val="auto"/>
        </w:rPr>
        <w:t>. Landlord has designated Richard Mount and Jake Brehm as its sole representative (the “</w:t>
      </w:r>
      <w:r>
        <w:rPr>
          <w:rFonts w:ascii="Arial" w:cs="Arial" w:eastAsia="Arial" w:hAnsi="Arial"/>
          <w:sz w:val="16"/>
          <w:szCs w:val="16"/>
          <w:b w:val="1"/>
          <w:bCs w:val="1"/>
          <w:color w:val="auto"/>
        </w:rPr>
        <w:t>Project Managers</w:t>
      </w:r>
      <w:r>
        <w:rPr>
          <w:rFonts w:ascii="Arial" w:cs="Arial" w:eastAsia="Arial" w:hAnsi="Arial"/>
          <w:sz w:val="16"/>
          <w:szCs w:val="16"/>
          <w:color w:val="auto"/>
        </w:rPr>
        <w:t>”) with respect to the matters set forth in this Work Letter (whose e-mail addresses for the purposes of this Work Letter are rmount@kilroyrealty.com and jbrehm@kilroyrealty.com, respectively), who shall each be responsible for the implementation of all Improvements to be performed by Landlord in the Premises. With regard to all matters involving such Improvements, Tenant shall communicate with the Project Managers rather than with the Contractor. Landlord shall not be responsible for any statement, representation or agreement made between Tenant and the Contractor or any subcontractor. It is hereby expressly acknowledged by Tenant that such Contractor is not Landlord’s agent and has no authority whatsoever to enter into agreements on Landlord’s behalf or otherwise bind Landlord. The Project Managers will furnish Tenant with notices of substantial completion, cost estimates for above standard Improvements, Landlord’s approvals or disapprovals of all documents to be prepared by Tenant pursuant to this Work Letter and changes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333" w:name="page334"/>
    <w:bookmarkEnd w:id="333"/>
    <w:p>
      <w:pPr>
        <w:ind w:right="180" w:firstLine="457"/>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6.5 </w:t>
      </w:r>
      <w:r>
        <w:rPr>
          <w:rFonts w:ascii="Arial" w:cs="Arial" w:eastAsia="Arial" w:hAnsi="Arial"/>
          <w:sz w:val="17"/>
          <w:szCs w:val="17"/>
          <w:u w:val="single" w:color="auto"/>
          <w:color w:val="auto"/>
        </w:rPr>
        <w:t>Tenant’s Agents</w:t>
      </w:r>
      <w:r>
        <w:rPr>
          <w:rFonts w:ascii="Arial" w:cs="Arial" w:eastAsia="Arial" w:hAnsi="Arial"/>
          <w:sz w:val="17"/>
          <w:szCs w:val="17"/>
          <w:color w:val="auto"/>
        </w:rPr>
        <w:t>. Tenant shall not use (and upon notice from Landlord shall cease using) contractors, services, workmen, labor, materials or equipment (individually or collectively, “</w:t>
      </w:r>
      <w:r>
        <w:rPr>
          <w:rFonts w:ascii="Arial" w:cs="Arial" w:eastAsia="Arial" w:hAnsi="Arial"/>
          <w:sz w:val="17"/>
          <w:szCs w:val="17"/>
          <w:b w:val="1"/>
          <w:bCs w:val="1"/>
          <w:color w:val="auto"/>
        </w:rPr>
        <w:t>Labor Disturbing Services</w:t>
      </w:r>
      <w:r>
        <w:rPr>
          <w:rFonts w:ascii="Arial" w:cs="Arial" w:eastAsia="Arial" w:hAnsi="Arial"/>
          <w:sz w:val="17"/>
          <w:szCs w:val="17"/>
          <w:color w:val="auto"/>
        </w:rPr>
        <w:t>”) that, in Landlord’s reasonable judgment, would disturb labor harmony with the workforce or trades engaged in performing other work, labor or services in or about the Building or the Common Areas. Alternatively, at Landlord’s sole election, Landlord may require that Tenant shall cease utilizing the applicable Labor Disturbing Services during Building Hours, and may only utilize such Labor Disturbing Services during hours other than Building Hours. All contractors, subcontractors, laborers, materialmen, and suppliers retained directly by Tenant shall be the “Tenant’s Agents”).</w:t>
      </w:r>
    </w:p>
    <w:p>
      <w:pPr>
        <w:spacing w:after="0" w:line="77"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Time is of the Essence</w:t>
      </w:r>
      <w:r>
        <w:rPr>
          <w:rFonts w:ascii="Arial" w:cs="Arial" w:eastAsia="Arial" w:hAnsi="Arial"/>
          <w:sz w:val="17"/>
          <w:szCs w:val="17"/>
          <w:color w:val="auto"/>
        </w:rPr>
        <w:t>. Time is of the essence under this Work Letter. Unless otherwise indicated, all references herein to a “number of days” shall mean and refer to calendar days.</w:t>
      </w:r>
    </w:p>
    <w:p>
      <w:pPr>
        <w:spacing w:after="0" w:line="5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Tenant’s Lease Default</w:t>
      </w:r>
      <w:r>
        <w:rPr>
          <w:rFonts w:ascii="Arial" w:cs="Arial" w:eastAsia="Arial" w:hAnsi="Arial"/>
          <w:sz w:val="16"/>
          <w:szCs w:val="16"/>
          <w:color w:val="auto"/>
        </w:rPr>
        <w:t>. Notwithstanding any provision to the contrary contained in the Lease or this Work Letter, if any default (beyond the applicable notice and cure period set forth in this Lease or this Work Letter) by Tenant under the Lease or this Work Letter (including, without limitation, any failure by Tenant to fund any portion of the Over-Allowance Amount) occurs at any time on or before the Substantial Completion of the Improvements, then (i) in addition to all other rights and remedies granted to Landlord pursuant to the Lease, Landlord shall have the right to withhold payment of all or any portion of the Improvement Allowance and/or Landlord may, without any liability whatsoever, cause the cessation of construction of the Improvements (in which case, Tenant shall be responsible for any delay in the Substantial Completion of the Improvements and any costs occasioned thereby), and (ii) all other obligations of Landlord under the terms of the Lease and this Work Letter shall be forgiven until such time as such default is cured pursuant to the terms of this Lease.</w:t>
      </w:r>
    </w:p>
    <w:p>
      <w:pPr>
        <w:spacing w:after="0" w:line="63"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Punch List</w:t>
      </w:r>
      <w:r>
        <w:rPr>
          <w:rFonts w:ascii="Arial" w:cs="Arial" w:eastAsia="Arial" w:hAnsi="Arial"/>
          <w:sz w:val="17"/>
          <w:szCs w:val="17"/>
          <w:color w:val="auto"/>
        </w:rPr>
        <w:t>. Promptly following the Substantial Completion of the Improvements, a representative of Tenant and a representative of Landlord and/or the Architect shall perform a joint walk-through inspection of the Improvements in the Premises to identify any “punchlist” items of known or apparent deficiencies or incomplete work required to be corrected or completed by Landlord pursuant to the Approved Working Drawings, which items Landlord shall repair or correct no later than thirty (30) days after the date of such walk-through (unless the nature of such repair or correction is such that more than thirty (30) days are required for completion, in which case, Landlord shall commence such repair or correction work within such thirty (30) day period and diligently prosecute the same to completion).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334" w:name="page335"/>
    <w:bookmarkEnd w:id="334"/>
    <w:p>
      <w:pPr>
        <w:jc w:val="center"/>
        <w:ind w:right="-14"/>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 TO EXHIBIT B</w:t>
      </w:r>
    </w:p>
    <w:p>
      <w:pPr>
        <w:spacing w:after="0" w:line="224" w:lineRule="exact"/>
        <w:rPr>
          <w:sz w:val="20"/>
          <w:szCs w:val="20"/>
          <w:color w:val="auto"/>
        </w:rPr>
      </w:pPr>
    </w:p>
    <w:p>
      <w:pPr>
        <w:jc w:val="center"/>
        <w:ind w:right="-14"/>
        <w:spacing w:after="0"/>
        <w:rPr>
          <w:sz w:val="20"/>
          <w:szCs w:val="20"/>
          <w:color w:val="auto"/>
        </w:rPr>
      </w:pPr>
      <w:r>
        <w:rPr>
          <w:rFonts w:ascii="Arial" w:cs="Arial" w:eastAsia="Arial" w:hAnsi="Arial"/>
          <w:sz w:val="17"/>
          <w:szCs w:val="17"/>
          <w:b w:val="1"/>
          <w:bCs w:val="1"/>
          <w:u w:val="single" w:color="auto"/>
          <w:color w:val="auto"/>
        </w:rPr>
        <w:t>TIME DEADLINES</w:t>
      </w:r>
    </w:p>
    <w:p>
      <w:pPr>
        <w:sectPr>
          <w:pgSz w:w="11900" w:h="16838" w:orient="portrait"/>
          <w:cols w:equalWidth="0" w:num="1">
            <w:col w:w="11395"/>
          </w:cols>
          <w:pgMar w:left="245" w:top="265" w:right="259" w:bottom="1440" w:gutter="0" w:footer="0" w:header="0"/>
        </w:sectPr>
      </w:pPr>
    </w:p>
    <w:p>
      <w:pPr>
        <w:spacing w:after="0" w:line="250" w:lineRule="exact"/>
        <w:rPr>
          <w:sz w:val="20"/>
          <w:szCs w:val="20"/>
          <w:color w:val="auto"/>
        </w:rPr>
      </w:pPr>
    </w:p>
    <w:p>
      <w:pPr>
        <w:ind w:left="3075"/>
        <w:spacing w:after="0"/>
        <w:rPr>
          <w:sz w:val="20"/>
          <w:szCs w:val="20"/>
          <w:color w:val="auto"/>
        </w:rPr>
      </w:pPr>
      <w:r>
        <w:rPr>
          <w:rFonts w:ascii="Arial" w:cs="Arial" w:eastAsia="Arial" w:hAnsi="Arial"/>
          <w:sz w:val="14"/>
          <w:szCs w:val="14"/>
          <w:u w:val="single" w:color="auto"/>
          <w:color w:val="auto"/>
        </w:rPr>
        <w:t>Dates</w:t>
      </w:r>
    </w:p>
    <w:p>
      <w:pPr>
        <w:spacing w:after="0" w:line="107" w:lineRule="exact"/>
        <w:rPr>
          <w:sz w:val="20"/>
          <w:szCs w:val="20"/>
          <w:color w:val="auto"/>
        </w:rPr>
      </w:pPr>
    </w:p>
    <w:p>
      <w:pPr>
        <w:ind w:left="515" w:hanging="515"/>
        <w:spacing w:after="0" w:line="289" w:lineRule="auto"/>
        <w:tabs>
          <w:tab w:leader="none" w:pos="51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Within ten (10) business days following the full execution and delivery of this Lease by Landlord and Tenant</w:t>
      </w:r>
    </w:p>
    <w:p>
      <w:pPr>
        <w:spacing w:after="0" w:line="53" w:lineRule="exact"/>
        <w:rPr>
          <w:rFonts w:ascii="Arial" w:cs="Arial" w:eastAsia="Arial" w:hAnsi="Arial"/>
          <w:sz w:val="17"/>
          <w:szCs w:val="17"/>
          <w:color w:val="auto"/>
        </w:rPr>
      </w:pPr>
    </w:p>
    <w:p>
      <w:pPr>
        <w:ind w:left="515" w:hanging="515"/>
        <w:spacing w:after="0"/>
        <w:tabs>
          <w:tab w:leader="none" w:pos="51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Five (5) business days after the receipt of the Cost Proposal by Tenant</w:t>
      </w:r>
    </w:p>
    <w:p>
      <w:pPr>
        <w:spacing w:after="0" w:line="339" w:lineRule="exact"/>
        <w:rPr>
          <w:rFonts w:ascii="Arial" w:cs="Arial" w:eastAsia="Arial" w:hAnsi="Arial"/>
          <w:sz w:val="16"/>
          <w:szCs w:val="16"/>
          <w:color w:val="auto"/>
        </w:rPr>
      </w:pPr>
    </w:p>
    <w:p>
      <w:pPr>
        <w:ind w:left="515" w:right="180" w:hanging="515"/>
        <w:spacing w:after="0" w:line="289" w:lineRule="auto"/>
        <w:tabs>
          <w:tab w:leader="none" w:pos="51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Five (5) business days after the receipt of the Revised Cost Proposal by Tenant.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2000"/>
        <w:spacing w:after="0"/>
        <w:rPr>
          <w:sz w:val="20"/>
          <w:szCs w:val="20"/>
          <w:color w:val="auto"/>
        </w:rPr>
      </w:pPr>
      <w:r>
        <w:rPr>
          <w:rFonts w:ascii="Arial" w:cs="Arial" w:eastAsia="Arial" w:hAnsi="Arial"/>
          <w:sz w:val="14"/>
          <w:szCs w:val="14"/>
          <w:u w:val="single" w:color="auto"/>
          <w:color w:val="auto"/>
        </w:rPr>
        <w:t>Actions to be Performed</w:t>
      </w:r>
    </w:p>
    <w:p>
      <w:pPr>
        <w:spacing w:after="0" w:line="107"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Final Space Plan to be completed by Tenant and delivered to Landlord.</w:t>
      </w:r>
    </w:p>
    <w:p>
      <w:pPr>
        <w:spacing w:after="0" w:line="351"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Tenant to approve Revised Cost Proposal and deliver Revised Cost Proposal to Landlord.</w:t>
      </w:r>
    </w:p>
    <w:p>
      <w:pPr>
        <w:spacing w:after="0" w:line="53"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Tenant to approve Revised Cost Proposal and deliver Revised Cost Proposal to Landlord.</w:t>
      </w:r>
    </w:p>
    <w:p>
      <w:pPr>
        <w:sectPr>
          <w:pgSz w:w="11900" w:h="16838" w:orient="portrait"/>
          <w:cols w:equalWidth="0" w:num="2">
            <w:col w:w="5675" w:space="380"/>
            <w:col w:w="5340"/>
          </w:cols>
          <w:pgMar w:left="245" w:top="265" w:right="259" w:bottom="1440" w:gutter="0" w:footer="0" w:header="0"/>
          <w:type w:val="continuous"/>
        </w:sectPr>
      </w:pPr>
    </w:p>
    <w:bookmarkStart w:id="335" w:name="page336"/>
    <w:bookmarkEnd w:id="335"/>
    <w:p>
      <w:pPr>
        <w:jc w:val="center"/>
        <w:ind w:right="-2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C</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PACIFIC CORPORATE CENTER</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NOTICE OF LEASE TERM DATES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16510</wp:posOffset>
            </wp:positionV>
            <wp:extent cx="22453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245360" cy="825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166370</wp:posOffset>
            </wp:positionV>
            <wp:extent cx="22453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245360" cy="825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316230</wp:posOffset>
            </wp:positionV>
            <wp:extent cx="22453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245360" cy="825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466090</wp:posOffset>
            </wp:positionV>
            <wp:extent cx="22453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ectPr>
          <w:pgSz w:w="11900" w:h="16838" w:orient="portrait"/>
          <w:cols w:equalWidth="0" w:num="1">
            <w:col w:w="11200"/>
          </w:cols>
          <w:pgMar w:left="240" w:top="26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Office Lease dated</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floor(s)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color w:val="auto"/>
        </w:rPr>
        <w:t>between</w:t>
      </w:r>
      <w:r>
        <w:rPr>
          <w:sz w:val="20"/>
          <w:szCs w:val="20"/>
          <w:color w:val="auto"/>
        </w:rPr>
        <w:tab/>
      </w:r>
      <w:r>
        <w:rPr>
          <w:rFonts w:ascii="Arial" w:cs="Arial" w:eastAsia="Arial" w:hAnsi="Arial"/>
          <w:sz w:val="17"/>
          <w:szCs w:val="17"/>
          <w:color w:val="auto"/>
        </w:rPr>
        <w:t>, a</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color w:val="auto"/>
        </w:rPr>
        <w:t>of the office building located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hanging="567"/>
        <w:spacing w:after="0" w:line="289" w:lineRule="auto"/>
        <w:rPr>
          <w:sz w:val="20"/>
          <w:szCs w:val="20"/>
          <w:color w:val="auto"/>
        </w:rPr>
      </w:pPr>
      <w:r>
        <w:rPr>
          <w:rFonts w:ascii="Arial" w:cs="Arial" w:eastAsia="Arial" w:hAnsi="Arial"/>
          <w:sz w:val="17"/>
          <w:szCs w:val="17"/>
          <w:color w:val="auto"/>
        </w:rPr>
        <w:t>(“Landlord”), and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 a</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 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(“Tenant”) concerning Suite</w:t>
      </w:r>
    </w:p>
    <w:p>
      <w:pPr>
        <w:spacing w:after="0" w:line="444" w:lineRule="exact"/>
        <w:rPr>
          <w:sz w:val="20"/>
          <w:szCs w:val="20"/>
          <w:color w:val="auto"/>
        </w:rPr>
      </w:pPr>
    </w:p>
    <w:p>
      <w:pPr>
        <w:sectPr>
          <w:pgSz w:w="11900" w:h="16838" w:orient="portrait"/>
          <w:cols w:equalWidth="0" w:num="7">
            <w:col w:w="240" w:space="320"/>
            <w:col w:w="1660" w:space="400"/>
            <w:col w:w="40" w:space="440"/>
            <w:col w:w="2480" w:space="720"/>
            <w:col w:w="680" w:space="280"/>
            <w:col w:w="860" w:space="720"/>
            <w:col w:w="2360"/>
          </w:cols>
          <w:pgMar w:left="240" w:top="266" w:right="459" w:bottom="1440" w:gutter="0" w:footer="0" w:header="0"/>
          <w:type w:val="continuous"/>
        </w:sectPr>
      </w:pPr>
    </w:p>
    <w:p>
      <w:pPr>
        <w:spacing w:after="0"/>
        <w:rPr>
          <w:sz w:val="20"/>
          <w:szCs w:val="20"/>
          <w:color w:val="auto"/>
        </w:rPr>
      </w:pPr>
      <w:r>
        <w:rPr>
          <w:rFonts w:ascii="Arial" w:cs="Arial" w:eastAsia="Arial" w:hAnsi="Arial"/>
          <w:sz w:val="17"/>
          <w:szCs w:val="17"/>
          <w:color w:val="auto"/>
        </w:rPr>
        <w:t>Gentlemen: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accordance with the Office Lease (the “Lease”), we wish to advise you and/or confirm as follows:</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1.</w:t>
            </w:r>
          </w:p>
        </w:tc>
        <w:tc>
          <w:tcPr>
            <w:tcW w:w="4820" w:type="dxa"/>
            <w:vAlign w:val="bottom"/>
            <w:gridSpan w:val="2"/>
          </w:tcPr>
          <w:p>
            <w:pPr>
              <w:ind w:left="160"/>
              <w:spacing w:after="0"/>
              <w:rPr>
                <w:sz w:val="20"/>
                <w:szCs w:val="20"/>
                <w:color w:val="auto"/>
              </w:rPr>
            </w:pPr>
            <w:r>
              <w:rPr>
                <w:rFonts w:ascii="Arial" w:cs="Arial" w:eastAsia="Arial" w:hAnsi="Arial"/>
                <w:sz w:val="17"/>
                <w:szCs w:val="17"/>
                <w:color w:val="auto"/>
              </w:rPr>
              <w:t>The Lease Term shall commence on or has commenced on</w:t>
            </w:r>
          </w:p>
        </w:tc>
        <w:tc>
          <w:tcPr>
            <w:tcW w:w="1740" w:type="dxa"/>
            <w:vAlign w:val="bottom"/>
          </w:tcPr>
          <w:p>
            <w:pPr>
              <w:jc w:val="right"/>
              <w:ind w:right="393"/>
              <w:spacing w:after="0"/>
              <w:rPr>
                <w:sz w:val="20"/>
                <w:szCs w:val="20"/>
                <w:color w:val="auto"/>
              </w:rPr>
            </w:pPr>
            <w:r>
              <w:rPr>
                <w:rFonts w:ascii="Arial" w:cs="Arial" w:eastAsia="Arial" w:hAnsi="Arial"/>
                <w:sz w:val="17"/>
                <w:szCs w:val="17"/>
                <w:color w:val="auto"/>
              </w:rPr>
              <w:t>for a term of</w:t>
            </w:r>
          </w:p>
        </w:tc>
        <w:tc>
          <w:tcPr>
            <w:tcW w:w="1640" w:type="dxa"/>
            <w:vAlign w:val="bottom"/>
          </w:tcPr>
          <w:p>
            <w:pPr>
              <w:ind w:left="480"/>
              <w:spacing w:after="0"/>
              <w:rPr>
                <w:sz w:val="20"/>
                <w:szCs w:val="20"/>
                <w:color w:val="auto"/>
              </w:rPr>
            </w:pPr>
            <w:r>
              <w:rPr>
                <w:rFonts w:ascii="Arial" w:cs="Arial" w:eastAsia="Arial" w:hAnsi="Arial"/>
                <w:sz w:val="17"/>
                <w:szCs w:val="17"/>
                <w:color w:val="auto"/>
              </w:rPr>
              <w:t>ending on</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27"/>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2.</w:t>
            </w:r>
          </w:p>
        </w:tc>
        <w:tc>
          <w:tcPr>
            <w:tcW w:w="2720" w:type="dxa"/>
            <w:vAlign w:val="bottom"/>
          </w:tcPr>
          <w:p>
            <w:pPr>
              <w:ind w:left="160"/>
              <w:spacing w:after="0"/>
              <w:rPr>
                <w:sz w:val="20"/>
                <w:szCs w:val="20"/>
                <w:color w:val="auto"/>
              </w:rPr>
            </w:pPr>
            <w:r>
              <w:rPr>
                <w:rFonts w:ascii="Arial" w:cs="Arial" w:eastAsia="Arial" w:hAnsi="Arial"/>
                <w:sz w:val="17"/>
                <w:szCs w:val="17"/>
                <w:color w:val="auto"/>
              </w:rPr>
              <w:t>Rent commenced to accrue on</w:t>
            </w:r>
          </w:p>
        </w:tc>
        <w:tc>
          <w:tcPr>
            <w:tcW w:w="2100" w:type="dxa"/>
            <w:vAlign w:val="bottom"/>
          </w:tcPr>
          <w:p>
            <w:pPr>
              <w:ind w:left="460"/>
              <w:spacing w:after="0"/>
              <w:rPr>
                <w:sz w:val="20"/>
                <w:szCs w:val="20"/>
                <w:color w:val="auto"/>
              </w:rPr>
            </w:pPr>
            <w:r>
              <w:rPr>
                <w:rFonts w:ascii="Arial" w:cs="Arial" w:eastAsia="Arial" w:hAnsi="Arial"/>
                <w:sz w:val="17"/>
                <w:szCs w:val="17"/>
                <w:color w:val="auto"/>
              </w:rPr>
              <w:t>, in the amount of</w:t>
            </w:r>
          </w:p>
        </w:tc>
        <w:tc>
          <w:tcPr>
            <w:tcW w:w="1740" w:type="dxa"/>
            <w:vAlign w:val="bottom"/>
          </w:tcPr>
          <w:p>
            <w:pPr>
              <w:jc w:val="right"/>
              <w:ind w:right="1093"/>
              <w:spacing w:after="0"/>
              <w:rPr>
                <w:sz w:val="20"/>
                <w:szCs w:val="20"/>
                <w:color w:val="auto"/>
              </w:rPr>
            </w:pPr>
            <w:r>
              <w:rPr>
                <w:rFonts w:ascii="Arial" w:cs="Arial" w:eastAsia="Arial" w:hAnsi="Arial"/>
                <w:sz w:val="17"/>
                <w:szCs w:val="17"/>
                <w:color w:val="auto"/>
              </w:rPr>
              <w:t>.</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06" w:lineRule="exact"/>
        <w:rPr>
          <w:sz w:val="20"/>
          <w:szCs w:val="20"/>
          <w:color w:val="auto"/>
        </w:rPr>
      </w:pPr>
    </w:p>
    <w:p>
      <w:pPr>
        <w:ind w:left="900" w:hanging="450"/>
        <w:spacing w:after="0" w:line="289"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the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6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4.</w:t>
            </w:r>
          </w:p>
        </w:tc>
        <w:tc>
          <w:tcPr>
            <w:tcW w:w="3720" w:type="dxa"/>
            <w:vAlign w:val="bottom"/>
          </w:tcPr>
          <w:p>
            <w:pPr>
              <w:ind w:left="160"/>
              <w:spacing w:after="0"/>
              <w:rPr>
                <w:sz w:val="20"/>
                <w:szCs w:val="20"/>
                <w:color w:val="auto"/>
              </w:rPr>
            </w:pPr>
            <w:r>
              <w:rPr>
                <w:rFonts w:ascii="Arial" w:cs="Arial" w:eastAsia="Arial" w:hAnsi="Arial"/>
                <w:sz w:val="17"/>
                <w:szCs w:val="17"/>
                <w:color w:val="auto"/>
              </w:rPr>
              <w:t>Your rent checks should be made payable to</w:t>
            </w:r>
          </w:p>
        </w:tc>
        <w:tc>
          <w:tcPr>
            <w:tcW w:w="1440" w:type="dxa"/>
            <w:vAlign w:val="bottom"/>
          </w:tcPr>
          <w:p>
            <w:pPr>
              <w:ind w:left="480"/>
              <w:spacing w:after="0"/>
              <w:rPr>
                <w:sz w:val="20"/>
                <w:szCs w:val="20"/>
                <w:color w:val="auto"/>
              </w:rPr>
            </w:pPr>
            <w:r>
              <w:rPr>
                <w:rFonts w:ascii="Arial" w:cs="Arial" w:eastAsia="Arial" w:hAnsi="Arial"/>
                <w:sz w:val="17"/>
                <w:szCs w:val="17"/>
                <w:color w:val="auto"/>
              </w:rPr>
              <w:t>at</w:t>
            </w:r>
          </w:p>
        </w:tc>
        <w:tc>
          <w:tcPr>
            <w:tcW w:w="1700" w:type="dxa"/>
            <w:vAlign w:val="bottom"/>
          </w:tcPr>
          <w:p>
            <w:pPr>
              <w:jc w:val="right"/>
              <w:ind w:right="1493"/>
              <w:spacing w:after="0"/>
              <w:rPr>
                <w:sz w:val="20"/>
                <w:szCs w:val="20"/>
                <w:color w:val="auto"/>
              </w:rPr>
            </w:pPr>
            <w:r>
              <w:rPr>
                <w:rFonts w:ascii="Arial" w:cs="Arial" w:eastAsia="Arial" w:hAnsi="Arial"/>
                <w:sz w:val="17"/>
                <w:szCs w:val="17"/>
                <w:color w:val="auto"/>
              </w:rPr>
              <w:t>.</w:t>
            </w:r>
          </w:p>
        </w:tc>
      </w:tr>
      <w:tr>
        <w:trPr>
          <w:trHeight w:val="327"/>
        </w:trPr>
        <w:tc>
          <w:tcPr>
            <w:tcW w:w="280" w:type="dxa"/>
            <w:vAlign w:val="bottom"/>
          </w:tcPr>
          <w:p>
            <w:pPr>
              <w:jc w:val="right"/>
              <w:ind w:right="73"/>
              <w:spacing w:after="0"/>
              <w:rPr>
                <w:sz w:val="20"/>
                <w:szCs w:val="20"/>
                <w:color w:val="auto"/>
              </w:rPr>
            </w:pPr>
            <w:r>
              <w:rPr>
                <w:rFonts w:ascii="Arial" w:cs="Arial" w:eastAsia="Arial" w:hAnsi="Arial"/>
                <w:sz w:val="17"/>
                <w:szCs w:val="17"/>
                <w:color w:val="auto"/>
                <w:w w:val="70"/>
              </w:rPr>
              <w:t>5.</w:t>
            </w:r>
          </w:p>
        </w:tc>
        <w:tc>
          <w:tcPr>
            <w:tcW w:w="5160" w:type="dxa"/>
            <w:vAlign w:val="bottom"/>
            <w:gridSpan w:val="2"/>
          </w:tcPr>
          <w:p>
            <w:pPr>
              <w:ind w:left="160"/>
              <w:spacing w:after="0"/>
              <w:rPr>
                <w:sz w:val="20"/>
                <w:szCs w:val="20"/>
                <w:color w:val="auto"/>
              </w:rPr>
            </w:pPr>
            <w:r>
              <w:rPr>
                <w:rFonts w:ascii="Arial" w:cs="Arial" w:eastAsia="Arial" w:hAnsi="Arial"/>
                <w:sz w:val="17"/>
                <w:szCs w:val="17"/>
                <w:color w:val="auto"/>
                <w:w w:val="92"/>
              </w:rPr>
              <w:t>The exact number of rentable/usable square feet within the Premises is</w:t>
            </w:r>
          </w:p>
        </w:tc>
        <w:tc>
          <w:tcPr>
            <w:tcW w:w="1700" w:type="dxa"/>
            <w:vAlign w:val="bottom"/>
          </w:tcPr>
          <w:p>
            <w:pPr>
              <w:jc w:val="right"/>
              <w:spacing w:after="0"/>
              <w:rPr>
                <w:sz w:val="20"/>
                <w:szCs w:val="20"/>
                <w:color w:val="auto"/>
              </w:rPr>
            </w:pPr>
            <w:r>
              <w:rPr>
                <w:rFonts w:ascii="Arial" w:cs="Arial" w:eastAsia="Arial" w:hAnsi="Arial"/>
                <w:sz w:val="17"/>
                <w:szCs w:val="17"/>
                <w:color w:val="auto"/>
              </w:rPr>
              <w:t>square feet.</w:t>
            </w:r>
          </w:p>
        </w:tc>
      </w:tr>
    </w:tbl>
    <w:p>
      <w:pPr>
        <w:sectPr>
          <w:pgSz w:w="11900" w:h="16838" w:orient="portrait"/>
          <w:cols w:equalWidth="0" w:num="1">
            <w:col w:w="11200"/>
          </w:cols>
          <w:pgMar w:left="240" w:top="266" w:right="459" w:bottom="1440" w:gutter="0" w:footer="0" w:header="0"/>
          <w:type w:val="continuous"/>
        </w:sectPr>
      </w:pPr>
    </w:p>
    <w:bookmarkStart w:id="336" w:name="page337"/>
    <w:bookmarkEnd w:id="336"/>
    <w:p>
      <w:pPr>
        <w:ind w:left="460"/>
        <w:spacing w:after="0"/>
        <w:tabs>
          <w:tab w:leader="none" w:pos="880" w:val="left"/>
          <w:tab w:leader="none" w:pos="87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5.</w:t>
      </w:r>
      <w:r>
        <w:rPr>
          <w:sz w:val="20"/>
          <w:szCs w:val="20"/>
          <w:color w:val="auto"/>
        </w:rPr>
        <w:tab/>
      </w:r>
      <w:r>
        <w:rPr>
          <w:rFonts w:ascii="Arial" w:cs="Arial" w:eastAsia="Arial" w:hAnsi="Arial"/>
          <w:sz w:val="17"/>
          <w:szCs w:val="17"/>
          <w:color w:val="auto"/>
        </w:rPr>
        <w:t>Tenant’s Share as adjusted based upon the exact number of usable square feet within the Premises is</w:t>
      </w:r>
      <w:r>
        <w:rPr>
          <w:sz w:val="20"/>
          <w:szCs w:val="20"/>
          <w:color w:val="auto"/>
        </w:rPr>
        <w:tab/>
      </w:r>
      <w:r>
        <w:rPr>
          <w:rFonts w:ascii="Arial" w:cs="Arial" w:eastAsia="Arial" w:hAnsi="Arial"/>
          <w:sz w:val="15"/>
          <w:szCs w:val="15"/>
          <w:color w:val="auto"/>
        </w:rPr>
        <w:t>%.</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149860</wp:posOffset>
            </wp:positionV>
            <wp:extent cx="28936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16510</wp:posOffset>
            </wp:positionV>
            <wp:extent cx="268605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86050" cy="8255"/>
                    </a:xfrm>
                    <a:prstGeom prst="rect">
                      <a:avLst/>
                    </a:prstGeom>
                    <a:noFill/>
                  </pic:spPr>
                </pic:pic>
              </a:graphicData>
            </a:graphic>
          </wp:anchor>
        </w:drawing>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16510</wp:posOffset>
            </wp:positionV>
            <wp:extent cx="268605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86050" cy="8255"/>
                    </a:xfrm>
                    <a:prstGeom prst="rect">
                      <a:avLst/>
                    </a:prstGeom>
                    <a:noFill/>
                  </pic:spPr>
                </pic:pic>
              </a:graphicData>
            </a:graphic>
          </wp:anchor>
        </w:drawing>
      </w:r>
    </w:p>
    <w:p>
      <w:pPr>
        <w:spacing w:after="0" w:line="20"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-7620</wp:posOffset>
            </wp:positionV>
            <wp:extent cx="23272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27275"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60" w:type="dxa"/>
            <w:vAlign w:val="bottom"/>
          </w:tcPr>
          <w:p>
            <w:pPr>
              <w:spacing w:after="0"/>
              <w:rPr>
                <w:sz w:val="20"/>
                <w:szCs w:val="20"/>
                <w:color w:val="auto"/>
              </w:rPr>
            </w:pPr>
            <w:r>
              <w:rPr>
                <w:rFonts w:ascii="Arial" w:cs="Arial" w:eastAsia="Arial" w:hAnsi="Arial"/>
                <w:sz w:val="17"/>
                <w:szCs w:val="17"/>
                <w:color w:val="auto"/>
              </w:rPr>
              <w:t>Agreed to and Accepted as of</w:t>
            </w:r>
          </w:p>
        </w:tc>
        <w:tc>
          <w:tcPr>
            <w:tcW w:w="760" w:type="dxa"/>
            <w:vAlign w:val="bottom"/>
          </w:tcPr>
          <w:p>
            <w:pPr>
              <w:jc w:val="right"/>
              <w:spacing w:after="0"/>
              <w:rPr>
                <w:sz w:val="20"/>
                <w:szCs w:val="20"/>
                <w:color w:val="auto"/>
              </w:rPr>
            </w:pPr>
            <w:r>
              <w:rPr>
                <w:rFonts w:ascii="Arial" w:cs="Arial" w:eastAsia="Arial" w:hAnsi="Arial"/>
                <w:sz w:val="17"/>
                <w:szCs w:val="17"/>
                <w:color w:val="auto"/>
              </w:rPr>
              <w:t>, 20  .</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28936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16510</wp:posOffset>
            </wp:positionV>
            <wp:extent cx="26523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5239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16510</wp:posOffset>
            </wp:positionV>
            <wp:extent cx="26523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52395" cy="8255"/>
                    </a:xfrm>
                    <a:prstGeom prst="rect">
                      <a:avLst/>
                    </a:prstGeom>
                    <a:noFill/>
                  </pic:spPr>
                </pic:pic>
              </a:graphicData>
            </a:graphic>
          </wp:anchor>
        </w:drawing>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-7620</wp:posOffset>
            </wp:positionV>
            <wp:extent cx="218884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13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271" w:right="1440" w:bottom="1440" w:gutter="0" w:footer="0" w:header="0"/>
        </w:sectPr>
      </w:pPr>
    </w:p>
    <w:bookmarkStart w:id="337" w:name="page338"/>
    <w:bookmarkEnd w:id="337"/>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PACIFIC CORPORATE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CENTER RULES AND REGULATIONS</w:t>
      </w:r>
    </w:p>
    <w:p>
      <w:pPr>
        <w:spacing w:after="0" w:line="230"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7"/>
          <w:szCs w:val="17"/>
          <w:color w:val="auto"/>
        </w:rPr>
        <w:t>Tenant shall faithfully observe and comply with the following Rules and Regulations. Landlord shall not be responsible to Tenant for the nonperformance of any of said Rules and Regulations by or otherwise with respect to the acts or omissions of any other tenants or occupants of the Project. In the event of any conflict between the Rules and Regulations and the other provisions of this Lease, the latter shall control.</w:t>
      </w:r>
    </w:p>
    <w:p>
      <w:pPr>
        <w:spacing w:after="0" w:line="66" w:lineRule="exact"/>
        <w:rPr>
          <w:sz w:val="20"/>
          <w:szCs w:val="20"/>
          <w:color w:val="auto"/>
        </w:rPr>
      </w:pPr>
    </w:p>
    <w:p>
      <w:pPr>
        <w:ind w:right="60" w:firstLine="461"/>
        <w:spacing w:after="0" w:line="263" w:lineRule="auto"/>
        <w:tabs>
          <w:tab w:leader="none" w:pos="63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Tenant shall not alter any lock or install any new or additional locks or bolts on any doors or windows of the Premises without obtaining Landlord’s prior written consent.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76" w:lineRule="exact"/>
        <w:rPr>
          <w:rFonts w:ascii="Arial" w:cs="Arial" w:eastAsia="Arial" w:hAnsi="Arial"/>
          <w:sz w:val="17"/>
          <w:szCs w:val="17"/>
          <w:color w:val="auto"/>
        </w:rPr>
      </w:pPr>
    </w:p>
    <w:p>
      <w:pPr>
        <w:ind w:right="320" w:firstLine="461"/>
        <w:spacing w:after="0" w:line="289" w:lineRule="auto"/>
        <w:tabs>
          <w:tab w:leader="none" w:pos="63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All doors opening to public corridors shall be kept closed at all times except for normal ingress and egress to the Premises, other than the doors in the second (2nd floor) elevator lobby of the Premises which may remain open during Building Hours.</w:t>
      </w:r>
    </w:p>
    <w:p>
      <w:pPr>
        <w:spacing w:after="0" w:line="53" w:lineRule="exact"/>
        <w:rPr>
          <w:rFonts w:ascii="Arial" w:cs="Arial" w:eastAsia="Arial" w:hAnsi="Arial"/>
          <w:sz w:val="17"/>
          <w:szCs w:val="17"/>
          <w:color w:val="auto"/>
        </w:rPr>
      </w:pPr>
    </w:p>
    <w:p>
      <w:pPr>
        <w:ind w:right="80" w:firstLine="461"/>
        <w:spacing w:after="0" w:line="260" w:lineRule="auto"/>
        <w:tabs>
          <w:tab w:leader="none" w:pos="63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Landlord reserves the right to close and keep locked all entrance and exit doors of the Building during such hours as are customary for comparable buildings in the San Diego, California area. Tenant, its employees and agents must be 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Access to the Building may be refused unless the person seeking access has proper identification or has a previously arranged pass for access to the Building. Landlord will furnish passes to persons for whom Tenant requests same in writing. Tenant shall be responsible for all persons for whom Tenant requests passes and shall be liable to Landlord for all acts of such persons. The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ectPr>
          <w:pgSz w:w="11900" w:h="16838" w:orient="portrait"/>
          <w:cols w:equalWidth="0" w:num="1">
            <w:col w:w="11400"/>
          </w:cols>
          <w:pgMar w:left="240" w:top="265" w:right="259" w:bottom="1440" w:gutter="0" w:footer="0" w:header="0"/>
        </w:sectPr>
      </w:pPr>
    </w:p>
    <w:bookmarkStart w:id="338" w:name="page339"/>
    <w:bookmarkEnd w:id="338"/>
    <w:p>
      <w:pPr>
        <w:ind w:right="100" w:firstLine="461"/>
        <w:spacing w:after="0" w:line="283" w:lineRule="auto"/>
        <w:tabs>
          <w:tab w:leader="none" w:pos="631" w:val="left"/>
        </w:tabs>
        <w:numPr>
          <w:ilvl w:val="0"/>
          <w:numId w:val="1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 large furniture, freight or large equipment of any kind shall be brought into the Building without prior notice to Landlord. All such moving activity into or out of the Building shall be scheduled with Landlord and done only at such time and in such manner as Landlord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60" w:lineRule="exact"/>
        <w:rPr>
          <w:rFonts w:ascii="Arial" w:cs="Arial" w:eastAsia="Arial" w:hAnsi="Arial"/>
          <w:sz w:val="16"/>
          <w:szCs w:val="16"/>
          <w:color w:val="auto"/>
        </w:rPr>
      </w:pPr>
    </w:p>
    <w:p>
      <w:pPr>
        <w:ind w:right="320" w:firstLine="461"/>
        <w:spacing w:after="0" w:line="322" w:lineRule="auto"/>
        <w:tabs>
          <w:tab w:leader="none" w:pos="63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30" w:lineRule="exact"/>
        <w:rPr>
          <w:rFonts w:ascii="Arial" w:cs="Arial" w:eastAsia="Arial" w:hAnsi="Arial"/>
          <w:sz w:val="16"/>
          <w:szCs w:val="16"/>
          <w:color w:val="auto"/>
        </w:rPr>
      </w:pPr>
    </w:p>
    <w:p>
      <w:pPr>
        <w:jc w:val="both"/>
        <w:ind w:right="60" w:firstLine="461"/>
        <w:spacing w:after="0" w:line="273" w:lineRule="auto"/>
        <w:tabs>
          <w:tab w:leader="none" w:pos="63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No sign, advertisement, notice or handbill shall be exhibited, distributed, painted or affixed by Tenant on any part of the Premises or the Building without the prior written consent of the Landlord. Tenant shall not disturb, solicit, peddle, or canvass any occupant of the Project and shall cooperate with Landlord and its agents of Landlord to prevent same.</w:t>
      </w:r>
    </w:p>
    <w:p>
      <w:pPr>
        <w:spacing w:after="0" w:line="66" w:lineRule="exact"/>
        <w:rPr>
          <w:rFonts w:ascii="Arial" w:cs="Arial" w:eastAsia="Arial" w:hAnsi="Arial"/>
          <w:sz w:val="17"/>
          <w:szCs w:val="17"/>
          <w:color w:val="auto"/>
        </w:rPr>
      </w:pPr>
    </w:p>
    <w:p>
      <w:pPr>
        <w:ind w:right="120" w:firstLine="461"/>
        <w:spacing w:after="0" w:line="273" w:lineRule="auto"/>
        <w:tabs>
          <w:tab w:leader="none" w:pos="63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66" w:lineRule="exact"/>
        <w:rPr>
          <w:rFonts w:ascii="Arial" w:cs="Arial" w:eastAsia="Arial" w:hAnsi="Arial"/>
          <w:sz w:val="17"/>
          <w:szCs w:val="17"/>
          <w:color w:val="auto"/>
        </w:rPr>
      </w:pPr>
    </w:p>
    <w:p>
      <w:pPr>
        <w:ind w:firstLine="461"/>
        <w:spacing w:after="0" w:line="273" w:lineRule="auto"/>
        <w:tabs>
          <w:tab w:leader="none" w:pos="63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Tenant shall not overload the floor of the Premises, nor (except to the extent of hanging typical picture frames, white boards, interior signs, and the like, on the walls) mark, drive nails or screws, or drill into the partitions, woodwork or drywall or in any way deface the Premises or any part thereof without Landlord’s prior written consent.</w:t>
      </w:r>
    </w:p>
    <w:p>
      <w:pPr>
        <w:spacing w:after="0" w:line="66" w:lineRule="exact"/>
        <w:rPr>
          <w:rFonts w:ascii="Arial" w:cs="Arial" w:eastAsia="Arial" w:hAnsi="Arial"/>
          <w:sz w:val="17"/>
          <w:szCs w:val="17"/>
          <w:color w:val="auto"/>
        </w:rPr>
      </w:pPr>
    </w:p>
    <w:p>
      <w:pPr>
        <w:ind w:right="640" w:firstLine="461"/>
        <w:spacing w:after="0" w:line="322" w:lineRule="auto"/>
        <w:tabs>
          <w:tab w:leader="none" w:pos="63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Except for vending machines intended for the sole use of Tenant’s employees and invitees, no vending machine or machines other than fractional horsepower office machines shall be installed, maintained or operated upon the Premises without the written consent of Landlord.</w:t>
      </w:r>
    </w:p>
    <w:p>
      <w:pPr>
        <w:spacing w:after="0" w:line="30" w:lineRule="exact"/>
        <w:rPr>
          <w:rFonts w:ascii="Arial" w:cs="Arial" w:eastAsia="Arial" w:hAnsi="Arial"/>
          <w:sz w:val="16"/>
          <w:szCs w:val="16"/>
          <w:color w:val="auto"/>
        </w:rPr>
      </w:pPr>
    </w:p>
    <w:p>
      <w:pPr>
        <w:ind w:right="460" w:firstLine="461"/>
        <w:spacing w:after="0" w:line="273" w:lineRule="auto"/>
        <w:tabs>
          <w:tab w:leader="none" w:pos="71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Except as otherwise expressly permitted in the Lease, Tenant shall not use or keep in or on the Premises, the Building, or the Project any kerosene, gasoline, explosive material, corrosive material, material capable of emitting toxic fumes, or other inflammable or combustible fluid chemical, substitute or material. Tenant shall provide material safety data sheets for any Hazardous Material used or kept on the Premises.</w:t>
      </w:r>
    </w:p>
    <w:p>
      <w:pPr>
        <w:spacing w:after="0" w:line="66" w:lineRule="exact"/>
        <w:rPr>
          <w:rFonts w:ascii="Arial" w:cs="Arial" w:eastAsia="Arial" w:hAnsi="Arial"/>
          <w:sz w:val="17"/>
          <w:szCs w:val="17"/>
          <w:color w:val="auto"/>
        </w:rPr>
      </w:pPr>
    </w:p>
    <w:p>
      <w:pPr>
        <w:ind w:left="720" w:hanging="259"/>
        <w:spacing w:after="0"/>
        <w:tabs>
          <w:tab w:leader="none" w:pos="7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Tenant shall not without the prior written consent of Landlord use any method of heating or air conditioning other than that supplied by Landlord.</w:t>
      </w:r>
    </w:p>
    <w:p>
      <w:pPr>
        <w:spacing w:after="0" w:line="130" w:lineRule="exact"/>
        <w:rPr>
          <w:rFonts w:ascii="Arial" w:cs="Arial" w:eastAsia="Arial" w:hAnsi="Arial"/>
          <w:sz w:val="16"/>
          <w:szCs w:val="16"/>
          <w:color w:val="auto"/>
        </w:rPr>
      </w:pPr>
    </w:p>
    <w:p>
      <w:pPr>
        <w:ind w:right="100" w:firstLine="461"/>
        <w:spacing w:after="0" w:line="289" w:lineRule="auto"/>
        <w:tabs>
          <w:tab w:leader="none" w:pos="71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Tenant shall not use, keep or permit to be used or kept, any foul or noxious gas or substance in or on the Premises, or permit or allow the Premises to be occupied or used in a</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339" w:name="page340"/>
    <w:bookmarkEnd w:id="33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manner offensive or objectionable to Landlord or other occupants of the Project by reason of noise, odors, or vibrations, or interfere with other tenants or those having business therein, whether by the use of any musical instrument, radio, phonograph, or in any other way. Tenant shall not throw anything out of doors, windows or skylights or down passageways. Landlord hereby acknowledges and agrees that Tenant’s use of the Premises for the Permitted Use shall in no event be deemed “offensive or objectionable” in and of itself nor otherwise constitute a breach of this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73" w:lineRule="exact"/>
        <w:rPr>
          <w:sz w:val="20"/>
          <w:szCs w:val="20"/>
          <w:color w:val="auto"/>
        </w:rPr>
      </w:pPr>
    </w:p>
    <w:p>
      <w:pPr>
        <w:ind w:right="160" w:firstLine="461"/>
        <w:spacing w:after="0" w:line="273" w:lineRule="auto"/>
        <w:tabs>
          <w:tab w:leader="none" w:pos="71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Tenant shall not bring into or keep within the Project, the Building or the Premises any firearms, animals (except in connection with the rodent vivarium), birds, aquariums, or, except in areas designated by Landlord, bicycles or other vehicles. Throughout the Term of the Lease, Landlord shall provide for Tenant’s use a bike locker to adequately secure and store bicycles.</w:t>
      </w:r>
    </w:p>
    <w:p>
      <w:pPr>
        <w:spacing w:after="0" w:line="66" w:lineRule="exact"/>
        <w:rPr>
          <w:rFonts w:ascii="Arial" w:cs="Arial" w:eastAsia="Arial" w:hAnsi="Arial"/>
          <w:sz w:val="17"/>
          <w:szCs w:val="17"/>
          <w:color w:val="auto"/>
        </w:rPr>
      </w:pPr>
    </w:p>
    <w:p>
      <w:pPr>
        <w:ind w:right="40" w:firstLine="461"/>
        <w:spacing w:after="0" w:line="308" w:lineRule="auto"/>
        <w:tabs>
          <w:tab w:leader="none" w:pos="718" w:val="left"/>
        </w:tabs>
        <w:numPr>
          <w:ilvl w:val="0"/>
          <w:numId w:val="199"/>
        </w:numPr>
        <w:rPr>
          <w:rFonts w:ascii="Arial" w:cs="Arial" w:eastAsia="Arial" w:hAnsi="Arial"/>
          <w:sz w:val="15"/>
          <w:szCs w:val="15"/>
          <w:color w:val="auto"/>
        </w:rPr>
      </w:pPr>
      <w:r>
        <w:rPr>
          <w:rFonts w:ascii="Arial" w:cs="Arial" w:eastAsia="Arial" w:hAnsi="Arial"/>
          <w:sz w:val="15"/>
          <w:szCs w:val="15"/>
          <w:color w:val="auto"/>
        </w:rPr>
        <w:t>No cooking shall be done or permitted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for employees and visitors, provided that such use is in accordance with all applicable federal, state, county and city laws, codes, ordinances, miles and regulations. Landlord hereby acknowledges and agrees that Tenant’s use of the Premises for the Permitted Use shall not, in and of itself, be deemed “offensive, objectionable or immoral” nor otherwise constitute a breach of this Section 14.</w:t>
      </w:r>
    </w:p>
    <w:p>
      <w:pPr>
        <w:spacing w:after="0" w:line="45" w:lineRule="exact"/>
        <w:rPr>
          <w:rFonts w:ascii="Arial" w:cs="Arial" w:eastAsia="Arial" w:hAnsi="Arial"/>
          <w:sz w:val="15"/>
          <w:szCs w:val="15"/>
          <w:color w:val="auto"/>
        </w:rPr>
      </w:pPr>
    </w:p>
    <w:p>
      <w:pPr>
        <w:ind w:right="20" w:firstLine="461"/>
        <w:spacing w:after="0" w:line="285" w:lineRule="auto"/>
        <w:tabs>
          <w:tab w:leader="none" w:pos="71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w:t>
      </w:r>
    </w:p>
    <w:p>
      <w:pPr>
        <w:spacing w:after="0" w:line="59" w:lineRule="exact"/>
        <w:rPr>
          <w:rFonts w:ascii="Arial" w:cs="Arial" w:eastAsia="Arial" w:hAnsi="Arial"/>
          <w:sz w:val="16"/>
          <w:szCs w:val="16"/>
          <w:color w:val="auto"/>
        </w:rPr>
      </w:pPr>
    </w:p>
    <w:p>
      <w:pPr>
        <w:ind w:right="240" w:firstLine="461"/>
        <w:spacing w:after="0" w:line="289" w:lineRule="auto"/>
        <w:tabs>
          <w:tab w:leader="none" w:pos="71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Landlord reserves the right to exclude or expel from the Project any person who, in the judgment of Landlord, is intoxicated or under the influence of liquor or drugs, or who shall in any manner do any act in violation of any of these Rules and Regulations.</w:t>
      </w:r>
    </w:p>
    <w:p>
      <w:pPr>
        <w:spacing w:after="0" w:line="53" w:lineRule="exact"/>
        <w:rPr>
          <w:rFonts w:ascii="Arial" w:cs="Arial" w:eastAsia="Arial" w:hAnsi="Arial"/>
          <w:sz w:val="17"/>
          <w:szCs w:val="17"/>
          <w:color w:val="auto"/>
        </w:rPr>
      </w:pPr>
    </w:p>
    <w:p>
      <w:pPr>
        <w:ind w:right="40" w:firstLine="461"/>
        <w:spacing w:after="0" w:line="267" w:lineRule="auto"/>
        <w:tabs>
          <w:tab w:leader="none" w:pos="71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 Furthermore, in no event shall Tenant, its employees or agents smoke tobacco products within the Building or within seventy-five feet (75’) of any entrance into the Building or into any other Project building.</w:t>
      </w:r>
    </w:p>
    <w:p>
      <w:pPr>
        <w:spacing w:after="0" w:line="72" w:lineRule="exact"/>
        <w:rPr>
          <w:rFonts w:ascii="Arial" w:cs="Arial" w:eastAsia="Arial" w:hAnsi="Arial"/>
          <w:sz w:val="17"/>
          <w:szCs w:val="17"/>
          <w:color w:val="auto"/>
        </w:rPr>
      </w:pPr>
    </w:p>
    <w:p>
      <w:pPr>
        <w:ind w:right="360" w:firstLine="461"/>
        <w:spacing w:after="0" w:line="289" w:lineRule="auto"/>
        <w:tabs>
          <w:tab w:leader="none" w:pos="71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Tenant shall not waste electricity, water or air conditioning and agrees to cooperate fully with Landlord to ensure the most effective operation of the Building’s heating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1" w:right="259" w:bottom="1440" w:gutter="0" w:footer="0" w:header="0"/>
        </w:sectPr>
      </w:pPr>
    </w:p>
    <w:bookmarkStart w:id="340" w:name="page341"/>
    <w:bookmarkEnd w:id="3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air conditioning system, and shall refrain from attempting to adjust any controls. Tenant shall participate in recycling programs undertaken by Landlord.</w:t>
      </w:r>
    </w:p>
    <w:p>
      <w:pPr>
        <w:spacing w:after="0" w:line="130" w:lineRule="exact"/>
        <w:rPr>
          <w:sz w:val="20"/>
          <w:szCs w:val="20"/>
          <w:color w:val="auto"/>
        </w:rPr>
      </w:pPr>
    </w:p>
    <w:p>
      <w:pPr>
        <w:ind w:right="120" w:firstLine="461"/>
        <w:spacing w:after="0" w:line="261" w:lineRule="auto"/>
        <w:tabs>
          <w:tab w:leader="none" w:pos="71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San Diego, California without violation of any law or ordinance governing such disposal. All trash, garbage and refuse disposal shall be made only through entry-ways and elevators provided for such purposes at such times as Landlord shall designate. If the Premises is or becomes infested with vermin as a result of the use or any misuse or neglect of the Premises by Tenant, its agents, servants, employees, contractors, visitors or licensees, Tenant shall forthwith, at Tenant’s expense, cause the Premises to be exterminated from time to time to the satisfaction of Landlord and shall employ such licensed exterminators as shall be approved in. writing in advance by Landlord. Landlord shall, at Tenant’s sole cost and expense, provide one (1) dumpster (with locking capabilities) in the area of the Project designated by Landlord for the use of such dumpsters.</w:t>
      </w:r>
    </w:p>
    <w:p>
      <w:pPr>
        <w:spacing w:after="0" w:line="80" w:lineRule="exact"/>
        <w:rPr>
          <w:rFonts w:ascii="Arial" w:cs="Arial" w:eastAsia="Arial" w:hAnsi="Arial"/>
          <w:sz w:val="17"/>
          <w:szCs w:val="17"/>
          <w:color w:val="auto"/>
        </w:rPr>
      </w:pPr>
    </w:p>
    <w:p>
      <w:pPr>
        <w:ind w:left="720" w:hanging="259"/>
        <w:spacing w:after="0"/>
        <w:tabs>
          <w:tab w:leader="none" w:pos="7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governmental agency.</w:t>
      </w:r>
    </w:p>
    <w:p>
      <w:pPr>
        <w:spacing w:after="0" w:line="130" w:lineRule="exact"/>
        <w:rPr>
          <w:rFonts w:ascii="Arial" w:cs="Arial" w:eastAsia="Arial" w:hAnsi="Arial"/>
          <w:sz w:val="16"/>
          <w:szCs w:val="16"/>
          <w:color w:val="auto"/>
        </w:rPr>
      </w:pPr>
    </w:p>
    <w:p>
      <w:pPr>
        <w:ind w:right="20" w:firstLine="461"/>
        <w:spacing w:after="0" w:line="279" w:lineRule="auto"/>
        <w:tabs>
          <w:tab w:leader="none" w:pos="71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All electrical ceiling fixtures hung in the Premises or spaces along the perimeter of the Building must be fluorescent and/or of a quality, type, design and a warm white bulb color approved in advance in writing by Landlord. Neither the interior nor exterior of any windows shall be coated or otherwise sunscreened without the prior written consent of Landlord. Tenant shall be responsible for any damage to the window film on the exterior windows of the Premises and shall promptly repair any such damage at Tenant’s sole cost and expense. Tenant shall keep its window coverings closed during any period of the day when the sun is shining directly on the windows of the Premises. Prior to leaving the Premises for the day, Tenant shall draw or lower window coverings and extinguish all lights. Tenant shall abide by Landlord’s regulations concerning the opening and closing of window coverings which are attached to the windows in the Premises, if any, which have a view of any interior portion of the Building or Building Common Areas.</w:t>
      </w:r>
    </w:p>
    <w:p>
      <w:pPr>
        <w:spacing w:after="0" w:line="65" w:lineRule="exact"/>
        <w:rPr>
          <w:rFonts w:ascii="Arial" w:cs="Arial" w:eastAsia="Arial" w:hAnsi="Arial"/>
          <w:sz w:val="16"/>
          <w:szCs w:val="16"/>
          <w:color w:val="auto"/>
        </w:rPr>
      </w:pPr>
    </w:p>
    <w:p>
      <w:pPr>
        <w:ind w:firstLine="461"/>
        <w:spacing w:after="0" w:line="289" w:lineRule="auto"/>
        <w:tabs>
          <w:tab w:leader="none" w:pos="71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53" w:lineRule="exact"/>
        <w:rPr>
          <w:rFonts w:ascii="Arial" w:cs="Arial" w:eastAsia="Arial" w:hAnsi="Arial"/>
          <w:sz w:val="17"/>
          <w:szCs w:val="17"/>
          <w:color w:val="auto"/>
        </w:rPr>
      </w:pPr>
    </w:p>
    <w:p>
      <w:pPr>
        <w:ind w:left="720" w:hanging="259"/>
        <w:spacing w:after="0"/>
        <w:tabs>
          <w:tab w:leader="none" w:pos="7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Tenant must comply with requests by the Landlord concerning the informing of their employees of items of importance to the Landlord.</w:t>
      </w:r>
    </w:p>
    <w:p>
      <w:pPr>
        <w:spacing w:after="0" w:line="112" w:lineRule="exact"/>
        <w:rPr>
          <w:rFonts w:ascii="Arial" w:cs="Arial" w:eastAsia="Arial" w:hAnsi="Arial"/>
          <w:sz w:val="17"/>
          <w:szCs w:val="17"/>
          <w:color w:val="auto"/>
        </w:rPr>
      </w:pPr>
    </w:p>
    <w:p>
      <w:pPr>
        <w:jc w:val="both"/>
        <w:ind w:firstLine="461"/>
        <w:spacing w:after="0" w:line="276" w:lineRule="auto"/>
        <w:tabs>
          <w:tab w:leader="none" w:pos="71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Tenant must comply with applicable “</w:t>
      </w:r>
      <w:r>
        <w:rPr>
          <w:rFonts w:ascii="Arial" w:cs="Arial" w:eastAsia="Arial" w:hAnsi="Arial"/>
          <w:sz w:val="17"/>
          <w:szCs w:val="17"/>
          <w:b w:val="1"/>
          <w:bCs w:val="1"/>
          <w:color w:val="auto"/>
        </w:rPr>
        <w:t>NO-SMOKING</w:t>
      </w:r>
      <w:r>
        <w:rPr>
          <w:rFonts w:ascii="Arial" w:cs="Arial" w:eastAsia="Arial" w:hAnsi="Arial"/>
          <w:sz w:val="17"/>
          <w:szCs w:val="17"/>
          <w:color w:val="auto"/>
        </w:rPr>
        <w:t>” ordinances and all related, similar or successor ordinances, rules, regulations or codes. If Tenant is required under the ordinance to adopt a written smoking policy, a copy of said policy shall be on file in the office of the Building. In addition, no smoking of any substance shall be permitted within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1" w:right="259" w:bottom="1440" w:gutter="0" w:footer="0" w:header="0"/>
        </w:sectPr>
      </w:pPr>
    </w:p>
    <w:bookmarkStart w:id="341" w:name="page342"/>
    <w:bookmarkEnd w:id="341"/>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Project except in specifically designated outdoor areas. Within such designated outdoor areas, all remnants of consumed cigarettes and related paraphernalia shall be deposited in ash trays and/or waste receptacles. No cigarettes shall be extinguished and/or left on the ground or any other surface of the Project. Cigarettes shall be extinguished only in ashtrays. Furthermore, in no event shall Tenant, its employees or agents smoke tobacco products or other substances within any interior areas of the Project or within seventy-five feet (75’) of any entrance into the Building or into any other Project building.</w:t>
      </w:r>
    </w:p>
    <w:p>
      <w:pPr>
        <w:spacing w:after="0" w:line="57" w:lineRule="exact"/>
        <w:rPr>
          <w:sz w:val="20"/>
          <w:szCs w:val="20"/>
          <w:color w:val="auto"/>
        </w:rPr>
      </w:pPr>
    </w:p>
    <w:p>
      <w:pPr>
        <w:ind w:firstLine="461"/>
        <w:spacing w:after="0" w:line="281" w:lineRule="auto"/>
        <w:tabs>
          <w:tab w:leader="none" w:pos="71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63" w:lineRule="exact"/>
        <w:rPr>
          <w:rFonts w:ascii="Arial" w:cs="Arial" w:eastAsia="Arial" w:hAnsi="Arial"/>
          <w:sz w:val="16"/>
          <w:szCs w:val="16"/>
          <w:color w:val="auto"/>
        </w:rPr>
      </w:pPr>
    </w:p>
    <w:p>
      <w:pPr>
        <w:ind w:right="380" w:firstLine="461"/>
        <w:spacing w:after="0" w:line="289" w:lineRule="auto"/>
        <w:tabs>
          <w:tab w:leader="none" w:pos="71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All office equipment of any electrical or mechanical nature shall be placed by Tenant in the Premises in settings approved by Landlord, to absorb or prevent any vibration, noise and annoyance.</w:t>
      </w:r>
    </w:p>
    <w:p>
      <w:pPr>
        <w:spacing w:after="0" w:line="53" w:lineRule="exact"/>
        <w:rPr>
          <w:rFonts w:ascii="Arial" w:cs="Arial" w:eastAsia="Arial" w:hAnsi="Arial"/>
          <w:sz w:val="17"/>
          <w:szCs w:val="17"/>
          <w:color w:val="auto"/>
        </w:rPr>
      </w:pPr>
    </w:p>
    <w:p>
      <w:pPr>
        <w:ind w:left="720" w:hanging="259"/>
        <w:spacing w:after="0"/>
        <w:tabs>
          <w:tab w:leader="none" w:pos="7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Tenant shall not use in any space or in the public halls of the Building, any hand trucks except those equipped with rubber tires and rubber side guards.</w:t>
      </w:r>
    </w:p>
    <w:p>
      <w:pPr>
        <w:spacing w:after="0" w:line="130" w:lineRule="exact"/>
        <w:rPr>
          <w:rFonts w:ascii="Arial" w:cs="Arial" w:eastAsia="Arial" w:hAnsi="Arial"/>
          <w:sz w:val="16"/>
          <w:szCs w:val="16"/>
          <w:color w:val="auto"/>
        </w:rPr>
      </w:pPr>
    </w:p>
    <w:p>
      <w:pPr>
        <w:ind w:left="720" w:hanging="259"/>
        <w:spacing w:after="0"/>
        <w:tabs>
          <w:tab w:leader="none" w:pos="7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No auction, liquidation, fire sale, going-out-of-business or bankruptcy sale shall be conducted in the Premises without the prior written consent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Landlord.</w:t>
      </w:r>
    </w:p>
    <w:p>
      <w:pPr>
        <w:spacing w:after="0" w:line="106" w:lineRule="exact"/>
        <w:rPr>
          <w:rFonts w:ascii="Arial" w:cs="Arial" w:eastAsia="Arial" w:hAnsi="Arial"/>
          <w:sz w:val="16"/>
          <w:szCs w:val="16"/>
          <w:color w:val="auto"/>
        </w:rPr>
      </w:pPr>
    </w:p>
    <w:p>
      <w:pPr>
        <w:ind w:left="720" w:hanging="259"/>
        <w:spacing w:after="0"/>
        <w:tabs>
          <w:tab w:leader="none" w:pos="72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 tenant shall use or permit the use of any portion of the Premises for living quarters, sleeping apartments or lodging rooms.</w:t>
      </w:r>
    </w:p>
    <w:p>
      <w:pPr>
        <w:spacing w:after="0" w:line="118" w:lineRule="exact"/>
        <w:rPr>
          <w:rFonts w:ascii="Arial" w:cs="Arial" w:eastAsia="Arial" w:hAnsi="Arial"/>
          <w:sz w:val="17"/>
          <w:szCs w:val="17"/>
          <w:color w:val="auto"/>
        </w:rPr>
      </w:pPr>
    </w:p>
    <w:p>
      <w:pPr>
        <w:ind w:right="220" w:firstLine="461"/>
        <w:spacing w:after="0" w:line="322" w:lineRule="auto"/>
        <w:tabs>
          <w:tab w:leader="none" w:pos="71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Tenant shall install and maintain, at Tenant’s sole cost and expense, an adequate, visibly marked and properly operational fire extinguisher next to any duplicating or photocopying machines or similar heat producing equipment, which may or may not contain combustible material, in the Premises.</w:t>
      </w:r>
    </w:p>
    <w:p>
      <w:pPr>
        <w:spacing w:after="0" w:line="135"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 xml:space="preserve">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Common Areas and the Project, and for the preservation of good order therein, as well as for the convenience of other occupants and tenants therein. Landlord agrees that it will not unreasonably modify, amend, change or enforce these Rules and Regulations in any unreasonable manner or in a manner which will unreasonably and materially interferes with the Permitted Use pursuant to the terms and conditions of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1" w:right="239" w:bottom="1440" w:gutter="0" w:footer="0" w:header="0"/>
        </w:sectPr>
      </w:pPr>
    </w:p>
    <w:bookmarkStart w:id="342" w:name="page343"/>
    <w:bookmarkEnd w:id="342"/>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this Lease. Landlord shall provide Tenant with not less than thirty (30) days prior written notice of any modification, amendment or change to these Rules and Regulations. Notwithstanding the foregoing,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40" w:top="271" w:right="29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60" w:type="dxa"/>
            <w:vAlign w:val="bottom"/>
            <w:gridSpan w:val="2"/>
          </w:tcPr>
          <w:p>
            <w:pPr>
              <w:jc w:val="center"/>
              <w:ind w:right="1860"/>
              <w:spacing w:after="0"/>
              <w:rPr>
                <w:sz w:val="20"/>
                <w:szCs w:val="20"/>
                <w:color w:val="auto"/>
              </w:rPr>
            </w:pPr>
            <w:r>
              <w:rPr>
                <w:rFonts w:ascii="Arial" w:cs="Arial" w:eastAsia="Arial" w:hAnsi="Arial"/>
                <w:sz w:val="17"/>
                <w:szCs w:val="17"/>
                <w:b w:val="1"/>
                <w:bCs w:val="1"/>
                <w:color w:val="auto"/>
              </w:rPr>
              <w:t>EXHIBIT E</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
        </w:trPr>
        <w:tc>
          <w:tcPr>
            <w:tcW w:w="4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8"/>
        </w:trPr>
        <w:tc>
          <w:tcPr>
            <w:tcW w:w="4340" w:type="dxa"/>
            <w:vAlign w:val="bottom"/>
          </w:tcPr>
          <w:p>
            <w:pPr>
              <w:spacing w:after="0"/>
              <w:rPr>
                <w:sz w:val="24"/>
                <w:szCs w:val="24"/>
                <w:color w:val="auto"/>
              </w:rPr>
            </w:pPr>
          </w:p>
        </w:tc>
        <w:tc>
          <w:tcPr>
            <w:tcW w:w="3680" w:type="dxa"/>
            <w:vAlign w:val="bottom"/>
            <w:gridSpan w:val="3"/>
          </w:tcPr>
          <w:p>
            <w:pPr>
              <w:jc w:val="center"/>
              <w:ind w:right="940"/>
              <w:spacing w:after="0"/>
              <w:rPr>
                <w:sz w:val="20"/>
                <w:szCs w:val="20"/>
                <w:color w:val="auto"/>
              </w:rPr>
            </w:pPr>
            <w:r>
              <w:rPr>
                <w:rFonts w:ascii="Arial" w:cs="Arial" w:eastAsia="Arial" w:hAnsi="Arial"/>
                <w:sz w:val="17"/>
                <w:szCs w:val="17"/>
                <w:b w:val="1"/>
                <w:bCs w:val="1"/>
                <w:color w:val="auto"/>
              </w:rPr>
              <w:t>PACIFIC CORPORATE CENTER</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9"/>
        </w:trPr>
        <w:tc>
          <w:tcPr>
            <w:tcW w:w="8020" w:type="dxa"/>
            <w:vAlign w:val="bottom"/>
            <w:gridSpan w:val="4"/>
          </w:tcPr>
          <w:p>
            <w:pPr>
              <w:jc w:val="center"/>
              <w:ind w:left="3313"/>
              <w:spacing w:after="0"/>
              <w:rPr>
                <w:sz w:val="20"/>
                <w:szCs w:val="20"/>
                <w:color w:val="auto"/>
              </w:rPr>
            </w:pPr>
            <w:r>
              <w:rPr>
                <w:rFonts w:ascii="Arial" w:cs="Arial" w:eastAsia="Arial" w:hAnsi="Arial"/>
                <w:sz w:val="17"/>
                <w:szCs w:val="17"/>
                <w:b w:val="1"/>
                <w:bCs w:val="1"/>
                <w:color w:val="auto"/>
              </w:rPr>
              <w:t>FORM OF TENANT’S ESTOPPEL CERTIFICATE</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7"/>
        </w:trPr>
        <w:tc>
          <w:tcPr>
            <w:tcW w:w="8020" w:type="dxa"/>
            <w:vAlign w:val="bottom"/>
            <w:gridSpan w:val="4"/>
          </w:tcPr>
          <w:p>
            <w:pPr>
              <w:ind w:left="460"/>
              <w:spacing w:after="0"/>
              <w:rPr>
                <w:sz w:val="20"/>
                <w:szCs w:val="20"/>
                <w:color w:val="auto"/>
              </w:rPr>
            </w:pPr>
            <w:r>
              <w:rPr>
                <w:rFonts w:ascii="Arial" w:cs="Arial" w:eastAsia="Arial" w:hAnsi="Arial"/>
                <w:sz w:val="17"/>
                <w:szCs w:val="17"/>
                <w:color w:val="auto"/>
                <w:w w:val="98"/>
              </w:rPr>
              <w:t>The undersigned as Tenant under that certain Office Lease (the “Lease”) made and entered into as of</w:t>
            </w:r>
          </w:p>
        </w:tc>
        <w:tc>
          <w:tcPr>
            <w:tcW w:w="460" w:type="dxa"/>
            <w:vAlign w:val="bottom"/>
          </w:tcPr>
          <w:p>
            <w:pPr>
              <w:jc w:val="right"/>
              <w:spacing w:after="0"/>
              <w:rPr>
                <w:sz w:val="20"/>
                <w:szCs w:val="20"/>
                <w:color w:val="auto"/>
              </w:rPr>
            </w:pPr>
            <w:r>
              <w:rPr>
                <w:rFonts w:ascii="Arial" w:cs="Arial" w:eastAsia="Arial" w:hAnsi="Arial"/>
                <w:sz w:val="17"/>
                <w:szCs w:val="17"/>
                <w:color w:val="auto"/>
                <w:w w:val="95"/>
              </w:rPr>
              <w:t>, 201</w:t>
            </w:r>
          </w:p>
        </w:tc>
        <w:tc>
          <w:tcPr>
            <w:tcW w:w="14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by and between</w:t>
            </w:r>
          </w:p>
        </w:tc>
        <w:tc>
          <w:tcPr>
            <w:tcW w:w="620" w:type="dxa"/>
            <w:vAlign w:val="bottom"/>
          </w:tcPr>
          <w:p>
            <w:pPr>
              <w:jc w:val="right"/>
              <w:ind w:right="33"/>
              <w:spacing w:after="0"/>
              <w:rPr>
                <w:sz w:val="20"/>
                <w:szCs w:val="20"/>
                <w:color w:val="auto"/>
              </w:rPr>
            </w:pPr>
            <w:r>
              <w:rPr>
                <w:rFonts w:ascii="Arial" w:cs="Arial" w:eastAsia="Arial" w:hAnsi="Arial"/>
                <w:sz w:val="17"/>
                <w:szCs w:val="17"/>
                <w:color w:val="auto"/>
              </w:rPr>
              <w:t>as</w:t>
            </w:r>
          </w:p>
        </w:tc>
      </w:tr>
      <w:tr>
        <w:trPr>
          <w:trHeight w:val="210"/>
        </w:trPr>
        <w:tc>
          <w:tcPr>
            <w:tcW w:w="4340" w:type="dxa"/>
            <w:vAlign w:val="bottom"/>
          </w:tcPr>
          <w:p>
            <w:pPr>
              <w:spacing w:after="0"/>
              <w:rPr>
                <w:sz w:val="20"/>
                <w:szCs w:val="20"/>
                <w:color w:val="auto"/>
              </w:rPr>
            </w:pPr>
            <w:r>
              <w:rPr>
                <w:rFonts w:ascii="Arial" w:cs="Arial" w:eastAsia="Arial" w:hAnsi="Arial"/>
                <w:sz w:val="17"/>
                <w:szCs w:val="17"/>
                <w:color w:val="auto"/>
                <w:w w:val="92"/>
              </w:rPr>
              <w:t>Landlord, and the undersigned as Tenant, for Premises on the</w:t>
            </w:r>
          </w:p>
        </w:tc>
        <w:tc>
          <w:tcPr>
            <w:tcW w:w="3680" w:type="dxa"/>
            <w:vAlign w:val="bottom"/>
            <w:gridSpan w:val="3"/>
          </w:tcPr>
          <w:p>
            <w:pPr>
              <w:ind w:left="900"/>
              <w:spacing w:after="0"/>
              <w:rPr>
                <w:sz w:val="20"/>
                <w:szCs w:val="20"/>
                <w:color w:val="auto"/>
              </w:rPr>
            </w:pPr>
            <w:r>
              <w:rPr>
                <w:rFonts w:ascii="Arial" w:cs="Arial" w:eastAsia="Arial" w:hAnsi="Arial"/>
                <w:sz w:val="17"/>
                <w:szCs w:val="17"/>
                <w:color w:val="auto"/>
                <w:w w:val="96"/>
              </w:rPr>
              <w:t>floor(s) of the office building located at</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700" w:type="dxa"/>
            <w:vAlign w:val="bottom"/>
          </w:tcPr>
          <w:p>
            <w:pPr>
              <w:ind w:left="560"/>
              <w:spacing w:after="0"/>
              <w:rPr>
                <w:sz w:val="20"/>
                <w:szCs w:val="20"/>
                <w:color w:val="auto"/>
              </w:rPr>
            </w:pPr>
            <w:r>
              <w:rPr>
                <w:rFonts w:ascii="Arial" w:cs="Arial" w:eastAsia="Arial" w:hAnsi="Arial"/>
                <w:sz w:val="17"/>
                <w:szCs w:val="17"/>
                <w:color w:val="auto"/>
              </w:rPr>
              <w:t>, California</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340" w:type="dxa"/>
            <w:vAlign w:val="bottom"/>
          </w:tcPr>
          <w:p>
            <w:pPr>
              <w:spacing w:after="0"/>
              <w:rPr>
                <w:sz w:val="20"/>
                <w:szCs w:val="20"/>
                <w:color w:val="auto"/>
              </w:rPr>
            </w:pPr>
            <w:r>
              <w:rPr>
                <w:rFonts w:ascii="Arial" w:cs="Arial" w:eastAsia="Arial" w:hAnsi="Arial"/>
                <w:sz w:val="17"/>
                <w:szCs w:val="17"/>
                <w:color w:val="auto"/>
              </w:rPr>
              <w:t>certifies as follows:</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firstLine="461"/>
        <w:spacing w:after="0" w:line="289" w:lineRule="auto"/>
        <w:tabs>
          <w:tab w:leader="none" w:pos="63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a true and correct copy of the Lease and all amendments and modifications thereto. The documents contained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represent the entire agreement between the parties as to the Premises.</w:t>
      </w:r>
    </w:p>
    <w:p>
      <w:pPr>
        <w:spacing w:after="0" w:line="5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6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7760" w:type="dxa"/>
            <w:vAlign w:val="bottom"/>
            <w:gridSpan w:val="2"/>
          </w:tcPr>
          <w:p>
            <w:pPr>
              <w:ind w:left="20"/>
              <w:spacing w:after="0"/>
              <w:rPr>
                <w:sz w:val="20"/>
                <w:szCs w:val="20"/>
                <w:color w:val="auto"/>
              </w:rPr>
            </w:pPr>
            <w:r>
              <w:rPr>
                <w:rFonts w:ascii="Arial" w:cs="Arial" w:eastAsia="Arial" w:hAnsi="Arial"/>
                <w:sz w:val="17"/>
                <w:szCs w:val="17"/>
                <w:color w:val="auto"/>
                <w:w w:val="96"/>
              </w:rPr>
              <w:t>The undersigned currently occupies the Premises described in the Lease, the Lease Term commenced on</w:t>
            </w:r>
          </w:p>
        </w:tc>
        <w:tc>
          <w:tcPr>
            <w:tcW w:w="2700" w:type="dxa"/>
            <w:vAlign w:val="bottom"/>
          </w:tcPr>
          <w:p>
            <w:pPr>
              <w:ind w:left="460"/>
              <w:spacing w:after="0"/>
              <w:rPr>
                <w:sz w:val="20"/>
                <w:szCs w:val="20"/>
                <w:color w:val="auto"/>
              </w:rPr>
            </w:pPr>
            <w:r>
              <w:rPr>
                <w:rFonts w:ascii="Arial" w:cs="Arial" w:eastAsia="Arial" w:hAnsi="Arial"/>
                <w:sz w:val="17"/>
                <w:szCs w:val="17"/>
                <w:color w:val="auto"/>
                <w:w w:val="90"/>
              </w:rPr>
              <w:t>, and the Lease Term expires on</w:t>
            </w:r>
          </w:p>
        </w:tc>
      </w:tr>
      <w:tr>
        <w:trPr>
          <w:trHeight w:val="222"/>
        </w:trPr>
        <w:tc>
          <w:tcPr>
            <w:tcW w:w="160" w:type="dxa"/>
            <w:vAlign w:val="bottom"/>
          </w:tcPr>
          <w:p>
            <w:pPr>
              <w:spacing w:after="0"/>
              <w:rPr>
                <w:sz w:val="19"/>
                <w:szCs w:val="19"/>
                <w:color w:val="auto"/>
              </w:rPr>
            </w:pPr>
          </w:p>
        </w:tc>
        <w:tc>
          <w:tcPr>
            <w:tcW w:w="10460" w:type="dxa"/>
            <w:vAlign w:val="bottom"/>
            <w:gridSpan w:val="3"/>
          </w:tcPr>
          <w:p>
            <w:pPr>
              <w:ind w:left="260"/>
              <w:spacing w:after="0"/>
              <w:rPr>
                <w:sz w:val="20"/>
                <w:szCs w:val="20"/>
                <w:color w:val="auto"/>
              </w:rPr>
            </w:pPr>
            <w:r>
              <w:rPr>
                <w:rFonts w:ascii="Arial" w:cs="Arial" w:eastAsia="Arial" w:hAnsi="Arial"/>
                <w:sz w:val="17"/>
                <w:szCs w:val="17"/>
                <w:color w:val="auto"/>
                <w:w w:val="92"/>
              </w:rPr>
              <w:t>, and the undersigned has no option to terminate or cancel the Lease or to purchase all or any part of the Premises, the Building and/or the Project.</w:t>
            </w:r>
          </w:p>
        </w:tc>
      </w:tr>
      <w:tr>
        <w:trPr>
          <w:trHeight w:val="314"/>
        </w:trPr>
        <w:tc>
          <w:tcPr>
            <w:tcW w:w="16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2560" w:type="dxa"/>
            <w:vAlign w:val="bottom"/>
          </w:tcPr>
          <w:p>
            <w:pPr>
              <w:ind w:left="20"/>
              <w:spacing w:after="0"/>
              <w:rPr>
                <w:sz w:val="20"/>
                <w:szCs w:val="20"/>
                <w:color w:val="auto"/>
              </w:rPr>
            </w:pPr>
            <w:r>
              <w:rPr>
                <w:rFonts w:ascii="Arial" w:cs="Arial" w:eastAsia="Arial" w:hAnsi="Arial"/>
                <w:sz w:val="17"/>
                <w:szCs w:val="17"/>
                <w:color w:val="auto"/>
              </w:rPr>
              <w:t>Base Rent became payable on</w:t>
            </w:r>
          </w:p>
        </w:tc>
        <w:tc>
          <w:tcPr>
            <w:tcW w:w="5200" w:type="dxa"/>
            <w:vAlign w:val="bottom"/>
          </w:tcPr>
          <w:p>
            <w:pPr>
              <w:jc w:val="right"/>
              <w:ind w:right="4613"/>
              <w:spacing w:after="0"/>
              <w:rPr>
                <w:sz w:val="20"/>
                <w:szCs w:val="20"/>
                <w:color w:val="auto"/>
              </w:rPr>
            </w:pPr>
            <w:r>
              <w:rPr>
                <w:rFonts w:ascii="Arial" w:cs="Arial" w:eastAsia="Arial" w:hAnsi="Arial"/>
                <w:sz w:val="17"/>
                <w:szCs w:val="17"/>
                <w:color w:val="auto"/>
              </w:rPr>
              <w:t>.</w:t>
            </w:r>
          </w:p>
        </w:tc>
        <w:tc>
          <w:tcPr>
            <w:tcW w:w="2700" w:type="dxa"/>
            <w:vAlign w:val="bottom"/>
          </w:tcPr>
          <w:p>
            <w:pPr>
              <w:spacing w:after="0"/>
              <w:rPr>
                <w:sz w:val="24"/>
                <w:szCs w:val="24"/>
                <w:color w:val="auto"/>
              </w:rPr>
            </w:pPr>
          </w:p>
        </w:tc>
      </w:tr>
    </w:tbl>
    <w:p>
      <w:pPr>
        <w:spacing w:after="0" w:line="93" w:lineRule="exact"/>
        <w:rPr>
          <w:sz w:val="20"/>
          <w:szCs w:val="20"/>
          <w:color w:val="auto"/>
        </w:rPr>
      </w:pPr>
    </w:p>
    <w:p>
      <w:pPr>
        <w:ind w:left="640" w:hanging="179"/>
        <w:spacing w:after="0"/>
        <w:tabs>
          <w:tab w:leader="none" w:pos="6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Lease is in full force and effect and has not been modified, supplemented or amended in any way except as provided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right="400" w:firstLine="461"/>
        <w:spacing w:after="0" w:line="289" w:lineRule="auto"/>
        <w:tabs>
          <w:tab w:leader="none" w:pos="63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Tenant has not transferred, assigned, or sublet any portion of the Premises nor entered into any license or concession agreements with respect thereto except as follows:</w:t>
      </w:r>
    </w:p>
    <w:p>
      <w:pPr>
        <w:spacing w:after="0" w:line="53" w:lineRule="exact"/>
        <w:rPr>
          <w:rFonts w:ascii="Arial" w:cs="Arial" w:eastAsia="Arial" w:hAnsi="Arial"/>
          <w:sz w:val="17"/>
          <w:szCs w:val="17"/>
          <w:color w:val="auto"/>
        </w:rPr>
      </w:pPr>
    </w:p>
    <w:p>
      <w:pPr>
        <w:ind w:left="640" w:hanging="179"/>
        <w:spacing w:after="0"/>
        <w:tabs>
          <w:tab w:leader="none" w:pos="6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Tenant shall not modify the documents contained in Exhibit A without the prior written consent of Landlord’s mortgagee.</w:t>
      </w:r>
    </w:p>
    <w:p>
      <w:pPr>
        <w:spacing w:after="0" w:line="118" w:lineRule="exact"/>
        <w:rPr>
          <w:rFonts w:ascii="Arial" w:cs="Arial" w:eastAsia="Arial" w:hAnsi="Arial"/>
          <w:sz w:val="17"/>
          <w:szCs w:val="17"/>
          <w:color w:val="auto"/>
        </w:rPr>
      </w:pPr>
    </w:p>
    <w:p>
      <w:pPr>
        <w:ind w:left="640" w:hanging="179"/>
        <w:spacing w:after="0"/>
        <w:tabs>
          <w:tab w:leader="none" w:pos="6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All monthly installments of Base Rent, all Additional Rent and all monthly installments of estimated Additional Rent have been paid when due through</w:t>
      </w:r>
    </w:p>
    <w:p>
      <w:pPr>
        <w:spacing w:after="0" w:line="38" w:lineRule="exact"/>
        <w:rPr>
          <w:sz w:val="20"/>
          <w:szCs w:val="20"/>
          <w:color w:val="auto"/>
        </w:rPr>
      </w:pPr>
    </w:p>
    <w:p>
      <w:pPr>
        <w:ind w:left="880"/>
        <w:spacing w:after="0"/>
        <w:tabs>
          <w:tab w:leader="none" w:pos="5360" w:val="left"/>
        </w:tabs>
        <w:rPr>
          <w:sz w:val="20"/>
          <w:szCs w:val="20"/>
          <w:color w:val="auto"/>
        </w:rPr>
      </w:pPr>
      <w:r>
        <w:rPr>
          <w:rFonts w:ascii="Arial" w:cs="Arial" w:eastAsia="Arial" w:hAnsi="Arial"/>
          <w:sz w:val="17"/>
          <w:szCs w:val="17"/>
          <w:color w:val="auto"/>
        </w:rPr>
        <w:t>. The current monthly installment of Base Rent is $</w:t>
      </w:r>
      <w:r>
        <w:rPr>
          <w:sz w:val="20"/>
          <w:szCs w:val="20"/>
          <w:color w:val="auto"/>
        </w:rPr>
        <w:tab/>
      </w:r>
      <w:r>
        <w:rPr>
          <w:rFonts w:ascii="Arial" w:cs="Arial" w:eastAsia="Arial" w:hAnsi="Arial"/>
          <w:sz w:val="14"/>
          <w:szCs w:val="14"/>
          <w:color w:val="auto"/>
        </w:rPr>
        <w:t>.</w:t>
      </w:r>
    </w:p>
    <w:p>
      <w:pPr>
        <w:spacing w:after="0" w:line="107" w:lineRule="exact"/>
        <w:rPr>
          <w:sz w:val="20"/>
          <w:szCs w:val="20"/>
          <w:color w:val="auto"/>
        </w:rPr>
      </w:pPr>
    </w:p>
    <w:p>
      <w:pPr>
        <w:ind w:right="280" w:firstLine="461"/>
        <w:spacing w:after="0" w:line="289" w:lineRule="auto"/>
        <w:tabs>
          <w:tab w:leader="none" w:pos="631"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All conditions of the Lease to be performed by Landlord necessary to the enforceability of the Lease have been satisfied and Landlord is not in default thereunder. In addition, the undersigned has not delivered any notice to Landlord regarding a default by Landlord thereunder.</w:t>
      </w:r>
    </w:p>
    <w:p>
      <w:pPr>
        <w:spacing w:after="0" w:line="53" w:lineRule="exact"/>
        <w:rPr>
          <w:rFonts w:ascii="Arial" w:cs="Arial" w:eastAsia="Arial" w:hAnsi="Arial"/>
          <w:sz w:val="17"/>
          <w:szCs w:val="17"/>
          <w:color w:val="auto"/>
        </w:rPr>
      </w:pPr>
    </w:p>
    <w:p>
      <w:pPr>
        <w:ind w:left="640" w:hanging="179"/>
        <w:spacing w:after="0"/>
        <w:tabs>
          <w:tab w:leader="none" w:pos="6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No rental has been paid more than thirty (30) days in advance and no security has been deposited with Landlord except as provided in the Lease.</w:t>
      </w:r>
    </w:p>
    <w:p>
      <w:pPr>
        <w:sectPr>
          <w:pgSz w:w="11900" w:h="16838" w:orient="portrait"/>
          <w:cols w:equalWidth="0" w:num="1">
            <w:col w:w="11420"/>
          </w:cols>
          <w:pgMar w:left="240" w:top="258" w:right="239" w:bottom="1440" w:gutter="0" w:footer="0" w:header="0"/>
        </w:sectPr>
      </w:pPr>
    </w:p>
    <w:bookmarkStart w:id="344" w:name="page345"/>
    <w:bookmarkEnd w:id="344"/>
    <w:p>
      <w:pPr>
        <w:ind w:right="120" w:firstLine="461"/>
        <w:spacing w:after="0" w:line="289" w:lineRule="auto"/>
        <w:tabs>
          <w:tab w:leader="none" w:pos="718" w:val="left"/>
        </w:tabs>
        <w:numPr>
          <w:ilvl w:val="0"/>
          <w:numId w:val="2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As of the date hereof, there are no existing defenses or offsets, or, to the undersigned’s knowledge, claims or any basis for a claim, that the undersigned has against Landlord.</w:t>
      </w:r>
    </w:p>
    <w:p>
      <w:pPr>
        <w:spacing w:after="0" w:line="53" w:lineRule="exact"/>
        <w:rPr>
          <w:rFonts w:ascii="Arial" w:cs="Arial" w:eastAsia="Arial" w:hAnsi="Arial"/>
          <w:sz w:val="17"/>
          <w:szCs w:val="17"/>
          <w:color w:val="auto"/>
        </w:rPr>
      </w:pPr>
    </w:p>
    <w:p>
      <w:pPr>
        <w:ind w:right="220" w:firstLine="461"/>
        <w:spacing w:after="0" w:line="273" w:lineRule="auto"/>
        <w:tabs>
          <w:tab w:leader="none" w:pos="712"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Tenant is a corporation or partnership, each individual executing this Estoppel Certificate on behalf of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66" w:lineRule="exact"/>
        <w:rPr>
          <w:rFonts w:ascii="Arial" w:cs="Arial" w:eastAsia="Arial" w:hAnsi="Arial"/>
          <w:sz w:val="17"/>
          <w:szCs w:val="17"/>
          <w:color w:val="auto"/>
        </w:rPr>
      </w:pPr>
    </w:p>
    <w:p>
      <w:pPr>
        <w:ind w:left="720" w:hanging="259"/>
        <w:spacing w:after="0"/>
        <w:tabs>
          <w:tab w:leader="none" w:pos="7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There are no actions pending against the undersigned under the bankruptcy or similar laws of the United States or any state.</w:t>
      </w:r>
    </w:p>
    <w:p>
      <w:pPr>
        <w:spacing w:after="0" w:line="118" w:lineRule="exact"/>
        <w:rPr>
          <w:rFonts w:ascii="Arial" w:cs="Arial" w:eastAsia="Arial" w:hAnsi="Arial"/>
          <w:sz w:val="17"/>
          <w:szCs w:val="17"/>
          <w:color w:val="auto"/>
        </w:rPr>
      </w:pPr>
    </w:p>
    <w:p>
      <w:pPr>
        <w:ind w:firstLine="461"/>
        <w:spacing w:after="0" w:line="289" w:lineRule="auto"/>
        <w:tabs>
          <w:tab w:leader="none" w:pos="71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Other than in compliance with all applicable laws and incidental to the ordinary course of the use of the Premises, the undersigned has not used or stored any hazardous substances in the Premises.</w:t>
      </w:r>
    </w:p>
    <w:p>
      <w:pPr>
        <w:spacing w:after="0" w:line="53" w:lineRule="exact"/>
        <w:rPr>
          <w:rFonts w:ascii="Arial" w:cs="Arial" w:eastAsia="Arial" w:hAnsi="Arial"/>
          <w:sz w:val="17"/>
          <w:szCs w:val="17"/>
          <w:color w:val="auto"/>
        </w:rPr>
      </w:pPr>
    </w:p>
    <w:p>
      <w:pPr>
        <w:ind w:right="60" w:firstLine="461"/>
        <w:spacing w:after="0" w:line="273" w:lineRule="auto"/>
        <w:tabs>
          <w:tab w:leader="none" w:pos="71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To the undersigned’s knowledge,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w:t>
      </w:r>
    </w:p>
    <w:p>
      <w:pPr>
        <w:spacing w:after="0" w:line="171" w:lineRule="exact"/>
        <w:rPr>
          <w:sz w:val="20"/>
          <w:szCs w:val="20"/>
          <w:color w:val="auto"/>
        </w:rPr>
      </w:pPr>
    </w:p>
    <w:p>
      <w:pPr>
        <w:ind w:right="200" w:firstLine="457"/>
        <w:spacing w:after="0" w:line="297" w:lineRule="auto"/>
        <w:rPr>
          <w:sz w:val="20"/>
          <w:szCs w:val="20"/>
          <w:color w:val="auto"/>
        </w:rPr>
      </w:pPr>
      <w:r>
        <w:rPr>
          <w:rFonts w:ascii="Arial" w:cs="Arial" w:eastAsia="Arial" w:hAnsi="Arial"/>
          <w:sz w:val="16"/>
          <w:szCs w:val="16"/>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55" w:lineRule="exact"/>
        <w:rPr>
          <w:sz w:val="20"/>
          <w:szCs w:val="20"/>
          <w:color w:val="auto"/>
        </w:rPr>
      </w:pPr>
    </w:p>
    <w:p>
      <w:pPr>
        <w:ind w:left="460"/>
        <w:spacing w:after="0"/>
        <w:tabs>
          <w:tab w:leader="none" w:pos="2220" w:val="left"/>
          <w:tab w:leader="none" w:pos="3260" w:val="left"/>
          <w:tab w:leader="none" w:pos="4280" w:val="left"/>
          <w:tab w:leader="none" w:pos="4700" w:val="left"/>
        </w:tabs>
        <w:rPr>
          <w:sz w:val="20"/>
          <w:szCs w:val="20"/>
          <w:color w:val="auto"/>
        </w:rPr>
      </w:pPr>
      <w:r>
        <w:rPr>
          <w:rFonts w:ascii="Arial" w:cs="Arial" w:eastAsia="Arial" w:hAnsi="Arial"/>
          <w:sz w:val="17"/>
          <w:szCs w:val="17"/>
          <w:color w:val="auto"/>
        </w:rPr>
        <w:t>Executed at</w:t>
      </w:r>
      <w:r>
        <w:rPr>
          <w:sz w:val="20"/>
          <w:szCs w:val="20"/>
          <w:color w:val="auto"/>
        </w:rPr>
        <w:tab/>
      </w:r>
      <w:r>
        <w:rPr>
          <w:rFonts w:ascii="Arial" w:cs="Arial" w:eastAsia="Arial" w:hAnsi="Arial"/>
          <w:sz w:val="17"/>
          <w:szCs w:val="17"/>
          <w:color w:val="auto"/>
        </w:rPr>
        <w:t>on the</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7"/>
          <w:szCs w:val="17"/>
          <w:color w:val="auto"/>
        </w:rPr>
        <w:t>, 20</w:t>
        <w:tab/>
        <w:t>.</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149860</wp:posOffset>
            </wp:positionV>
            <wp:extent cx="289369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16510</wp:posOffset>
            </wp:positionV>
            <wp:extent cx="266065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16510</wp:posOffset>
            </wp:positionV>
            <wp:extent cx="26606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-7620</wp:posOffset>
            </wp:positionV>
            <wp:extent cx="246570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65705" cy="8255"/>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16510</wp:posOffset>
            </wp:positionV>
            <wp:extent cx="266065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-7620</wp:posOffset>
            </wp:positionV>
            <wp:extent cx="24657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465705"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1" w:right="259" w:bottom="1440" w:gutter="0" w:footer="0" w:header="0"/>
        </w:sectPr>
      </w:pPr>
    </w:p>
    <w:bookmarkStart w:id="345" w:name="page346"/>
    <w:bookmarkEnd w:id="345"/>
    <w:p>
      <w:pPr>
        <w:jc w:val="center"/>
        <w:ind w:right="-5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F</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PACIFIC CORPORATE CENTER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RECORDING REQUESTED BY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AND WHEN RECORDED RETURN TO:</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ALLEN MATKINS LECK GAMBLE</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&amp; MALLORY LLP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190l Avenue of the Stars, 18th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 90067</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Anton N. Natsis, Esq.</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RECOGNITION OF COVENANTS,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CONDITIONS, AND RESTRICTIONS</w:t>
      </w:r>
    </w:p>
    <w:p>
      <w:pPr>
        <w:sectPr>
          <w:pgSz w:w="11900" w:h="16838" w:orient="portrait"/>
          <w:cols w:equalWidth="0" w:num="1">
            <w:col w:w="11380"/>
          </w:cols>
          <w:pgMar w:left="240" w:top="265" w:right="279" w:bottom="1440" w:gutter="0" w:footer="0" w:header="0"/>
        </w:sect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Recognition of Covenants, Conditions, and Restrictions (this “</w:t>
      </w:r>
      <w:r>
        <w:rPr>
          <w:rFonts w:ascii="Arial" w:cs="Arial" w:eastAsia="Arial" w:hAnsi="Arial"/>
          <w:sz w:val="15"/>
          <w:szCs w:val="15"/>
          <w:b w:val="1"/>
          <w:bCs w:val="1"/>
          <w:color w:val="auto"/>
        </w:rPr>
        <w:t>Agreement</w:t>
      </w:r>
      <w:r>
        <w:rPr>
          <w:rFonts w:ascii="Arial" w:cs="Arial" w:eastAsia="Arial" w:hAnsi="Arial"/>
          <w:sz w:val="15"/>
          <w:szCs w:val="15"/>
          <w:color w:val="auto"/>
        </w:rPr>
        <w:t>”) is entered into as of the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 20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 by and between</w:t>
      </w:r>
    </w:p>
    <w:p>
      <w:pPr>
        <w:spacing w:after="0" w:line="49" w:lineRule="exact"/>
        <w:rPr>
          <w:sz w:val="20"/>
          <w:szCs w:val="20"/>
          <w:color w:val="auto"/>
        </w:rPr>
      </w:pPr>
    </w:p>
    <w:p>
      <w:pPr>
        <w:sectPr>
          <w:pgSz w:w="11900" w:h="16838" w:orient="portrait"/>
          <w:cols w:equalWidth="0" w:num="4">
            <w:col w:w="7800" w:space="620"/>
            <w:col w:w="440" w:space="560"/>
            <w:col w:w="260" w:space="180"/>
            <w:col w:w="1520"/>
          </w:cols>
          <w:pgMar w:left="240" w:top="265" w:right="279" w:bottom="1440" w:gutter="0" w:footer="0" w:header="0"/>
          <w:type w:val="continuous"/>
        </w:sectPr>
      </w:pPr>
    </w:p>
    <w:p>
      <w:pPr>
        <w:ind w:left="880"/>
        <w:spacing w:after="0"/>
        <w:tabs>
          <w:tab w:leader="none" w:pos="3060" w:val="left"/>
        </w:tabs>
        <w:rPr>
          <w:sz w:val="20"/>
          <w:szCs w:val="20"/>
          <w:color w:val="auto"/>
        </w:rPr>
      </w:pPr>
      <w:r>
        <w:rPr>
          <w:rFonts w:ascii="Arial" w:cs="Arial" w:eastAsia="Arial" w:hAnsi="Arial"/>
          <w:sz w:val="17"/>
          <w:szCs w:val="17"/>
          <w:color w:val="auto"/>
        </w:rPr>
        <w:t>(“Landlord”), and</w:t>
      </w:r>
      <w:r>
        <w:rPr>
          <w:sz w:val="20"/>
          <w:szCs w:val="20"/>
          <w:color w:val="auto"/>
        </w:rPr>
        <w:tab/>
      </w:r>
      <w:r>
        <w:rPr>
          <w:rFonts w:ascii="Arial" w:cs="Arial" w:eastAsia="Arial" w:hAnsi="Arial"/>
          <w:sz w:val="16"/>
          <w:szCs w:val="16"/>
          <w:color w:val="auto"/>
        </w:rPr>
        <w:t>(“Tenant”), with reference to the following facts:</w:t>
      </w:r>
    </w:p>
    <w:p>
      <w:pPr>
        <w:spacing w:after="0" w:line="107" w:lineRule="exact"/>
        <w:rPr>
          <w:sz w:val="20"/>
          <w:szCs w:val="20"/>
          <w:color w:val="auto"/>
        </w:rPr>
      </w:pPr>
    </w:p>
    <w:p>
      <w:pPr>
        <w:ind w:left="460"/>
        <w:spacing w:after="0"/>
        <w:tabs>
          <w:tab w:leader="none" w:pos="6900" w:val="left"/>
          <w:tab w:leader="none" w:pos="7380" w:val="left"/>
        </w:tabs>
        <w:rPr>
          <w:sz w:val="20"/>
          <w:szCs w:val="20"/>
          <w:color w:val="auto"/>
        </w:rPr>
      </w:pPr>
      <w:r>
        <w:rPr>
          <w:rFonts w:ascii="Arial" w:cs="Arial" w:eastAsia="Arial" w:hAnsi="Arial"/>
          <w:sz w:val="17"/>
          <w:szCs w:val="17"/>
          <w:color w:val="auto"/>
        </w:rPr>
        <w:t>A. Landlord and Tenant entered into that certain Office Lease Agreement dated</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5"/>
          <w:szCs w:val="15"/>
          <w:color w:val="auto"/>
        </w:rPr>
        <w:t>(the “Lease”). Pursuant to the Lease, Landlord leased to</w:t>
      </w:r>
    </w:p>
    <w:p>
      <w:pPr>
        <w:sectPr>
          <w:pgSz w:w="11900" w:h="16838" w:orient="portrait"/>
          <w:cols w:equalWidth="0" w:num="1">
            <w:col w:w="11380"/>
          </w:cols>
          <w:pgMar w:left="240" w:top="265" w:right="279" w:bottom="1440" w:gutter="0" w:footer="0" w:header="0"/>
          <w:type w:val="continuous"/>
        </w:sectPr>
      </w:pPr>
    </w:p>
    <w:p>
      <w:pPr>
        <w:spacing w:after="0" w:line="26"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Tenant and Tenant leased from Landlord space (the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located in an office building on certain real property described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attached hereto and incorporated herein by this reference (the “</w:t>
      </w:r>
      <w:r>
        <w:rPr>
          <w:rFonts w:ascii="Arial" w:cs="Arial" w:eastAsia="Arial" w:hAnsi="Arial"/>
          <w:sz w:val="17"/>
          <w:szCs w:val="17"/>
          <w:b w:val="1"/>
          <w:bCs w:val="1"/>
          <w:color w:val="auto"/>
        </w:rPr>
        <w:t>Property</w:t>
      </w:r>
      <w:r>
        <w:rPr>
          <w:rFonts w:ascii="Arial" w:cs="Arial" w:eastAsia="Arial" w:hAnsi="Arial"/>
          <w:sz w:val="17"/>
          <w:szCs w:val="17"/>
          <w:color w:val="auto"/>
        </w:rPr>
        <w: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800" w:type="dxa"/>
            <w:vAlign w:val="bottom"/>
            <w:gridSpan w:val="4"/>
          </w:tcPr>
          <w:p>
            <w:pPr>
              <w:ind w:left="460"/>
              <w:spacing w:after="0"/>
              <w:rPr>
                <w:sz w:val="20"/>
                <w:szCs w:val="20"/>
                <w:color w:val="auto"/>
              </w:rPr>
            </w:pPr>
            <w:r>
              <w:rPr>
                <w:rFonts w:ascii="Arial" w:cs="Arial" w:eastAsia="Arial" w:hAnsi="Arial"/>
                <w:sz w:val="17"/>
                <w:szCs w:val="17"/>
                <w:color w:val="auto"/>
                <w:w w:val="96"/>
              </w:rPr>
              <w:t>B. The Premises are located in an office building located on real property which is part of an area owned by Landlord containing approximately</w:t>
            </w:r>
          </w:p>
        </w:tc>
        <w:tc>
          <w:tcPr>
            <w:tcW w:w="58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 acres of real property located in the City of</w:t>
            </w:r>
          </w:p>
        </w:tc>
        <w:tc>
          <w:tcPr>
            <w:tcW w:w="7420" w:type="dxa"/>
            <w:vAlign w:val="bottom"/>
            <w:gridSpan w:val="4"/>
          </w:tcPr>
          <w:p>
            <w:pPr>
              <w:jc w:val="right"/>
              <w:spacing w:after="0" w:line="189" w:lineRule="exact"/>
              <w:rPr>
                <w:sz w:val="20"/>
                <w:szCs w:val="20"/>
                <w:color w:val="auto"/>
              </w:rPr>
            </w:pPr>
            <w:r>
              <w:rPr>
                <w:rFonts w:ascii="Arial" w:cs="Arial" w:eastAsia="Arial" w:hAnsi="Arial"/>
                <w:sz w:val="17"/>
                <w:szCs w:val="17"/>
                <w:color w:val="auto"/>
                <w:w w:val="94"/>
              </w:rPr>
              <w:t>, California (the “</w:t>
            </w:r>
            <w:r>
              <w:rPr>
                <w:rFonts w:ascii="Arial" w:cs="Arial" w:eastAsia="Arial" w:hAnsi="Arial"/>
                <w:sz w:val="17"/>
                <w:szCs w:val="17"/>
                <w:b w:val="1"/>
                <w:bCs w:val="1"/>
                <w:color w:val="auto"/>
                <w:w w:val="94"/>
              </w:rPr>
              <w:t>Project</w:t>
            </w:r>
            <w:r>
              <w:rPr>
                <w:rFonts w:ascii="Arial" w:cs="Arial" w:eastAsia="Arial" w:hAnsi="Arial"/>
                <w:sz w:val="17"/>
                <w:szCs w:val="17"/>
                <w:color w:val="auto"/>
                <w:w w:val="94"/>
              </w:rPr>
              <w:t xml:space="preserve">”), as more particularly described in </w:t>
            </w:r>
            <w:r>
              <w:rPr>
                <w:rFonts w:ascii="Arial" w:cs="Arial" w:eastAsia="Arial" w:hAnsi="Arial"/>
                <w:sz w:val="17"/>
                <w:szCs w:val="17"/>
                <w:b w:val="1"/>
                <w:bCs w:val="1"/>
                <w:color w:val="auto"/>
                <w:w w:val="94"/>
              </w:rPr>
              <w:t>Exhibit B</w:t>
            </w:r>
            <w:r>
              <w:rPr>
                <w:rFonts w:ascii="Arial" w:cs="Arial" w:eastAsia="Arial" w:hAnsi="Arial"/>
                <w:sz w:val="17"/>
                <w:szCs w:val="17"/>
                <w:color w:val="auto"/>
                <w:w w:val="94"/>
              </w:rPr>
              <w:t xml:space="preserve"> attached hereto and incorporated</w:t>
            </w:r>
          </w:p>
        </w:tc>
      </w:tr>
      <w:tr>
        <w:trPr>
          <w:trHeight w:val="228"/>
        </w:trPr>
        <w:tc>
          <w:tcPr>
            <w:tcW w:w="3960" w:type="dxa"/>
            <w:vAlign w:val="bottom"/>
          </w:tcPr>
          <w:p>
            <w:pPr>
              <w:spacing w:after="0"/>
              <w:rPr>
                <w:sz w:val="20"/>
                <w:szCs w:val="20"/>
                <w:color w:val="auto"/>
              </w:rPr>
            </w:pPr>
            <w:r>
              <w:rPr>
                <w:rFonts w:ascii="Arial" w:cs="Arial" w:eastAsia="Arial" w:hAnsi="Arial"/>
                <w:sz w:val="17"/>
                <w:szCs w:val="17"/>
                <w:color w:val="auto"/>
              </w:rPr>
              <w:t>herein by this reference.</w:t>
            </w:r>
          </w:p>
        </w:tc>
        <w:tc>
          <w:tcPr>
            <w:tcW w:w="44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96"/>
        </w:trPr>
        <w:tc>
          <w:tcPr>
            <w:tcW w:w="11380" w:type="dxa"/>
            <w:vAlign w:val="bottom"/>
            <w:gridSpan w:val="5"/>
          </w:tcPr>
          <w:p>
            <w:pPr>
              <w:ind w:left="460"/>
              <w:spacing w:after="0"/>
              <w:rPr>
                <w:sz w:val="20"/>
                <w:szCs w:val="20"/>
                <w:color w:val="auto"/>
              </w:rPr>
            </w:pPr>
            <w:r>
              <w:rPr>
                <w:rFonts w:ascii="Arial" w:cs="Arial" w:eastAsia="Arial" w:hAnsi="Arial"/>
                <w:sz w:val="17"/>
                <w:szCs w:val="17"/>
                <w:color w:val="auto"/>
                <w:w w:val="94"/>
              </w:rPr>
              <w:t>C. Landlord, as declarant, has previously recorded, or proposes to record concurrently with the recordation of this Agreement, a Declaration of Covenants,</w:t>
            </w:r>
          </w:p>
        </w:tc>
      </w:tr>
      <w:tr>
        <w:trPr>
          <w:trHeight w:val="228"/>
        </w:trPr>
        <w:tc>
          <w:tcPr>
            <w:tcW w:w="3960" w:type="dxa"/>
            <w:vAlign w:val="bottom"/>
          </w:tcPr>
          <w:p>
            <w:pPr>
              <w:spacing w:after="0"/>
              <w:rPr>
                <w:sz w:val="20"/>
                <w:szCs w:val="20"/>
                <w:color w:val="auto"/>
              </w:rPr>
            </w:pPr>
            <w:r>
              <w:rPr>
                <w:rFonts w:ascii="Arial" w:cs="Arial" w:eastAsia="Arial" w:hAnsi="Arial"/>
                <w:sz w:val="17"/>
                <w:szCs w:val="17"/>
                <w:color w:val="auto"/>
                <w:w w:val="95"/>
              </w:rPr>
              <w:t>Conditions, and Restrictions (the “</w:t>
            </w:r>
            <w:r>
              <w:rPr>
                <w:rFonts w:ascii="Arial" w:cs="Arial" w:eastAsia="Arial" w:hAnsi="Arial"/>
                <w:sz w:val="17"/>
                <w:szCs w:val="17"/>
                <w:b w:val="1"/>
                <w:bCs w:val="1"/>
                <w:color w:val="auto"/>
                <w:w w:val="95"/>
              </w:rPr>
              <w:t>Declaration</w:t>
            </w:r>
            <w:r>
              <w:rPr>
                <w:rFonts w:ascii="Arial" w:cs="Arial" w:eastAsia="Arial" w:hAnsi="Arial"/>
                <w:sz w:val="17"/>
                <w:szCs w:val="17"/>
                <w:color w:val="auto"/>
                <w:w w:val="95"/>
              </w:rPr>
              <w:t>”), dated</w:t>
            </w:r>
          </w:p>
        </w:tc>
        <w:tc>
          <w:tcPr>
            <w:tcW w:w="6840" w:type="dxa"/>
            <w:vAlign w:val="bottom"/>
            <w:gridSpan w:val="3"/>
          </w:tcPr>
          <w:p>
            <w:pPr>
              <w:ind w:left="860"/>
              <w:spacing w:after="0"/>
              <w:rPr>
                <w:sz w:val="20"/>
                <w:szCs w:val="20"/>
                <w:color w:val="auto"/>
              </w:rPr>
            </w:pPr>
            <w:r>
              <w:rPr>
                <w:rFonts w:ascii="Arial" w:cs="Arial" w:eastAsia="Arial" w:hAnsi="Arial"/>
                <w:sz w:val="17"/>
                <w:szCs w:val="17"/>
                <w:color w:val="auto"/>
              </w:rPr>
              <w:t>, 20  , in connection with the Project.</w:t>
            </w:r>
          </w:p>
        </w:tc>
        <w:tc>
          <w:tcPr>
            <w:tcW w:w="580" w:type="dxa"/>
            <w:vAlign w:val="bottom"/>
          </w:tcPr>
          <w:p>
            <w:pPr>
              <w:spacing w:after="0"/>
              <w:rPr>
                <w:sz w:val="19"/>
                <w:szCs w:val="19"/>
                <w:color w:val="auto"/>
              </w:rPr>
            </w:pPr>
          </w:p>
        </w:tc>
      </w:tr>
    </w:tbl>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 Tenant is agreeing to recognize and be bound by the terms of the Declaration, and the parties hereto desire to set forth their agreements concerning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same.</w:t>
      </w:r>
    </w:p>
    <w:p>
      <w:pPr>
        <w:spacing w:after="0" w:line="212"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NOW, THEREFORE, in consideration of (a) the foregoing recitals and the mutual agreements hereinafter set forth, and (b) for other good and valuable consideration, the receipt and sufficiency of which are hereby acknowledged, the parties hereto agree as follows,</w:t>
      </w:r>
    </w:p>
    <w:p>
      <w:pPr>
        <w:spacing w:after="0" w:line="53" w:lineRule="exact"/>
        <w:rPr>
          <w:sz w:val="20"/>
          <w:szCs w:val="20"/>
          <w:color w:val="auto"/>
        </w:rPr>
      </w:pPr>
    </w:p>
    <w:p>
      <w:pPr>
        <w:ind w:right="440" w:firstLine="461"/>
        <w:spacing w:after="0" w:line="289" w:lineRule="auto"/>
        <w:tabs>
          <w:tab w:leader="none" w:pos="631"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Tenant’s Recognition of Declaration</w:t>
      </w:r>
      <w:r>
        <w:rPr>
          <w:rFonts w:ascii="Arial" w:cs="Arial" w:eastAsia="Arial" w:hAnsi="Arial"/>
          <w:sz w:val="17"/>
          <w:szCs w:val="17"/>
          <w:color w:val="auto"/>
        </w:rPr>
        <w:t>. Notwithstanding that the Lease has been executed prior to the recordation of the Declaration, Tenant agrees to recognize and by bound by all of the terms and conditions of the Declaration.</w:t>
      </w:r>
    </w:p>
    <w:p>
      <w:pPr>
        <w:sectPr>
          <w:pgSz w:w="11900" w:h="16838" w:orient="portrait"/>
          <w:cols w:equalWidth="0" w:num="1">
            <w:col w:w="11380"/>
          </w:cols>
          <w:pgMar w:left="240" w:top="265" w:right="279" w:bottom="1440" w:gutter="0" w:footer="0" w:header="0"/>
          <w:type w:val="continuous"/>
        </w:sectPr>
      </w:pPr>
    </w:p>
    <w:bookmarkStart w:id="346" w:name="page347"/>
    <w:bookmarkEnd w:id="346"/>
    <w:p>
      <w:pPr>
        <w:ind w:left="640" w:hanging="179"/>
        <w:spacing w:after="0"/>
        <w:tabs>
          <w:tab w:leader="none" w:pos="640"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Miscellaneous</w:t>
      </w:r>
      <w:r>
        <w:rPr>
          <w:rFonts w:ascii="Arial" w:cs="Arial" w:eastAsia="Arial" w:hAnsi="Arial"/>
          <w:sz w:val="17"/>
          <w:szCs w:val="17"/>
          <w:color w:val="auto"/>
        </w:rPr>
        <w:t>.</w:t>
      </w:r>
    </w:p>
    <w:p>
      <w:pPr>
        <w:spacing w:after="0" w:line="119" w:lineRule="exact"/>
        <w:rPr>
          <w:sz w:val="20"/>
          <w:szCs w:val="20"/>
          <w:color w:val="auto"/>
        </w:rPr>
      </w:pPr>
    </w:p>
    <w:p>
      <w:pPr>
        <w:ind w:right="240" w:firstLine="913"/>
        <w:spacing w:after="0" w:line="289" w:lineRule="auto"/>
        <w:rPr>
          <w:sz w:val="20"/>
          <w:szCs w:val="20"/>
          <w:color w:val="auto"/>
        </w:rPr>
      </w:pPr>
      <w:r>
        <w:rPr>
          <w:rFonts w:ascii="Arial" w:cs="Arial" w:eastAsia="Arial" w:hAnsi="Arial"/>
          <w:sz w:val="17"/>
          <w:szCs w:val="17"/>
          <w:color w:val="auto"/>
        </w:rPr>
        <w:t>2.1 This Agreement shall be binding upon and inure to the benefit of the parties hereto and their respective heirs, estates, personal representatives, successors, and assigns.</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 This Agreement is made in, and shall be governed, enforced and construed under the laws of, the State of California.</w:t>
      </w:r>
    </w:p>
    <w:p>
      <w:pPr>
        <w:spacing w:after="0" w:line="119" w:lineRule="exact"/>
        <w:rPr>
          <w:sz w:val="20"/>
          <w:szCs w:val="20"/>
          <w:color w:val="auto"/>
        </w:rPr>
      </w:pPr>
    </w:p>
    <w:p>
      <w:pPr>
        <w:ind w:right="160" w:firstLine="913"/>
        <w:spacing w:after="0" w:line="325" w:lineRule="auto"/>
        <w:rPr>
          <w:sz w:val="20"/>
          <w:szCs w:val="20"/>
          <w:color w:val="auto"/>
        </w:rPr>
      </w:pPr>
      <w:r>
        <w:rPr>
          <w:rFonts w:ascii="Arial" w:cs="Arial" w:eastAsia="Arial" w:hAnsi="Arial"/>
          <w:sz w:val="15"/>
          <w:szCs w:val="15"/>
          <w:color w:val="auto"/>
        </w:rPr>
        <w:t>2.3 This Agreement constitutes the entire understanding and agreements of the parties with respect to the subject matter hereof, and shall supersede and replace all prior understandings and agreements, whether verbal or in writing. The parties confirm and acknowledge that there are no other promises, covenants, understandings, agreements, representations, or warranties with respect to the subject matter of this Agreement except as expressly set forth herein.</w:t>
      </w:r>
    </w:p>
    <w:p>
      <w:pPr>
        <w:spacing w:after="0" w:line="33" w:lineRule="exact"/>
        <w:rPr>
          <w:sz w:val="20"/>
          <w:szCs w:val="20"/>
          <w:color w:val="auto"/>
        </w:rPr>
      </w:pPr>
    </w:p>
    <w:p>
      <w:pPr>
        <w:ind w:right="40" w:firstLine="913"/>
        <w:spacing w:after="0" w:line="289" w:lineRule="auto"/>
        <w:rPr>
          <w:sz w:val="20"/>
          <w:szCs w:val="20"/>
          <w:color w:val="auto"/>
        </w:rPr>
      </w:pPr>
      <w:r>
        <w:rPr>
          <w:rFonts w:ascii="Arial" w:cs="Arial" w:eastAsia="Arial" w:hAnsi="Arial"/>
          <w:sz w:val="17"/>
          <w:szCs w:val="17"/>
          <w:color w:val="auto"/>
        </w:rPr>
        <w:t>2.4 This Agreement is not to be modified, terminated, or amended in any respect, except pursuant to any instrument in writing duly executed by both of the parties hereto.</w:t>
      </w:r>
    </w:p>
    <w:p>
      <w:pPr>
        <w:spacing w:after="0" w:line="53" w:lineRule="exact"/>
        <w:rPr>
          <w:sz w:val="20"/>
          <w:szCs w:val="20"/>
          <w:color w:val="auto"/>
        </w:rPr>
      </w:pPr>
    </w:p>
    <w:p>
      <w:pPr>
        <w:ind w:right="40" w:firstLine="913"/>
        <w:spacing w:after="0" w:line="267" w:lineRule="auto"/>
        <w:rPr>
          <w:sz w:val="20"/>
          <w:szCs w:val="20"/>
          <w:color w:val="auto"/>
        </w:rPr>
      </w:pPr>
      <w:r>
        <w:rPr>
          <w:rFonts w:ascii="Arial" w:cs="Arial" w:eastAsia="Arial" w:hAnsi="Arial"/>
          <w:sz w:val="17"/>
          <w:szCs w:val="17"/>
          <w:color w:val="auto"/>
        </w:rPr>
        <w:t>2.5 In the event that either party hereto shall bring any legal action or other proceeding with respect to the breach, interpretation, or enforcement of this Agreement, or with respect to any dispute relating to any transaction covered by this Agreement, the losing party in such action or proceeding shall reimburse the prevailing party therein for all reasonable costs of litigation, including reasonable attorneys’ fees, in such amount as may be determined by the court or other tribunal having jurisdiction, including matters on appeal.</w:t>
      </w:r>
    </w:p>
    <w:p>
      <w:pPr>
        <w:spacing w:after="0" w:line="73"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color w:val="auto"/>
        </w:rPr>
        <w:t>2.6 All captions and heading herein are for convenience and ease of reference only, and shall not be used or referred to in any way in connection with the interpretation or enforcement of this Agreement.</w:t>
      </w:r>
    </w:p>
    <w:p>
      <w:pPr>
        <w:spacing w:after="0" w:line="53"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2.7 If any provision of this Agreement, as applied to any party or to any circumstance, shall be adjudged by a court of competent jurisdictions to be void or unenforceable for any reason, the same shall not affect any other provision of this Agreement, the application of such provision under circumstances different from those adjudged by the court, or the validity or enforceability of this Agreement as a whole.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2.8 Time is of the essence of this Agreement.</w:t>
      </w:r>
    </w:p>
    <w:p>
      <w:pPr>
        <w:spacing w:after="0" w:line="119" w:lineRule="exact"/>
        <w:rPr>
          <w:sz w:val="20"/>
          <w:szCs w:val="20"/>
          <w:color w:val="auto"/>
        </w:rPr>
      </w:pPr>
    </w:p>
    <w:p>
      <w:pPr>
        <w:ind w:right="160" w:firstLine="913"/>
        <w:spacing w:after="0" w:line="289" w:lineRule="auto"/>
        <w:rPr>
          <w:sz w:val="20"/>
          <w:szCs w:val="20"/>
          <w:color w:val="auto"/>
        </w:rPr>
      </w:pPr>
      <w:r>
        <w:rPr>
          <w:rFonts w:ascii="Arial" w:cs="Arial" w:eastAsia="Arial" w:hAnsi="Arial"/>
          <w:sz w:val="17"/>
          <w:szCs w:val="17"/>
          <w:color w:val="auto"/>
        </w:rPr>
        <w:t>2.9 The Parties agree to execute any further documents, and take any further actions, as may be reasonable and appropriate in order to carry out the purpose and intent of this Agreement.</w:t>
      </w:r>
    </w:p>
    <w:p>
      <w:pPr>
        <w:spacing w:after="0" w:line="53" w:lineRule="exact"/>
        <w:rPr>
          <w:sz w:val="20"/>
          <w:szCs w:val="20"/>
          <w:color w:val="auto"/>
        </w:rPr>
      </w:pPr>
    </w:p>
    <w:p>
      <w:pPr>
        <w:ind w:right="480" w:firstLine="913"/>
        <w:spacing w:after="0" w:line="289" w:lineRule="auto"/>
        <w:rPr>
          <w:sz w:val="20"/>
          <w:szCs w:val="20"/>
          <w:color w:val="auto"/>
        </w:rPr>
      </w:pPr>
      <w:r>
        <w:rPr>
          <w:rFonts w:ascii="Arial" w:cs="Arial" w:eastAsia="Arial" w:hAnsi="Arial"/>
          <w:sz w:val="17"/>
          <w:szCs w:val="17"/>
          <w:color w:val="auto"/>
        </w:rPr>
        <w:t>2.10 As used herein, the masculine, feminine or neuter gender, and the singular and plural numbers, shall each be deemed to include the others whenever and whatever the context so indicates.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271" w:right="299" w:bottom="1440" w:gutter="0" w:footer="0" w:header="0"/>
        </w:sectPr>
      </w:pPr>
    </w:p>
    <w:bookmarkStart w:id="347" w:name="page348"/>
    <w:bookmarkEnd w:id="347"/>
    <w:p>
      <w:pPr>
        <w:jc w:val="center"/>
        <w:ind w:right="-7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 PAGE OF RECOGNITION OF</w:t>
      </w:r>
    </w:p>
    <w:p>
      <w:pPr>
        <w:spacing w:after="0" w:line="224"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COVENANTS, CONDITIONS AND RESTRICTIONS</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duly executed this Agreement as of the day and year first above written.</w:t>
      </w:r>
    </w:p>
    <w:p>
      <w:pPr>
        <w:spacing w:after="0" w:line="27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282575</wp:posOffset>
            </wp:positionV>
            <wp:extent cx="28936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16510</wp:posOffset>
            </wp:positionV>
            <wp:extent cx="266065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16510</wp:posOffset>
            </wp:positionV>
            <wp:extent cx="266065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-7620</wp:posOffset>
            </wp:positionV>
            <wp:extent cx="19672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p>
      <w:pPr>
        <w:spacing w:after="0" w:line="20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282575</wp:posOffset>
            </wp:positionV>
            <wp:extent cx="28936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16510</wp:posOffset>
            </wp:positionV>
            <wp:extent cx="26606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16510</wp:posOffset>
            </wp:positionV>
            <wp:extent cx="266065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-7620</wp:posOffset>
            </wp:positionV>
            <wp:extent cx="196723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p>
      <w:pPr>
        <w:spacing w:after="0" w:line="20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16510</wp:posOffset>
            </wp:positionV>
            <wp:extent cx="266065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-7620</wp:posOffset>
            </wp:positionV>
            <wp:extent cx="196723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p>
      <w:pPr>
        <w:spacing w:after="0" w:line="13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759"/>
          </w:cols>
          <w:pgMar w:left="700" w:top="265" w:right="1440"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G</w:t>
            </w:r>
          </w:p>
        </w:tc>
        <w:tc>
          <w:tcPr>
            <w:tcW w:w="108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438"/>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40" w:type="dxa"/>
            <w:vAlign w:val="bottom"/>
            <w:gridSpan w:val="3"/>
          </w:tcPr>
          <w:p>
            <w:pPr>
              <w:jc w:val="center"/>
              <w:ind w:left="453"/>
              <w:spacing w:after="0"/>
              <w:rPr>
                <w:sz w:val="20"/>
                <w:szCs w:val="20"/>
                <w:color w:val="auto"/>
              </w:rPr>
            </w:pPr>
            <w:r>
              <w:rPr>
                <w:rFonts w:ascii="Arial" w:cs="Arial" w:eastAsia="Arial" w:hAnsi="Arial"/>
                <w:sz w:val="17"/>
                <w:szCs w:val="17"/>
                <w:b w:val="1"/>
                <w:bCs w:val="1"/>
                <w:color w:val="auto"/>
              </w:rPr>
              <w:t>PACIFIC CORPORATE CENTER</w:t>
            </w:r>
          </w:p>
        </w:tc>
        <w:tc>
          <w:tcPr>
            <w:tcW w:w="3920" w:type="dxa"/>
            <w:vAlign w:val="bottom"/>
          </w:tcPr>
          <w:p>
            <w:pPr>
              <w:spacing w:after="0"/>
              <w:rPr>
                <w:sz w:val="24"/>
                <w:szCs w:val="24"/>
                <w:color w:val="auto"/>
              </w:rPr>
            </w:pPr>
          </w:p>
        </w:tc>
      </w:tr>
      <w:tr>
        <w:trPr>
          <w:trHeight w:val="419"/>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40" w:type="dxa"/>
            <w:vAlign w:val="bottom"/>
            <w:gridSpan w:val="3"/>
          </w:tcPr>
          <w:p>
            <w:pPr>
              <w:jc w:val="center"/>
              <w:ind w:left="453"/>
              <w:spacing w:after="0"/>
              <w:rPr>
                <w:sz w:val="20"/>
                <w:szCs w:val="20"/>
                <w:color w:val="auto"/>
              </w:rPr>
            </w:pPr>
            <w:r>
              <w:rPr>
                <w:rFonts w:ascii="Arial" w:cs="Arial" w:eastAsia="Arial" w:hAnsi="Arial"/>
                <w:sz w:val="17"/>
                <w:szCs w:val="17"/>
                <w:b w:val="1"/>
                <w:bCs w:val="1"/>
                <w:color w:val="auto"/>
              </w:rPr>
              <w:t>FORM OF LETTER OF CREDIT</w:t>
            </w:r>
          </w:p>
        </w:tc>
        <w:tc>
          <w:tcPr>
            <w:tcW w:w="3920" w:type="dxa"/>
            <w:vAlign w:val="bottom"/>
          </w:tcPr>
          <w:p>
            <w:pPr>
              <w:spacing w:after="0"/>
              <w:rPr>
                <w:sz w:val="24"/>
                <w:szCs w:val="24"/>
                <w:color w:val="auto"/>
              </w:rPr>
            </w:pPr>
          </w:p>
        </w:tc>
      </w:tr>
      <w:tr>
        <w:trPr>
          <w:trHeight w:val="401"/>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40" w:type="dxa"/>
            <w:vAlign w:val="bottom"/>
            <w:gridSpan w:val="3"/>
          </w:tcPr>
          <w:p>
            <w:pPr>
              <w:jc w:val="center"/>
              <w:ind w:left="453"/>
              <w:spacing w:after="0"/>
              <w:rPr>
                <w:sz w:val="20"/>
                <w:szCs w:val="20"/>
                <w:color w:val="auto"/>
              </w:rPr>
            </w:pPr>
            <w:r>
              <w:rPr>
                <w:rFonts w:ascii="Arial" w:cs="Arial" w:eastAsia="Arial" w:hAnsi="Arial"/>
                <w:sz w:val="17"/>
                <w:szCs w:val="17"/>
                <w:b w:val="1"/>
                <w:bCs w:val="1"/>
                <w:color w:val="auto"/>
                <w:w w:val="92"/>
              </w:rPr>
              <w:t>(Letterhead of a money center bank</w:t>
            </w:r>
          </w:p>
        </w:tc>
        <w:tc>
          <w:tcPr>
            <w:tcW w:w="3920" w:type="dxa"/>
            <w:vAlign w:val="bottom"/>
          </w:tcPr>
          <w:p>
            <w:pPr>
              <w:spacing w:after="0"/>
              <w:rPr>
                <w:sz w:val="24"/>
                <w:szCs w:val="24"/>
                <w:color w:val="auto"/>
              </w:rPr>
            </w:pP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40" w:type="dxa"/>
            <w:vAlign w:val="bottom"/>
            <w:gridSpan w:val="3"/>
          </w:tcPr>
          <w:p>
            <w:pPr>
              <w:jc w:val="center"/>
              <w:ind w:left="453"/>
              <w:spacing w:after="0"/>
              <w:rPr>
                <w:sz w:val="20"/>
                <w:szCs w:val="20"/>
                <w:color w:val="auto"/>
              </w:rPr>
            </w:pPr>
            <w:r>
              <w:rPr>
                <w:rFonts w:ascii="Arial" w:cs="Arial" w:eastAsia="Arial" w:hAnsi="Arial"/>
                <w:sz w:val="17"/>
                <w:szCs w:val="17"/>
                <w:b w:val="1"/>
                <w:bCs w:val="1"/>
                <w:color w:val="auto"/>
                <w:w w:val="92"/>
              </w:rPr>
              <w:t>acceptable to the Landlord)</w:t>
            </w:r>
          </w:p>
        </w:tc>
        <w:tc>
          <w:tcPr>
            <w:tcW w:w="3920" w:type="dxa"/>
            <w:vAlign w:val="bottom"/>
          </w:tcPr>
          <w:p>
            <w:pPr>
              <w:spacing w:after="0"/>
              <w:rPr>
                <w:sz w:val="19"/>
                <w:szCs w:val="19"/>
                <w:color w:val="auto"/>
              </w:rPr>
            </w:pPr>
          </w:p>
        </w:tc>
      </w:tr>
      <w:tr>
        <w:trPr>
          <w:trHeight w:val="433"/>
        </w:trPr>
        <w:tc>
          <w:tcPr>
            <w:tcW w:w="1600" w:type="dxa"/>
            <w:vAlign w:val="bottom"/>
          </w:tcPr>
          <w:p>
            <w:pPr>
              <w:spacing w:after="0"/>
              <w:rPr>
                <w:sz w:val="20"/>
                <w:szCs w:val="20"/>
                <w:color w:val="auto"/>
              </w:rPr>
            </w:pPr>
            <w:r>
              <w:rPr>
                <w:rFonts w:ascii="Arial" w:cs="Arial" w:eastAsia="Arial" w:hAnsi="Arial"/>
                <w:sz w:val="17"/>
                <w:szCs w:val="17"/>
                <w:color w:val="auto"/>
              </w:rPr>
              <w:t>FAX NO. [()</w:t>
            </w:r>
          </w:p>
        </w:tc>
        <w:tc>
          <w:tcPr>
            <w:tcW w:w="620" w:type="dxa"/>
            <w:vAlign w:val="bottom"/>
          </w:tcPr>
          <w:p>
            <w:pPr>
              <w:jc w:val="right"/>
              <w:ind w:right="433"/>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253"/>
              <w:spacing w:after="0"/>
              <w:rPr>
                <w:sz w:val="20"/>
                <w:szCs w:val="20"/>
                <w:color w:val="auto"/>
              </w:rPr>
            </w:pPr>
            <w:r>
              <w:rPr>
                <w:rFonts w:ascii="Arial" w:cs="Arial" w:eastAsia="Arial" w:hAnsi="Arial"/>
                <w:sz w:val="17"/>
                <w:szCs w:val="17"/>
                <w:color w:val="auto"/>
                <w:w w:val="83"/>
              </w:rPr>
              <w:t>]</w:t>
            </w:r>
          </w:p>
        </w:tc>
        <w:tc>
          <w:tcPr>
            <w:tcW w:w="1640" w:type="dxa"/>
            <w:vAlign w:val="bottom"/>
          </w:tcPr>
          <w:p>
            <w:pPr>
              <w:spacing w:after="0"/>
              <w:rPr>
                <w:sz w:val="24"/>
                <w:szCs w:val="24"/>
                <w:color w:val="auto"/>
              </w:rPr>
            </w:pPr>
          </w:p>
        </w:tc>
        <w:tc>
          <w:tcPr>
            <w:tcW w:w="5920" w:type="dxa"/>
            <w:vAlign w:val="bottom"/>
            <w:gridSpan w:val="3"/>
          </w:tcPr>
          <w:p>
            <w:pPr>
              <w:ind w:left="800"/>
              <w:spacing w:after="0"/>
              <w:rPr>
                <w:sz w:val="20"/>
                <w:szCs w:val="20"/>
                <w:color w:val="auto"/>
              </w:rPr>
            </w:pPr>
            <w:r>
              <w:rPr>
                <w:rFonts w:ascii="Arial" w:cs="Arial" w:eastAsia="Arial" w:hAnsi="Arial"/>
                <w:sz w:val="17"/>
                <w:szCs w:val="17"/>
                <w:color w:val="auto"/>
              </w:rPr>
              <w:t>[Insert Bank Name And Address]</w:t>
            </w:r>
          </w:p>
        </w:tc>
      </w:tr>
      <w:tr>
        <w:trPr>
          <w:trHeight w:val="222"/>
        </w:trPr>
        <w:tc>
          <w:tcPr>
            <w:tcW w:w="2220" w:type="dxa"/>
            <w:vAlign w:val="bottom"/>
            <w:gridSpan w:val="2"/>
          </w:tcPr>
          <w:p>
            <w:pPr>
              <w:spacing w:after="0"/>
              <w:rPr>
                <w:sz w:val="20"/>
                <w:szCs w:val="20"/>
                <w:color w:val="auto"/>
              </w:rPr>
            </w:pPr>
            <w:r>
              <w:rPr>
                <w:rFonts w:ascii="Arial" w:cs="Arial" w:eastAsia="Arial" w:hAnsi="Arial"/>
                <w:sz w:val="17"/>
                <w:szCs w:val="17"/>
                <w:color w:val="auto"/>
              </w:rPr>
              <w:t>SWIFT: [Insert No., if any]</w:t>
            </w:r>
          </w:p>
        </w:tc>
        <w:tc>
          <w:tcPr>
            <w:tcW w:w="1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19"/>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920" w:type="dxa"/>
            <w:vAlign w:val="bottom"/>
            <w:gridSpan w:val="3"/>
          </w:tcPr>
          <w:p>
            <w:pPr>
              <w:ind w:left="800"/>
              <w:spacing w:after="0"/>
              <w:rPr>
                <w:sz w:val="20"/>
                <w:szCs w:val="20"/>
                <w:color w:val="auto"/>
              </w:rPr>
            </w:pPr>
            <w:r>
              <w:rPr>
                <w:rFonts w:ascii="Arial" w:cs="Arial" w:eastAsia="Arial" w:hAnsi="Arial"/>
                <w:sz w:val="17"/>
                <w:szCs w:val="17"/>
                <w:color w:val="auto"/>
              </w:rPr>
              <w:t>DATE OF ISSUE:_______</w:t>
            </w:r>
          </w:p>
        </w:tc>
      </w:tr>
      <w:tr>
        <w:trPr>
          <w:trHeight w:val="407"/>
        </w:trPr>
        <w:tc>
          <w:tcPr>
            <w:tcW w:w="1600" w:type="dxa"/>
            <w:vAlign w:val="bottom"/>
          </w:tcPr>
          <w:p>
            <w:pPr>
              <w:spacing w:after="0"/>
              <w:rPr>
                <w:sz w:val="20"/>
                <w:szCs w:val="20"/>
                <w:color w:val="auto"/>
              </w:rPr>
            </w:pPr>
            <w:r>
              <w:rPr>
                <w:rFonts w:ascii="Arial" w:cs="Arial" w:eastAsia="Arial" w:hAnsi="Arial"/>
                <w:sz w:val="17"/>
                <w:szCs w:val="17"/>
                <w:color w:val="auto"/>
              </w:rPr>
              <w:t>BENEFICIARY:</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gridSpan w:val="2"/>
          </w:tcPr>
          <w:p>
            <w:pPr>
              <w:ind w:left="800"/>
              <w:spacing w:after="0"/>
              <w:rPr>
                <w:sz w:val="20"/>
                <w:szCs w:val="20"/>
                <w:color w:val="auto"/>
              </w:rPr>
            </w:pPr>
            <w:r>
              <w:rPr>
                <w:rFonts w:ascii="Arial" w:cs="Arial" w:eastAsia="Arial" w:hAnsi="Arial"/>
                <w:sz w:val="17"/>
                <w:szCs w:val="17"/>
                <w:color w:val="auto"/>
              </w:rPr>
              <w:t>APPLICANT:</w:t>
            </w:r>
          </w:p>
        </w:tc>
        <w:tc>
          <w:tcPr>
            <w:tcW w:w="3920" w:type="dxa"/>
            <w:vAlign w:val="bottom"/>
          </w:tcPr>
          <w:p>
            <w:pPr>
              <w:spacing w:after="0"/>
              <w:rPr>
                <w:sz w:val="24"/>
                <w:szCs w:val="24"/>
                <w:color w:val="auto"/>
              </w:rPr>
            </w:pPr>
          </w:p>
        </w:tc>
      </w:tr>
      <w:tr>
        <w:trPr>
          <w:trHeight w:val="222"/>
        </w:trPr>
        <w:tc>
          <w:tcPr>
            <w:tcW w:w="3620" w:type="dxa"/>
            <w:vAlign w:val="bottom"/>
            <w:gridSpan w:val="3"/>
          </w:tcPr>
          <w:p>
            <w:pPr>
              <w:spacing w:after="0"/>
              <w:rPr>
                <w:sz w:val="20"/>
                <w:szCs w:val="20"/>
                <w:color w:val="auto"/>
              </w:rPr>
            </w:pPr>
            <w:r>
              <w:rPr>
                <w:rFonts w:ascii="Arial" w:cs="Arial" w:eastAsia="Arial" w:hAnsi="Arial"/>
                <w:sz w:val="17"/>
                <w:szCs w:val="17"/>
                <w:color w:val="auto"/>
              </w:rPr>
              <w:t>[Insert Beneficiary Name And Address]</w:t>
            </w:r>
          </w:p>
        </w:tc>
        <w:tc>
          <w:tcPr>
            <w:tcW w:w="1640" w:type="dxa"/>
            <w:vAlign w:val="bottom"/>
          </w:tcPr>
          <w:p>
            <w:pPr>
              <w:spacing w:after="0"/>
              <w:rPr>
                <w:sz w:val="19"/>
                <w:szCs w:val="19"/>
                <w:color w:val="auto"/>
              </w:rPr>
            </w:pPr>
          </w:p>
        </w:tc>
        <w:tc>
          <w:tcPr>
            <w:tcW w:w="5920" w:type="dxa"/>
            <w:vAlign w:val="bottom"/>
            <w:gridSpan w:val="3"/>
          </w:tcPr>
          <w:p>
            <w:pPr>
              <w:ind w:left="800"/>
              <w:spacing w:after="0"/>
              <w:rPr>
                <w:sz w:val="20"/>
                <w:szCs w:val="20"/>
                <w:color w:val="auto"/>
              </w:rPr>
            </w:pPr>
            <w:r>
              <w:rPr>
                <w:rFonts w:ascii="Arial" w:cs="Arial" w:eastAsia="Arial" w:hAnsi="Arial"/>
                <w:sz w:val="17"/>
                <w:szCs w:val="17"/>
                <w:color w:val="auto"/>
              </w:rPr>
              <w:t>[Insert Applicant Name And Address]</w:t>
            </w:r>
          </w:p>
        </w:tc>
      </w:tr>
      <w:tr>
        <w:trPr>
          <w:trHeight w:val="419"/>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920" w:type="dxa"/>
            <w:vAlign w:val="bottom"/>
            <w:gridSpan w:val="3"/>
          </w:tcPr>
          <w:p>
            <w:pPr>
              <w:ind w:left="800"/>
              <w:spacing w:after="0"/>
              <w:rPr>
                <w:sz w:val="20"/>
                <w:szCs w:val="20"/>
                <w:color w:val="auto"/>
              </w:rPr>
            </w:pPr>
            <w:r>
              <w:rPr>
                <w:rFonts w:ascii="Arial" w:cs="Arial" w:eastAsia="Arial" w:hAnsi="Arial"/>
                <w:sz w:val="17"/>
                <w:szCs w:val="17"/>
                <w:color w:val="auto"/>
              </w:rPr>
              <w:t>LETTER OF CREDIT NO. _______</w:t>
            </w:r>
          </w:p>
        </w:tc>
      </w:tr>
      <w:tr>
        <w:trPr>
          <w:trHeight w:val="407"/>
        </w:trPr>
        <w:tc>
          <w:tcPr>
            <w:tcW w:w="1600" w:type="dxa"/>
            <w:vAlign w:val="bottom"/>
          </w:tcPr>
          <w:p>
            <w:pPr>
              <w:spacing w:after="0"/>
              <w:rPr>
                <w:sz w:val="20"/>
                <w:szCs w:val="20"/>
                <w:color w:val="auto"/>
              </w:rPr>
            </w:pPr>
            <w:r>
              <w:rPr>
                <w:rFonts w:ascii="Arial" w:cs="Arial" w:eastAsia="Arial" w:hAnsi="Arial"/>
                <w:sz w:val="17"/>
                <w:szCs w:val="17"/>
                <w:color w:val="auto"/>
              </w:rPr>
              <w:t>EXPIRATION DATE:</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920" w:type="dxa"/>
            <w:vAlign w:val="bottom"/>
            <w:gridSpan w:val="3"/>
          </w:tcPr>
          <w:p>
            <w:pPr>
              <w:ind w:left="800"/>
              <w:spacing w:after="0"/>
              <w:rPr>
                <w:sz w:val="20"/>
                <w:szCs w:val="20"/>
                <w:color w:val="auto"/>
              </w:rPr>
            </w:pPr>
            <w:r>
              <w:rPr>
                <w:rFonts w:ascii="Arial" w:cs="Arial" w:eastAsia="Arial" w:hAnsi="Arial"/>
                <w:sz w:val="17"/>
                <w:szCs w:val="17"/>
                <w:color w:val="auto"/>
              </w:rPr>
              <w:t>AMOUNT AVAILABLE:</w:t>
            </w:r>
          </w:p>
        </w:tc>
      </w:tr>
      <w:tr>
        <w:trPr>
          <w:trHeight w:val="210"/>
        </w:trPr>
        <w:tc>
          <w:tcPr>
            <w:tcW w:w="3620" w:type="dxa"/>
            <w:vAlign w:val="bottom"/>
            <w:gridSpan w:val="3"/>
          </w:tcPr>
          <w:p>
            <w:pPr>
              <w:spacing w:after="0"/>
              <w:rPr>
                <w:sz w:val="20"/>
                <w:szCs w:val="20"/>
                <w:color w:val="auto"/>
              </w:rPr>
            </w:pPr>
            <w:r>
              <w:rPr>
                <w:rFonts w:ascii="Arial" w:cs="Arial" w:eastAsia="Arial" w:hAnsi="Arial"/>
                <w:sz w:val="17"/>
                <w:szCs w:val="17"/>
                <w:color w:val="auto"/>
              </w:rPr>
              <w:t>______________ AT OUR COUNTERS</w:t>
            </w:r>
          </w:p>
        </w:tc>
        <w:tc>
          <w:tcPr>
            <w:tcW w:w="1640" w:type="dxa"/>
            <w:vAlign w:val="bottom"/>
          </w:tcPr>
          <w:p>
            <w:pPr>
              <w:spacing w:after="0"/>
              <w:rPr>
                <w:sz w:val="18"/>
                <w:szCs w:val="18"/>
                <w:color w:val="auto"/>
              </w:rPr>
            </w:pPr>
          </w:p>
        </w:tc>
        <w:tc>
          <w:tcPr>
            <w:tcW w:w="5920" w:type="dxa"/>
            <w:vAlign w:val="bottom"/>
            <w:gridSpan w:val="3"/>
          </w:tcPr>
          <w:p>
            <w:pPr>
              <w:ind w:left="800"/>
              <w:spacing w:after="0"/>
              <w:rPr>
                <w:sz w:val="20"/>
                <w:szCs w:val="20"/>
                <w:color w:val="auto"/>
              </w:rPr>
            </w:pPr>
            <w:r>
              <w:rPr>
                <w:rFonts w:ascii="Arial" w:cs="Arial" w:eastAsia="Arial" w:hAnsi="Arial"/>
                <w:sz w:val="17"/>
                <w:szCs w:val="17"/>
                <w:color w:val="auto"/>
              </w:rPr>
              <w:t>USD[Insert Dollar Amount]</w:t>
            </w:r>
          </w:p>
        </w:tc>
      </w:tr>
      <w:tr>
        <w:trPr>
          <w:trHeight w:val="222"/>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920" w:type="dxa"/>
            <w:vAlign w:val="bottom"/>
            <w:gridSpan w:val="3"/>
          </w:tcPr>
          <w:p>
            <w:pPr>
              <w:ind w:left="800"/>
              <w:spacing w:after="0"/>
              <w:rPr>
                <w:sz w:val="20"/>
                <w:szCs w:val="20"/>
                <w:color w:val="auto"/>
              </w:rPr>
            </w:pPr>
            <w:r>
              <w:rPr>
                <w:rFonts w:ascii="Arial" w:cs="Arial" w:eastAsia="Arial" w:hAnsi="Arial"/>
                <w:sz w:val="17"/>
                <w:szCs w:val="17"/>
                <w:color w:val="auto"/>
              </w:rPr>
              <w:t>(U.S. DOLLARS [Insert Dollar Amount])</w:t>
            </w:r>
          </w:p>
        </w:tc>
      </w:tr>
      <w:tr>
        <w:trPr>
          <w:trHeight w:val="419"/>
        </w:trPr>
        <w:tc>
          <w:tcPr>
            <w:tcW w:w="2220" w:type="dxa"/>
            <w:vAlign w:val="bottom"/>
            <w:gridSpan w:val="2"/>
          </w:tcPr>
          <w:p>
            <w:pPr>
              <w:spacing w:after="0"/>
              <w:rPr>
                <w:sz w:val="20"/>
                <w:szCs w:val="20"/>
                <w:color w:val="auto"/>
              </w:rPr>
            </w:pPr>
            <w:r>
              <w:rPr>
                <w:rFonts w:ascii="Arial" w:cs="Arial" w:eastAsia="Arial" w:hAnsi="Arial"/>
                <w:sz w:val="17"/>
                <w:szCs w:val="17"/>
                <w:color w:val="auto"/>
              </w:rPr>
              <w:t>LADIES AND GENTLEMEN:</w:t>
            </w: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14"/>
        </w:trPr>
        <w:tc>
          <w:tcPr>
            <w:tcW w:w="7260" w:type="dxa"/>
            <w:vAlign w:val="bottom"/>
            <w:gridSpan w:val="6"/>
          </w:tcPr>
          <w:p>
            <w:pPr>
              <w:spacing w:after="0"/>
              <w:rPr>
                <w:sz w:val="20"/>
                <w:szCs w:val="20"/>
                <w:color w:val="auto"/>
              </w:rPr>
            </w:pPr>
            <w:r>
              <w:rPr>
                <w:rFonts w:ascii="Arial" w:cs="Arial" w:eastAsia="Arial" w:hAnsi="Arial"/>
                <w:sz w:val="17"/>
                <w:szCs w:val="17"/>
                <w:color w:val="auto"/>
              </w:rPr>
              <w:t>WE HEREBY ESTABLISH OUR IRREVOCABLE STANDBY LETTER OF CREDIT NO.</w:t>
            </w:r>
          </w:p>
        </w:tc>
        <w:tc>
          <w:tcPr>
            <w:tcW w:w="3920" w:type="dxa"/>
            <w:vAlign w:val="bottom"/>
          </w:tcPr>
          <w:p>
            <w:pPr>
              <w:ind w:left="180"/>
              <w:spacing w:after="0"/>
              <w:rPr>
                <w:sz w:val="20"/>
                <w:szCs w:val="20"/>
                <w:color w:val="auto"/>
              </w:rPr>
            </w:pPr>
            <w:r>
              <w:rPr>
                <w:rFonts w:ascii="Arial" w:cs="Arial" w:eastAsia="Arial" w:hAnsi="Arial"/>
                <w:sz w:val="17"/>
                <w:szCs w:val="17"/>
                <w:color w:val="auto"/>
                <w:w w:val="97"/>
              </w:rPr>
              <w:t>IN YOUR FAVOR FOR THE ACCOUNT OF [Insert</w:t>
            </w:r>
          </w:p>
        </w:tc>
      </w:tr>
    </w:tbl>
    <w:p>
      <w:pPr>
        <w:ind w:right="16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Tenant’s Name], A [Insert Entity Type], UP TO THE AGGREGATE AMOUNT OF USD[Insert Dollar Amount] ([Insert Dollar Amount] U.S. DOLLARS) EFFECTIVE IMMEDIATELY AND EXPIRING ON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AVAILABLE BY PAYMENT UPON PRESENTATION OF YOUR DRAFT AT SIGHT DRAWN ON [Insert Bank Name] WHEN ACCOMPANIED BY THE FOLLOWING DOCUMENT(S):</w:t>
      </w:r>
    </w:p>
    <w:p>
      <w:pPr>
        <w:spacing w:after="0" w:line="68" w:lineRule="exact"/>
        <w:rPr>
          <w:sz w:val="20"/>
          <w:szCs w:val="20"/>
          <w:color w:val="auto"/>
        </w:rPr>
      </w:pPr>
    </w:p>
    <w:p>
      <w:pPr>
        <w:ind w:left="640" w:hanging="179"/>
        <w:spacing w:after="0"/>
        <w:tabs>
          <w:tab w:leader="none" w:pos="640"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THE ORIGINAL OF THIS IRREVOCABLE STANDBY LETTER OF CREDIT AND AMENDMENT(S), IF ANY.</w:t>
      </w:r>
    </w:p>
    <w:p>
      <w:pPr>
        <w:spacing w:after="0" w:line="118" w:lineRule="exact"/>
        <w:rPr>
          <w:rFonts w:ascii="Arial" w:cs="Arial" w:eastAsia="Arial" w:hAnsi="Arial"/>
          <w:sz w:val="17"/>
          <w:szCs w:val="17"/>
          <w:b w:val="1"/>
          <w:bCs w:val="1"/>
          <w:color w:val="auto"/>
        </w:rPr>
      </w:pPr>
    </w:p>
    <w:p>
      <w:pPr>
        <w:ind w:right="340" w:firstLine="461"/>
        <w:spacing w:after="0" w:line="296" w:lineRule="auto"/>
        <w:tabs>
          <w:tab w:leader="none" w:pos="631"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BENEFICIARY’S SIGNED STATEMENT PURPORTEDLY SIGNED BY AN AUTHORIZED REPRESENTATIVE OF [Insert Landlord’s Name), A [Insert Entity Type] (“LANDLORD”) STATING THE FOLLOWING:</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THE LANDLORD, EITHER (A) UNDER THE LEASE (DEFINED BELOW), OR (B) AS A</w:t>
      </w:r>
    </w:p>
    <w:p>
      <w:pPr>
        <w:spacing w:after="0" w:line="26" w:lineRule="exact"/>
        <w:rPr>
          <w:sz w:val="20"/>
          <w:szCs w:val="20"/>
          <w:color w:val="auto"/>
        </w:rPr>
      </w:pPr>
    </w:p>
    <w:p>
      <w:pPr>
        <w:jc w:val="both"/>
        <w:ind w:left="460"/>
        <w:spacing w:after="0" w:line="265" w:lineRule="auto"/>
        <w:rPr>
          <w:sz w:val="20"/>
          <w:szCs w:val="20"/>
          <w:color w:val="auto"/>
        </w:rPr>
      </w:pPr>
      <w:r>
        <w:rPr>
          <w:rFonts w:ascii="Arial" w:cs="Arial" w:eastAsia="Arial" w:hAnsi="Arial"/>
          <w:sz w:val="17"/>
          <w:szCs w:val="17"/>
          <w:color w:val="auto"/>
        </w:rPr>
        <w:t>RESULT OF THE TERMINATION OF SUCH LEASE, HAS THE RIGHT TO DRAW DOWN THE AMOUNT OF USD IN ACCORDANCE WITH THE TERMS OF THAT CERTAIN OFFICE LEASE DATED [Insert Lease Date], AS AMENDED (COLLECTIVELY, THE “LEASE”), OR SUCH AMOUNT CONSTITUTES DAMAGES OWING BY THE TENANT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- 1 -</w:t>
      </w:r>
    </w:p>
    <w:p>
      <w:pPr>
        <w:sectPr>
          <w:pgSz w:w="11900" w:h="16838" w:orient="portrait"/>
          <w:cols w:equalWidth="0" w:num="1">
            <w:col w:w="11380"/>
          </w:cols>
          <w:pgMar w:left="240" w:top="258" w:right="279" w:bottom="1440" w:gutter="0" w:footer="0" w:header="0"/>
        </w:sectPr>
      </w:pPr>
    </w:p>
    <w:bookmarkStart w:id="349" w:name="page350"/>
    <w:bookmarkEnd w:id="349"/>
    <w:p>
      <w:pPr>
        <w:ind w:left="460" w:right="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UNDER SUCH LEASE TO BENEFICIARY RESULTING FROM THE BREACH OF SUCH LEASE BY THE TENANT THEREUNDER, AND SUCH AMOUNT REMAINS UNPAID AT THE TIME OF THIS DRAWING.”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WE HAVE RECEIVED A WRITTEN NOTICE OF [Insert Bank Name]’S ELECTION NOT TO</w:t>
      </w:r>
    </w:p>
    <w:p>
      <w:pPr>
        <w:spacing w:after="0" w:line="26" w:lineRule="exact"/>
        <w:rPr>
          <w:sz w:val="20"/>
          <w:szCs w:val="20"/>
          <w:color w:val="auto"/>
        </w:rPr>
      </w:pPr>
    </w:p>
    <w:p>
      <w:pPr>
        <w:ind w:left="460" w:right="60"/>
        <w:spacing w:after="0" w:line="274" w:lineRule="auto"/>
        <w:rPr>
          <w:sz w:val="20"/>
          <w:szCs w:val="20"/>
          <w:color w:val="auto"/>
        </w:rPr>
      </w:pPr>
      <w:r>
        <w:rPr>
          <w:rFonts w:ascii="Arial" w:cs="Arial" w:eastAsia="Arial" w:hAnsi="Arial"/>
          <w:sz w:val="17"/>
          <w:szCs w:val="17"/>
          <w:color w:val="auto"/>
        </w:rPr>
        <w:t>EXTEND ITS STANDBY LETTER OF CREDIT NO. AND HAVE NOT RECEIVED A REPLACEMENT LETTER OF CREDIT WITHIN AT LEAST SIXTY (60) DAYS PRIOR TO THE PRESENT EXPIRATION DATE.”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 OF</w:t>
      </w:r>
    </w:p>
    <w:p>
      <w:pPr>
        <w:spacing w:after="0" w:line="26" w:lineRule="exact"/>
        <w:rPr>
          <w:sz w:val="20"/>
          <w:szCs w:val="20"/>
          <w:color w:val="auto"/>
        </w:rPr>
      </w:pPr>
    </w:p>
    <w:p>
      <w:pPr>
        <w:ind w:left="460" w:right="400"/>
        <w:spacing w:after="0" w:line="265" w:lineRule="auto"/>
        <w:rPr>
          <w:sz w:val="20"/>
          <w:szCs w:val="20"/>
          <w:color w:val="auto"/>
        </w:rPr>
      </w:pPr>
      <w:r>
        <w:rPr>
          <w:rFonts w:ascii="Arial" w:cs="Arial" w:eastAsia="Arial" w:hAnsi="Arial"/>
          <w:sz w:val="17"/>
          <w:szCs w:val="17"/>
          <w:color w:val="auto"/>
        </w:rPr>
        <w:t>CREDIT NO. AS THE RESULT OF THE FILING OF A VOLUNTARY PETITION UNDER THE U.S. BANKRUPTCY CODE OR A STATE BANKRUPTCY CODE BY THE TENANT UNDER THAT CERTAIN OFFICE LEASE DATED [Insert Lease Date], AS AMENDED (COLLECTIVELY, THE “LEASE”), WHICH FILING HAS NOT BEEN DISMISSED AT THE TIME OF THIS DRAWING.”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 OF</w:t>
      </w:r>
    </w:p>
    <w:p>
      <w:pPr>
        <w:spacing w:after="0" w:line="26" w:lineRule="exact"/>
        <w:rPr>
          <w:sz w:val="20"/>
          <w:szCs w:val="20"/>
          <w:color w:val="auto"/>
        </w:rPr>
      </w:pPr>
    </w:p>
    <w:p>
      <w:pPr>
        <w:ind w:left="460"/>
        <w:spacing w:after="0" w:line="265" w:lineRule="auto"/>
        <w:rPr>
          <w:sz w:val="20"/>
          <w:szCs w:val="20"/>
          <w:color w:val="auto"/>
        </w:rPr>
      </w:pPr>
      <w:r>
        <w:rPr>
          <w:rFonts w:ascii="Arial" w:cs="Arial" w:eastAsia="Arial" w:hAnsi="Arial"/>
          <w:sz w:val="17"/>
          <w:szCs w:val="17"/>
          <w:color w:val="auto"/>
        </w:rPr>
        <w:t>CREDIT NO. AS THE RESULT OF AN INVOLUNTARY PETITION HA YING BEEN FILED UNDER THE U.S. BANKRUPTCY CODE OR A STATE BANKRUPTCY CODE AGAINST THE TENANT UNDER THAT CERTAIN OFFICE LEASE DATED [Insert Lease Date], AS AMENDED (COLLECTIVELY, THE “LEASE”), WHICH FILING HAS NOT BEEN DISMISSED AT THE TIME OF THIS DRAWING.”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SPECIAL CONDITIONS:</w:t>
      </w:r>
    </w:p>
    <w:p>
      <w:pPr>
        <w:spacing w:after="0" w:line="119" w:lineRule="exact"/>
        <w:rPr>
          <w:sz w:val="20"/>
          <w:szCs w:val="20"/>
          <w:color w:val="auto"/>
        </w:rPr>
      </w:pPr>
    </w:p>
    <w:p>
      <w:pPr>
        <w:ind w:right="120"/>
        <w:spacing w:after="0" w:line="322" w:lineRule="auto"/>
        <w:rPr>
          <w:sz w:val="20"/>
          <w:szCs w:val="20"/>
          <w:color w:val="auto"/>
        </w:rPr>
      </w:pPr>
      <w:r>
        <w:rPr>
          <w:rFonts w:ascii="Arial" w:cs="Arial" w:eastAsia="Arial" w:hAnsi="Arial"/>
          <w:sz w:val="16"/>
          <w:szCs w:val="16"/>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35"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ALL INFORMATION REQUIRED WHETHER INDICATED BY BLANKS, BRACKETS OR OTHERWISE, MUST BE COMPLETED AT THE TIME OF DRAWING. [Please Provide The Required Forms For Review, And Attach As Schedules To The Letter Of Credit.]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ALL SIGNATURES MUST BE MANUALLY EXECUTED IN ORIGINALS.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1300"/>
          </w:cols>
          <w:pgMar w:left="240" w:top="271" w:right="359" w:bottom="1440" w:gutter="0" w:footer="0" w:header="0"/>
        </w:sectPr>
      </w:pPr>
    </w:p>
    <w:bookmarkStart w:id="350" w:name="page351"/>
    <w:bookmarkEnd w:id="3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ALL BANKING CHARGES ARE FOR THE APPLICANT’S ACCOUNT.</w:t>
      </w:r>
    </w:p>
    <w:p>
      <w:pPr>
        <w:spacing w:after="0" w:line="22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IT IS A CONDITION OF THIS STANDBY LETTER OF CREDIT THAT IT SHALL BE DEEMED AUTOMATICALLY EXTENDED WITHOUT AMENDMENT FOR A PERIOD OF ONE YEAR FROM THE PRESENT OR ANY FUTURE EXPIRATION DATE, UNLESS AT LEAST SIXTY (60) DAYS PRIOR TO THE EXPIRATION DATE WE SEND YOU NOTICE BY NATIONALLY RECOGNIZED OVERNIGHT COURIER SERVICE THAT WE ELECT NOT TO EXTEND THIS LETTER OF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 ATED OFFICE. IN NO EVENT, AND WITHOUT FURTHER NOTICE FROM OURSELVES, SHALL THE EXPIRATION DATE BE EXTENDED BEYOND A FINAL EXPIRATION</w:t>
      </w:r>
    </w:p>
    <w:p>
      <w:pPr>
        <w:spacing w:after="0" w:line="3"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DATE OF</w:t>
      </w:r>
      <w:r>
        <w:rPr>
          <w:sz w:val="20"/>
          <w:szCs w:val="20"/>
          <w:color w:val="auto"/>
        </w:rPr>
        <w:tab/>
      </w:r>
      <w:r>
        <w:rPr>
          <w:rFonts w:ascii="Arial" w:cs="Arial" w:eastAsia="Arial" w:hAnsi="Arial"/>
          <w:sz w:val="15"/>
          <w:szCs w:val="15"/>
          <w:color w:val="auto"/>
        </w:rPr>
        <w:t>(120 days from the Lease Expiration Date).</w:t>
      </w:r>
    </w:p>
    <w:p>
      <w:pPr>
        <w:spacing w:after="0" w:line="21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THIS LETTER OF CREDIT MAY BE TRANSFERRED SUCCESSIVELY IN WHOLE (BUT NOT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(AVAILABLE UPON REQUEST) AND PAYMENT OF OUR CUSTOMARY TRANSFER FEES BY APPLICANT. IN CASE OF ANY TRANSFER UNDER THIS LETTER OF CREDIT, THE DRAFT AND ANY REQUIRED STATEMENT MUST BE EXECUTED BY THE TRANSFEREE AND WHERE THE BENEFICIARY’S NAME APPEARS WITHIN THIS STANDBY LETTER OF CREDIT, THE TRANSFEREE’S NAME IS AUTO MATICALLY SUBSTITUTED THEREFOR.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ALL DRAFTS REQUIRED UNDER THIS STANDBY LETTER OF CREDIT MUST BE MARKED: “DRAWN UNDER [Insert Bank Name] STANDBY</w:t>
      </w:r>
    </w:p>
    <w:p>
      <w:pPr>
        <w:spacing w:after="0" w:line="26" w:lineRule="exact"/>
        <w:rPr>
          <w:sz w:val="20"/>
          <w:szCs w:val="20"/>
          <w:color w:val="auto"/>
        </w:rPr>
      </w:pPr>
    </w:p>
    <w:p>
      <w:pPr>
        <w:spacing w:after="0"/>
        <w:tabs>
          <w:tab w:leader="none" w:pos="2480" w:val="left"/>
        </w:tabs>
        <w:rPr>
          <w:sz w:val="20"/>
          <w:szCs w:val="20"/>
          <w:color w:val="auto"/>
        </w:rPr>
      </w:pPr>
      <w:r>
        <w:rPr>
          <w:rFonts w:ascii="Arial" w:cs="Arial" w:eastAsia="Arial" w:hAnsi="Arial"/>
          <w:sz w:val="17"/>
          <w:szCs w:val="17"/>
          <w:color w:val="auto"/>
        </w:rPr>
        <w:t>LETTER OF CREDIT NO.</w:t>
      </w:r>
      <w:r>
        <w:rPr>
          <w:sz w:val="20"/>
          <w:szCs w:val="20"/>
          <w:color w:val="auto"/>
        </w:rPr>
        <w:tab/>
      </w:r>
      <w:r>
        <w:rPr>
          <w:rFonts w:ascii="Arial" w:cs="Arial" w:eastAsia="Arial" w:hAnsi="Arial"/>
          <w:sz w:val="17"/>
          <w:szCs w:val="17"/>
          <w:color w:val="auto"/>
        </w:rPr>
        <w:t>.”</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HEREBY AGREE WITH YOU THAT IF DRAFTS ARE PRESENTED TO [Insert Bank Name] UNDER THIS LETTER OF CREDIT AT OR PRIOR TO [Insert Time—(</w:t>
      </w:r>
      <w:r>
        <w:rPr>
          <w:rFonts w:ascii="Arial" w:cs="Arial" w:eastAsia="Arial" w:hAnsi="Arial"/>
          <w:sz w:val="17"/>
          <w:szCs w:val="17"/>
          <w:i w:val="1"/>
          <w:iCs w:val="1"/>
          <w:color w:val="auto"/>
        </w:rPr>
        <w:t>e.g</w:t>
      </w:r>
      <w:r>
        <w:rPr>
          <w:rFonts w:ascii="Arial" w:cs="Arial" w:eastAsia="Arial" w:hAnsi="Arial"/>
          <w:sz w:val="17"/>
          <w:szCs w:val="17"/>
          <w:color w:val="auto"/>
        </w:rPr>
        <w:t>., 11:00 AM)],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 UNDER THIS LETTER OF CREDIT AFTER [Insert Time—(</w:t>
      </w:r>
      <w:r>
        <w:rPr>
          <w:rFonts w:ascii="Arial" w:cs="Arial" w:eastAsia="Arial" w:hAnsi="Arial"/>
          <w:sz w:val="17"/>
          <w:szCs w:val="17"/>
          <w:i w:val="1"/>
          <w:iCs w:val="1"/>
          <w:color w:val="auto"/>
        </w:rPr>
        <w:t>e.g</w:t>
      </w:r>
      <w:r>
        <w:rPr>
          <w:rFonts w:ascii="Arial" w:cs="Arial" w:eastAsia="Arial" w:hAnsi="Arial"/>
          <w:sz w:val="17"/>
          <w:szCs w:val="17"/>
          <w:color w:val="auto"/>
        </w:rPr>
        <w:t>., 11:00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11420"/>
          </w:cols>
          <w:pgMar w:left="240" w:top="271" w:right="239" w:bottom="1440" w:gutter="0" w:footer="0" w:header="0"/>
        </w:sectPr>
      </w:pPr>
    </w:p>
    <w:bookmarkStart w:id="351" w:name="page352"/>
    <w:bookmarkEnd w:id="351"/>
    <w:p>
      <w:pPr>
        <w:ind w:right="7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THE EXPIRATION DATE FOR THIS LETTER OF CREDIT SHALL EVER FALL ON A DAY WHICH IS NOT A BUSINESS DAY THEN SUCH EXPIRATION DATE SHALL AUTOMATICALLY BE EXTENDED TO THE DATE WHICH IS THE NEXT BUSINESS DAY.</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 LETTER OF CREDIT TO OUR</w:t>
      </w:r>
    </w:p>
    <w:p>
      <w:pPr>
        <w:ind w:right="420"/>
        <w:spacing w:after="0" w:line="257" w:lineRule="auto"/>
        <w:rPr>
          <w:sz w:val="20"/>
          <w:szCs w:val="20"/>
          <w:color w:val="auto"/>
        </w:rPr>
      </w:pPr>
      <w:r>
        <w:rPr>
          <w:rFonts w:ascii="Arial" w:cs="Arial" w:eastAsia="Arial" w:hAnsi="Arial"/>
          <w:sz w:val="17"/>
          <w:szCs w:val="17"/>
          <w:color w:val="auto"/>
        </w:rPr>
        <w:t>FACSIMILE NUMBER, [Insert Fax Number - ( ) - ], ATTENTION: [Insert Appropriate Recipient], WITH TELEPHONIC CONFIRMATION OF OUR RECEIPT OF SUCH FACSIMILE TRANSMISSION AT OUR TELEPHONE NUMBER [Insert Telephone Number - ( )</w:t>
      </w:r>
    </w:p>
    <w:p>
      <w:pPr>
        <w:ind w:right="20" w:firstLine="528"/>
        <w:spacing w:after="0" w:line="260" w:lineRule="auto"/>
        <w:tabs>
          <w:tab w:leader="none" w:pos="110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OR TO SUCH OTHER FACSIMILE OR TELEPHONE NUMBERS, AS TO WHICH YOU HAVE RECEIVED WRITTEN 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8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WE HEREBY ENGAGE WITH YOU THAT ALL DOCUMENT( S) DRAWN UNDER AND IN COMPLIANCE WITH THE TERMS OF THIS STANDBY LETTER OF CREDIT WILL BE DULY HONORED IF DRAWN AND PRESENTED FOR PAYMENT AT OUR OFFICE LOCATED AT [Insert Bank Name], [Insert Bank Address], ATTN: [Insert Appropriate Recipient], ON OR BEFORE THE EXPIRATION DATE OF THIS CREDIT, </w:t>
      </w:r>
      <w:r>
        <w:rPr>
          <w:rFonts w:ascii="Arial" w:cs="Arial" w:eastAsia="Arial" w:hAnsi="Arial"/>
          <w:sz w:val="16"/>
          <w:szCs w:val="16"/>
          <w:u w:val="single" w:color="auto"/>
          <w:color w:val="auto"/>
        </w:rPr>
        <w:t>(Expiration Date) .</w:t>
      </w:r>
    </w:p>
    <w:p>
      <w:pPr>
        <w:spacing w:after="0" w:line="155"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pacing w:after="0" w:line="178"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EXCEPT SO FAR AS OTHERWISE EXPRESSLY STATED HEREIN, THIS STANDBY LETTER OF CREDIT IS SUBJECT TO THE “INTERNATIONAL STANDBY PRACTICES” (ISP 98) INTERNATIONAL CHAMBER OF COMMERCE (PUBLICATION NO. 590).</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Very truly yours,</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(Name of Issuing Bank</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20320</wp:posOffset>
            </wp:positionV>
            <wp:extent cx="266065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1420"/>
          </w:cols>
          <w:pgMar w:left="240" w:top="271" w:right="23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H</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PACIFIC CORPORATE CENTER</w:t>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MARKET RENT DETERMINATION FACTORS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When determining Market Rent, the following rules and instructions shall be followed.</w:t>
      </w:r>
    </w:p>
    <w:p>
      <w:pPr>
        <w:spacing w:after="0" w:line="113" w:lineRule="exact"/>
        <w:rPr>
          <w:sz w:val="20"/>
          <w:szCs w:val="20"/>
          <w:color w:val="auto"/>
        </w:rPr>
      </w:pPr>
    </w:p>
    <w:p>
      <w:pPr>
        <w:ind w:right="20" w:firstLine="461"/>
        <w:spacing w:after="0" w:line="296" w:lineRule="auto"/>
        <w:tabs>
          <w:tab w:leader="none" w:pos="631" w:val="left"/>
        </w:tabs>
        <w:numPr>
          <w:ilvl w:val="0"/>
          <w:numId w:val="210"/>
        </w:numPr>
        <w:rPr>
          <w:rFonts w:ascii="Arial" w:cs="Arial" w:eastAsia="Arial" w:hAnsi="Arial"/>
          <w:sz w:val="15"/>
          <w:szCs w:val="15"/>
          <w:color w:val="auto"/>
        </w:rPr>
      </w:pPr>
      <w:r>
        <w:rPr>
          <w:rFonts w:ascii="Arial" w:cs="Arial" w:eastAsia="Arial" w:hAnsi="Arial"/>
          <w:sz w:val="15"/>
          <w:szCs w:val="15"/>
          <w:b w:val="1"/>
          <w:bCs w:val="1"/>
          <w:u w:val="single" w:color="auto"/>
          <w:color w:val="auto"/>
        </w:rPr>
        <w:t>RELEVANT FACTORS</w:t>
      </w:r>
      <w:r>
        <w:rPr>
          <w:rFonts w:ascii="Arial" w:cs="Arial" w:eastAsia="Arial" w:hAnsi="Arial"/>
          <w:sz w:val="15"/>
          <w:szCs w:val="15"/>
          <w:color w:val="auto"/>
        </w:rPr>
        <w:t>. The “</w:t>
      </w:r>
      <w:r>
        <w:rPr>
          <w:rFonts w:ascii="Arial" w:cs="Arial" w:eastAsia="Arial" w:hAnsi="Arial"/>
          <w:sz w:val="15"/>
          <w:szCs w:val="15"/>
          <w:b w:val="1"/>
          <w:bCs w:val="1"/>
          <w:color w:val="auto"/>
        </w:rPr>
        <w:t>Comparable Transactions</w:t>
      </w:r>
      <w:r>
        <w:rPr>
          <w:rFonts w:ascii="Arial" w:cs="Arial" w:eastAsia="Arial" w:hAnsi="Arial"/>
          <w:sz w:val="15"/>
          <w:szCs w:val="15"/>
          <w:color w:val="auto"/>
        </w:rPr>
        <w:t>” shall be the “Net Equivalent Lease Rates” per rentable square foot, at which tenants, are,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pursuant to transactions consummated within twelve (12) months prior to the commencement of the Option Term, leasing non-sublease, non-encumbered space comparable in location and quality to the Premises containing a square footage comparable to that of the Premises for a term of five (5) years, in an arm’s-length transaction, which comparable space is located in “Comparable Buildings.” The terms of the Comparable Transactions shall be calculated as a “Net Equivalent Lease Rate” pursuant to the terms of this </w:t>
      </w:r>
      <w:r>
        <w:rPr>
          <w:rFonts w:ascii="Arial" w:cs="Arial" w:eastAsia="Arial" w:hAnsi="Arial"/>
          <w:sz w:val="15"/>
          <w:szCs w:val="15"/>
          <w:b w:val="1"/>
          <w:bCs w:val="1"/>
          <w:u w:val="single" w:color="auto"/>
          <w:color w:val="auto"/>
        </w:rPr>
        <w:t>Exhibit H</w:t>
      </w:r>
      <w:r>
        <w:rPr>
          <w:rFonts w:ascii="Arial" w:cs="Arial" w:eastAsia="Arial" w:hAnsi="Arial"/>
          <w:sz w:val="15"/>
          <w:szCs w:val="15"/>
          <w:color w:val="auto"/>
        </w:rPr>
        <w:t>, and shall take into consideration only the following terms and concessions: (i) the rental rate and escalations for the Comparable Transactions, the amount of parking rent per parking permit paid in the Comparable Transactions, if any, operating expense and tax protection granted in such Comparable Transactions such as a base year or expense stop (although for each such Comparable Transaction the base rent shall be adjusted to a triple net base rent using reasonable estimates of operating expenses and taxes as determined by Landlord for each such Comparable Transaction); (iv) rental abatement concessions, if any, being granted such tenants in connection with such comparable space, (v) any “Renewal Allowance,” as defined herein below, to be provided by Tenant in connection with the Option Term as compared to the improvements or allowances provided or to be provided in the Comparable Transactions, taking into account the contributory value of the existing improvements in the Premises, such value to be based upon the age, design, quality of finishes, and layout of the existing improvements, and (vi) all other monetary concessions (including the value of any signage), if any, being granted such tenants in connection with such Comparable Transactions. Notwithstanding any contrary provision hereof, in determining the Market Rent, no consideration shall be given to any period of rental abatement, if any, granted to tenants in Comparable Transactions in connection with the design, permitting and construction of improvements, or any commission paid or not paid in connection with such Comparable Transaction. The Market Rent shall include adjustment of the stated size of the Premises based upon the standards of measurement utilized in the Comparable Transactions. The Market Rent shall additionally be subject to appropriate adjustments (if any) to account for differences in the then-existing financial condition of the Tenant vis-a-vis the subject tenants under the Comparable Transactions and taking into account any applicable credit enhancements (e.g., security deposits, letters of credit, guaranties, etc.).</w:t>
      </w:r>
    </w:p>
    <w:p>
      <w:pPr>
        <w:spacing w:after="0" w:line="259" w:lineRule="exact"/>
        <w:rPr>
          <w:rFonts w:ascii="Arial" w:cs="Arial" w:eastAsia="Arial" w:hAnsi="Arial"/>
          <w:sz w:val="15"/>
          <w:szCs w:val="15"/>
          <w:color w:val="auto"/>
        </w:rPr>
      </w:pPr>
    </w:p>
    <w:p>
      <w:pPr>
        <w:ind w:firstLine="461"/>
        <w:spacing w:after="0" w:line="292" w:lineRule="auto"/>
        <w:tabs>
          <w:tab w:leader="none" w:pos="631" w:val="left"/>
        </w:tabs>
        <w:numPr>
          <w:ilvl w:val="0"/>
          <w:numId w:val="210"/>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 SECURITY</w:t>
      </w:r>
      <w:r>
        <w:rPr>
          <w:rFonts w:ascii="Arial" w:cs="Arial" w:eastAsia="Arial" w:hAnsi="Arial"/>
          <w:sz w:val="16"/>
          <w:szCs w:val="16"/>
          <w:color w:val="auto"/>
        </w:rPr>
        <w:t>. The Market Rent shall additionally include a determination as to whether, and if so to what extent, Tenant must provide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with financial security, such as an enhanced security deposit, a letter of credit or guaranty, for Tenant’s Rent obligations during the Option Term; provided, however, Tenant shall only be obligated to provide additional financial security to the extent Tenant’s then-existing financial condition is materially worse than those existing as of the date of this Lease. Such determination shall be made by reviewing the extent of financial security then generally being imposed in</w:t>
      </w:r>
    </w:p>
    <w:p>
      <w:pPr>
        <w:spacing w:after="0" w:line="92" w:lineRule="exact"/>
        <w:rPr>
          <w:rFonts w:ascii="Arial" w:cs="Arial" w:eastAsia="Arial" w:hAnsi="Arial"/>
          <w:sz w:val="16"/>
          <w:szCs w:val="16"/>
          <w:color w:val="auto"/>
        </w:rPr>
      </w:pPr>
    </w:p>
    <w:p>
      <w:pPr>
        <w:ind w:left="5680" w:hanging="111"/>
        <w:spacing w:after="0"/>
        <w:tabs>
          <w:tab w:leader="none" w:pos="568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11420"/>
          </w:cols>
          <w:pgMar w:left="240" w:top="265" w:right="239" w:bottom="1440" w:gutter="0" w:footer="0" w:header="0"/>
        </w:sectPr>
      </w:pPr>
    </w:p>
    <w:bookmarkStart w:id="353" w:name="page354"/>
    <w:bookmarkEnd w:id="353"/>
    <w:p>
      <w:pPr>
        <w:ind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Comparable Transactions from tenants of comparable financial condition and credit history to the then existing financial condition and credit history of Tenant (with appropriate adjustments to account for differences in the then-existing financial condition of Tenant and such other tenants, and giving reasonable consideration to Tenant’s prior performance history during the Lease Term).</w:t>
      </w:r>
    </w:p>
    <w:p>
      <w:pPr>
        <w:spacing w:after="0" w:line="60" w:lineRule="exact"/>
        <w:rPr>
          <w:sz w:val="20"/>
          <w:szCs w:val="20"/>
          <w:color w:val="auto"/>
        </w:rPr>
      </w:pPr>
    </w:p>
    <w:p>
      <w:pPr>
        <w:ind w:firstLine="461"/>
        <w:spacing w:after="0" w:line="262" w:lineRule="auto"/>
        <w:tabs>
          <w:tab w:leader="none" w:pos="631" w:val="left"/>
        </w:tabs>
        <w:numPr>
          <w:ilvl w:val="0"/>
          <w:numId w:val="211"/>
        </w:numPr>
        <w:rPr>
          <w:rFonts w:ascii="Arial" w:cs="Arial" w:eastAsia="Arial" w:hAnsi="Arial"/>
          <w:sz w:val="17"/>
          <w:szCs w:val="17"/>
          <w:color w:val="auto"/>
        </w:rPr>
      </w:pPr>
      <w:r>
        <w:rPr>
          <w:rFonts w:ascii="Arial" w:cs="Arial" w:eastAsia="Arial" w:hAnsi="Arial"/>
          <w:sz w:val="17"/>
          <w:szCs w:val="17"/>
          <w:b w:val="1"/>
          <w:bCs w:val="1"/>
          <w:u w:val="single" w:color="auto"/>
          <w:color w:val="auto"/>
        </w:rPr>
        <w:t>RENEWAL IMPROVEMENT ALLOWANCE</w:t>
      </w:r>
      <w:r>
        <w:rPr>
          <w:rFonts w:ascii="Arial" w:cs="Arial" w:eastAsia="Arial" w:hAnsi="Arial"/>
          <w:sz w:val="17"/>
          <w:szCs w:val="17"/>
          <w:color w:val="auto"/>
        </w:rPr>
        <w:t>. Notwithstanding anything to the contrary set forth in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Exhibit H</w:t>
      </w:r>
      <w:r>
        <w:rPr>
          <w:rFonts w:ascii="Arial" w:cs="Arial" w:eastAsia="Arial" w:hAnsi="Arial"/>
          <w:sz w:val="17"/>
          <w:szCs w:val="17"/>
          <w:color w:val="auto"/>
        </w:rPr>
        <w:t>, once the Market Rent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Term is determined as a Net Equivalent Lease Rate, if, in connection with such determination, it is deemed that Tenant is entitled to an improvement or comparable allowance for the improvement of the Premises, (the total dollar value of such allowance shall be referred to herein as the “</w:t>
      </w:r>
      <w:r>
        <w:rPr>
          <w:rFonts w:ascii="Arial" w:cs="Arial" w:eastAsia="Arial" w:hAnsi="Arial"/>
          <w:sz w:val="17"/>
          <w:szCs w:val="17"/>
          <w:b w:val="1"/>
          <w:bCs w:val="1"/>
          <w:color w:val="auto"/>
        </w:rPr>
        <w:t>Renewal Allowance</w:t>
      </w:r>
      <w:r>
        <w:rPr>
          <w:rFonts w:ascii="Arial" w:cs="Arial" w:eastAsia="Arial" w:hAnsi="Arial"/>
          <w:sz w:val="17"/>
          <w:szCs w:val="17"/>
          <w:color w:val="auto"/>
        </w:rPr>
        <w:t xml:space="preserve">”), Landlord shall pay the Renewal Allowance to Tenant pursuant to a commercially reasonable disbursement procedure determined by Landlord and the terms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this Lease and the rental rate component of the Market Rent shall be increased to be a rental rate which takes into consideration that Tenant will receive payment of such Renewal Allowance and, accordingly, such payment (with interest at a then-applicable, commercially reasonable amortization rate) shall be factored into the base rent component of the Market Rent. Notwithstanding any provision to the contrary, in no event shall Tenant be obligated to accept a Renewal Allowance once the Market Rent has been determined, and in the event Tenant elects not to accept such a Renewal Allowance, the Market Rent shall be adjusted accordingly to take account of such non-election.</w:t>
      </w:r>
    </w:p>
    <w:p>
      <w:pPr>
        <w:spacing w:after="0" w:line="69" w:lineRule="exact"/>
        <w:rPr>
          <w:rFonts w:ascii="Arial" w:cs="Arial" w:eastAsia="Arial" w:hAnsi="Arial"/>
          <w:sz w:val="17"/>
          <w:szCs w:val="17"/>
          <w:color w:val="auto"/>
        </w:rPr>
      </w:pPr>
    </w:p>
    <w:p>
      <w:pPr>
        <w:ind w:firstLine="461"/>
        <w:spacing w:after="0" w:line="282" w:lineRule="auto"/>
        <w:tabs>
          <w:tab w:leader="none" w:pos="631" w:val="left"/>
        </w:tabs>
        <w:numPr>
          <w:ilvl w:val="0"/>
          <w:numId w:val="211"/>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COMPARABLE BUILDINGS</w:t>
      </w:r>
      <w:r>
        <w:rPr>
          <w:rFonts w:ascii="Arial" w:cs="Arial" w:eastAsia="Arial" w:hAnsi="Arial"/>
          <w:sz w:val="16"/>
          <w:szCs w:val="16"/>
          <w:color w:val="auto"/>
        </w:rPr>
        <w:t>. For purposes of this Lease, the term “</w:t>
      </w:r>
      <w:r>
        <w:rPr>
          <w:rFonts w:ascii="Arial" w:cs="Arial" w:eastAsia="Arial" w:hAnsi="Arial"/>
          <w:sz w:val="16"/>
          <w:szCs w:val="16"/>
          <w:b w:val="1"/>
          <w:bCs w:val="1"/>
          <w:color w:val="auto"/>
        </w:rPr>
        <w:t>Comparable Buildings</w:t>
      </w:r>
      <w:r>
        <w:rPr>
          <w:rFonts w:ascii="Arial" w:cs="Arial" w:eastAsia="Arial" w:hAnsi="Arial"/>
          <w:sz w:val="16"/>
          <w:szCs w:val="16"/>
          <w:color w:val="auto"/>
        </w:rPr>
        <w:t>” shall mean first-class multi-tenant occupancy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and development buildings (based on the approximate percentage of lab to office buildout) which are comparable to the Building in terms of age (based upon the date of completion of construction or major renovation), quality of construction, level of services and amenities (including, but not limited to, the type (e.g., surface, covered, subterranean) and amount of parking), size and appearance, and are located in the “Comparable Area,” which is the “Sorrento Mesa, University Towne Center, Torrey Pines and Del Mar/Carmel Valley Area.” The “</w:t>
      </w:r>
      <w:r>
        <w:rPr>
          <w:rFonts w:ascii="Arial" w:cs="Arial" w:eastAsia="Arial" w:hAnsi="Arial"/>
          <w:sz w:val="16"/>
          <w:szCs w:val="16"/>
          <w:b w:val="1"/>
          <w:bCs w:val="1"/>
          <w:color w:val="auto"/>
        </w:rPr>
        <w:t>Sorrento Mesa, University Towne Center, Torrey Pines and Del Mar/Carmel Valley</w:t>
      </w:r>
      <w:r>
        <w:rPr>
          <w:rFonts w:ascii="Arial" w:cs="Arial" w:eastAsia="Arial" w:hAnsi="Arial"/>
          <w:sz w:val="16"/>
          <w:szCs w:val="16"/>
          <w:color w:val="auto"/>
        </w:rPr>
        <w:t xml:space="preserve"> </w:t>
      </w:r>
      <w:r>
        <w:rPr>
          <w:rFonts w:ascii="Arial" w:cs="Arial" w:eastAsia="Arial" w:hAnsi="Arial"/>
          <w:sz w:val="16"/>
          <w:szCs w:val="16"/>
          <w:b w:val="1"/>
          <w:bCs w:val="1"/>
          <w:color w:val="auto"/>
        </w:rPr>
        <w:t>Area</w:t>
      </w:r>
      <w:r>
        <w:rPr>
          <w:rFonts w:ascii="Arial" w:cs="Arial" w:eastAsia="Arial" w:hAnsi="Arial"/>
          <w:sz w:val="16"/>
          <w:szCs w:val="16"/>
          <w:color w:val="auto"/>
        </w:rPr>
        <w:t>” shall be the area containing Comparable Buildings which have reasonably comparable freeway access to the Project and which are within an area bounded</w:t>
      </w:r>
      <w:r>
        <w:rPr>
          <w:rFonts w:ascii="Arial" w:cs="Arial" w:eastAsia="Arial" w:hAnsi="Arial"/>
          <w:sz w:val="16"/>
          <w:szCs w:val="16"/>
          <w:b w:val="1"/>
          <w:bCs w:val="1"/>
          <w:color w:val="auto"/>
        </w:rPr>
        <w:t xml:space="preserve"> </w:t>
      </w:r>
      <w:r>
        <w:rPr>
          <w:rFonts w:ascii="Arial" w:cs="Arial" w:eastAsia="Arial" w:hAnsi="Arial"/>
          <w:sz w:val="16"/>
          <w:szCs w:val="16"/>
          <w:color w:val="auto"/>
        </w:rPr>
        <w:t>by SR-52 on the South side, SR-56 on the North side, I-15 on the East side, and the Pacific Ocean on the West side.</w:t>
      </w:r>
    </w:p>
    <w:p>
      <w:pPr>
        <w:spacing w:after="0" w:line="103" w:lineRule="exact"/>
        <w:rPr>
          <w:rFonts w:ascii="Arial" w:cs="Arial" w:eastAsia="Arial" w:hAnsi="Arial"/>
          <w:sz w:val="16"/>
          <w:szCs w:val="16"/>
          <w:color w:val="auto"/>
        </w:rPr>
      </w:pPr>
    </w:p>
    <w:p>
      <w:pPr>
        <w:ind w:left="5680" w:hanging="111"/>
        <w:spacing w:after="0"/>
        <w:tabs>
          <w:tab w:leader="none" w:pos="568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6 -</w:t>
      </w:r>
    </w:p>
    <w:p>
      <w:pPr>
        <w:sectPr>
          <w:pgSz w:w="11900" w:h="16838" w:orient="portrait"/>
          <w:cols w:equalWidth="0" w:num="1">
            <w:col w:w="11280"/>
          </w:cols>
          <w:pgMar w:left="240" w:top="271" w:right="379" w:bottom="1440" w:gutter="0" w:footer="0" w:header="0"/>
        </w:sectPr>
      </w:pPr>
    </w:p>
    <w:bookmarkStart w:id="354" w:name="page355"/>
    <w:bookmarkEnd w:id="354"/>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FIRST AMENDMENT TO OFFICE LEASE</w:t>
      </w:r>
    </w:p>
    <w:p>
      <w:pPr>
        <w:spacing w:after="0" w:line="224" w:lineRule="exact"/>
        <w:rPr>
          <w:sz w:val="20"/>
          <w:szCs w:val="20"/>
          <w:color w:val="auto"/>
        </w:rPr>
      </w:pPr>
    </w:p>
    <w:p>
      <w:pPr>
        <w:ind w:right="180" w:firstLine="457"/>
        <w:spacing w:after="0" w:line="296" w:lineRule="auto"/>
        <w:rPr>
          <w:sz w:val="20"/>
          <w:szCs w:val="20"/>
          <w:color w:val="auto"/>
        </w:rPr>
      </w:pPr>
      <w:r>
        <w:rPr>
          <w:rFonts w:ascii="Arial" w:cs="Arial" w:eastAsia="Arial" w:hAnsi="Arial"/>
          <w:sz w:val="17"/>
          <w:szCs w:val="17"/>
          <w:color w:val="auto"/>
        </w:rPr>
        <w:t>This FIRST AMENDMENT TO OFFICE LEASE (“</w:t>
      </w:r>
      <w:r>
        <w:rPr>
          <w:rFonts w:ascii="Arial" w:cs="Arial" w:eastAsia="Arial" w:hAnsi="Arial"/>
          <w:sz w:val="17"/>
          <w:szCs w:val="17"/>
          <w:b w:val="1"/>
          <w:bCs w:val="1"/>
          <w:color w:val="auto"/>
        </w:rPr>
        <w:t>First Amendment</w:t>
      </w:r>
      <w:r>
        <w:rPr>
          <w:rFonts w:ascii="Arial" w:cs="Arial" w:eastAsia="Arial" w:hAnsi="Arial"/>
          <w:sz w:val="17"/>
          <w:szCs w:val="17"/>
          <w:color w:val="auto"/>
        </w:rPr>
        <w:t>”) is made and entered into as of the 10th day of September, 2015, by and between KILROY REALTY, L.P., a Delaware limited partnership (“</w:t>
      </w:r>
      <w:r>
        <w:rPr>
          <w:rFonts w:ascii="Arial" w:cs="Arial" w:eastAsia="Arial" w:hAnsi="Arial"/>
          <w:sz w:val="17"/>
          <w:szCs w:val="17"/>
          <w:b w:val="1"/>
          <w:bCs w:val="1"/>
          <w:color w:val="auto"/>
        </w:rPr>
        <w:t>Landlord</w:t>
      </w:r>
      <w:r>
        <w:rPr>
          <w:rFonts w:ascii="Arial" w:cs="Arial" w:eastAsia="Arial" w:hAnsi="Arial"/>
          <w:sz w:val="17"/>
          <w:szCs w:val="17"/>
          <w:color w:val="auto"/>
        </w:rPr>
        <w:t>”), and ANAPTYSBIO, INC.,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 E C I T A L S</w:t>
      </w:r>
      <w:r>
        <w:rPr>
          <w:rFonts w:ascii="Arial" w:cs="Arial" w:eastAsia="Arial" w:hAnsi="Arial"/>
          <w:sz w:val="17"/>
          <w:szCs w:val="17"/>
          <w:color w:val="auto"/>
        </w:rPr>
        <w:t xml:space="preserve"> :</w:t>
      </w:r>
    </w:p>
    <w:p>
      <w:pPr>
        <w:spacing w:after="0" w:line="218" w:lineRule="exact"/>
        <w:rPr>
          <w:sz w:val="20"/>
          <w:szCs w:val="20"/>
          <w:color w:val="auto"/>
        </w:rPr>
      </w:pPr>
    </w:p>
    <w:p>
      <w:pPr>
        <w:ind w:firstLine="457"/>
        <w:spacing w:after="0" w:line="301" w:lineRule="auto"/>
        <w:rPr>
          <w:sz w:val="20"/>
          <w:szCs w:val="20"/>
          <w:color w:val="auto"/>
        </w:rPr>
      </w:pPr>
      <w:r>
        <w:rPr>
          <w:rFonts w:ascii="Arial" w:cs="Arial" w:eastAsia="Arial" w:hAnsi="Arial"/>
          <w:sz w:val="16"/>
          <w:szCs w:val="16"/>
          <w:color w:val="auto"/>
        </w:rPr>
        <w:t>A. Landlord and Tenant entered into that certain Office Lease dated April 19, 2011 (the “</w:t>
      </w:r>
      <w:r>
        <w:rPr>
          <w:rFonts w:ascii="Arial" w:cs="Arial" w:eastAsia="Arial" w:hAnsi="Arial"/>
          <w:sz w:val="16"/>
          <w:szCs w:val="16"/>
          <w:b w:val="1"/>
          <w:bCs w:val="1"/>
          <w:color w:val="auto"/>
        </w:rPr>
        <w:t>Lease</w:t>
      </w:r>
      <w:r>
        <w:rPr>
          <w:rFonts w:ascii="Arial" w:cs="Arial" w:eastAsia="Arial" w:hAnsi="Arial"/>
          <w:sz w:val="16"/>
          <w:szCs w:val="16"/>
          <w:color w:val="auto"/>
        </w:rPr>
        <w:t>”), whereby Landlord leases to Tenant and Tenant leases from Landlord that certain space consisting (i) primarily of Suite 200 located on the second (2</w:t>
      </w:r>
      <w:r>
        <w:rPr>
          <w:rFonts w:ascii="Arial" w:cs="Arial" w:eastAsia="Arial" w:hAnsi="Arial"/>
          <w:sz w:val="13"/>
          <w:szCs w:val="13"/>
          <w:color w:val="auto"/>
        </w:rPr>
        <w:t>nd</w:t>
      </w:r>
      <w:r>
        <w:rPr>
          <w:rFonts w:ascii="Arial" w:cs="Arial" w:eastAsia="Arial" w:hAnsi="Arial"/>
          <w:sz w:val="16"/>
          <w:szCs w:val="16"/>
          <w:color w:val="auto"/>
        </w:rPr>
        <w:t>) floor of the “Building” (defined below), and (ii) a conference room located on the first (1</w:t>
      </w:r>
      <w:r>
        <w:rPr>
          <w:rFonts w:ascii="Arial" w:cs="Arial" w:eastAsia="Arial" w:hAnsi="Arial"/>
          <w:sz w:val="13"/>
          <w:szCs w:val="13"/>
          <w:color w:val="auto"/>
        </w:rPr>
        <w:t>st</w:t>
      </w:r>
      <w:r>
        <w:rPr>
          <w:rFonts w:ascii="Arial" w:cs="Arial" w:eastAsia="Arial" w:hAnsi="Arial"/>
          <w:sz w:val="16"/>
          <w:szCs w:val="16"/>
          <w:color w:val="auto"/>
        </w:rPr>
        <w:t>) floor (the “</w:t>
      </w:r>
      <w:r>
        <w:rPr>
          <w:rFonts w:ascii="Arial" w:cs="Arial" w:eastAsia="Arial" w:hAnsi="Arial"/>
          <w:sz w:val="16"/>
          <w:szCs w:val="16"/>
          <w:b w:val="1"/>
          <w:bCs w:val="1"/>
          <w:color w:val="auto"/>
        </w:rPr>
        <w:t>Premises</w:t>
      </w:r>
      <w:r>
        <w:rPr>
          <w:rFonts w:ascii="Arial" w:cs="Arial" w:eastAsia="Arial" w:hAnsi="Arial"/>
          <w:sz w:val="16"/>
          <w:szCs w:val="16"/>
          <w:color w:val="auto"/>
        </w:rPr>
        <w:t>”) of that certain building located at 10421 Pacific Center Court, San Diego, California 92121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The parties desire to amend the Lease on the terms and conditions set forth in this First Amendment.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 G R E E M E N T</w:t>
      </w:r>
      <w:r>
        <w:rPr>
          <w:rFonts w:ascii="Arial" w:cs="Arial" w:eastAsia="Arial" w:hAnsi="Arial"/>
          <w:sz w:val="17"/>
          <w:szCs w:val="17"/>
          <w:color w:val="auto"/>
        </w:rPr>
        <w:t xml:space="preserve"> :</w:t>
      </w:r>
    </w:p>
    <w:p>
      <w:pPr>
        <w:spacing w:after="0" w:line="224"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47" w:lineRule="exact"/>
        <w:rPr>
          <w:sz w:val="20"/>
          <w:szCs w:val="20"/>
          <w:color w:val="auto"/>
        </w:rPr>
      </w:pPr>
    </w:p>
    <w:p>
      <w:pPr>
        <w:ind w:right="240" w:firstLine="461"/>
        <w:spacing w:after="0" w:line="296" w:lineRule="auto"/>
        <w:tabs>
          <w:tab w:leader="none" w:pos="631" w:val="left"/>
        </w:tabs>
        <w:numPr>
          <w:ilvl w:val="0"/>
          <w:numId w:val="212"/>
        </w:numPr>
        <w:rPr>
          <w:rFonts w:ascii="Arial" w:cs="Arial" w:eastAsia="Arial" w:hAnsi="Arial"/>
          <w:sz w:val="17"/>
          <w:szCs w:val="17"/>
          <w:color w:val="auto"/>
        </w:rPr>
      </w:pPr>
      <w:r>
        <w:rPr>
          <w:rFonts w:ascii="Arial" w:cs="Arial" w:eastAsia="Arial" w:hAnsi="Arial"/>
          <w:sz w:val="17"/>
          <w:szCs w:val="17"/>
          <w:b w:val="1"/>
          <w:bCs w:val="1"/>
          <w:u w:val="single" w:color="auto"/>
          <w:color w:val="auto"/>
        </w:rPr>
        <w:t>Terms</w:t>
      </w:r>
      <w:r>
        <w:rPr>
          <w:rFonts w:ascii="Arial" w:cs="Arial" w:eastAsia="Arial" w:hAnsi="Arial"/>
          <w:sz w:val="17"/>
          <w:szCs w:val="17"/>
          <w:color w:val="auto"/>
        </w:rPr>
        <w:t>. All capitalized terms when used herein shall have the same respective meanings as are given such terms in the Lease unless expressly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in this First Amendment.</w:t>
      </w:r>
    </w:p>
    <w:p>
      <w:pPr>
        <w:spacing w:after="0" w:line="146" w:lineRule="exact"/>
        <w:rPr>
          <w:rFonts w:ascii="Arial" w:cs="Arial" w:eastAsia="Arial" w:hAnsi="Arial"/>
          <w:sz w:val="17"/>
          <w:szCs w:val="17"/>
          <w:color w:val="auto"/>
        </w:rPr>
      </w:pPr>
    </w:p>
    <w:p>
      <w:pPr>
        <w:ind w:left="640" w:hanging="179"/>
        <w:spacing w:after="0"/>
        <w:tabs>
          <w:tab w:leader="none" w:pos="640" w:val="left"/>
        </w:tabs>
        <w:numPr>
          <w:ilvl w:val="0"/>
          <w:numId w:val="212"/>
        </w:numPr>
        <w:rPr>
          <w:rFonts w:ascii="Arial" w:cs="Arial" w:eastAsia="Arial" w:hAnsi="Arial"/>
          <w:sz w:val="17"/>
          <w:szCs w:val="17"/>
          <w:color w:val="auto"/>
        </w:rPr>
      </w:pPr>
      <w:r>
        <w:rPr>
          <w:rFonts w:ascii="Arial" w:cs="Arial" w:eastAsia="Arial" w:hAnsi="Arial"/>
          <w:sz w:val="17"/>
          <w:szCs w:val="17"/>
          <w:b w:val="1"/>
          <w:bCs w:val="1"/>
          <w:u w:val="single" w:color="auto"/>
          <w:color w:val="auto"/>
        </w:rPr>
        <w:t>Premises</w:t>
      </w:r>
      <w:r>
        <w:rPr>
          <w:rFonts w:ascii="Arial" w:cs="Arial" w:eastAsia="Arial" w:hAnsi="Arial"/>
          <w:sz w:val="17"/>
          <w:szCs w:val="17"/>
          <w:u w:val="single" w:color="auto"/>
          <w:color w:val="auto"/>
        </w:rPr>
        <w:t>.</w:t>
      </w:r>
    </w:p>
    <w:p>
      <w:pPr>
        <w:spacing w:after="0" w:line="119"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Square Footage of Premises</w:t>
      </w:r>
      <w:r>
        <w:rPr>
          <w:rFonts w:ascii="Arial" w:cs="Arial" w:eastAsia="Arial" w:hAnsi="Arial"/>
          <w:sz w:val="16"/>
          <w:szCs w:val="16"/>
          <w:color w:val="auto"/>
        </w:rPr>
        <w:t xml:space="preserve">. Notwithstanding any provision to the contrary set forth in the Lease (specifically including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attached to the Lease), Landlord and Tenant acknowledge and agree that the aggregate rentable square footage of the Premises is 25,450 rentable square feet of space consisting of (i) 25,296 rentable square feet commonly known as Suite 200 and located on the second (2</w:t>
      </w:r>
      <w:r>
        <w:rPr>
          <w:rFonts w:ascii="Arial" w:cs="Arial" w:eastAsia="Arial" w:hAnsi="Arial"/>
          <w:sz w:val="13"/>
          <w:szCs w:val="13"/>
          <w:color w:val="auto"/>
        </w:rPr>
        <w:t>nd</w:t>
      </w:r>
      <w:r>
        <w:rPr>
          <w:rFonts w:ascii="Arial" w:cs="Arial" w:eastAsia="Arial" w:hAnsi="Arial"/>
          <w:sz w:val="16"/>
          <w:szCs w:val="16"/>
          <w:color w:val="auto"/>
        </w:rPr>
        <w:t xml:space="preserve">) floor of the Building, and (ii) 154 rentable square feet of space on the first floor of the Building. Effective as of September 1, 2016 and continuing throughout the “Extended Term” (as that term is defined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below), the Premises shall be deemed to contain 25,450 rentable square feet of space for all purposes under the Lease.</w:t>
      </w:r>
    </w:p>
    <w:p>
      <w:pPr>
        <w:spacing w:after="0" w:line="157" w:lineRule="exact"/>
        <w:rPr>
          <w:sz w:val="20"/>
          <w:szCs w:val="20"/>
          <w:color w:val="auto"/>
        </w:rPr>
      </w:pPr>
    </w:p>
    <w:p>
      <w:pPr>
        <w:jc w:val="both"/>
        <w:ind w:right="20" w:firstLine="913"/>
        <w:spacing w:after="0" w:line="297"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b w:val="1"/>
          <w:bCs w:val="1"/>
          <w:u w:val="single" w:color="auto"/>
          <w:color w:val="auto"/>
        </w:rPr>
        <w:t>Condition of the Premises</w:t>
      </w:r>
      <w:r>
        <w:rPr>
          <w:rFonts w:ascii="Arial" w:cs="Arial" w:eastAsia="Arial" w:hAnsi="Arial"/>
          <w:sz w:val="15"/>
          <w:szCs w:val="15"/>
          <w:color w:val="auto"/>
        </w:rPr>
        <w:t xml:space="preserve">. Landlord and Tenant acknowledge that Tenant has been occupying the Premises pursuant to the Lease, and therefore Tenant continues to accept the Premises in its presently existing, “as is” condition. Except as expressly set forth in this </w:t>
      </w:r>
      <w:r>
        <w:rPr>
          <w:rFonts w:ascii="Arial" w:cs="Arial" w:eastAsia="Arial" w:hAnsi="Arial"/>
          <w:sz w:val="15"/>
          <w:szCs w:val="15"/>
          <w:u w:val="single" w:color="auto"/>
          <w:color w:val="auto"/>
        </w:rPr>
        <w:t>Section 2.2</w:t>
      </w:r>
      <w:r>
        <w:rPr>
          <w:rFonts w:ascii="Arial" w:cs="Arial" w:eastAsia="Arial" w:hAnsi="Arial"/>
          <w:sz w:val="15"/>
          <w:szCs w:val="15"/>
          <w:color w:val="auto"/>
        </w:rPr>
        <w:t>, Landlord shall not be obligated to provide or pay for any improvement work or services related to the improvement of the Premises. Notwithstanding the foregoing, Landlord agrees that Landlord shall, on a one (1)-time basis and at Landlord’s sole cost and expense, perform the following work utilizing Building standard methods, materials and finishes:</w:t>
      </w:r>
    </w:p>
    <w:p>
      <w:pPr>
        <w:spacing w:after="0" w:line="2" w:lineRule="exact"/>
        <w:rPr>
          <w:sz w:val="20"/>
          <w:szCs w:val="20"/>
          <w:color w:val="auto"/>
        </w:rPr>
      </w:pPr>
    </w:p>
    <w:p>
      <w:pPr>
        <w:ind w:right="60" w:firstLine="5"/>
        <w:spacing w:after="0" w:line="281" w:lineRule="auto"/>
        <w:tabs>
          <w:tab w:leader="none" w:pos="20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replace the existing supplemental HVAC unit which services the server room located in the Premises with a new HVAC unit which is reasonably comparable to the existing supplemental HVAC unit (the exact make, model and specifications of which shall be reasonably and mutually agreed upon by Landlord and Tenant), and (ii) balance and service the HVAC system which services the entire Premises (the extent and scope of which shall be determined in Landlord’s reasonable discretion) (collectively, the “</w:t>
      </w:r>
      <w:r>
        <w:rPr>
          <w:rFonts w:ascii="Arial" w:cs="Arial" w:eastAsia="Arial" w:hAnsi="Arial"/>
          <w:sz w:val="16"/>
          <w:szCs w:val="16"/>
          <w:b w:val="1"/>
          <w:bCs w:val="1"/>
          <w:color w:val="auto"/>
        </w:rPr>
        <w:t>Landlord’s Work</w:t>
      </w:r>
      <w:r>
        <w:rPr>
          <w:rFonts w:ascii="Arial" w:cs="Arial" w:eastAsia="Arial" w:hAnsi="Arial"/>
          <w:sz w:val="16"/>
          <w:szCs w:val="16"/>
          <w:color w:val="auto"/>
        </w:rPr>
        <w:t>”). Tenant shall provide a clear working area for Landlord’s Work, as necessary, and upon Landlord’s reasonable request, move any furniture, trade fixtures and personal property in the Premises in such a manner as to accommodate Landlord’s</w:t>
      </w:r>
    </w:p>
    <w:p>
      <w:pPr>
        <w:sectPr>
          <w:pgSz w:w="11900" w:h="16838" w:orient="portrait"/>
          <w:cols w:equalWidth="0" w:num="1">
            <w:col w:w="11420"/>
          </w:cols>
          <w:pgMar w:left="240" w:top="265" w:right="239" w:bottom="1440" w:gutter="0" w:footer="0" w:header="0"/>
        </w:sectPr>
      </w:pPr>
    </w:p>
    <w:bookmarkStart w:id="355" w:name="page356"/>
    <w:bookmarkEnd w:id="355"/>
    <w:p>
      <w:pPr>
        <w:ind w:right="2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performance of Landlord’s Work. Tenant hereby agrees that the performance of Landlord’s Work shall in no way constitute a constructive eviction of Tenant nor entitle Tenant to any abatement of rent. Landlord shall have no responsibility or for any reason be liable to Tenant for any direct or indirect injury to or interference with Tenant’s business arising from Landlord’s Work, nor shall Tenant be entitled to any compensation or damages from Landlord for (i) any loss or damage to Tenant’s furniture, trade fixtures or personal property sustained in connection with Landlord’s performance of Landlord’s Work or the relocation of any such items in order to perform Landlord’s Work, or (ii) loss of use of the whole or any part of the Premises or of Tenant’s personal property or improvements resulting from Landlord’s Work or Landlord’s actions (or the actions of Landlord’s contractors, employees and/or agents) in connection with Landlord’s Work, or for any inconvenience or annoyance occasioned by Landlord’s Work or Landlord’s actions (or the actions of Landlord’s contractors, employees and/or agents) in connection with Landlord’s Work. Further, Tenant acknowledges that neither Landlord nor any agent of Landlord has made any representation or warranty regarding the condition of the Premises or the Building with respect to the suitability of the same for the conduct of Tenant’s business. Tenant acknowledges and agrees that Landlord is not in default or violation of any covenant, provision, obligation, agreement or condition contained in the Lease.</w:t>
      </w:r>
    </w:p>
    <w:p>
      <w:pPr>
        <w:spacing w:after="0" w:line="167" w:lineRule="exact"/>
        <w:rPr>
          <w:sz w:val="20"/>
          <w:szCs w:val="20"/>
          <w:color w:val="auto"/>
        </w:rPr>
      </w:pPr>
    </w:p>
    <w:p>
      <w:pPr>
        <w:ind w:left="640" w:hanging="179"/>
        <w:spacing w:after="0"/>
        <w:tabs>
          <w:tab w:leader="none" w:pos="640" w:val="left"/>
        </w:tabs>
        <w:numPr>
          <w:ilvl w:val="0"/>
          <w:numId w:val="214"/>
        </w:numPr>
        <w:rPr>
          <w:rFonts w:ascii="Arial" w:cs="Arial" w:eastAsia="Arial" w:hAnsi="Arial"/>
          <w:sz w:val="17"/>
          <w:szCs w:val="17"/>
          <w:color w:val="auto"/>
        </w:rPr>
      </w:pPr>
      <w:r>
        <w:rPr>
          <w:rFonts w:ascii="Arial" w:cs="Arial" w:eastAsia="Arial" w:hAnsi="Arial"/>
          <w:sz w:val="17"/>
          <w:szCs w:val="17"/>
          <w:b w:val="1"/>
          <w:bCs w:val="1"/>
          <w:u w:val="single" w:color="auto"/>
          <w:color w:val="auto"/>
        </w:rPr>
        <w:t>Lease Term</w:t>
      </w:r>
      <w:r>
        <w:rPr>
          <w:rFonts w:ascii="Arial" w:cs="Arial" w:eastAsia="Arial" w:hAnsi="Arial"/>
          <w:sz w:val="17"/>
          <w:szCs w:val="17"/>
          <w:u w:val="single" w:color="auto"/>
          <w:color w:val="auto"/>
        </w:rPr>
        <w:t>.</w:t>
      </w:r>
    </w:p>
    <w:p>
      <w:pPr>
        <w:spacing w:after="0" w:line="119" w:lineRule="exact"/>
        <w:rPr>
          <w:sz w:val="20"/>
          <w:szCs w:val="20"/>
          <w:color w:val="auto"/>
        </w:rPr>
      </w:pPr>
    </w:p>
    <w:p>
      <w:pPr>
        <w:ind w:right="140" w:firstLine="913"/>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Extended Lease Term</w:t>
      </w:r>
      <w:r>
        <w:rPr>
          <w:rFonts w:ascii="Arial" w:cs="Arial" w:eastAsia="Arial" w:hAnsi="Arial"/>
          <w:sz w:val="17"/>
          <w:szCs w:val="17"/>
          <w:color w:val="auto"/>
        </w:rPr>
        <w:t>. Pursuant to the Lease, the Lease Term is scheduled to expire on August 31, 2016. Landlord and Tenant hereby agree to extend the Lease Term for a period of five (5) years, from September 1, 2016, until August 31, 2021, on the terms and conditions set forth in the Lease, as hereby amended by this First Amendment, unless sooner terminated as provided in the Lease. The period of time commencing on September 1, 2016, and ending on August 31, 2021, shall be referred to herein as the “</w:t>
      </w:r>
      <w:r>
        <w:rPr>
          <w:rFonts w:ascii="Arial" w:cs="Arial" w:eastAsia="Arial" w:hAnsi="Arial"/>
          <w:sz w:val="17"/>
          <w:szCs w:val="17"/>
          <w:b w:val="1"/>
          <w:bCs w:val="1"/>
          <w:color w:val="auto"/>
        </w:rPr>
        <w:t>Extended Term</w:t>
      </w:r>
      <w:r>
        <w:rPr>
          <w:rFonts w:ascii="Arial" w:cs="Arial" w:eastAsia="Arial" w:hAnsi="Arial"/>
          <w:sz w:val="17"/>
          <w:szCs w:val="17"/>
          <w:color w:val="auto"/>
        </w:rPr>
        <w:t>.”</w:t>
      </w:r>
    </w:p>
    <w:p>
      <w:pPr>
        <w:spacing w:after="0" w:line="16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No Further Right to Extend Lease Term</w:t>
      </w:r>
      <w:r>
        <w:rPr>
          <w:rFonts w:ascii="Arial" w:cs="Arial" w:eastAsia="Arial" w:hAnsi="Arial"/>
          <w:sz w:val="17"/>
          <w:szCs w:val="17"/>
          <w:color w:val="auto"/>
        </w:rPr>
        <w:t xml:space="preserve">. Landlord and Tenant acknowledge and agree that the Extended Term provided herein shall be deemed to represent Tenant’s option to extend the Lease Term as provided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of the Lease, and therefore, effective as of the date of this First Amendment,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of the Lease shall be terminated and of no further force or effect.</w:t>
      </w:r>
    </w:p>
    <w:p>
      <w:pPr>
        <w:spacing w:after="0" w:line="164" w:lineRule="exact"/>
        <w:rPr>
          <w:sz w:val="20"/>
          <w:szCs w:val="20"/>
          <w:color w:val="auto"/>
        </w:rPr>
      </w:pPr>
    </w:p>
    <w:p>
      <w:pPr>
        <w:ind w:left="640" w:hanging="179"/>
        <w:spacing w:after="0"/>
        <w:tabs>
          <w:tab w:leader="none" w:pos="640" w:val="left"/>
        </w:tabs>
        <w:numPr>
          <w:ilvl w:val="0"/>
          <w:numId w:val="215"/>
        </w:numPr>
        <w:rPr>
          <w:rFonts w:ascii="Arial" w:cs="Arial" w:eastAsia="Arial" w:hAnsi="Arial"/>
          <w:sz w:val="17"/>
          <w:szCs w:val="17"/>
          <w:color w:val="auto"/>
        </w:rPr>
      </w:pPr>
      <w:r>
        <w:rPr>
          <w:rFonts w:ascii="Arial" w:cs="Arial" w:eastAsia="Arial" w:hAnsi="Arial"/>
          <w:sz w:val="17"/>
          <w:szCs w:val="17"/>
          <w:b w:val="1"/>
          <w:bCs w:val="1"/>
          <w:u w:val="single" w:color="auto"/>
          <w:color w:val="auto"/>
        </w:rPr>
        <w:t>Rent</w:t>
      </w:r>
      <w:r>
        <w:rPr>
          <w:rFonts w:ascii="Arial" w:cs="Arial" w:eastAsia="Arial" w:hAnsi="Arial"/>
          <w:sz w:val="17"/>
          <w:szCs w:val="17"/>
          <w:u w:val="single" w:color="auto"/>
          <w:color w:val="auto"/>
        </w:rPr>
        <w:t>.</w:t>
      </w:r>
    </w:p>
    <w:p>
      <w:pPr>
        <w:spacing w:after="0" w:line="224" w:lineRule="exact"/>
        <w:rPr>
          <w:sz w:val="20"/>
          <w:szCs w:val="20"/>
          <w:color w:val="auto"/>
        </w:rPr>
      </w:pPr>
    </w:p>
    <w:p>
      <w:pPr>
        <w:jc w:val="both"/>
        <w:ind w:right="160" w:firstLine="913"/>
        <w:spacing w:after="0" w:line="27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u w:val="single" w:color="auto"/>
          <w:color w:val="auto"/>
        </w:rPr>
        <w:t>Base Rent</w:t>
      </w:r>
      <w:r>
        <w:rPr>
          <w:rFonts w:ascii="Arial" w:cs="Arial" w:eastAsia="Arial" w:hAnsi="Arial"/>
          <w:sz w:val="17"/>
          <w:szCs w:val="17"/>
          <w:color w:val="auto"/>
        </w:rPr>
        <w:t>. Prior to September 1, 2016, Tenant shall continue to pay monthly installments of Base Rent for the Premises in accordance with the terms of the Lease. During the Extended Term, Tenant shall pay monthly installments of Base Rent for the Premises as follows, but otherwise in accordance with the terms of the Lease:</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Arial" w:cs="Arial" w:eastAsia="Arial" w:hAnsi="Arial"/>
                <w:sz w:val="14"/>
                <w:szCs w:val="14"/>
                <w:color w:val="auto"/>
              </w:rPr>
              <w:t>Period During</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gridSpan w:val="2"/>
          </w:tcPr>
          <w:p>
            <w:pPr>
              <w:jc w:val="center"/>
              <w:ind w:right="800"/>
              <w:spacing w:after="0"/>
              <w:rPr>
                <w:sz w:val="20"/>
                <w:szCs w:val="20"/>
                <w:color w:val="auto"/>
              </w:rPr>
            </w:pPr>
            <w:r>
              <w:rPr>
                <w:rFonts w:ascii="Arial" w:cs="Arial" w:eastAsia="Arial" w:hAnsi="Arial"/>
                <w:sz w:val="14"/>
                <w:szCs w:val="14"/>
                <w:color w:val="auto"/>
                <w:w w:val="97"/>
              </w:rPr>
              <w:t>Monthly</w:t>
            </w:r>
          </w:p>
        </w:tc>
        <w:tc>
          <w:tcPr>
            <w:tcW w:w="1600" w:type="dxa"/>
            <w:vAlign w:val="bottom"/>
            <w:gridSpan w:val="3"/>
          </w:tcPr>
          <w:p>
            <w:pPr>
              <w:spacing w:after="0"/>
              <w:rPr>
                <w:sz w:val="20"/>
                <w:szCs w:val="20"/>
                <w:color w:val="auto"/>
              </w:rPr>
            </w:pPr>
            <w:r>
              <w:rPr>
                <w:rFonts w:ascii="Arial" w:cs="Arial" w:eastAsia="Arial" w:hAnsi="Arial"/>
                <w:sz w:val="14"/>
                <w:szCs w:val="14"/>
                <w:color w:val="auto"/>
              </w:rPr>
              <w:t>Monthly Rental Rate per</w:t>
            </w:r>
          </w:p>
        </w:tc>
        <w:tc>
          <w:tcPr>
            <w:tcW w:w="0" w:type="dxa"/>
            <w:vAlign w:val="bottom"/>
          </w:tcPr>
          <w:p>
            <w:pPr>
              <w:spacing w:after="0"/>
              <w:rPr>
                <w:sz w:val="1"/>
                <w:szCs w:val="1"/>
                <w:color w:val="auto"/>
              </w:rPr>
            </w:pPr>
          </w:p>
        </w:tc>
      </w:tr>
      <w:tr>
        <w:trPr>
          <w:trHeight w:val="136"/>
        </w:trPr>
        <w:tc>
          <w:tcPr>
            <w:tcW w:w="370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right="800"/>
              <w:spacing w:after="0" w:line="137" w:lineRule="exact"/>
              <w:rPr>
                <w:sz w:val="20"/>
                <w:szCs w:val="20"/>
                <w:color w:val="auto"/>
              </w:rPr>
            </w:pPr>
            <w:r>
              <w:rPr>
                <w:rFonts w:ascii="Arial" w:cs="Arial" w:eastAsia="Arial" w:hAnsi="Arial"/>
                <w:sz w:val="14"/>
                <w:szCs w:val="14"/>
                <w:color w:val="auto"/>
                <w:w w:val="91"/>
              </w:rPr>
              <w:t>Annual</w:t>
            </w:r>
          </w:p>
        </w:tc>
        <w:tc>
          <w:tcPr>
            <w:tcW w:w="1560" w:type="dxa"/>
            <w:vAlign w:val="bottom"/>
            <w:gridSpan w:val="2"/>
          </w:tcPr>
          <w:p>
            <w:pPr>
              <w:jc w:val="center"/>
              <w:ind w:right="800"/>
              <w:spacing w:after="0" w:line="137" w:lineRule="exact"/>
              <w:rPr>
                <w:sz w:val="20"/>
                <w:szCs w:val="20"/>
                <w:color w:val="auto"/>
              </w:rPr>
            </w:pPr>
            <w:r>
              <w:rPr>
                <w:rFonts w:ascii="Arial" w:cs="Arial" w:eastAsia="Arial" w:hAnsi="Arial"/>
                <w:sz w:val="14"/>
                <w:szCs w:val="14"/>
                <w:color w:val="auto"/>
                <w:w w:val="94"/>
              </w:rPr>
              <w:t>Installment</w:t>
            </w:r>
          </w:p>
        </w:tc>
        <w:tc>
          <w:tcPr>
            <w:tcW w:w="200" w:type="dxa"/>
            <w:vAlign w:val="bottom"/>
          </w:tcPr>
          <w:p>
            <w:pPr>
              <w:spacing w:after="0"/>
              <w:rPr>
                <w:sz w:val="11"/>
                <w:szCs w:val="11"/>
                <w:color w:val="auto"/>
              </w:rPr>
            </w:pPr>
          </w:p>
        </w:tc>
        <w:tc>
          <w:tcPr>
            <w:tcW w:w="1400" w:type="dxa"/>
            <w:vAlign w:val="bottom"/>
            <w:gridSpan w:val="2"/>
          </w:tcPr>
          <w:p>
            <w:pPr>
              <w:jc w:val="center"/>
              <w:ind w:right="460"/>
              <w:spacing w:after="0" w:line="137" w:lineRule="exact"/>
              <w:rPr>
                <w:sz w:val="20"/>
                <w:szCs w:val="20"/>
                <w:color w:val="auto"/>
              </w:rPr>
            </w:pPr>
            <w:r>
              <w:rPr>
                <w:rFonts w:ascii="Arial" w:cs="Arial" w:eastAsia="Arial" w:hAnsi="Arial"/>
                <w:sz w:val="14"/>
                <w:szCs w:val="14"/>
                <w:color w:val="auto"/>
                <w:w w:val="89"/>
              </w:rPr>
              <w:t>Rentable</w:t>
            </w:r>
          </w:p>
        </w:tc>
        <w:tc>
          <w:tcPr>
            <w:tcW w:w="0" w:type="dxa"/>
            <w:vAlign w:val="bottom"/>
          </w:tcPr>
          <w:p>
            <w:pPr>
              <w:spacing w:after="0"/>
              <w:rPr>
                <w:sz w:val="1"/>
                <w:szCs w:val="1"/>
                <w:color w:val="auto"/>
              </w:rPr>
            </w:pPr>
          </w:p>
        </w:tc>
      </w:tr>
      <w:tr>
        <w:trPr>
          <w:trHeight w:val="177"/>
        </w:trPr>
        <w:tc>
          <w:tcPr>
            <w:tcW w:w="8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w w:val="87"/>
              </w:rPr>
              <w:t>Extended Term</w:t>
            </w:r>
          </w:p>
        </w:tc>
        <w:tc>
          <w:tcPr>
            <w:tcW w:w="2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2"/>
          </w:tcPr>
          <w:p>
            <w:pPr>
              <w:jc w:val="center"/>
              <w:ind w:right="760"/>
              <w:spacing w:after="0" w:line="157" w:lineRule="exact"/>
              <w:rPr>
                <w:sz w:val="20"/>
                <w:szCs w:val="20"/>
                <w:color w:val="auto"/>
              </w:rPr>
            </w:pPr>
            <w:r>
              <w:rPr>
                <w:rFonts w:ascii="Arial" w:cs="Arial" w:eastAsia="Arial" w:hAnsi="Arial"/>
                <w:sz w:val="14"/>
                <w:szCs w:val="14"/>
                <w:color w:val="auto"/>
                <w:w w:val="90"/>
              </w:rPr>
              <w:t>Base Rent*</w:t>
            </w:r>
          </w:p>
        </w:tc>
        <w:tc>
          <w:tcPr>
            <w:tcW w:w="1560" w:type="dxa"/>
            <w:vAlign w:val="bottom"/>
            <w:gridSpan w:val="2"/>
          </w:tcPr>
          <w:p>
            <w:pPr>
              <w:jc w:val="center"/>
              <w:ind w:right="760"/>
              <w:spacing w:after="0" w:line="157" w:lineRule="exact"/>
              <w:rPr>
                <w:sz w:val="20"/>
                <w:szCs w:val="20"/>
                <w:color w:val="auto"/>
              </w:rPr>
            </w:pPr>
            <w:r>
              <w:rPr>
                <w:rFonts w:ascii="Arial" w:cs="Arial" w:eastAsia="Arial" w:hAnsi="Arial"/>
                <w:sz w:val="14"/>
                <w:szCs w:val="14"/>
                <w:color w:val="auto"/>
                <w:w w:val="92"/>
              </w:rPr>
              <w:t>of Base Rent*</w:t>
            </w:r>
          </w:p>
        </w:tc>
        <w:tc>
          <w:tcPr>
            <w:tcW w:w="200" w:type="dxa"/>
            <w:vAlign w:val="bottom"/>
          </w:tcPr>
          <w:p>
            <w:pPr>
              <w:spacing w:after="0"/>
              <w:rPr>
                <w:sz w:val="15"/>
                <w:szCs w:val="15"/>
                <w:color w:val="auto"/>
              </w:rPr>
            </w:pPr>
          </w:p>
        </w:tc>
        <w:tc>
          <w:tcPr>
            <w:tcW w:w="140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89"/>
              </w:rPr>
              <w:t>Square Foot*</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September 1, 2016 – August 31, 2017</w:t>
            </w:r>
          </w:p>
        </w:tc>
        <w:tc>
          <w:tcPr>
            <w:tcW w:w="10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$525,288.00</w:t>
            </w:r>
          </w:p>
        </w:tc>
        <w:tc>
          <w:tcPr>
            <w:tcW w:w="7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$43,774.00</w:t>
            </w: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84"/>
              </w:rPr>
              <w:t>1.72</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gridSpan w:val="2"/>
          </w:tcPr>
          <w:p>
            <w:pPr>
              <w:spacing w:after="0"/>
              <w:rPr>
                <w:sz w:val="20"/>
                <w:szCs w:val="20"/>
                <w:color w:val="auto"/>
              </w:rPr>
            </w:pPr>
            <w:r>
              <w:rPr>
                <w:rFonts w:ascii="Arial" w:cs="Arial" w:eastAsia="Arial" w:hAnsi="Arial"/>
                <w:sz w:val="17"/>
                <w:szCs w:val="17"/>
                <w:color w:val="auto"/>
              </w:rPr>
              <w:t>September 1, 2017 – August 31, 2018</w:t>
            </w:r>
          </w:p>
        </w:tc>
        <w:tc>
          <w:tcPr>
            <w:tcW w:w="2720" w:type="dxa"/>
            <w:vAlign w:val="bottom"/>
            <w:gridSpan w:val="3"/>
          </w:tcPr>
          <w:p>
            <w:pPr>
              <w:jc w:val="center"/>
              <w:ind w:left="233"/>
              <w:spacing w:after="0"/>
              <w:rPr>
                <w:sz w:val="20"/>
                <w:szCs w:val="20"/>
                <w:color w:val="auto"/>
              </w:rPr>
            </w:pPr>
            <w:r>
              <w:rPr>
                <w:rFonts w:ascii="Arial" w:cs="Arial" w:eastAsia="Arial" w:hAnsi="Arial"/>
                <w:sz w:val="17"/>
                <w:szCs w:val="17"/>
                <w:color w:val="auto"/>
                <w:w w:val="93"/>
              </w:rPr>
              <w:t>$543,673.08</w:t>
            </w:r>
          </w:p>
        </w:tc>
        <w:tc>
          <w:tcPr>
            <w:tcW w:w="1560" w:type="dxa"/>
            <w:vAlign w:val="bottom"/>
            <w:gridSpan w:val="2"/>
          </w:tcPr>
          <w:p>
            <w:pPr>
              <w:jc w:val="center"/>
              <w:ind w:right="760"/>
              <w:spacing w:after="0"/>
              <w:rPr>
                <w:sz w:val="20"/>
                <w:szCs w:val="20"/>
                <w:color w:val="auto"/>
              </w:rPr>
            </w:pPr>
            <w:r>
              <w:rPr>
                <w:rFonts w:ascii="Arial" w:cs="Arial" w:eastAsia="Arial" w:hAnsi="Arial"/>
                <w:sz w:val="17"/>
                <w:szCs w:val="17"/>
                <w:color w:val="auto"/>
                <w:w w:val="93"/>
              </w:rPr>
              <w:t>$45,306.09</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400" w:type="dxa"/>
            <w:vAlign w:val="bottom"/>
            <w:gridSpan w:val="2"/>
          </w:tcPr>
          <w:p>
            <w:pPr>
              <w:ind w:left="88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1, 2018 – August 31, 2019</w:t>
            </w:r>
          </w:p>
        </w:tc>
        <w:tc>
          <w:tcPr>
            <w:tcW w:w="2720" w:type="dxa"/>
            <w:vAlign w:val="bottom"/>
            <w:gridSpan w:val="3"/>
            <w:shd w:val="clear" w:color="auto" w:fill="CCEEFF"/>
          </w:tcPr>
          <w:p>
            <w:pPr>
              <w:jc w:val="center"/>
              <w:ind w:left="233"/>
              <w:spacing w:after="0"/>
              <w:rPr>
                <w:sz w:val="20"/>
                <w:szCs w:val="20"/>
                <w:color w:val="auto"/>
              </w:rPr>
            </w:pPr>
            <w:r>
              <w:rPr>
                <w:rFonts w:ascii="Arial" w:cs="Arial" w:eastAsia="Arial" w:hAnsi="Arial"/>
                <w:sz w:val="17"/>
                <w:szCs w:val="17"/>
                <w:color w:val="auto"/>
                <w:w w:val="93"/>
              </w:rPr>
              <w:t>$562,701.60</w:t>
            </w:r>
          </w:p>
        </w:tc>
        <w:tc>
          <w:tcPr>
            <w:tcW w:w="1560" w:type="dxa"/>
            <w:vAlign w:val="bottom"/>
            <w:gridSpan w:val="2"/>
            <w:shd w:val="clear" w:color="auto" w:fill="CCEEFF"/>
          </w:tcPr>
          <w:p>
            <w:pPr>
              <w:jc w:val="center"/>
              <w:ind w:right="760"/>
              <w:spacing w:after="0"/>
              <w:rPr>
                <w:sz w:val="20"/>
                <w:szCs w:val="20"/>
                <w:color w:val="auto"/>
              </w:rPr>
            </w:pPr>
            <w:r>
              <w:rPr>
                <w:rFonts w:ascii="Arial" w:cs="Arial" w:eastAsia="Arial" w:hAnsi="Arial"/>
                <w:sz w:val="17"/>
                <w:szCs w:val="17"/>
                <w:color w:val="auto"/>
                <w:w w:val="93"/>
              </w:rPr>
              <w:t>$46,891.80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353"/>
        </w:trPr>
        <w:tc>
          <w:tcPr>
            <w:tcW w:w="8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960" w:type="dxa"/>
            <w:vAlign w:val="bottom"/>
            <w:gridSpan w:val="2"/>
          </w:tcPr>
          <w:p>
            <w:pPr>
              <w:jc w:val="right"/>
              <w:ind w:right="744"/>
              <w:spacing w:after="0"/>
              <w:rPr>
                <w:sz w:val="20"/>
                <w:szCs w:val="20"/>
                <w:color w:val="auto"/>
              </w:rPr>
            </w:pPr>
            <w:r>
              <w:rPr>
                <w:rFonts w:ascii="Arial" w:cs="Arial" w:eastAsia="Arial" w:hAnsi="Arial"/>
                <w:sz w:val="17"/>
                <w:szCs w:val="17"/>
                <w:color w:val="auto"/>
              </w:rPr>
              <w:t>2</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1" w:right="239" w:bottom="1440" w:gutter="0" w:footer="0" w:header="0"/>
        </w:sectPr>
      </w:pPr>
    </w:p>
    <w:bookmarkStart w:id="356" w:name="page357"/>
    <w:bookmarkEnd w:id="3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61"/>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Period During</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gridSpan w:val="2"/>
          </w:tcPr>
          <w:p>
            <w:pPr>
              <w:jc w:val="center"/>
              <w:ind w:right="800"/>
              <w:spacing w:after="0"/>
              <w:rPr>
                <w:sz w:val="20"/>
                <w:szCs w:val="20"/>
                <w:color w:val="auto"/>
              </w:rPr>
            </w:pPr>
            <w:r>
              <w:rPr>
                <w:rFonts w:ascii="Arial" w:cs="Arial" w:eastAsia="Arial" w:hAnsi="Arial"/>
                <w:sz w:val="14"/>
                <w:szCs w:val="14"/>
                <w:color w:val="auto"/>
                <w:w w:val="97"/>
              </w:rPr>
              <w:t>Monthly</w:t>
            </w:r>
          </w:p>
        </w:tc>
        <w:tc>
          <w:tcPr>
            <w:tcW w:w="1600" w:type="dxa"/>
            <w:vAlign w:val="bottom"/>
            <w:gridSpan w:val="3"/>
          </w:tcPr>
          <w:p>
            <w:pPr>
              <w:spacing w:after="0"/>
              <w:rPr>
                <w:sz w:val="20"/>
                <w:szCs w:val="20"/>
                <w:color w:val="auto"/>
              </w:rPr>
            </w:pPr>
            <w:r>
              <w:rPr>
                <w:rFonts w:ascii="Arial" w:cs="Arial" w:eastAsia="Arial" w:hAnsi="Arial"/>
                <w:sz w:val="14"/>
                <w:szCs w:val="14"/>
                <w:color w:val="auto"/>
              </w:rPr>
              <w:t>Monthly Rental Rate per</w:t>
            </w:r>
          </w:p>
        </w:tc>
        <w:tc>
          <w:tcPr>
            <w:tcW w:w="0" w:type="dxa"/>
            <w:vAlign w:val="bottom"/>
          </w:tcPr>
          <w:p>
            <w:pPr>
              <w:spacing w:after="0"/>
              <w:rPr>
                <w:sz w:val="1"/>
                <w:szCs w:val="1"/>
                <w:color w:val="auto"/>
              </w:rPr>
            </w:pPr>
          </w:p>
        </w:tc>
      </w:tr>
      <w:tr>
        <w:trPr>
          <w:trHeight w:val="136"/>
        </w:trPr>
        <w:tc>
          <w:tcPr>
            <w:tcW w:w="4780" w:type="dxa"/>
            <w:vAlign w:val="bottom"/>
            <w:gridSpan w:val="2"/>
            <w:vMerge w:val="continue"/>
          </w:tcPr>
          <w:p>
            <w:pPr>
              <w:spacing w:after="0"/>
              <w:rPr>
                <w:sz w:val="11"/>
                <w:szCs w:val="11"/>
                <w:color w:val="auto"/>
              </w:rPr>
            </w:pPr>
          </w:p>
        </w:tc>
        <w:tc>
          <w:tcPr>
            <w:tcW w:w="1640" w:type="dxa"/>
            <w:vAlign w:val="bottom"/>
            <w:gridSpan w:val="2"/>
          </w:tcPr>
          <w:p>
            <w:pPr>
              <w:jc w:val="center"/>
              <w:ind w:right="800"/>
              <w:spacing w:after="0" w:line="137" w:lineRule="exact"/>
              <w:rPr>
                <w:sz w:val="20"/>
                <w:szCs w:val="20"/>
                <w:color w:val="auto"/>
              </w:rPr>
            </w:pPr>
            <w:r>
              <w:rPr>
                <w:rFonts w:ascii="Arial" w:cs="Arial" w:eastAsia="Arial" w:hAnsi="Arial"/>
                <w:sz w:val="14"/>
                <w:szCs w:val="14"/>
                <w:color w:val="auto"/>
                <w:w w:val="91"/>
              </w:rPr>
              <w:t>Annual</w:t>
            </w:r>
          </w:p>
        </w:tc>
        <w:tc>
          <w:tcPr>
            <w:tcW w:w="1560" w:type="dxa"/>
            <w:vAlign w:val="bottom"/>
            <w:gridSpan w:val="2"/>
          </w:tcPr>
          <w:p>
            <w:pPr>
              <w:jc w:val="center"/>
              <w:ind w:right="800"/>
              <w:spacing w:after="0" w:line="137" w:lineRule="exact"/>
              <w:rPr>
                <w:sz w:val="20"/>
                <w:szCs w:val="20"/>
                <w:color w:val="auto"/>
              </w:rPr>
            </w:pPr>
            <w:r>
              <w:rPr>
                <w:rFonts w:ascii="Arial" w:cs="Arial" w:eastAsia="Arial" w:hAnsi="Arial"/>
                <w:sz w:val="14"/>
                <w:szCs w:val="14"/>
                <w:color w:val="auto"/>
                <w:w w:val="94"/>
              </w:rPr>
              <w:t>Installment</w:t>
            </w:r>
          </w:p>
        </w:tc>
        <w:tc>
          <w:tcPr>
            <w:tcW w:w="200" w:type="dxa"/>
            <w:vAlign w:val="bottom"/>
          </w:tcPr>
          <w:p>
            <w:pPr>
              <w:spacing w:after="0"/>
              <w:rPr>
                <w:sz w:val="11"/>
                <w:szCs w:val="11"/>
                <w:color w:val="auto"/>
              </w:rPr>
            </w:pPr>
          </w:p>
        </w:tc>
        <w:tc>
          <w:tcPr>
            <w:tcW w:w="1400" w:type="dxa"/>
            <w:vAlign w:val="bottom"/>
            <w:gridSpan w:val="2"/>
          </w:tcPr>
          <w:p>
            <w:pPr>
              <w:jc w:val="right"/>
              <w:ind w:right="680"/>
              <w:spacing w:after="0" w:line="137" w:lineRule="exact"/>
              <w:rPr>
                <w:sz w:val="20"/>
                <w:szCs w:val="20"/>
                <w:color w:val="auto"/>
              </w:rPr>
            </w:pPr>
            <w:r>
              <w:rPr>
                <w:rFonts w:ascii="Arial" w:cs="Arial" w:eastAsia="Arial" w:hAnsi="Arial"/>
                <w:sz w:val="14"/>
                <w:szCs w:val="14"/>
                <w:color w:val="auto"/>
              </w:rPr>
              <w:t>Rentable</w:t>
            </w:r>
          </w:p>
        </w:tc>
        <w:tc>
          <w:tcPr>
            <w:tcW w:w="0" w:type="dxa"/>
            <w:vAlign w:val="bottom"/>
          </w:tcPr>
          <w:p>
            <w:pPr>
              <w:spacing w:after="0"/>
              <w:rPr>
                <w:sz w:val="1"/>
                <w:szCs w:val="1"/>
                <w:color w:val="auto"/>
              </w:rPr>
            </w:pPr>
          </w:p>
        </w:tc>
      </w:tr>
      <w:tr>
        <w:trPr>
          <w:trHeight w:val="157"/>
        </w:trPr>
        <w:tc>
          <w:tcPr>
            <w:tcW w:w="8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w w:val="87"/>
              </w:rPr>
              <w:t>Extended Term</w:t>
            </w:r>
          </w:p>
        </w:tc>
        <w:tc>
          <w:tcPr>
            <w:tcW w:w="3920" w:type="dxa"/>
            <w:vAlign w:val="bottom"/>
          </w:tcPr>
          <w:p>
            <w:pPr>
              <w:spacing w:after="0"/>
              <w:rPr>
                <w:sz w:val="13"/>
                <w:szCs w:val="13"/>
                <w:color w:val="auto"/>
              </w:rPr>
            </w:pPr>
          </w:p>
        </w:tc>
        <w:tc>
          <w:tcPr>
            <w:tcW w:w="1640" w:type="dxa"/>
            <w:vAlign w:val="bottom"/>
            <w:gridSpan w:val="2"/>
          </w:tcPr>
          <w:p>
            <w:pPr>
              <w:jc w:val="center"/>
              <w:ind w:right="760"/>
              <w:spacing w:after="0" w:line="157" w:lineRule="exact"/>
              <w:rPr>
                <w:sz w:val="20"/>
                <w:szCs w:val="20"/>
                <w:color w:val="auto"/>
              </w:rPr>
            </w:pPr>
            <w:r>
              <w:rPr>
                <w:rFonts w:ascii="Arial" w:cs="Arial" w:eastAsia="Arial" w:hAnsi="Arial"/>
                <w:sz w:val="14"/>
                <w:szCs w:val="14"/>
                <w:color w:val="auto"/>
                <w:w w:val="90"/>
              </w:rPr>
              <w:t>Base Rent*</w:t>
            </w:r>
          </w:p>
        </w:tc>
        <w:tc>
          <w:tcPr>
            <w:tcW w:w="1560" w:type="dxa"/>
            <w:vAlign w:val="bottom"/>
            <w:gridSpan w:val="2"/>
          </w:tcPr>
          <w:p>
            <w:pPr>
              <w:jc w:val="center"/>
              <w:ind w:right="760"/>
              <w:spacing w:after="0" w:line="157" w:lineRule="exact"/>
              <w:rPr>
                <w:sz w:val="20"/>
                <w:szCs w:val="20"/>
                <w:color w:val="auto"/>
              </w:rPr>
            </w:pPr>
            <w:r>
              <w:rPr>
                <w:rFonts w:ascii="Arial" w:cs="Arial" w:eastAsia="Arial" w:hAnsi="Arial"/>
                <w:sz w:val="14"/>
                <w:szCs w:val="14"/>
                <w:color w:val="auto"/>
                <w:w w:val="92"/>
              </w:rPr>
              <w:t>of Base Rent*</w:t>
            </w:r>
          </w:p>
        </w:tc>
        <w:tc>
          <w:tcPr>
            <w:tcW w:w="200" w:type="dxa"/>
            <w:vAlign w:val="bottom"/>
          </w:tcPr>
          <w:p>
            <w:pPr>
              <w:spacing w:after="0"/>
              <w:rPr>
                <w:sz w:val="13"/>
                <w:szCs w:val="13"/>
                <w:color w:val="auto"/>
              </w:rPr>
            </w:pPr>
          </w:p>
        </w:tc>
        <w:tc>
          <w:tcPr>
            <w:tcW w:w="1400" w:type="dxa"/>
            <w:vAlign w:val="bottom"/>
            <w:gridSpan w:val="2"/>
          </w:tcPr>
          <w:p>
            <w:pPr>
              <w:jc w:val="right"/>
              <w:ind w:right="540"/>
              <w:spacing w:after="0" w:line="157" w:lineRule="exact"/>
              <w:rPr>
                <w:sz w:val="20"/>
                <w:szCs w:val="20"/>
                <w:color w:val="auto"/>
              </w:rPr>
            </w:pPr>
            <w:r>
              <w:rPr>
                <w:rFonts w:ascii="Arial" w:cs="Arial" w:eastAsia="Arial" w:hAnsi="Arial"/>
                <w:sz w:val="14"/>
                <w:szCs w:val="14"/>
                <w:color w:val="auto"/>
              </w:rPr>
              <w:t>Square Foot*</w:t>
            </w: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September 1, 2019 – August 31, 2020</w:t>
            </w:r>
          </w:p>
        </w:tc>
        <w:tc>
          <w:tcPr>
            <w:tcW w:w="8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$582,396.12</w:t>
            </w:r>
          </w:p>
        </w:tc>
        <w:tc>
          <w:tcPr>
            <w:tcW w:w="7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$48,533.01</w:t>
            </w: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7"/>
                <w:szCs w:val="17"/>
                <w:color w:val="auto"/>
              </w:rPr>
              <w:t>September 1, 2020 – August 31, 2021</w:t>
            </w:r>
          </w:p>
        </w:tc>
        <w:tc>
          <w:tcPr>
            <w:tcW w:w="1640" w:type="dxa"/>
            <w:vAlign w:val="bottom"/>
            <w:gridSpan w:val="2"/>
          </w:tcPr>
          <w:p>
            <w:pPr>
              <w:jc w:val="center"/>
              <w:ind w:right="760"/>
              <w:spacing w:after="0"/>
              <w:rPr>
                <w:sz w:val="20"/>
                <w:szCs w:val="20"/>
                <w:color w:val="auto"/>
              </w:rPr>
            </w:pPr>
            <w:r>
              <w:rPr>
                <w:rFonts w:ascii="Arial" w:cs="Arial" w:eastAsia="Arial" w:hAnsi="Arial"/>
                <w:sz w:val="17"/>
                <w:szCs w:val="17"/>
                <w:color w:val="auto"/>
                <w:w w:val="93"/>
              </w:rPr>
              <w:t>$602,780.04</w:t>
            </w:r>
          </w:p>
        </w:tc>
        <w:tc>
          <w:tcPr>
            <w:tcW w:w="1560" w:type="dxa"/>
            <w:vAlign w:val="bottom"/>
            <w:gridSpan w:val="2"/>
          </w:tcPr>
          <w:p>
            <w:pPr>
              <w:jc w:val="center"/>
              <w:ind w:right="760"/>
              <w:spacing w:after="0"/>
              <w:rPr>
                <w:sz w:val="20"/>
                <w:szCs w:val="20"/>
                <w:color w:val="auto"/>
              </w:rPr>
            </w:pPr>
            <w:r>
              <w:rPr>
                <w:rFonts w:ascii="Arial" w:cs="Arial" w:eastAsia="Arial" w:hAnsi="Arial"/>
                <w:sz w:val="17"/>
                <w:szCs w:val="17"/>
                <w:color w:val="auto"/>
                <w:w w:val="93"/>
              </w:rPr>
              <w:t>$50,231.67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right="40" w:hanging="455"/>
        <w:spacing w:after="0" w:line="278" w:lineRule="auto"/>
        <w:tabs>
          <w:tab w:leader="none" w:pos="4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initial Monthly Installment of Base Rent amount was calculated by multiplying the initial Monthly Rental Rate per Rentable Square Foot amount by the number of rentable square feet of space in the Premises, and the initial Annual Base Rent amount was calculated by multiplying the initial Monthly Installment of Base Rent amount by twelve (12). In all subsequent Base Rent payment periods during the Extended Term commencing on September 1,</w:t>
      </w:r>
    </w:p>
    <w:p>
      <w:pPr>
        <w:spacing w:after="0" w:line="1" w:lineRule="exact"/>
        <w:rPr>
          <w:sz w:val="20"/>
          <w:szCs w:val="20"/>
          <w:color w:val="auto"/>
        </w:rPr>
      </w:pPr>
    </w:p>
    <w:p>
      <w:pPr>
        <w:ind w:left="460" w:right="280"/>
        <w:spacing w:after="0" w:line="257" w:lineRule="auto"/>
        <w:rPr>
          <w:sz w:val="20"/>
          <w:szCs w:val="20"/>
          <w:color w:val="auto"/>
        </w:rPr>
      </w:pPr>
      <w:r>
        <w:rPr>
          <w:rFonts w:ascii="Arial" w:cs="Arial" w:eastAsia="Arial" w:hAnsi="Arial"/>
          <w:sz w:val="17"/>
          <w:szCs w:val="17"/>
          <w:color w:val="auto"/>
        </w:rPr>
        <w:t>2017, the calculation of each Monthly Installment of Base Rent amount reflects an annual increase of three and one-half percent (3.5%) and each Annual Base Rent amount was calculated by multiplying the corresponding Monthly Installment of Base Rent amount by twelve (12).</w:t>
      </w:r>
    </w:p>
    <w:p>
      <w:pPr>
        <w:ind w:left="460" w:right="340" w:hanging="455"/>
        <w:spacing w:after="0" w:line="274" w:lineRule="auto"/>
        <w:tabs>
          <w:tab w:leader="none" w:pos="4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amounts identified in the column entitled “Monthly Rental Rate per Rentable Square Foot” are rounded amounts and are provided for informational purposes only.</w:t>
      </w:r>
    </w:p>
    <w:p>
      <w:pPr>
        <w:spacing w:after="0" w:line="164" w:lineRule="exact"/>
        <w:rPr>
          <w:sz w:val="20"/>
          <w:szCs w:val="20"/>
          <w:color w:val="auto"/>
        </w:rPr>
      </w:pPr>
    </w:p>
    <w:p>
      <w:pPr>
        <w:ind w:right="160" w:firstLine="913"/>
        <w:spacing w:after="0" w:line="26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Direct Expenses</w:t>
      </w:r>
      <w:r>
        <w:rPr>
          <w:rFonts w:ascii="Arial" w:cs="Arial" w:eastAsia="Arial" w:hAnsi="Arial"/>
          <w:sz w:val="17"/>
          <w:szCs w:val="17"/>
          <w:color w:val="auto"/>
        </w:rPr>
        <w:t xml:space="preserve">. Tenant shall continue to be obligated to pay Tenant’s Share of the annual Building Direct Expenses in connection with the Premises which arise or accrue prior to September 1, 2016, in accordance with the terms of the Lease. Effective as of September 1, 2016, and continuing throughout the Extended Term, Tenant shall pay Tenant’s Share of all Building Direct Expenses in connection with the Premises which arise or accrue on or after September 1, 2016, in accordance with the terms of the Lease; provided that for purposes of calculating the amount of Tenant’s Share of such annual Building Direct Expenses, due to the terms of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above, Tenant’s Share shall equal 33.5996%.</w:t>
      </w:r>
    </w:p>
    <w:p>
      <w:pPr>
        <w:spacing w:after="0" w:line="170" w:lineRule="exact"/>
        <w:rPr>
          <w:sz w:val="20"/>
          <w:szCs w:val="20"/>
          <w:color w:val="auto"/>
        </w:rPr>
      </w:pPr>
    </w:p>
    <w:p>
      <w:pPr>
        <w:ind w:firstLine="461"/>
        <w:spacing w:after="0" w:line="280" w:lineRule="auto"/>
        <w:tabs>
          <w:tab w:leader="none" w:pos="631" w:val="left"/>
        </w:tabs>
        <w:numPr>
          <w:ilvl w:val="0"/>
          <w:numId w:val="218"/>
        </w:numPr>
        <w:rPr>
          <w:rFonts w:ascii="Arial" w:cs="Arial" w:eastAsia="Arial" w:hAnsi="Arial"/>
          <w:sz w:val="16"/>
          <w:szCs w:val="16"/>
          <w:color w:val="auto"/>
        </w:rPr>
      </w:pPr>
      <w:r>
        <w:rPr>
          <w:rFonts w:ascii="Arial" w:cs="Arial" w:eastAsia="Arial" w:hAnsi="Arial"/>
          <w:sz w:val="16"/>
          <w:szCs w:val="16"/>
          <w:b w:val="1"/>
          <w:bCs w:val="1"/>
          <w:u w:val="single" w:color="auto"/>
          <w:color w:val="auto"/>
        </w:rPr>
        <w:t>Utility Billing Information</w:t>
      </w:r>
      <w:r>
        <w:rPr>
          <w:rFonts w:ascii="Arial" w:cs="Arial" w:eastAsia="Arial" w:hAnsi="Arial"/>
          <w:sz w:val="16"/>
          <w:szCs w:val="16"/>
          <w:color w:val="auto"/>
        </w:rPr>
        <w:t>. In the event that the Tenant is permitted to contract directly for the provision of electricity, gas and/or water services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with the third-party provider thereof (all in Landlord’s sole and absolute discretion), Tenant shall promptly, but in no event more than fifteen (15) days following its receipt of each and every invoice for such items from the applicable provider, provide Landlord with a copy of each such invoice. Tenant acknowledges that pursuant to California Public Resources Code Section 25402.10 and the regulations adopted pursuant thereto (collectively the “</w:t>
      </w:r>
      <w:r>
        <w:rPr>
          <w:rFonts w:ascii="Arial" w:cs="Arial" w:eastAsia="Arial" w:hAnsi="Arial"/>
          <w:sz w:val="16"/>
          <w:szCs w:val="16"/>
          <w:b w:val="1"/>
          <w:bCs w:val="1"/>
          <w:color w:val="auto"/>
        </w:rPr>
        <w:t>Energy</w:t>
      </w:r>
      <w:r>
        <w:rPr>
          <w:rFonts w:ascii="Arial" w:cs="Arial" w:eastAsia="Arial" w:hAnsi="Arial"/>
          <w:sz w:val="16"/>
          <w:szCs w:val="16"/>
          <w:color w:val="auto"/>
        </w:rPr>
        <w:t xml:space="preserve"> </w:t>
      </w:r>
      <w:r>
        <w:rPr>
          <w:rFonts w:ascii="Arial" w:cs="Arial" w:eastAsia="Arial" w:hAnsi="Arial"/>
          <w:sz w:val="16"/>
          <w:szCs w:val="16"/>
          <w:b w:val="1"/>
          <w:bCs w:val="1"/>
          <w:color w:val="auto"/>
        </w:rPr>
        <w:t>Disclosure Requirements</w:t>
      </w:r>
      <w:r>
        <w:rPr>
          <w:rFonts w:ascii="Arial" w:cs="Arial" w:eastAsia="Arial" w:hAnsi="Arial"/>
          <w:sz w:val="16"/>
          <w:szCs w:val="16"/>
          <w:color w:val="auto"/>
        </w:rPr>
        <w:t>”), Landlord may be required to disclose information concerning Tenant’s energy usage at the Building to certain third parties,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prospective purchasers, lenders and tenants of the Building (the “</w:t>
      </w:r>
      <w:r>
        <w:rPr>
          <w:rFonts w:ascii="Arial" w:cs="Arial" w:eastAsia="Arial" w:hAnsi="Arial"/>
          <w:sz w:val="16"/>
          <w:szCs w:val="16"/>
          <w:b w:val="1"/>
          <w:bCs w:val="1"/>
          <w:color w:val="auto"/>
        </w:rPr>
        <w:t>Tenant Energy Use Disclosure</w:t>
      </w:r>
      <w:r>
        <w:rPr>
          <w:rFonts w:ascii="Arial" w:cs="Arial" w:eastAsia="Arial" w:hAnsi="Arial"/>
          <w:sz w:val="16"/>
          <w:szCs w:val="16"/>
          <w:color w:val="auto"/>
        </w:rPr>
        <w:t xml:space="preserve">”).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survive the expiration or earlier termination of the Lease.</w:t>
      </w:r>
    </w:p>
    <w:p>
      <w:pPr>
        <w:spacing w:after="0" w:line="163" w:lineRule="exact"/>
        <w:rPr>
          <w:rFonts w:ascii="Arial" w:cs="Arial" w:eastAsia="Arial" w:hAnsi="Arial"/>
          <w:sz w:val="16"/>
          <w:szCs w:val="16"/>
          <w:color w:val="auto"/>
        </w:rPr>
      </w:pPr>
    </w:p>
    <w:p>
      <w:pPr>
        <w:ind w:firstLine="461"/>
        <w:spacing w:after="0" w:line="267" w:lineRule="auto"/>
        <w:tabs>
          <w:tab w:leader="none" w:pos="631" w:val="left"/>
        </w:tabs>
        <w:numPr>
          <w:ilvl w:val="0"/>
          <w:numId w:val="218"/>
        </w:numPr>
        <w:rPr>
          <w:rFonts w:ascii="Arial" w:cs="Arial" w:eastAsia="Arial" w:hAnsi="Arial"/>
          <w:sz w:val="17"/>
          <w:szCs w:val="17"/>
          <w:color w:val="auto"/>
        </w:rPr>
      </w:pPr>
      <w:r>
        <w:rPr>
          <w:rFonts w:ascii="Arial" w:cs="Arial" w:eastAsia="Arial" w:hAnsi="Arial"/>
          <w:sz w:val="17"/>
          <w:szCs w:val="17"/>
          <w:b w:val="1"/>
          <w:bCs w:val="1"/>
          <w:u w:val="single" w:color="auto"/>
          <w:color w:val="auto"/>
        </w:rPr>
        <w:t>Green Cleaning/Recycling</w:t>
      </w:r>
      <w:r>
        <w:rPr>
          <w:rFonts w:ascii="Arial" w:cs="Arial" w:eastAsia="Arial" w:hAnsi="Arial"/>
          <w:sz w:val="17"/>
          <w:szCs w:val="17"/>
          <w:color w:val="auto"/>
        </w:rPr>
        <w:t>. To the extent a “green cleaning program” and/or a recycling program is implemented by Landlord in the Building and/or</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(each in Landlord’s sole and absolute discretion), Tenant shall, at Tenant’s sole cost and expense, comply with the provisions of each of the foregoing programs (e.g., Tenant shall separate waste appropriately so that it can be efficiently processed by Landlord’s particular recycling contractors). To the extent Tenant fails to comply with any of Landlord’s recycling programs contemplated by the foregoing, Tenant shall be required to pay any contamination charges related to such non-compliance.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48" w:right="239" w:bottom="1440" w:gutter="0" w:footer="0" w:header="0"/>
        </w:sectPr>
      </w:pPr>
    </w:p>
    <w:bookmarkStart w:id="357" w:name="page358"/>
    <w:bookmarkEnd w:id="357"/>
    <w:p>
      <w:pPr>
        <w:ind w:left="-20" w:right="20" w:firstLine="461"/>
        <w:spacing w:after="0" w:line="298" w:lineRule="auto"/>
        <w:tabs>
          <w:tab w:leader="none" w:pos="611" w:val="left"/>
        </w:tabs>
        <w:numPr>
          <w:ilvl w:val="0"/>
          <w:numId w:val="219"/>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Prohibited Persons; Foreign Corrupt Practices Act and Anti-Money Laundering</w:t>
      </w:r>
      <w:r>
        <w:rPr>
          <w:rFonts w:ascii="Arial" w:cs="Arial" w:eastAsia="Arial" w:hAnsi="Arial"/>
          <w:sz w:val="15"/>
          <w:szCs w:val="15"/>
          <w:color w:val="auto"/>
        </w:rPr>
        <w:t>. Neither Tenant nor any of its affiliates, nor any of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members, partners or other equity holders, and none of their respective officers, directors or managers is, nor prior to or during the Lease Term, will they become a person or entity with whom U.S. persons or entities are restricted from doing business under (a) the Patriot Act (as defined below), (b) any other requirements contained in the rules and regulations of the Office of Foreign Assets Control, Department of the Treasury (“</w:t>
      </w:r>
      <w:r>
        <w:rPr>
          <w:rFonts w:ascii="Arial" w:cs="Arial" w:eastAsia="Arial" w:hAnsi="Arial"/>
          <w:sz w:val="15"/>
          <w:szCs w:val="15"/>
          <w:b w:val="1"/>
          <w:bCs w:val="1"/>
          <w:color w:val="auto"/>
        </w:rPr>
        <w:t>OFAC</w:t>
      </w:r>
      <w:r>
        <w:rPr>
          <w:rFonts w:ascii="Arial" w:cs="Arial" w:eastAsia="Arial" w:hAnsi="Arial"/>
          <w:sz w:val="15"/>
          <w:szCs w:val="15"/>
          <w:color w:val="auto"/>
        </w:rPr>
        <w:t>”) (including any “blocked” person or entity listed in the Annex to Executive Order Nos. 12947, 13099 and 13224 and any modifications thereto or thereof or any other person or entity named on OFAC’s Specially Designated Blocked Persons List) or (c) any other U.S. statute, Executive Order (including the September 24, 2001, Executive Order Blocking Property and Prohibiting Transactions with Persons Who Commit, Threaten to Commit or Support Terrorism) or other governmental action (collectively. “</w:t>
      </w:r>
      <w:r>
        <w:rPr>
          <w:rFonts w:ascii="Arial" w:cs="Arial" w:eastAsia="Arial" w:hAnsi="Arial"/>
          <w:sz w:val="15"/>
          <w:szCs w:val="15"/>
          <w:b w:val="1"/>
          <w:bCs w:val="1"/>
          <w:color w:val="auto"/>
        </w:rPr>
        <w:t>Prohibited</w:t>
      </w:r>
      <w:r>
        <w:rPr>
          <w:rFonts w:ascii="Arial" w:cs="Arial" w:eastAsia="Arial" w:hAnsi="Arial"/>
          <w:sz w:val="15"/>
          <w:szCs w:val="15"/>
          <w:color w:val="auto"/>
        </w:rPr>
        <w:t xml:space="preserve"> </w:t>
      </w:r>
      <w:r>
        <w:rPr>
          <w:rFonts w:ascii="Arial" w:cs="Arial" w:eastAsia="Arial" w:hAnsi="Arial"/>
          <w:sz w:val="15"/>
          <w:szCs w:val="15"/>
          <w:b w:val="1"/>
          <w:bCs w:val="1"/>
          <w:color w:val="auto"/>
        </w:rPr>
        <w:t>Persons</w:t>
      </w:r>
      <w:r>
        <w:rPr>
          <w:rFonts w:ascii="Arial" w:cs="Arial" w:eastAsia="Arial" w:hAnsi="Arial"/>
          <w:sz w:val="15"/>
          <w:szCs w:val="15"/>
          <w:color w:val="auto"/>
        </w:rPr>
        <w:t>”). Prior to and during the Lease Term, Tenant, and to Tenant’s knowledge, its employees and any person acting on its behalf have at all times fully</w:t>
      </w:r>
      <w:r>
        <w:rPr>
          <w:rFonts w:ascii="Arial" w:cs="Arial" w:eastAsia="Arial" w:hAnsi="Arial"/>
          <w:sz w:val="15"/>
          <w:szCs w:val="15"/>
          <w:b w:val="1"/>
          <w:bCs w:val="1"/>
          <w:color w:val="auto"/>
        </w:rPr>
        <w:t xml:space="preserve"> </w:t>
      </w:r>
      <w:r>
        <w:rPr>
          <w:rFonts w:ascii="Arial" w:cs="Arial" w:eastAsia="Arial" w:hAnsi="Arial"/>
          <w:sz w:val="15"/>
          <w:szCs w:val="15"/>
          <w:color w:val="auto"/>
        </w:rPr>
        <w:t>complied with, and are currently in full compliance with, the Foreign Corrupt Practices Act of 1977 and any other applicable anti-bribery or anti-corruption laws. Tenant is not entering into this First Amendment, directly or indirectly, in violation of any laws relating to drug trafficking, money laundering or predicate crimes to money laundering. As used herein, “</w:t>
      </w:r>
      <w:r>
        <w:rPr>
          <w:rFonts w:ascii="Arial" w:cs="Arial" w:eastAsia="Arial" w:hAnsi="Arial"/>
          <w:sz w:val="15"/>
          <w:szCs w:val="15"/>
          <w:b w:val="1"/>
          <w:bCs w:val="1"/>
          <w:color w:val="auto"/>
        </w:rPr>
        <w:t>Patriot Act</w:t>
      </w:r>
      <w:r>
        <w:rPr>
          <w:rFonts w:ascii="Arial" w:cs="Arial" w:eastAsia="Arial" w:hAnsi="Arial"/>
          <w:sz w:val="15"/>
          <w:szCs w:val="15"/>
          <w:color w:val="auto"/>
        </w:rPr>
        <w:t>” shall mean the USA Patriot Act of 2001. 107 Public Law 56 (October 26, 2001) and all other statutes, orders, rules and regulations of the U.S. government and its various executive departments, agencies and offices interpreting and implementing the Patriot Act.</w:t>
      </w:r>
    </w:p>
    <w:p>
      <w:pPr>
        <w:spacing w:after="0" w:line="153" w:lineRule="exact"/>
        <w:rPr>
          <w:rFonts w:ascii="Arial" w:cs="Arial" w:eastAsia="Arial" w:hAnsi="Arial"/>
          <w:sz w:val="15"/>
          <w:szCs w:val="15"/>
          <w:color w:val="auto"/>
        </w:rPr>
      </w:pPr>
    </w:p>
    <w:p>
      <w:pPr>
        <w:ind w:left="-20" w:right="140" w:firstLine="461"/>
        <w:spacing w:after="0" w:line="284" w:lineRule="auto"/>
        <w:tabs>
          <w:tab w:leader="none" w:pos="611" w:val="left"/>
        </w:tabs>
        <w:numPr>
          <w:ilvl w:val="0"/>
          <w:numId w:val="219"/>
        </w:numPr>
        <w:rPr>
          <w:rFonts w:ascii="Arial" w:cs="Arial" w:eastAsia="Arial" w:hAnsi="Arial"/>
          <w:sz w:val="16"/>
          <w:szCs w:val="16"/>
          <w:color w:val="auto"/>
        </w:rPr>
      </w:pPr>
      <w:r>
        <w:rPr>
          <w:rFonts w:ascii="Arial" w:cs="Arial" w:eastAsia="Arial" w:hAnsi="Arial"/>
          <w:sz w:val="16"/>
          <w:szCs w:val="16"/>
          <w:b w:val="1"/>
          <w:bCs w:val="1"/>
          <w:u w:val="single" w:color="auto"/>
          <w:color w:val="auto"/>
        </w:rPr>
        <w:t>No Broker</w:t>
      </w:r>
      <w:r>
        <w:rPr>
          <w:rFonts w:ascii="Arial" w:cs="Arial" w:eastAsia="Arial" w:hAnsi="Arial"/>
          <w:sz w:val="16"/>
          <w:szCs w:val="16"/>
          <w:color w:val="auto"/>
        </w:rPr>
        <w:t>. Landlord and Tenant hereby warrant to each other that they have had no dealings with any real estate broker or agent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negotiation of this First Amendment, and that they know of no real estate broker or agent who is entitled to a commission in connection with this First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occurring by, through, or under the indemnifying party. The terms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the expiration or earlier termination of the term of the Lease, as hereby amended.</w:t>
      </w:r>
    </w:p>
    <w:p>
      <w:pPr>
        <w:spacing w:after="0" w:line="160" w:lineRule="exact"/>
        <w:rPr>
          <w:rFonts w:ascii="Arial" w:cs="Arial" w:eastAsia="Arial" w:hAnsi="Arial"/>
          <w:sz w:val="16"/>
          <w:szCs w:val="16"/>
          <w:color w:val="auto"/>
        </w:rPr>
      </w:pPr>
    </w:p>
    <w:p>
      <w:pPr>
        <w:ind w:left="-20" w:right="80" w:firstLine="461"/>
        <w:spacing w:after="0" w:line="296" w:lineRule="auto"/>
        <w:tabs>
          <w:tab w:leader="none" w:pos="611" w:val="left"/>
        </w:tabs>
        <w:numPr>
          <w:ilvl w:val="0"/>
          <w:numId w:val="219"/>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Accessibility Disclosure</w:t>
      </w:r>
      <w:r>
        <w:rPr>
          <w:rFonts w:ascii="Arial" w:cs="Arial" w:eastAsia="Arial" w:hAnsi="Arial"/>
          <w:sz w:val="17"/>
          <w:szCs w:val="17"/>
          <w:color w:val="auto"/>
        </w:rPr>
        <w:t>. For purposes of Section 1938 of the California Civil Code, Landlord hereby discloses to Tenant, and Tenant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acknowledges that the Common Areas and the Premises have not undergone inspection by a Certified Access Specialist (CASp).</w:t>
      </w:r>
    </w:p>
    <w:p>
      <w:pPr>
        <w:spacing w:after="0" w:line="146" w:lineRule="exact"/>
        <w:rPr>
          <w:rFonts w:ascii="Arial" w:cs="Arial" w:eastAsia="Arial" w:hAnsi="Arial"/>
          <w:sz w:val="17"/>
          <w:szCs w:val="17"/>
          <w:color w:val="auto"/>
        </w:rPr>
      </w:pPr>
    </w:p>
    <w:p>
      <w:pPr>
        <w:ind w:left="-20" w:firstLine="461"/>
        <w:spacing w:after="0" w:line="296" w:lineRule="auto"/>
        <w:tabs>
          <w:tab w:leader="none" w:pos="698" w:val="left"/>
        </w:tabs>
        <w:numPr>
          <w:ilvl w:val="0"/>
          <w:numId w:val="219"/>
        </w:numPr>
        <w:rPr>
          <w:rFonts w:ascii="Arial" w:cs="Arial" w:eastAsia="Arial" w:hAnsi="Arial"/>
          <w:sz w:val="17"/>
          <w:szCs w:val="17"/>
          <w:color w:val="auto"/>
        </w:rPr>
      </w:pPr>
      <w:r>
        <w:rPr>
          <w:rFonts w:ascii="Arial" w:cs="Arial" w:eastAsia="Arial" w:hAnsi="Arial"/>
          <w:sz w:val="17"/>
          <w:szCs w:val="17"/>
          <w:b w:val="1"/>
          <w:bCs w:val="1"/>
          <w:u w:val="single" w:color="auto"/>
          <w:color w:val="auto"/>
        </w:rPr>
        <w:t>No Further Modification</w:t>
      </w:r>
      <w:r>
        <w:rPr>
          <w:rFonts w:ascii="Arial" w:cs="Arial" w:eastAsia="Arial" w:hAnsi="Arial"/>
          <w:sz w:val="17"/>
          <w:szCs w:val="17"/>
          <w:color w:val="auto"/>
        </w:rPr>
        <w:t>. Except as specifically set forth in this First Amendment, all of the terms and provisions of the Lease shall remain unmodified</w:t>
      </w:r>
      <w:r>
        <w:rPr>
          <w:rFonts w:ascii="Arial" w:cs="Arial" w:eastAsia="Arial" w:hAnsi="Arial"/>
          <w:sz w:val="17"/>
          <w:szCs w:val="17"/>
          <w:b w:val="1"/>
          <w:bCs w:val="1"/>
          <w:color w:val="auto"/>
        </w:rPr>
        <w:t xml:space="preserve"> </w:t>
      </w:r>
      <w:r>
        <w:rPr>
          <w:rFonts w:ascii="Arial" w:cs="Arial" w:eastAsia="Arial" w:hAnsi="Arial"/>
          <w:sz w:val="17"/>
          <w:szCs w:val="17"/>
          <w:color w:val="auto"/>
        </w:rPr>
        <w:t>and in full force and effect.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[signatures contained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60" w:top="265" w:right="259" w:bottom="1440" w:gutter="0" w:footer="0" w:header="0"/>
        </w:sectPr>
      </w:pPr>
    </w:p>
    <w:bookmarkStart w:id="358" w:name="page359"/>
    <w:bookmarkEnd w:id="35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this First Amendment has been executed as of the day and year first above written.</w:t>
      </w: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“LANDLORD”:</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KILROY REALTY, L.P.</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limited partnership</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10"/>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120" w:type="dxa"/>
            <w:vAlign w:val="bottom"/>
            <w:gridSpan w:val="2"/>
          </w:tcPr>
          <w:p>
            <w:pPr>
              <w:ind w:left="160"/>
              <w:spacing w:after="0"/>
              <w:rPr>
                <w:sz w:val="20"/>
                <w:szCs w:val="20"/>
                <w:color w:val="auto"/>
              </w:rPr>
            </w:pPr>
            <w:r>
              <w:rPr>
                <w:rFonts w:ascii="Arial" w:cs="Arial" w:eastAsia="Arial" w:hAnsi="Arial"/>
                <w:sz w:val="17"/>
                <w:szCs w:val="17"/>
                <w:color w:val="auto"/>
              </w:rPr>
              <w:t>Kilroy Realty Corporation,</w:t>
            </w:r>
          </w:p>
        </w:tc>
      </w:tr>
      <w:tr>
        <w:trPr>
          <w:trHeight w:val="222"/>
        </w:trPr>
        <w:tc>
          <w:tcPr>
            <w:tcW w:w="440" w:type="dxa"/>
            <w:vAlign w:val="bottom"/>
          </w:tcPr>
          <w:p>
            <w:pPr>
              <w:spacing w:after="0"/>
              <w:rPr>
                <w:sz w:val="19"/>
                <w:szCs w:val="19"/>
                <w:color w:val="auto"/>
              </w:rPr>
            </w:pPr>
          </w:p>
        </w:tc>
        <w:tc>
          <w:tcPr>
            <w:tcW w:w="4120" w:type="dxa"/>
            <w:vAlign w:val="bottom"/>
            <w:gridSpan w:val="2"/>
          </w:tcPr>
          <w:p>
            <w:pPr>
              <w:ind w:left="160"/>
              <w:spacing w:after="0"/>
              <w:rPr>
                <w:sz w:val="20"/>
                <w:szCs w:val="20"/>
                <w:color w:val="auto"/>
              </w:rPr>
            </w:pPr>
            <w:r>
              <w:rPr>
                <w:rFonts w:ascii="Arial" w:cs="Arial" w:eastAsia="Arial" w:hAnsi="Arial"/>
                <w:sz w:val="17"/>
                <w:szCs w:val="17"/>
                <w:color w:val="auto"/>
              </w:rPr>
              <w:t>a Maryland corporation</w:t>
            </w:r>
          </w:p>
        </w:tc>
      </w:tr>
      <w:tr>
        <w:trPr>
          <w:trHeight w:val="419"/>
        </w:trPr>
        <w:tc>
          <w:tcPr>
            <w:tcW w:w="440" w:type="dxa"/>
            <w:vAlign w:val="bottom"/>
          </w:tcPr>
          <w:p>
            <w:pPr>
              <w:spacing w:after="0"/>
              <w:rPr>
                <w:sz w:val="24"/>
                <w:szCs w:val="24"/>
                <w:color w:val="auto"/>
              </w:rPr>
            </w:pPr>
          </w:p>
        </w:tc>
        <w:tc>
          <w:tcPr>
            <w:tcW w:w="4120" w:type="dxa"/>
            <w:vAlign w:val="bottom"/>
            <w:gridSpan w:val="2"/>
          </w:tcPr>
          <w:p>
            <w:pPr>
              <w:ind w:left="160"/>
              <w:spacing w:after="0"/>
              <w:rPr>
                <w:sz w:val="20"/>
                <w:szCs w:val="20"/>
                <w:color w:val="auto"/>
              </w:rPr>
            </w:pPr>
            <w:r>
              <w:rPr>
                <w:rFonts w:ascii="Arial" w:cs="Arial" w:eastAsia="Arial" w:hAnsi="Arial"/>
                <w:sz w:val="17"/>
                <w:szCs w:val="17"/>
                <w:color w:val="auto"/>
              </w:rPr>
              <w:t>Its: General Partner</w:t>
            </w:r>
          </w:p>
        </w:tc>
      </w:tr>
      <w:tr>
        <w:trPr>
          <w:trHeight w:val="419"/>
        </w:trPr>
        <w:tc>
          <w:tcPr>
            <w:tcW w:w="44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Galligan</w:t>
            </w:r>
          </w:p>
        </w:tc>
      </w:tr>
      <w:tr>
        <w:trPr>
          <w:trHeight w:val="216"/>
        </w:trPr>
        <w:tc>
          <w:tcPr>
            <w:tcW w:w="44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Name: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Brian Galligan</w:t>
            </w:r>
          </w:p>
        </w:tc>
      </w:tr>
      <w:tr>
        <w:trPr>
          <w:trHeight w:val="216"/>
        </w:trPr>
        <w:tc>
          <w:tcPr>
            <w:tcW w:w="44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Its:</w:t>
            </w:r>
          </w:p>
        </w:tc>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SVP Asset Management, SD/OC</w:t>
            </w:r>
          </w:p>
        </w:tc>
      </w:tr>
      <w:tr>
        <w:trPr>
          <w:trHeight w:val="425"/>
        </w:trPr>
        <w:tc>
          <w:tcPr>
            <w:tcW w:w="44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E. Palmer</w:t>
            </w:r>
          </w:p>
        </w:tc>
      </w:tr>
      <w:tr>
        <w:trPr>
          <w:trHeight w:val="216"/>
        </w:trPr>
        <w:tc>
          <w:tcPr>
            <w:tcW w:w="44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Name:</w:t>
            </w:r>
          </w:p>
        </w:tc>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Robert E. Palmer</w:t>
            </w:r>
          </w:p>
        </w:tc>
      </w:tr>
      <w:tr>
        <w:trPr>
          <w:trHeight w:val="216"/>
        </w:trPr>
        <w:tc>
          <w:tcPr>
            <w:tcW w:w="44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Its:</w:t>
            </w:r>
          </w:p>
        </w:tc>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Senior Vice President, Operations</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“TENANT”:</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ANAPTYSBIO. INC.,</w:t>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 Delaware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Hamza Suria</w:t>
            </w:r>
          </w:p>
        </w:tc>
      </w:tr>
      <w:tr>
        <w:trPr>
          <w:trHeight w:val="216"/>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Hamza Suria</w:t>
            </w:r>
          </w:p>
        </w:tc>
      </w:tr>
      <w:tr>
        <w:trPr>
          <w:trHeight w:val="216"/>
        </w:trPr>
        <w:tc>
          <w:tcPr>
            <w:tcW w:w="600" w:type="dxa"/>
            <w:vAlign w:val="bottom"/>
          </w:tcPr>
          <w:p>
            <w:pPr>
              <w:spacing w:after="0"/>
              <w:rPr>
                <w:sz w:val="20"/>
                <w:szCs w:val="20"/>
                <w:color w:val="auto"/>
              </w:rPr>
            </w:pPr>
            <w:r>
              <w:rPr>
                <w:rFonts w:ascii="Arial" w:cs="Arial" w:eastAsia="Arial" w:hAnsi="Arial"/>
                <w:sz w:val="17"/>
                <w:szCs w:val="17"/>
                <w:color w:val="auto"/>
              </w:rPr>
              <w:t>Its:</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 &amp; CEO</w:t>
            </w:r>
          </w:p>
        </w:tc>
      </w:tr>
      <w:tr>
        <w:trPr>
          <w:trHeight w:val="425"/>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E. Hoffman</w:t>
            </w:r>
          </w:p>
        </w:tc>
      </w:tr>
      <w:tr>
        <w:trPr>
          <w:trHeight w:val="216"/>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Robert E. Hoffman</w:t>
            </w:r>
          </w:p>
        </w:tc>
      </w:tr>
      <w:tr>
        <w:trPr>
          <w:trHeight w:val="216"/>
        </w:trPr>
        <w:tc>
          <w:tcPr>
            <w:tcW w:w="600" w:type="dxa"/>
            <w:vAlign w:val="bottom"/>
          </w:tcPr>
          <w:p>
            <w:pPr>
              <w:spacing w:after="0"/>
              <w:rPr>
                <w:sz w:val="20"/>
                <w:szCs w:val="20"/>
                <w:color w:val="auto"/>
              </w:rPr>
            </w:pPr>
            <w:r>
              <w:rPr>
                <w:rFonts w:ascii="Arial" w:cs="Arial" w:eastAsia="Arial" w:hAnsi="Arial"/>
                <w:sz w:val="17"/>
                <w:szCs w:val="17"/>
                <w:color w:val="auto"/>
              </w:rPr>
              <w:t>Its:</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CFO</w:t>
            </w:r>
          </w:p>
        </w:tc>
      </w:tr>
    </w:tbl>
    <w:p>
      <w:pPr>
        <w:spacing w:after="0" w:line="14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60"/>
          </w:cols>
          <w:pgMar w:left="700" w:top="271" w:right="2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AnaptysBio, Inc.:</w:t>
      </w:r>
    </w:p>
    <w:p>
      <w:pPr>
        <w:spacing w:after="0" w:line="21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We consent to the use of our report, dated June 5, 2015, except for earnings per share information and Note 12, which are dated July 13, 2015, included herein and to the reference to our firm under the heading “Experts” in the prospectus.</w:t>
      </w:r>
    </w:p>
    <w:p>
      <w:pPr>
        <w:spacing w:after="0" w:line="36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KPMG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December 18,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1)"/>
      <w:numFmt w:val="decimal"/>
      <w:start w:val="1"/>
    </w:lvl>
  </w:abstractNum>
  <w:abstractNum w:abstractNumId="1">
    <w:nsid w:val="1CA0C5FA"/>
    <w:multiLevelType w:val="hybridMultilevel"/>
    <w:lvl w:ilvl="0">
      <w:lvlJc w:val="left"/>
      <w:lvlText w:val="*"/>
      <w:numFmt w:val="bullet"/>
      <w:start w:val="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
      <w:numFmt w:val="bullet"/>
      <w:start w:val="1"/>
    </w:lvl>
  </w:abstractNum>
  <w:abstractNum w:abstractNumId="7">
    <w:nsid w:val="5C10FE21"/>
    <w:multiLevelType w:val="hybridMultilevel"/>
    <w:lvl w:ilvl="0">
      <w:lvlJc w:val="left"/>
      <w:lvlText w:val="•"/>
      <w:numFmt w:val="bullet"/>
      <w:start w:val="1"/>
    </w:lvl>
  </w:abstractNum>
  <w:abstractNum w:abstractNumId="8">
    <w:nsid w:val="E7FFA2B"/>
    <w:multiLevelType w:val="hybridMultilevel"/>
    <w:lvl w:ilvl="0">
      <w:lvlJc w:val="left"/>
      <w:lvlText w:val="•"/>
      <w:numFmt w:val="bullet"/>
      <w:start w:val="1"/>
    </w:lvl>
  </w:abstractNum>
  <w:abstractNum w:abstractNumId="9">
    <w:nsid w:val="3C5991AA"/>
    <w:multiLevelType w:val="hybridMultilevel"/>
    <w:lvl w:ilvl="0">
      <w:lvlJc w:val="left"/>
      <w:lvlText w:val="•"/>
      <w:numFmt w:val="bullet"/>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
      <w:numFmt w:val="bullet"/>
      <w:start w:val="1"/>
    </w:lvl>
  </w:abstractNum>
  <w:abstractNum w:abstractNumId="12">
    <w:nsid w:val="39B7AAA2"/>
    <w:multiLevelType w:val="hybridMultilevel"/>
    <w:lvl w:ilvl="0">
      <w:lvlJc w:val="left"/>
      <w:lvlText w:val="•"/>
      <w:numFmt w:val="bullet"/>
      <w:start w:val="1"/>
    </w:lvl>
    <w:lvl w:ilvl="1">
      <w:lvlJc w:val="left"/>
      <w:lvlText w:val="(%2)"/>
      <w:numFmt w:val="lowerLetter"/>
      <w:start w:val="3"/>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1)"/>
      <w:numFmt w:val="decimal"/>
      <w:start w:val="1"/>
    </w:lvl>
  </w:abstractNum>
  <w:abstractNum w:abstractNumId="16">
    <w:nsid w:val="69E373"/>
    <w:multiLevelType w:val="hybridMultilevel"/>
    <w:lvl w:ilvl="0">
      <w:lvlJc w:val="left"/>
      <w:lvlText w:val="(%1)"/>
      <w:numFmt w:val="decimal"/>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abstractNum>
  <w:abstractNum w:abstractNumId="25">
    <w:nsid w:val="5B25ACE2"/>
    <w:multiLevelType w:val="hybridMultilevel"/>
    <w:lvl w:ilvl="0">
      <w:lvlJc w:val="left"/>
      <w:lvlText w:val="•"/>
      <w:numFmt w:val="bullet"/>
      <w:start w:val="1"/>
    </w:lvl>
  </w:abstractNum>
  <w:abstractNum w:abstractNumId="26">
    <w:nsid w:val="175DFCF0"/>
    <w:multiLevelType w:val="hybridMultilevel"/>
    <w:lvl w:ilvl="0">
      <w:lvlJc w:val="left"/>
      <w:lvlText w:val="•"/>
      <w:numFmt w:val="bullet"/>
      <w:start w:val="1"/>
    </w:lvl>
  </w:abstractNum>
  <w:abstractNum w:abstractNumId="27">
    <w:nsid w:val="4F97E3E4"/>
    <w:multiLevelType w:val="hybridMultilevel"/>
    <w:lvl w:ilvl="0">
      <w:lvlJc w:val="left"/>
      <w:lvlText w:val="•"/>
      <w:numFmt w:val="bullet"/>
      <w:start w:val="1"/>
    </w:lvl>
  </w:abstractNum>
  <w:abstractNum w:abstractNumId="28">
    <w:nsid w:val="53B0A9E"/>
    <w:multiLevelType w:val="hybridMultilevel"/>
    <w:lvl w:ilvl="0">
      <w:lvlJc w:val="left"/>
      <w:lvlText w:val="•"/>
      <w:numFmt w:val="bullet"/>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
      <w:numFmt w:val="bullet"/>
      <w:start w:val="1"/>
    </w:lvl>
  </w:abstractNum>
  <w:abstractNum w:abstractNumId="36">
    <w:nsid w:val="5046B5A9"/>
    <w:multiLevelType w:val="hybridMultilevel"/>
    <w:lvl w:ilvl="0">
      <w:lvlJc w:val="left"/>
      <w:lvlText w:val="•"/>
      <w:numFmt w:val="bullet"/>
      <w:start w:val="1"/>
    </w:lvl>
  </w:abstractNum>
  <w:abstractNum w:abstractNumId="37">
    <w:nsid w:val="5D888A08"/>
    <w:multiLevelType w:val="hybridMultilevel"/>
    <w:lvl w:ilvl="0">
      <w:lvlJc w:val="left"/>
      <w:lvlText w:val="•"/>
      <w:numFmt w:val="bullet"/>
      <w:start w:val="1"/>
    </w:lvl>
  </w:abstractNum>
  <w:abstractNum w:abstractNumId="38">
    <w:nsid w:val="2A082C70"/>
    <w:multiLevelType w:val="hybridMultilevel"/>
    <w:lvl w:ilvl="0">
      <w:lvlJc w:val="left"/>
      <w:lvlText w:val="•"/>
      <w:numFmt w:val="bullet"/>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
      <w:numFmt w:val="bullet"/>
      <w:start w:val="1"/>
    </w:lvl>
  </w:abstractNum>
  <w:abstractNum w:abstractNumId="41">
    <w:nsid w:val="75E0858A"/>
    <w:multiLevelType w:val="hybridMultilevel"/>
    <w:lvl w:ilvl="0">
      <w:lvlJc w:val="left"/>
      <w:lvlText w:val="$"/>
      <w:numFmt w:val="bullet"/>
      <w:start w:val="1"/>
    </w:lvl>
  </w:abstractNum>
  <w:abstractNum w:abstractNumId="42">
    <w:nsid w:val="57A61A29"/>
    <w:multiLevelType w:val="hybridMultilevel"/>
    <w:lvl w:ilvl="0">
      <w:lvlJc w:val="left"/>
      <w:lvlText w:val="•"/>
      <w:numFmt w:val="bullet"/>
      <w:start w:val="1"/>
    </w:lvl>
  </w:abstractNum>
  <w:abstractNum w:abstractNumId="43">
    <w:nsid w:val="5399C654"/>
    <w:multiLevelType w:val="hybridMultilevel"/>
    <w:lvl w:ilvl="0">
      <w:lvlJc w:val="left"/>
      <w:lvlText w:val="•"/>
      <w:numFmt w:val="bullet"/>
      <w:start w:val="1"/>
    </w:lvl>
  </w:abstractNum>
  <w:abstractNum w:abstractNumId="44">
    <w:nsid w:val="20EE1348"/>
    <w:multiLevelType w:val="hybridMultilevel"/>
    <w:lvl w:ilvl="0">
      <w:lvlJc w:val="left"/>
      <w:lvlText w:val="(%1)"/>
      <w:numFmt w:val="decimal"/>
      <w:start w:val="1"/>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lvl w:ilvl="1">
      <w:lvlJc w:val="left"/>
      <w:lvlText w:val="(%2)"/>
      <w:numFmt w:val="lowerLetter"/>
      <w:start w:val="3"/>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
      <w:numFmt w:val="bullet"/>
      <w:start w:val="1"/>
    </w:lvl>
    <w:lvl w:ilvl="1">
      <w:lvlJc w:val="left"/>
      <w:lvlText w:val="(%2)"/>
      <w:numFmt w:val="lowerLetter"/>
      <w:start w:val="3"/>
    </w:lvl>
  </w:abstractNum>
  <w:abstractNum w:abstractNumId="50">
    <w:nsid w:val="BFFAE18"/>
    <w:multiLevelType w:val="hybridMultilevel"/>
    <w:lvl w:ilvl="0">
      <w:lvlJc w:val="left"/>
      <w:lvlText w:val="(%1)"/>
      <w:numFmt w:val="decimal"/>
      <w:start w:val="1"/>
    </w:lvl>
  </w:abstractNum>
  <w:abstractNum w:abstractNumId="51">
    <w:nsid w:val="E3E47A8"/>
    <w:multiLevelType w:val="hybridMultilevel"/>
    <w:lvl w:ilvl="0">
      <w:lvlJc w:val="left"/>
      <w:lvlText w:val="•"/>
      <w:numFmt w:val="bullet"/>
      <w:start w:val="1"/>
    </w:lvl>
  </w:abstractNum>
  <w:abstractNum w:abstractNumId="52">
    <w:nsid w:val="2E48F044"/>
    <w:multiLevelType w:val="hybridMultilevel"/>
    <w:lvl w:ilvl="0">
      <w:lvlJc w:val="left"/>
      <w:lvlText w:val="•"/>
      <w:numFmt w:val="bullet"/>
      <w:start w:val="1"/>
    </w:lvl>
  </w:abstractNum>
  <w:abstractNum w:abstractNumId="53">
    <w:nsid w:val="49D0FEAC"/>
    <w:multiLevelType w:val="hybridMultilevel"/>
    <w:lvl w:ilvl="0">
      <w:lvlJc w:val="left"/>
      <w:lvlText w:val="•"/>
      <w:numFmt w:val="bullet"/>
      <w:start w:val="1"/>
    </w:lvl>
  </w:abstractNum>
  <w:abstractNum w:abstractNumId="54">
    <w:nsid w:val="4BEE5A5B"/>
    <w:multiLevelType w:val="hybridMultilevel"/>
    <w:lvl w:ilvl="0">
      <w:lvlJc w:val="left"/>
      <w:lvlText w:val="•"/>
      <w:numFmt w:val="bullet"/>
      <w:start w:val="1"/>
    </w:lvl>
  </w:abstractNum>
  <w:abstractNum w:abstractNumId="55">
    <w:nsid w:val="5551B9F3"/>
    <w:multiLevelType w:val="hybridMultilevel"/>
    <w:lvl w:ilvl="0">
      <w:lvlJc w:val="left"/>
      <w:lvlText w:val="•"/>
      <w:numFmt w:val="bullet"/>
      <w:start w:val="1"/>
    </w:lvl>
  </w:abstractNum>
  <w:abstractNum w:abstractNumId="56">
    <w:nsid w:val="24F6AB8E"/>
    <w:multiLevelType w:val="hybridMultilevel"/>
    <w:lvl w:ilvl="0">
      <w:lvlJc w:val="left"/>
      <w:lvlText w:val="•"/>
      <w:numFmt w:val="bullet"/>
      <w:start w:val="1"/>
    </w:lvl>
  </w:abstractNum>
  <w:abstractNum w:abstractNumId="57">
    <w:nsid w:val="634C574C"/>
    <w:multiLevelType w:val="hybridMultilevel"/>
    <w:lvl w:ilvl="0">
      <w:lvlJc w:val="left"/>
      <w:lvlText w:val="•"/>
      <w:numFmt w:val="bullet"/>
      <w:start w:val="1"/>
    </w:lvl>
  </w:abstractNum>
  <w:abstractNum w:abstractNumId="58">
    <w:nsid w:val="24E99DD7"/>
    <w:multiLevelType w:val="hybridMultilevel"/>
    <w:lvl w:ilvl="0">
      <w:lvlJc w:val="left"/>
      <w:lvlText w:val="•"/>
      <w:numFmt w:val="bullet"/>
      <w:start w:val="1"/>
    </w:lvl>
  </w:abstractNum>
  <w:abstractNum w:abstractNumId="59">
    <w:nsid w:val="2A31B62D"/>
    <w:multiLevelType w:val="hybridMultilevel"/>
    <w:lvl w:ilvl="0">
      <w:lvlJc w:val="left"/>
      <w:lvlText w:val="(%1)"/>
      <w:numFmt w:val="decimal"/>
      <w:start w:val="1"/>
    </w:lvl>
  </w:abstractNum>
  <w:abstractNum w:abstractNumId="60">
    <w:nsid w:val="1849C29B"/>
    <w:multiLevelType w:val="hybridMultilevel"/>
    <w:lvl w:ilvl="0">
      <w:lvlJc w:val="left"/>
      <w:lvlText w:val="*"/>
      <w:numFmt w:val="bullet"/>
      <w:start w:val="1"/>
    </w:lvl>
  </w:abstractNum>
  <w:abstractNum w:abstractNumId="61">
    <w:nsid w:val="7DFF9D09"/>
    <w:multiLevelType w:val="hybridMultilevel"/>
    <w:lvl w:ilvl="0">
      <w:lvlJc w:val="left"/>
      <w:lvlText w:val="•"/>
      <w:numFmt w:val="bullet"/>
      <w:start w:val="1"/>
    </w:lvl>
  </w:abstractNum>
  <w:abstractNum w:abstractNumId="62">
    <w:nsid w:val="754342"/>
    <w:multiLevelType w:val="hybridMultilevel"/>
    <w:lvl w:ilvl="0">
      <w:lvlJc w:val="left"/>
      <w:lvlText w:val="•"/>
      <w:numFmt w:val="bullet"/>
      <w:start w:val="1"/>
    </w:lvl>
  </w:abstractNum>
  <w:abstractNum w:abstractNumId="63">
    <w:nsid w:val="69E7F3E5"/>
    <w:multiLevelType w:val="hybridMultilevel"/>
    <w:lvl w:ilvl="0">
      <w:lvlJc w:val="left"/>
      <w:lvlText w:val="•"/>
      <w:numFmt w:val="bullet"/>
      <w:start w:val="1"/>
    </w:lvl>
  </w:abstractNum>
  <w:abstractNum w:abstractNumId="64">
    <w:nsid w:val="2A6DE806"/>
    <w:multiLevelType w:val="hybridMultilevel"/>
    <w:lvl w:ilvl="0">
      <w:lvlJc w:val="left"/>
      <w:lvlText w:val="•"/>
      <w:numFmt w:val="bullet"/>
      <w:start w:val="1"/>
    </w:lvl>
  </w:abstractNum>
  <w:abstractNum w:abstractNumId="65">
    <w:nsid w:val="1816F8C4"/>
    <w:multiLevelType w:val="hybridMultilevel"/>
    <w:lvl w:ilvl="0">
      <w:lvlJc w:val="left"/>
      <w:lvlText w:val="•"/>
      <w:numFmt w:val="bullet"/>
      <w:start w:val="1"/>
    </w:lvl>
  </w:abstractNum>
  <w:abstractNum w:abstractNumId="66">
    <w:nsid w:val="37DF2233"/>
    <w:multiLevelType w:val="hybridMultilevel"/>
    <w:lvl w:ilvl="0">
      <w:lvlJc w:val="left"/>
      <w:lvlText w:val="•"/>
      <w:numFmt w:val="bullet"/>
      <w:start w:val="1"/>
    </w:lvl>
  </w:abstractNum>
  <w:abstractNum w:abstractNumId="67">
    <w:nsid w:val="7AB49DAF"/>
    <w:multiLevelType w:val="hybridMultilevel"/>
    <w:lvl w:ilvl="0">
      <w:lvlJc w:val="left"/>
      <w:lvlText w:val="•"/>
      <w:numFmt w:val="bullet"/>
      <w:start w:val="1"/>
    </w:lvl>
  </w:abstractNum>
  <w:abstractNum w:abstractNumId="68">
    <w:nsid w:val="759F82CD"/>
    <w:multiLevelType w:val="hybridMultilevel"/>
    <w:lvl w:ilvl="0">
      <w:lvlJc w:val="left"/>
      <w:lvlText w:val="•"/>
      <w:numFmt w:val="bullet"/>
      <w:start w:val="1"/>
    </w:lvl>
  </w:abstractNum>
  <w:abstractNum w:abstractNumId="69">
    <w:nsid w:val="61E74EA3"/>
    <w:multiLevelType w:val="hybridMultilevel"/>
    <w:lvl w:ilvl="0">
      <w:lvlJc w:val="left"/>
      <w:lvlText w:val="•"/>
      <w:numFmt w:val="bullet"/>
      <w:start w:val="1"/>
    </w:lvl>
  </w:abstractNum>
  <w:abstractNum w:abstractNumId="70">
    <w:nsid w:val="597B4D84"/>
    <w:multiLevelType w:val="hybridMultilevel"/>
    <w:lvl w:ilvl="0">
      <w:lvlJc w:val="left"/>
      <w:lvlText w:val="•"/>
      <w:numFmt w:val="bullet"/>
      <w:start w:val="1"/>
    </w:lvl>
  </w:abstractNum>
  <w:abstractNum w:abstractNumId="71">
    <w:nsid w:val="F819E7F"/>
    <w:multiLevelType w:val="hybridMultilevel"/>
    <w:lvl w:ilvl="0">
      <w:lvlJc w:val="left"/>
      <w:lvlText w:val="•"/>
      <w:numFmt w:val="bullet"/>
      <w:start w:val="1"/>
    </w:lvl>
  </w:abstractNum>
  <w:abstractNum w:abstractNumId="72">
    <w:nsid w:val="57C7D42D"/>
    <w:multiLevelType w:val="hybridMultilevel"/>
    <w:lvl w:ilvl="0">
      <w:lvlJc w:val="left"/>
      <w:lvlText w:val="•"/>
      <w:numFmt w:val="bullet"/>
      <w:start w:val="1"/>
    </w:lvl>
  </w:abstractNum>
  <w:abstractNum w:abstractNumId="73">
    <w:nsid w:val="312167AD"/>
    <w:multiLevelType w:val="hybridMultilevel"/>
    <w:lvl w:ilvl="0">
      <w:lvlJc w:val="left"/>
      <w:lvlText w:val="•"/>
      <w:numFmt w:val="bullet"/>
      <w:start w:val="1"/>
    </w:lvl>
  </w:abstractNum>
  <w:abstractNum w:abstractNumId="74">
    <w:nsid w:val="631B64D4"/>
    <w:multiLevelType w:val="hybridMultilevel"/>
    <w:lvl w:ilvl="0">
      <w:lvlJc w:val="left"/>
      <w:lvlText w:val="•"/>
      <w:numFmt w:val="bullet"/>
      <w:start w:val="1"/>
    </w:lvl>
  </w:abstractNum>
  <w:abstractNum w:abstractNumId="75">
    <w:nsid w:val="78B5E776"/>
    <w:multiLevelType w:val="hybridMultilevel"/>
    <w:lvl w:ilvl="0">
      <w:lvlJc w:val="left"/>
      <w:lvlText w:val="•"/>
      <w:numFmt w:val="bullet"/>
      <w:start w:val="1"/>
    </w:lvl>
  </w:abstractNum>
  <w:abstractNum w:abstractNumId="76">
    <w:nsid w:val="75486E47"/>
    <w:multiLevelType w:val="hybridMultilevel"/>
    <w:lvl w:ilvl="0">
      <w:lvlJc w:val="left"/>
      <w:lvlText w:val="•"/>
      <w:numFmt w:val="bullet"/>
      <w:start w:val="1"/>
    </w:lvl>
  </w:abstractNum>
  <w:abstractNum w:abstractNumId="77">
    <w:nsid w:val="6E534CDE"/>
    <w:multiLevelType w:val="hybridMultilevel"/>
    <w:lvl w:ilvl="0">
      <w:lvlJc w:val="left"/>
      <w:lvlText w:val="•"/>
      <w:numFmt w:val="bullet"/>
      <w:start w:val="1"/>
    </w:lvl>
  </w:abstractNum>
  <w:abstractNum w:abstractNumId="78">
    <w:nsid w:val="1A0DDE32"/>
    <w:multiLevelType w:val="hybridMultilevel"/>
    <w:lvl w:ilvl="0">
      <w:lvlJc w:val="left"/>
      <w:lvlText w:val="*"/>
      <w:numFmt w:val="bullet"/>
      <w:start w:val="1"/>
    </w:lvl>
  </w:abstractNum>
  <w:abstractNum w:abstractNumId="79">
    <w:nsid w:val="65968C1C"/>
    <w:multiLevelType w:val="hybridMultilevel"/>
    <w:lvl w:ilvl="0">
      <w:lvlJc w:val="left"/>
      <w:lvlText w:val="(%1)"/>
      <w:numFmt w:val="decimal"/>
      <w:start w:val="1"/>
    </w:lvl>
  </w:abstractNum>
  <w:abstractNum w:abstractNumId="80">
    <w:nsid w:val="46263DEC"/>
    <w:multiLevelType w:val="hybridMultilevel"/>
    <w:lvl w:ilvl="0">
      <w:lvlJc w:val="left"/>
      <w:lvlText w:val="•"/>
      <w:numFmt w:val="bullet"/>
      <w:start w:val="1"/>
    </w:lvl>
  </w:abstractNum>
  <w:abstractNum w:abstractNumId="81">
    <w:nsid w:val="260D8C4A"/>
    <w:multiLevelType w:val="hybridMultilevel"/>
    <w:lvl w:ilvl="0">
      <w:lvlJc w:val="left"/>
      <w:lvlText w:val="•"/>
      <w:numFmt w:val="bullet"/>
      <w:start w:val="1"/>
    </w:lvl>
  </w:abstractNum>
  <w:abstractNum w:abstractNumId="82">
    <w:nsid w:val="73D4D3C4"/>
    <w:multiLevelType w:val="hybridMultilevel"/>
    <w:lvl w:ilvl="0">
      <w:lvlJc w:val="left"/>
      <w:lvlText w:val="•"/>
      <w:numFmt w:val="bullet"/>
      <w:start w:val="1"/>
    </w:lvl>
  </w:abstractNum>
  <w:abstractNum w:abstractNumId="83">
    <w:nsid w:val="746F2E30"/>
    <w:multiLevelType w:val="hybridMultilevel"/>
    <w:lvl w:ilvl="0">
      <w:lvlJc w:val="left"/>
      <w:lvlText w:val="•"/>
      <w:numFmt w:val="bullet"/>
      <w:start w:val="1"/>
    </w:lvl>
  </w:abstractNum>
  <w:abstractNum w:abstractNumId="84">
    <w:nsid w:val="6FDE8AF6"/>
    <w:multiLevelType w:val="hybridMultilevel"/>
    <w:lvl w:ilvl="0">
      <w:lvlJc w:val="left"/>
      <w:lvlText w:val="•"/>
      <w:numFmt w:val="bullet"/>
      <w:start w:val="1"/>
    </w:lvl>
  </w:abstractNum>
  <w:abstractNum w:abstractNumId="85">
    <w:nsid w:val="3FC32E20"/>
    <w:multiLevelType w:val="hybridMultilevel"/>
    <w:lvl w:ilvl="0">
      <w:lvlJc w:val="left"/>
      <w:lvlText w:val="•"/>
      <w:numFmt w:val="bullet"/>
      <w:start w:val="1"/>
    </w:lvl>
  </w:abstractNum>
  <w:abstractNum w:abstractNumId="86">
    <w:nsid w:val="49C0E823"/>
    <w:multiLevelType w:val="hybridMultilevel"/>
    <w:lvl w:ilvl="0">
      <w:lvlJc w:val="left"/>
      <w:lvlText w:val="(%1)"/>
      <w:numFmt w:val="decimal"/>
      <w:start w:val="1"/>
    </w:lvl>
  </w:abstractNum>
  <w:abstractNum w:abstractNumId="87">
    <w:nsid w:val="14D53685"/>
    <w:multiLevelType w:val="hybridMultilevel"/>
    <w:lvl w:ilvl="0">
      <w:lvlJc w:val="left"/>
      <w:lvlText w:val="(%1)"/>
      <w:numFmt w:val="decimal"/>
      <w:start w:val="4"/>
    </w:lvl>
  </w:abstractNum>
  <w:abstractNum w:abstractNumId="88">
    <w:nsid w:val="230F856C"/>
    <w:multiLevelType w:val="hybridMultilevel"/>
    <w:lvl w:ilvl="0">
      <w:lvlJc w:val="left"/>
      <w:lvlText w:val="•"/>
      <w:numFmt w:val="bullet"/>
      <w:start w:val="1"/>
    </w:lvl>
  </w:abstractNum>
  <w:abstractNum w:abstractNumId="89">
    <w:nsid w:val="6EAA85FB"/>
    <w:multiLevelType w:val="hybridMultilevel"/>
    <w:lvl w:ilvl="0">
      <w:lvlJc w:val="left"/>
      <w:lvlText w:val="(%1)"/>
      <w:numFmt w:val="decimal"/>
      <w:start w:val="1"/>
    </w:lvl>
  </w:abstractNum>
  <w:abstractNum w:abstractNumId="90">
    <w:nsid w:val="3F06ECB2"/>
    <w:multiLevelType w:val="hybridMultilevel"/>
    <w:lvl w:ilvl="0">
      <w:lvlJc w:val="left"/>
      <w:lvlText w:val="(%1)"/>
      <w:numFmt w:val="decimal"/>
      <w:start w:val="1"/>
    </w:lvl>
  </w:abstractNum>
  <w:abstractNum w:abstractNumId="91">
    <w:nsid w:val="3B594807"/>
    <w:multiLevelType w:val="hybridMultilevel"/>
    <w:lvl w:ilvl="0">
      <w:lvlJc w:val="left"/>
      <w:lvlText w:val="(%1)"/>
      <w:numFmt w:val="decimal"/>
      <w:start w:val="3"/>
    </w:lvl>
  </w:abstractNum>
  <w:abstractNum w:abstractNumId="92">
    <w:nsid w:val="6CAA2304"/>
    <w:multiLevelType w:val="hybridMultilevel"/>
    <w:lvl w:ilvl="0">
      <w:lvlJc w:val="left"/>
      <w:lvlText w:val="(%1)"/>
      <w:numFmt w:val="lowerRoman"/>
      <w:start w:val="1"/>
    </w:lvl>
  </w:abstractNum>
  <w:abstractNum w:abstractNumId="93">
    <w:nsid w:val="3F7C2FF4"/>
    <w:multiLevelType w:val="hybridMultilevel"/>
    <w:lvl w:ilvl="0">
      <w:lvlJc w:val="left"/>
      <w:lvlText w:val="(%1)"/>
      <w:numFmt w:val="lowerRoman"/>
      <w:start w:val="1"/>
    </w:lvl>
  </w:abstractNum>
  <w:abstractNum w:abstractNumId="94">
    <w:nsid w:val="25413BEC"/>
    <w:multiLevelType w:val="hybridMultilevel"/>
    <w:lvl w:ilvl="0">
      <w:lvlJc w:val="left"/>
      <w:lvlText w:val="•"/>
      <w:numFmt w:val="bullet"/>
      <w:start w:val="1"/>
    </w:lvl>
  </w:abstractNum>
  <w:abstractNum w:abstractNumId="95">
    <w:nsid w:val="17180B0B"/>
    <w:multiLevelType w:val="hybridMultilevel"/>
    <w:lvl w:ilvl="0">
      <w:lvlJc w:val="left"/>
      <w:lvlText w:val="•"/>
      <w:numFmt w:val="bullet"/>
      <w:start w:val="1"/>
    </w:lvl>
  </w:abstractNum>
  <w:abstractNum w:abstractNumId="96">
    <w:nsid w:val="579328B9"/>
    <w:multiLevelType w:val="hybridMultilevel"/>
    <w:lvl w:ilvl="0">
      <w:lvlJc w:val="left"/>
      <w:lvlText w:val="•"/>
      <w:numFmt w:val="bullet"/>
      <w:start w:val="1"/>
    </w:lvl>
  </w:abstractNum>
  <w:abstractNum w:abstractNumId="97">
    <w:nsid w:val="5D205E20"/>
    <w:multiLevelType w:val="hybridMultilevel"/>
    <w:lvl w:ilvl="0">
      <w:lvlJc w:val="left"/>
      <w:lvlText w:val="(%1)"/>
      <w:numFmt w:val="decimal"/>
      <w:start w:val="1"/>
    </w:lvl>
  </w:abstractNum>
  <w:abstractNum w:abstractNumId="98">
    <w:nsid w:val="11CCA8BA"/>
    <w:multiLevelType w:val="hybridMultilevel"/>
    <w:lvl w:ilvl="0">
      <w:lvlJc w:val="left"/>
      <w:lvlText w:val="(%1)"/>
      <w:numFmt w:val="decimal"/>
      <w:start w:val="1"/>
    </w:lvl>
  </w:abstractNum>
  <w:abstractNum w:abstractNumId="99">
    <w:nsid w:val="4D32AB86"/>
    <w:multiLevelType w:val="hybridMultilevel"/>
    <w:lvl w:ilvl="0">
      <w:lvlJc w:val="left"/>
      <w:lvlText w:val="•"/>
      <w:numFmt w:val="bullet"/>
      <w:start w:val="1"/>
    </w:lvl>
  </w:abstractNum>
  <w:abstractNum w:abstractNumId="100">
    <w:nsid w:val="3F07ACC3"/>
    <w:multiLevelType w:val="hybridMultilevel"/>
    <w:lvl w:ilvl="0">
      <w:lvlJc w:val="left"/>
      <w:lvlText w:val="*"/>
      <w:numFmt w:val="bullet"/>
      <w:start w:val="1"/>
    </w:lvl>
  </w:abstractNum>
  <w:abstractNum w:abstractNumId="101">
    <w:nsid w:val="6B47F63E"/>
    <w:multiLevelType w:val="hybridMultilevel"/>
    <w:lvl w:ilvl="0">
      <w:lvlJc w:val="left"/>
      <w:lvlText w:val="(%1)"/>
      <w:numFmt w:val="decimal"/>
      <w:start w:val="1"/>
    </w:lvl>
    <w:lvl w:ilvl="1">
      <w:lvlJc w:val="left"/>
      <w:lvlText w:val="(%2)"/>
      <w:numFmt w:val="lowerLetter"/>
      <w:start w:val="2"/>
    </w:lvl>
  </w:abstractNum>
  <w:abstractNum w:abstractNumId="102">
    <w:nsid w:val="5CB44A05"/>
    <w:multiLevelType w:val="hybridMultilevel"/>
    <w:lvl w:ilvl="0">
      <w:lvlJc w:val="left"/>
      <w:lvlText w:val="(%1)"/>
      <w:numFmt w:val="decimal"/>
      <w:start w:val="9"/>
    </w:lvl>
    <w:lvl w:ilvl="1">
      <w:lvlJc w:val="left"/>
      <w:lvlText w:val="(%2)"/>
      <w:numFmt w:val="lowerLetter"/>
      <w:start w:val="4"/>
    </w:lvl>
  </w:abstractNum>
  <w:abstractNum w:abstractNumId="103">
    <w:nsid w:val="16CF80F1"/>
    <w:multiLevelType w:val="hybridMultilevel"/>
    <w:lvl w:ilvl="0">
      <w:lvlJc w:val="left"/>
      <w:lvlText w:val="•"/>
      <w:numFmt w:val="bullet"/>
      <w:start w:val="1"/>
    </w:lvl>
  </w:abstractNum>
  <w:abstractNum w:abstractNumId="104">
    <w:nsid w:val="1C695DEC"/>
    <w:multiLevelType w:val="hybridMultilevel"/>
    <w:lvl w:ilvl="0">
      <w:lvlJc w:val="left"/>
      <w:lvlText w:val="•"/>
      <w:numFmt w:val="bullet"/>
      <w:start w:val="1"/>
    </w:lvl>
  </w:abstractNum>
  <w:abstractNum w:abstractNumId="105">
    <w:nsid w:val="3FCFAED9"/>
    <w:multiLevelType w:val="hybridMultilevel"/>
    <w:lvl w:ilvl="0">
      <w:lvlJc w:val="left"/>
      <w:lvlText w:val="•"/>
      <w:numFmt w:val="bullet"/>
      <w:start w:val="1"/>
    </w:lvl>
  </w:abstractNum>
  <w:abstractNum w:abstractNumId="106">
    <w:nsid w:val="F856867"/>
    <w:multiLevelType w:val="hybridMultilevel"/>
    <w:lvl w:ilvl="0">
      <w:lvlJc w:val="left"/>
      <w:lvlText w:val="•"/>
      <w:numFmt w:val="bullet"/>
      <w:start w:val="1"/>
    </w:lvl>
  </w:abstractNum>
  <w:abstractNum w:abstractNumId="107">
    <w:nsid w:val="11B1CC33"/>
    <w:multiLevelType w:val="hybridMultilevel"/>
    <w:lvl w:ilvl="0">
      <w:lvlJc w:val="left"/>
      <w:lvlText w:val="•"/>
      <w:numFmt w:val="bullet"/>
      <w:start w:val="1"/>
    </w:lvl>
  </w:abstractNum>
  <w:abstractNum w:abstractNumId="108">
    <w:nsid w:val="2E22FBB7"/>
    <w:multiLevelType w:val="hybridMultilevel"/>
    <w:lvl w:ilvl="0">
      <w:lvlJc w:val="left"/>
      <w:lvlText w:val="•"/>
      <w:numFmt w:val="bullet"/>
      <w:start w:val="1"/>
    </w:lvl>
  </w:abstractNum>
  <w:abstractNum w:abstractNumId="109">
    <w:nsid w:val="29934699"/>
    <w:multiLevelType w:val="hybridMultilevel"/>
    <w:lvl w:ilvl="0">
      <w:lvlJc w:val="left"/>
      <w:lvlText w:val="•"/>
      <w:numFmt w:val="bullet"/>
      <w:start w:val="1"/>
    </w:lvl>
  </w:abstractNum>
  <w:abstractNum w:abstractNumId="110">
    <w:nsid w:val="77485850"/>
    <w:multiLevelType w:val="hybridMultilevel"/>
    <w:lvl w:ilvl="0">
      <w:lvlJc w:val="left"/>
      <w:lvlText w:val="•"/>
      <w:numFmt w:val="bullet"/>
      <w:start w:val="1"/>
    </w:lvl>
  </w:abstractNum>
  <w:abstractNum w:abstractNumId="111">
    <w:nsid w:val="744939A3"/>
    <w:multiLevelType w:val="hybridMultilevel"/>
    <w:lvl w:ilvl="0">
      <w:lvlJc w:val="left"/>
      <w:lvlText w:val="•"/>
      <w:numFmt w:val="bullet"/>
      <w:start w:val="1"/>
    </w:lvl>
  </w:abstractNum>
  <w:abstractNum w:abstractNumId="112">
    <w:nsid w:val="4FA0D2E3"/>
    <w:multiLevelType w:val="hybridMultilevel"/>
    <w:lvl w:ilvl="0">
      <w:lvlJc w:val="left"/>
      <w:lvlText w:val="•"/>
      <w:numFmt w:val="bullet"/>
      <w:start w:val="1"/>
    </w:lvl>
  </w:abstractNum>
  <w:abstractNum w:abstractNumId="113">
    <w:nsid w:val="6B1D2C14"/>
    <w:multiLevelType w:val="hybridMultilevel"/>
    <w:lvl w:ilvl="0">
      <w:lvlJc w:val="left"/>
      <w:lvlText w:val="•"/>
      <w:numFmt w:val="bullet"/>
      <w:start w:val="1"/>
    </w:lvl>
  </w:abstractNum>
  <w:abstractNum w:abstractNumId="114">
    <w:nsid w:val="68B867D3"/>
    <w:multiLevelType w:val="hybridMultilevel"/>
    <w:lvl w:ilvl="0">
      <w:lvlJc w:val="left"/>
      <w:lvlText w:val="•"/>
      <w:numFmt w:val="bullet"/>
      <w:start w:val="1"/>
    </w:lvl>
  </w:abstractNum>
  <w:abstractNum w:abstractNumId="115">
    <w:nsid w:val="3F7F5DD9"/>
    <w:multiLevelType w:val="hybridMultilevel"/>
    <w:lvl w:ilvl="0">
      <w:lvlJc w:val="left"/>
      <w:lvlText w:val="•"/>
      <w:numFmt w:val="bullet"/>
      <w:start w:val="1"/>
    </w:lvl>
  </w:abstractNum>
  <w:abstractNum w:abstractNumId="116">
    <w:nsid w:val="2AE05A34"/>
    <w:multiLevelType w:val="hybridMultilevel"/>
    <w:lvl w:ilvl="0">
      <w:lvlJc w:val="left"/>
      <w:lvlText w:val="(%1)"/>
      <w:numFmt w:val="lowerLetter"/>
      <w:start w:val="1"/>
    </w:lvl>
  </w:abstractNum>
  <w:abstractNum w:abstractNumId="117">
    <w:nsid w:val="32794FF7"/>
    <w:multiLevelType w:val="hybridMultilevel"/>
    <w:lvl w:ilvl="0">
      <w:lvlJc w:val="left"/>
      <w:lvlText w:val="•"/>
      <w:numFmt w:val="bullet"/>
      <w:start w:val="1"/>
    </w:lvl>
  </w:abstractNum>
  <w:abstractNum w:abstractNumId="118">
    <w:nsid w:val="5454945E"/>
    <w:multiLevelType w:val="hybridMultilevel"/>
    <w:lvl w:ilvl="0">
      <w:lvlJc w:val="left"/>
      <w:lvlText w:val="•"/>
      <w:numFmt w:val="bullet"/>
      <w:start w:val="1"/>
    </w:lvl>
    <w:lvl w:ilvl="1">
      <w:lvlJc w:val="left"/>
      <w:lvlText w:val="•"/>
      <w:numFmt w:val="bullet"/>
      <w:start w:val="1"/>
    </w:lvl>
  </w:abstractNum>
  <w:abstractNum w:abstractNumId="119">
    <w:nsid w:val="4DEFDFA0"/>
    <w:multiLevelType w:val="hybridMultilevel"/>
    <w:lvl w:ilvl="0">
      <w:lvlJc w:val="left"/>
      <w:lvlText w:val="(%1)"/>
      <w:numFmt w:val="lowerRoman"/>
      <w:start w:val="10"/>
    </w:lvl>
  </w:abstractNum>
  <w:abstractNum w:abstractNumId="120">
    <w:nsid w:val="2123D5F2"/>
    <w:multiLevelType w:val="hybridMultilevel"/>
    <w:lvl w:ilvl="0">
      <w:lvlJc w:val="left"/>
      <w:lvlText w:val="•"/>
      <w:numFmt w:val="bullet"/>
      <w:start w:val="1"/>
    </w:lvl>
  </w:abstractNum>
  <w:abstractNum w:abstractNumId="121">
    <w:nsid w:val="135B8110"/>
    <w:multiLevelType w:val="hybridMultilevel"/>
    <w:lvl w:ilvl="0">
      <w:lvlJc w:val="left"/>
      <w:lvlText w:val="•"/>
      <w:numFmt w:val="bullet"/>
      <w:start w:val="1"/>
    </w:lvl>
  </w:abstractNum>
  <w:abstractNum w:abstractNumId="122">
    <w:nsid w:val="94927A8"/>
    <w:multiLevelType w:val="hybridMultilevel"/>
    <w:lvl w:ilvl="0">
      <w:lvlJc w:val="left"/>
      <w:lvlText w:val="%1."/>
      <w:numFmt w:val="decimal"/>
      <w:start w:val="1"/>
    </w:lvl>
  </w:abstractNum>
  <w:abstractNum w:abstractNumId="123">
    <w:nsid w:val="DCDF8F6"/>
    <w:multiLevelType w:val="hybridMultilevel"/>
    <w:lvl w:ilvl="0">
      <w:lvlJc w:val="left"/>
      <w:lvlText w:val="%1."/>
      <w:numFmt w:val="decimal"/>
      <w:start w:val="2"/>
    </w:lvl>
  </w:abstractNum>
  <w:abstractNum w:abstractNumId="124">
    <w:nsid w:val="52D7B105"/>
    <w:multiLevelType w:val="hybridMultilevel"/>
    <w:lvl w:ilvl="0">
      <w:lvlJc w:val="left"/>
      <w:lvlText w:val="•"/>
      <w:numFmt w:val="bullet"/>
      <w:start w:val="1"/>
    </w:lvl>
  </w:abstractNum>
  <w:abstractNum w:abstractNumId="125">
    <w:nsid w:val="2E8A6394"/>
    <w:multiLevelType w:val="hybridMultilevel"/>
    <w:lvl w:ilvl="0">
      <w:lvlJc w:val="left"/>
      <w:lvlText w:val="%1."/>
      <w:numFmt w:val="decimal"/>
      <w:start w:val="4"/>
    </w:lvl>
  </w:abstractNum>
  <w:abstractNum w:abstractNumId="126">
    <w:nsid w:val="24E60401"/>
    <w:multiLevelType w:val="hybridMultilevel"/>
    <w:lvl w:ilvl="0">
      <w:lvlJc w:val="left"/>
      <w:lvlText w:val="%1."/>
      <w:numFmt w:val="decimal"/>
      <w:start w:val="5"/>
    </w:lvl>
  </w:abstractNum>
  <w:abstractNum w:abstractNumId="127">
    <w:nsid w:val="2A6AD9BE"/>
    <w:multiLevelType w:val="hybridMultilevel"/>
    <w:lvl w:ilvl="0">
      <w:lvlJc w:val="left"/>
      <w:lvlText w:val="%1."/>
      <w:numFmt w:val="decimal"/>
      <w:start w:val="6"/>
    </w:lvl>
  </w:abstractNum>
  <w:abstractNum w:abstractNumId="128">
    <w:nsid w:val="BAAC1B4"/>
    <w:multiLevelType w:val="hybridMultilevel"/>
    <w:lvl w:ilvl="0">
      <w:lvlJc w:val="left"/>
      <w:lvlText w:val="(%1)"/>
      <w:numFmt w:val="decimal"/>
      <w:start w:val="1"/>
    </w:lvl>
  </w:abstractNum>
  <w:abstractNum w:abstractNumId="129">
    <w:nsid w:val="36B2ACBC"/>
    <w:multiLevelType w:val="hybridMultilevel"/>
    <w:lvl w:ilvl="0">
      <w:lvlJc w:val="left"/>
      <w:lvlText w:val="%1."/>
      <w:numFmt w:val="decimal"/>
      <w:start w:val="7"/>
    </w:lvl>
  </w:abstractNum>
  <w:abstractNum w:abstractNumId="130">
    <w:nsid w:val="779D8544"/>
    <w:multiLevelType w:val="hybridMultilevel"/>
    <w:lvl w:ilvl="0">
      <w:lvlJc w:val="left"/>
      <w:lvlText w:val="%1."/>
      <w:numFmt w:val="decimal"/>
      <w:start w:val="8"/>
    </w:lvl>
  </w:abstractNum>
  <w:abstractNum w:abstractNumId="131">
    <w:nsid w:val="4AB26E78"/>
    <w:multiLevelType w:val="hybridMultilevel"/>
    <w:lvl w:ilvl="0">
      <w:lvlJc w:val="left"/>
      <w:lvlText w:val="%1."/>
      <w:numFmt w:val="decimal"/>
      <w:start w:val="9"/>
    </w:lvl>
  </w:abstractNum>
  <w:abstractNum w:abstractNumId="132">
    <w:nsid w:val="21FAA2FA"/>
    <w:multiLevelType w:val="hybridMultilevel"/>
    <w:lvl w:ilvl="0">
      <w:lvlJc w:val="left"/>
      <w:lvlText w:val="%1."/>
      <w:numFmt w:val="decimal"/>
      <w:start w:val="10"/>
    </w:lvl>
  </w:abstractNum>
  <w:abstractNum w:abstractNumId="133">
    <w:nsid w:val="5451CF49"/>
    <w:multiLevelType w:val="hybridMultilevel"/>
    <w:lvl w:ilvl="0">
      <w:lvlJc w:val="left"/>
      <w:lvlText w:val="%1."/>
      <w:numFmt w:val="decimal"/>
      <w:start w:val="11"/>
    </w:lvl>
  </w:abstractNum>
  <w:abstractNum w:abstractNumId="134">
    <w:nsid w:val="6181EF69"/>
    <w:multiLevelType w:val="hybridMultilevel"/>
    <w:lvl w:ilvl="0">
      <w:lvlJc w:val="left"/>
      <w:lvlText w:val="%1."/>
      <w:numFmt w:val="decimal"/>
      <w:start w:val="12"/>
    </w:lvl>
  </w:abstractNum>
  <w:abstractNum w:abstractNumId="135">
    <w:nsid w:val="3E6400E6"/>
    <w:multiLevelType w:val="hybridMultilevel"/>
    <w:lvl w:ilvl="0">
      <w:lvlJc w:val="left"/>
      <w:lvlText w:val="%1."/>
      <w:numFmt w:val="decimal"/>
      <w:start w:val="1"/>
    </w:lvl>
  </w:abstractNum>
  <w:abstractNum w:abstractNumId="136">
    <w:nsid w:val="14217E23"/>
    <w:multiLevelType w:val="hybridMultilevel"/>
    <w:lvl w:ilvl="0">
      <w:lvlJc w:val="left"/>
      <w:lvlText w:val="%1."/>
      <w:numFmt w:val="decimal"/>
      <w:start w:val="2"/>
    </w:lvl>
  </w:abstractNum>
  <w:abstractNum w:abstractNumId="137">
    <w:nsid w:val="710757D0"/>
    <w:multiLevelType w:val="hybridMultilevel"/>
    <w:lvl w:ilvl="0">
      <w:lvlJc w:val="left"/>
      <w:lvlText w:val="•"/>
      <w:numFmt w:val="bullet"/>
      <w:start w:val="1"/>
    </w:lvl>
  </w:abstractNum>
  <w:abstractNum w:abstractNumId="138">
    <w:nsid w:val="5015CD1A"/>
    <w:multiLevelType w:val="hybridMultilevel"/>
    <w:lvl w:ilvl="0">
      <w:lvlJc w:val="left"/>
      <w:lvlText w:val="•"/>
      <w:numFmt w:val="bullet"/>
      <w:start w:val="1"/>
    </w:lvl>
  </w:abstractNum>
  <w:abstractNum w:abstractNumId="139">
    <w:nsid w:val="424479DA"/>
    <w:multiLevelType w:val="hybridMultilevel"/>
    <w:lvl w:ilvl="0">
      <w:lvlJc w:val="left"/>
      <w:lvlText w:val="•"/>
      <w:numFmt w:val="bullet"/>
      <w:start w:val="1"/>
    </w:lvl>
  </w:abstractNum>
  <w:abstractNum w:abstractNumId="140">
    <w:nsid w:val="1A9A9E69"/>
    <w:multiLevelType w:val="hybridMultilevel"/>
    <w:lvl w:ilvl="0">
      <w:lvlJc w:val="left"/>
      <w:lvlText w:val="%1."/>
      <w:numFmt w:val="decimal"/>
      <w:start w:val="4"/>
    </w:lvl>
  </w:abstractNum>
  <w:abstractNum w:abstractNumId="141">
    <w:nsid w:val="475E256A"/>
    <w:multiLevelType w:val="hybridMultilevel"/>
    <w:lvl w:ilvl="0">
      <w:lvlJc w:val="left"/>
      <w:lvlText w:val="%1."/>
      <w:numFmt w:val="decimal"/>
      <w:start w:val="5"/>
    </w:lvl>
  </w:abstractNum>
  <w:abstractNum w:abstractNumId="142">
    <w:nsid w:val="368DB37E"/>
    <w:multiLevelType w:val="hybridMultilevel"/>
    <w:lvl w:ilvl="0">
      <w:lvlJc w:val="left"/>
      <w:lvlText w:val="%1."/>
      <w:numFmt w:val="decimal"/>
      <w:start w:val="6"/>
    </w:lvl>
  </w:abstractNum>
  <w:abstractNum w:abstractNumId="143">
    <w:nsid w:val="6A3B714C"/>
    <w:multiLevelType w:val="hybridMultilevel"/>
    <w:lvl w:ilvl="0">
      <w:lvlJc w:val="left"/>
      <w:lvlText w:val="(%1)"/>
      <w:numFmt w:val="decimal"/>
      <w:start w:val="1"/>
    </w:lvl>
  </w:abstractNum>
  <w:abstractNum w:abstractNumId="144">
    <w:nsid w:val="327B517E"/>
    <w:multiLevelType w:val="hybridMultilevel"/>
    <w:lvl w:ilvl="0">
      <w:lvlJc w:val="left"/>
      <w:lvlText w:val="%1."/>
      <w:numFmt w:val="decimal"/>
      <w:start w:val="7"/>
    </w:lvl>
  </w:abstractNum>
  <w:abstractNum w:abstractNumId="145">
    <w:nsid w:val="1F461B51"/>
    <w:multiLevelType w:val="hybridMultilevel"/>
    <w:lvl w:ilvl="0">
      <w:lvlJc w:val="left"/>
      <w:lvlText w:val="%1."/>
      <w:numFmt w:val="decimal"/>
      <w:start w:val="8"/>
    </w:lvl>
  </w:abstractNum>
  <w:abstractNum w:abstractNumId="146">
    <w:nsid w:val="29BACF25"/>
    <w:multiLevelType w:val="hybridMultilevel"/>
    <w:lvl w:ilvl="0">
      <w:lvlJc w:val="left"/>
      <w:lvlText w:val="%1."/>
      <w:numFmt w:val="decimal"/>
      <w:start w:val="9"/>
    </w:lvl>
  </w:abstractNum>
  <w:abstractNum w:abstractNumId="147">
    <w:nsid w:val="5D5BABB3"/>
    <w:multiLevelType w:val="hybridMultilevel"/>
    <w:lvl w:ilvl="0">
      <w:lvlJc w:val="left"/>
      <w:lvlText w:val="•"/>
      <w:numFmt w:val="bullet"/>
      <w:start w:val="1"/>
    </w:lvl>
  </w:abstractNum>
  <w:abstractNum w:abstractNumId="148">
    <w:nsid w:val="51BF6B48"/>
    <w:multiLevelType w:val="hybridMultilevel"/>
    <w:lvl w:ilvl="0">
      <w:lvlJc w:val="left"/>
      <w:lvlText w:val="•"/>
      <w:numFmt w:val="bullet"/>
      <w:start w:val="1"/>
    </w:lvl>
  </w:abstractNum>
  <w:abstractNum w:abstractNumId="149">
    <w:nsid w:val="7E0F6384"/>
    <w:multiLevelType w:val="hybridMultilevel"/>
    <w:lvl w:ilvl="0">
      <w:lvlJc w:val="left"/>
      <w:lvlText w:val="•"/>
      <w:numFmt w:val="bullet"/>
      <w:start w:val="1"/>
    </w:lvl>
  </w:abstractNum>
  <w:abstractNum w:abstractNumId="150">
    <w:nsid w:val="2B4B8B53"/>
    <w:multiLevelType w:val="hybridMultilevel"/>
    <w:lvl w:ilvl="0">
      <w:lvlJc w:val="left"/>
      <w:lvlText w:val="%1."/>
      <w:numFmt w:val="decimal"/>
      <w:start w:val="1"/>
    </w:lvl>
  </w:abstractNum>
  <w:abstractNum w:abstractNumId="151">
    <w:nsid w:val="72E3413A"/>
    <w:multiLevelType w:val="hybridMultilevel"/>
    <w:lvl w:ilvl="0">
      <w:lvlJc w:val="left"/>
      <w:lvlText w:val="%1."/>
      <w:numFmt w:val="decimal"/>
      <w:start w:val="3"/>
    </w:lvl>
  </w:abstractNum>
  <w:abstractNum w:abstractNumId="152">
    <w:nsid w:val="116AE494"/>
    <w:multiLevelType w:val="hybridMultilevel"/>
    <w:lvl w:ilvl="0">
      <w:lvlJc w:val="left"/>
      <w:lvlText w:val="(%1)"/>
      <w:numFmt w:val="lowerLetter"/>
      <w:start w:val="2"/>
    </w:lvl>
  </w:abstractNum>
  <w:abstractNum w:abstractNumId="153">
    <w:nsid w:val="3494B2FB"/>
    <w:multiLevelType w:val="hybridMultilevel"/>
    <w:lvl w:ilvl="0">
      <w:lvlJc w:val="left"/>
      <w:lvlText w:val="(%1)"/>
      <w:numFmt w:val="lowerLetter"/>
      <w:start w:val="1"/>
    </w:lvl>
  </w:abstractNum>
  <w:abstractNum w:abstractNumId="154">
    <w:nsid w:val="B13A31"/>
    <w:multiLevelType w:val="hybridMultilevel"/>
    <w:lvl w:ilvl="0">
      <w:lvlJc w:val="left"/>
      <w:lvlText w:val="+"/>
      <w:numFmt w:val="bullet"/>
      <w:start w:val="1"/>
    </w:lvl>
  </w:abstractNum>
  <w:abstractNum w:abstractNumId="155">
    <w:nsid w:val="64429599"/>
    <w:multiLevelType w:val="hybridMultilevel"/>
    <w:lvl w:ilvl="0">
      <w:lvlJc w:val="left"/>
      <w:lvlText w:val="(%1)"/>
      <w:numFmt w:val="lowerRoman"/>
      <w:start w:val="10"/>
    </w:lvl>
  </w:abstractNum>
  <w:abstractNum w:abstractNumId="156">
    <w:nsid w:val="631F1690"/>
    <w:multiLevelType w:val="hybridMultilevel"/>
    <w:lvl w:ilvl="0">
      <w:lvlJc w:val="left"/>
      <w:lvlText w:val="(%1)"/>
      <w:numFmt w:val="lowerLetter"/>
      <w:start w:val="2"/>
    </w:lvl>
  </w:abstractNum>
  <w:abstractNum w:abstractNumId="157">
    <w:nsid w:val="25973E32"/>
    <w:multiLevelType w:val="hybridMultilevel"/>
    <w:lvl w:ilvl="0">
      <w:lvlJc w:val="left"/>
      <w:lvlText w:val="%1."/>
      <w:numFmt w:val="decimal"/>
      <w:start w:val="3"/>
    </w:lvl>
  </w:abstractNum>
  <w:abstractNum w:abstractNumId="158">
    <w:nsid w:val="EAD6F57"/>
    <w:multiLevelType w:val="hybridMultilevel"/>
    <w:lvl w:ilvl="0">
      <w:lvlJc w:val="left"/>
      <w:lvlText w:val="%1."/>
      <w:numFmt w:val="decimal"/>
      <w:start w:val="4"/>
    </w:lvl>
  </w:abstractNum>
  <w:abstractNum w:abstractNumId="159">
    <w:nsid w:val="6EC9D844"/>
    <w:multiLevelType w:val="hybridMultilevel"/>
    <w:lvl w:ilvl="0">
      <w:lvlJc w:val="left"/>
      <w:lvlText w:val="*"/>
      <w:numFmt w:val="bullet"/>
      <w:start w:val="1"/>
    </w:lvl>
  </w:abstractNum>
  <w:abstractNum w:abstractNumId="160">
    <w:nsid w:val="5C49EAEE"/>
    <w:multiLevelType w:val="hybridMultilevel"/>
    <w:lvl w:ilvl="0">
      <w:lvlJc w:val="left"/>
      <w:lvlText w:val="**"/>
      <w:numFmt w:val="bullet"/>
      <w:start w:val="1"/>
    </w:lvl>
  </w:abstractNum>
  <w:abstractNum w:abstractNumId="161">
    <w:nsid w:val="64AF49B"/>
    <w:multiLevelType w:val="hybridMultilevel"/>
    <w:lvl w:ilvl="0">
      <w:lvlJc w:val="left"/>
      <w:lvlText w:val="%1."/>
      <w:numFmt w:val="decimal"/>
      <w:start w:val="5"/>
    </w:lvl>
  </w:abstractNum>
  <w:abstractNum w:abstractNumId="162">
    <w:nsid w:val="397C46BC"/>
    <w:multiLevelType w:val="hybridMultilevel"/>
    <w:lvl w:ilvl="0">
      <w:lvlJc w:val="left"/>
      <w:lvlText w:val="%1."/>
      <w:numFmt w:val="decimal"/>
      <w:start w:val="8"/>
    </w:lvl>
  </w:abstractNum>
  <w:abstractNum w:abstractNumId="163">
    <w:nsid w:val="7E448DE9"/>
    <w:multiLevelType w:val="hybridMultilevel"/>
    <w:lvl w:ilvl="0">
      <w:lvlJc w:val="left"/>
      <w:lvlText w:val="(%1)"/>
      <w:numFmt w:val="lowerRoman"/>
      <w:start w:val="1"/>
    </w:lvl>
  </w:abstractNum>
  <w:abstractNum w:abstractNumId="164">
    <w:nsid w:val="5A9CC3E5"/>
    <w:multiLevelType w:val="hybridMultilevel"/>
    <w:lvl w:ilvl="0">
      <w:lvlJc w:val="left"/>
      <w:lvlText w:val="(%1)"/>
      <w:numFmt w:val="decimal"/>
      <w:start w:val="6"/>
    </w:lvl>
  </w:abstractNum>
  <w:abstractNum w:abstractNumId="165">
    <w:nsid w:val="1AFE3625"/>
    <w:multiLevelType w:val="hybridMultilevel"/>
    <w:lvl w:ilvl="0">
      <w:lvlJc w:val="left"/>
      <w:lvlText w:val="(%1)"/>
      <w:numFmt w:val="upperLetter"/>
      <w:start w:val="1"/>
    </w:lvl>
  </w:abstractNum>
  <w:abstractNum w:abstractNumId="166">
    <w:nsid w:val="3CA88ECF"/>
    <w:multiLevelType w:val="hybridMultilevel"/>
    <w:lvl w:ilvl="0">
      <w:lvlJc w:val="left"/>
      <w:lvlText w:val="(%1)"/>
      <w:numFmt w:val="lowerLetter"/>
      <w:start w:val="1"/>
    </w:lvl>
  </w:abstractNum>
  <w:abstractNum w:abstractNumId="167">
    <w:nsid w:val="6EBE4208"/>
    <w:multiLevelType w:val="hybridMultilevel"/>
    <w:lvl w:ilvl="0">
      <w:lvlJc w:val="left"/>
      <w:lvlText w:val="(%1)"/>
      <w:numFmt w:val="lowerLetter"/>
      <w:start w:val="6"/>
    </w:lvl>
  </w:abstractNum>
  <w:abstractNum w:abstractNumId="168">
    <w:nsid w:val="C058DF5"/>
    <w:multiLevelType w:val="hybridMultilevel"/>
    <w:lvl w:ilvl="0">
      <w:lvlJc w:val="left"/>
      <w:lvlText w:val="(%1)"/>
      <w:numFmt w:val="lowerLetter"/>
      <w:start w:val="15"/>
    </w:lvl>
  </w:abstractNum>
  <w:abstractNum w:abstractNumId="169">
    <w:nsid w:val="CBE5BE9"/>
    <w:multiLevelType w:val="hybridMultilevel"/>
    <w:lvl w:ilvl="0">
      <w:lvlJc w:val="left"/>
      <w:lvlText w:val="(%1)"/>
      <w:numFmt w:val="lowerLetter"/>
      <w:start w:val="19"/>
    </w:lvl>
  </w:abstractNum>
  <w:abstractNum w:abstractNumId="170">
    <w:nsid w:val="3102BBE2"/>
    <w:multiLevelType w:val="hybridMultilevel"/>
    <w:lvl w:ilvl="0">
      <w:lvlJc w:val="left"/>
      <w:lvlText w:val="(%1)"/>
      <w:numFmt w:val="lowerLetter"/>
      <w:start w:val="25"/>
    </w:lvl>
  </w:abstractNum>
  <w:abstractNum w:abstractNumId="171">
    <w:nsid w:val="26A02C5E"/>
    <w:multiLevelType w:val="hybridMultilevel"/>
    <w:lvl w:ilvl="0">
      <w:lvlJc w:val="left"/>
      <w:lvlText w:val="(%1)"/>
      <w:numFmt w:val="lowerLetter"/>
      <w:start w:val="27"/>
    </w:lvl>
  </w:abstractNum>
  <w:abstractNum w:abstractNumId="172">
    <w:nsid w:val="541C8153"/>
    <w:multiLevelType w:val="hybridMultilevel"/>
    <w:lvl w:ilvl="0">
      <w:lvlJc w:val="left"/>
      <w:lvlText w:val="("/>
      <w:numFmt w:val="bullet"/>
      <w:start w:val="1"/>
    </w:lvl>
  </w:abstractNum>
  <w:abstractNum w:abstractNumId="173">
    <w:nsid w:val="67906F60"/>
    <w:multiLevelType w:val="hybridMultilevel"/>
    <w:lvl w:ilvl="0">
      <w:lvlJc w:val="left"/>
      <w:lvlText w:val="(%1)"/>
      <w:numFmt w:val="decimal"/>
      <w:start w:val="30"/>
    </w:lvl>
  </w:abstractNum>
  <w:abstractNum w:abstractNumId="174">
    <w:nsid w:val="10DB9DAA"/>
    <w:multiLevelType w:val="hybridMultilevel"/>
    <w:lvl w:ilvl="0">
      <w:lvlJc w:val="left"/>
      <w:lvlText w:val="(%1)"/>
      <w:numFmt w:val="lowerRoman"/>
      <w:start w:val="1"/>
    </w:lvl>
  </w:abstractNum>
  <w:abstractNum w:abstractNumId="175">
    <w:nsid w:val="697D2D2"/>
    <w:multiLevelType w:val="hybridMultilevel"/>
    <w:lvl w:ilvl="0">
      <w:lvlJc w:val="left"/>
      <w:lvlText w:val="(%1)"/>
      <w:numFmt w:val="decimal"/>
      <w:start w:val="3"/>
    </w:lvl>
  </w:abstractNum>
  <w:abstractNum w:abstractNumId="176">
    <w:nsid w:val="6D68AB2"/>
    <w:multiLevelType w:val="hybridMultilevel"/>
    <w:lvl w:ilvl="0">
      <w:lvlJc w:val="left"/>
      <w:lvlText w:val="(%1)"/>
      <w:numFmt w:val="lowerRoman"/>
      <w:start w:val="3"/>
    </w:lvl>
  </w:abstractNum>
  <w:abstractNum w:abstractNumId="177">
    <w:nsid w:val="3A966CD0"/>
    <w:multiLevelType w:val="hybridMultilevel"/>
    <w:lvl w:ilvl="0">
      <w:lvlJc w:val="left"/>
      <w:lvlText w:val="(%1)"/>
      <w:numFmt w:val="decimal"/>
      <w:start w:val="10"/>
    </w:lvl>
  </w:abstractNum>
  <w:abstractNum w:abstractNumId="178">
    <w:nsid w:val="63F37E85"/>
    <w:multiLevelType w:val="hybridMultilevel"/>
    <w:lvl w:ilvl="0">
      <w:lvlJc w:val="left"/>
      <w:lvlText w:val="(%1)"/>
      <w:numFmt w:val="decimal"/>
      <w:start w:val="60"/>
    </w:lvl>
  </w:abstractNum>
  <w:abstractNum w:abstractNumId="179">
    <w:nsid w:val="5895F5FA"/>
    <w:multiLevelType w:val="hybridMultilevel"/>
    <w:lvl w:ilvl="0">
      <w:lvlJc w:val="left"/>
      <w:lvlText w:val="(%1)"/>
      <w:numFmt w:val="decimal"/>
      <w:start w:val="5"/>
    </w:lvl>
  </w:abstractNum>
  <w:abstractNum w:abstractNumId="180">
    <w:nsid w:val="38A5D054"/>
    <w:multiLevelType w:val="hybridMultilevel"/>
    <w:lvl w:ilvl="0">
      <w:lvlJc w:val="left"/>
      <w:lvlText w:val="(%1)"/>
      <w:numFmt w:val="lowerRoman"/>
      <w:start w:val="2"/>
    </w:lvl>
  </w:abstractNum>
  <w:abstractNum w:abstractNumId="181">
    <w:nsid w:val="F3F09D8"/>
    <w:multiLevelType w:val="hybridMultilevel"/>
    <w:lvl w:ilvl="0">
      <w:lvlJc w:val="left"/>
      <w:lvlText w:val="(%1)"/>
      <w:numFmt w:val="lowerRoman"/>
      <w:start w:val="1"/>
    </w:lvl>
  </w:abstractNum>
  <w:abstractNum w:abstractNumId="182">
    <w:nsid w:val="4B793735"/>
    <w:multiLevelType w:val="hybridMultilevel"/>
    <w:lvl w:ilvl="0">
      <w:lvlJc w:val="left"/>
      <w:lvlText w:val="(%1)"/>
      <w:numFmt w:val="lowerRoman"/>
      <w:start w:val="4"/>
    </w:lvl>
  </w:abstractNum>
  <w:abstractNum w:abstractNumId="183">
    <w:nsid w:val="4A10B4E8"/>
    <w:multiLevelType w:val="hybridMultilevel"/>
    <w:lvl w:ilvl="0">
      <w:lvlJc w:val="left"/>
      <w:lvlText w:val="(%1)"/>
      <w:numFmt w:val="lowerRoman"/>
      <w:start w:val="2"/>
    </w:lvl>
  </w:abstractNum>
  <w:abstractNum w:abstractNumId="184">
    <w:nsid w:val="43D3BCD4"/>
    <w:multiLevelType w:val="hybridMultilevel"/>
    <w:lvl w:ilvl="0">
      <w:lvlJc w:val="left"/>
      <w:lvlText w:val="(%1)"/>
      <w:numFmt w:val="decimal"/>
      <w:start w:val="10"/>
    </w:lvl>
  </w:abstractNum>
  <w:abstractNum w:abstractNumId="185">
    <w:nsid w:val="4C2A7166"/>
    <w:multiLevelType w:val="hybridMultilevel"/>
    <w:lvl w:ilvl="0">
      <w:lvlJc w:val="left"/>
      <w:lvlText w:val="(%1)"/>
      <w:numFmt w:val="lowerRoman"/>
      <w:start w:val="4"/>
    </w:lvl>
  </w:abstractNum>
  <w:abstractNum w:abstractNumId="186">
    <w:nsid w:val="2E534A82"/>
    <w:multiLevelType w:val="hybridMultilevel"/>
    <w:lvl w:ilvl="0">
      <w:lvlJc w:val="left"/>
      <w:lvlText w:val="(%1)"/>
      <w:numFmt w:val="lowerLetter"/>
      <w:start w:val="1"/>
    </w:lvl>
  </w:abstractNum>
  <w:abstractNum w:abstractNumId="187">
    <w:nsid w:val="26F2D364"/>
    <w:multiLevelType w:val="hybridMultilevel"/>
    <w:lvl w:ilvl="0">
      <w:lvlJc w:val="left"/>
      <w:lvlText w:val="(%1)"/>
      <w:numFmt w:val="decimal"/>
      <w:start w:val="30"/>
    </w:lvl>
  </w:abstractNum>
  <w:abstractNum w:abstractNumId="188">
    <w:nsid w:val="71C1AF98"/>
    <w:multiLevelType w:val="hybridMultilevel"/>
    <w:lvl w:ilvl="0">
      <w:lvlJc w:val="left"/>
      <w:lvlText w:val="(%1)"/>
      <w:numFmt w:val="upperLetter"/>
      <w:start w:val="24"/>
    </w:lvl>
  </w:abstractNum>
  <w:abstractNum w:abstractNumId="189">
    <w:nsid w:val="3D00B9D9"/>
    <w:multiLevelType w:val="hybridMultilevel"/>
    <w:lvl w:ilvl="0">
      <w:lvlJc w:val="left"/>
      <w:lvlText w:val="(%1)"/>
      <w:numFmt w:val="lowerRoman"/>
      <w:start w:val="10"/>
    </w:lvl>
  </w:abstractNum>
  <w:abstractNum w:abstractNumId="190">
    <w:nsid w:val="15BCABA8"/>
    <w:multiLevelType w:val="hybridMultilevel"/>
    <w:lvl w:ilvl="0">
      <w:lvlJc w:val="left"/>
      <w:lvlText w:val="(%1)"/>
      <w:numFmt w:val="lowerRoman"/>
      <w:start w:val="4"/>
    </w:lvl>
  </w:abstractNum>
  <w:abstractNum w:abstractNumId="191">
    <w:nsid w:val="4E0B9A87"/>
    <w:multiLevelType w:val="hybridMultilevel"/>
    <w:lvl w:ilvl="0">
      <w:lvlJc w:val="left"/>
      <w:lvlText w:val="(%1)"/>
      <w:numFmt w:val="upperLetter"/>
      <w:start w:val="3"/>
    </w:lvl>
  </w:abstractNum>
  <w:abstractNum w:abstractNumId="192">
    <w:nsid w:val="434BAE75"/>
    <w:multiLevelType w:val="hybridMultilevel"/>
    <w:lvl w:ilvl="0">
      <w:lvlJc w:val="left"/>
      <w:lvlText w:val="(%1)"/>
      <w:numFmt w:val="decimal"/>
      <w:start w:val="3"/>
    </w:lvl>
  </w:abstractNum>
  <w:abstractNum w:abstractNumId="193">
    <w:nsid w:val="4F38F265"/>
    <w:multiLevelType w:val="hybridMultilevel"/>
    <w:lvl w:ilvl="0">
      <w:lvlJc w:val="left"/>
      <w:lvlText w:val="(%1)"/>
      <w:numFmt w:val="decimal"/>
      <w:start w:val="5"/>
    </w:lvl>
  </w:abstractNum>
  <w:abstractNum w:abstractNumId="194">
    <w:nsid w:val="4C502870"/>
    <w:multiLevelType w:val="hybridMultilevel"/>
    <w:lvl w:ilvl="0">
      <w:lvlJc w:val="left"/>
      <w:lvlText w:val="%1."/>
      <w:numFmt w:val="upperLetter"/>
      <w:start w:val="1"/>
    </w:lvl>
  </w:abstractNum>
  <w:abstractNum w:abstractNumId="195">
    <w:nsid w:val="1DE8725A"/>
    <w:multiLevelType w:val="hybridMultilevel"/>
    <w:lvl w:ilvl="0">
      <w:lvlJc w:val="left"/>
      <w:lvlText w:val="%1."/>
      <w:numFmt w:val="decimal"/>
      <w:start w:val="3"/>
    </w:lvl>
  </w:abstractNum>
  <w:abstractNum w:abstractNumId="196">
    <w:nsid w:val="6A37288A"/>
    <w:multiLevelType w:val="hybridMultilevel"/>
    <w:lvl w:ilvl="0">
      <w:lvlJc w:val="left"/>
      <w:lvlText w:val="%1."/>
      <w:numFmt w:val="decimal"/>
      <w:start w:val="1"/>
    </w:lvl>
  </w:abstractNum>
  <w:abstractNum w:abstractNumId="197">
    <w:nsid w:val="8F8B73F"/>
    <w:multiLevelType w:val="hybridMultilevel"/>
    <w:lvl w:ilvl="0">
      <w:lvlJc w:val="left"/>
      <w:lvlText w:val="%1."/>
      <w:numFmt w:val="decimal"/>
      <w:start w:val="4"/>
    </w:lvl>
  </w:abstractNum>
  <w:abstractNum w:abstractNumId="198">
    <w:nsid w:val="CA6B462"/>
    <w:multiLevelType w:val="hybridMultilevel"/>
    <w:lvl w:ilvl="0">
      <w:lvlJc w:val="left"/>
      <w:lvlText w:val="%1."/>
      <w:numFmt w:val="decimal"/>
      <w:start w:val="13"/>
    </w:lvl>
  </w:abstractNum>
  <w:abstractNum w:abstractNumId="199">
    <w:nsid w:val="763CB680"/>
    <w:multiLevelType w:val="hybridMultilevel"/>
    <w:lvl w:ilvl="0">
      <w:lvlJc w:val="left"/>
      <w:lvlText w:val="%1."/>
      <w:numFmt w:val="decimal"/>
      <w:start w:val="19"/>
    </w:lvl>
  </w:abstractNum>
  <w:abstractNum w:abstractNumId="200">
    <w:nsid w:val="15B71329"/>
    <w:multiLevelType w:val="hybridMultilevel"/>
    <w:lvl w:ilvl="0">
      <w:lvlJc w:val="left"/>
      <w:lvlText w:val="%1."/>
      <w:numFmt w:val="decimal"/>
      <w:start w:val="25"/>
    </w:lvl>
  </w:abstractNum>
  <w:abstractNum w:abstractNumId="201">
    <w:nsid w:val="3DA97044"/>
    <w:multiLevelType w:val="hybridMultilevel"/>
    <w:lvl w:ilvl="0">
      <w:lvlJc w:val="left"/>
      <w:lvlText w:val="%1."/>
      <w:numFmt w:val="decimal"/>
      <w:start w:val="1"/>
    </w:lvl>
  </w:abstractNum>
  <w:abstractNum w:abstractNumId="202">
    <w:nsid w:val="1CDCE2DE"/>
    <w:multiLevelType w:val="hybridMultilevel"/>
    <w:lvl w:ilvl="0">
      <w:lvlJc w:val="left"/>
      <w:lvlText w:val="%1."/>
      <w:numFmt w:val="decimal"/>
      <w:start w:val="4"/>
    </w:lvl>
  </w:abstractNum>
  <w:abstractNum w:abstractNumId="203">
    <w:nsid w:val="69D3947C"/>
    <w:multiLevelType w:val="hybridMultilevel"/>
    <w:lvl w:ilvl="0">
      <w:lvlJc w:val="left"/>
      <w:lvlText w:val="%1."/>
      <w:numFmt w:val="decimal"/>
      <w:start w:val="8"/>
    </w:lvl>
  </w:abstractNum>
  <w:abstractNum w:abstractNumId="204">
    <w:nsid w:val="2539DFA5"/>
    <w:multiLevelType w:val="hybridMultilevel"/>
    <w:lvl w:ilvl="0">
      <w:lvlJc w:val="left"/>
      <w:lvlText w:val="%1."/>
      <w:numFmt w:val="decimal"/>
      <w:start w:val="10"/>
    </w:lvl>
  </w:abstractNum>
  <w:abstractNum w:abstractNumId="205">
    <w:nsid w:val="2DB88089"/>
    <w:multiLevelType w:val="hybridMultilevel"/>
    <w:lvl w:ilvl="0">
      <w:lvlJc w:val="left"/>
      <w:lvlText w:val="%1."/>
      <w:numFmt w:val="decimal"/>
      <w:start w:val="1"/>
    </w:lvl>
  </w:abstractNum>
  <w:abstractNum w:abstractNumId="206">
    <w:nsid w:val="706B674E"/>
    <w:multiLevelType w:val="hybridMultilevel"/>
    <w:lvl w:ilvl="0">
      <w:lvlJc w:val="left"/>
      <w:lvlText w:val="%1."/>
      <w:numFmt w:val="decimal"/>
      <w:start w:val="2"/>
    </w:lvl>
  </w:abstractNum>
  <w:abstractNum w:abstractNumId="207">
    <w:nsid w:val="2C106A57"/>
    <w:multiLevelType w:val="hybridMultilevel"/>
    <w:lvl w:ilvl="0">
      <w:lvlJc w:val="left"/>
      <w:lvlText w:val="%1."/>
      <w:numFmt w:val="decimal"/>
      <w:start w:val="1"/>
    </w:lvl>
  </w:abstractNum>
  <w:abstractNum w:abstractNumId="208">
    <w:nsid w:val="684EED59"/>
    <w:multiLevelType w:val="hybridMultilevel"/>
    <w:lvl w:ilvl="0">
      <w:lvlJc w:val="left"/>
      <w:lvlText w:val="-"/>
      <w:numFmt w:val="bullet"/>
      <w:start w:val="1"/>
    </w:lvl>
  </w:abstractNum>
  <w:abstractNum w:abstractNumId="209">
    <w:nsid w:val="545EE5D3"/>
    <w:multiLevelType w:val="hybridMultilevel"/>
    <w:lvl w:ilvl="0">
      <w:lvlJc w:val="left"/>
      <w:lvlText w:val="%1."/>
      <w:numFmt w:val="decimal"/>
      <w:start w:val="1"/>
    </w:lvl>
    <w:lvl w:ilvl="1">
      <w:lvlJc w:val="left"/>
      <w:lvlText w:val="-"/>
      <w:numFmt w:val="bullet"/>
      <w:start w:val="1"/>
    </w:lvl>
  </w:abstractNum>
  <w:abstractNum w:abstractNumId="210">
    <w:nsid w:val="4A66051"/>
    <w:multiLevelType w:val="hybridMultilevel"/>
    <w:lvl w:ilvl="0">
      <w:lvlJc w:val="left"/>
      <w:lvlText w:val="%1."/>
      <w:numFmt w:val="decimal"/>
      <w:start w:val="3"/>
    </w:lvl>
    <w:lvl w:ilvl="1">
      <w:lvlJc w:val="left"/>
      <w:lvlText w:val="-"/>
      <w:numFmt w:val="bullet"/>
      <w:start w:val="1"/>
    </w:lvl>
  </w:abstractNum>
  <w:abstractNum w:abstractNumId="211">
    <w:nsid w:val="20F4BDAD"/>
    <w:multiLevelType w:val="hybridMultilevel"/>
    <w:lvl w:ilvl="0">
      <w:lvlJc w:val="left"/>
      <w:lvlText w:val="%1."/>
      <w:numFmt w:val="decimal"/>
      <w:start w:val="1"/>
    </w:lvl>
  </w:abstractNum>
  <w:abstractNum w:abstractNumId="212">
    <w:nsid w:val="639DEFAC"/>
    <w:multiLevelType w:val="hybridMultilevel"/>
    <w:lvl w:ilvl="0">
      <w:lvlJc w:val="left"/>
      <w:lvlText w:val="(%1)"/>
      <w:numFmt w:val="lowerRoman"/>
      <w:start w:val="1"/>
    </w:lvl>
  </w:abstractNum>
  <w:abstractNum w:abstractNumId="213">
    <w:nsid w:val="501F9786"/>
    <w:multiLevelType w:val="hybridMultilevel"/>
    <w:lvl w:ilvl="0">
      <w:lvlJc w:val="left"/>
      <w:lvlText w:val="%1."/>
      <w:numFmt w:val="decimal"/>
      <w:start w:val="3"/>
    </w:lvl>
  </w:abstractNum>
  <w:abstractNum w:abstractNumId="214">
    <w:nsid w:val="6B057295"/>
    <w:multiLevelType w:val="hybridMultilevel"/>
    <w:lvl w:ilvl="0">
      <w:lvlJc w:val="left"/>
      <w:lvlText w:val="%1."/>
      <w:numFmt w:val="decimal"/>
      <w:start w:val="4"/>
    </w:lvl>
  </w:abstractNum>
  <w:abstractNum w:abstractNumId="215">
    <w:nsid w:val="2771AC80"/>
    <w:multiLevelType w:val="hybridMultilevel"/>
    <w:lvl w:ilvl="0">
      <w:lvlJc w:val="left"/>
      <w:lvlText w:val="*"/>
      <w:numFmt w:val="bullet"/>
      <w:start w:val="1"/>
    </w:lvl>
  </w:abstractNum>
  <w:abstractNum w:abstractNumId="216">
    <w:nsid w:val="1C4A08EC"/>
    <w:multiLevelType w:val="hybridMultilevel"/>
    <w:lvl w:ilvl="0">
      <w:lvlJc w:val="left"/>
      <w:lvlText w:val="**"/>
      <w:numFmt w:val="bullet"/>
      <w:start w:val="1"/>
    </w:lvl>
  </w:abstractNum>
  <w:abstractNum w:abstractNumId="217">
    <w:nsid w:val="1958BD17"/>
    <w:multiLevelType w:val="hybridMultilevel"/>
    <w:lvl w:ilvl="0">
      <w:lvlJc w:val="left"/>
      <w:lvlText w:val="%1."/>
      <w:numFmt w:val="decimal"/>
      <w:start w:val="5"/>
    </w:lvl>
  </w:abstractNum>
  <w:abstractNum w:abstractNumId="218">
    <w:nsid w:val="4E647FE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2019-12-08T16:31:10Z</dcterms:created>
  <dcterms:modified xsi:type="dcterms:W3CDTF">2019-12-08T16:31:10Z</dcterms:modified>
</cp:coreProperties>
</file>