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November 11, 2020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13"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480" w:space="720"/>
            <w:col w:w="290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20" w:space="720"/>
            <w:col w:w="2660" w:space="720"/>
            <w:col w:w="3320"/>
          </w:cols>
          <w:pgMar w:left="320" w:top="1440" w:right="33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20"/>
          <w:szCs w:val="20"/>
          <w:b w:val="1"/>
          <w:bCs w:val="1"/>
          <w:color w:val="auto"/>
        </w:rPr>
        <w:t>Item 1.02.</w:t>
      </w:r>
      <w:r>
        <w:rPr>
          <w:sz w:val="20"/>
          <w:szCs w:val="20"/>
          <w:color w:val="auto"/>
        </w:rPr>
        <w:tab/>
      </w:r>
      <w:r>
        <w:rPr>
          <w:rFonts w:ascii="Arial" w:cs="Arial" w:eastAsia="Arial" w:hAnsi="Arial"/>
          <w:sz w:val="18"/>
          <w:szCs w:val="18"/>
          <w:b w:val="1"/>
          <w:bCs w:val="1"/>
          <w:color w:val="auto"/>
        </w:rPr>
        <w:t>Termination of a Material Definitive Agreement.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Termination of Trex Enterprises Sublease</w:t>
      </w: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On November 11, 2020, AnaptysBio, Inc. (“AnaptysBio”) entered into that certain Termination of Sublease (the “Sublease Termination”) with Trex Enterprises Corporation, a California corporation, with respect to facilities in the building at 10455 Pacific Center Court in San Diego, California (the “10455 Building ”). The terms of the original sublease with Trex provided for an November 12, 2021 lease expiration. AnaptysBio is still maintaining the lease for its facilities at 10421 Pacific Center Court in San Diego, California. As previously announced, AnaptysBio has entered into a lease for facilities at 10770 Wateridge Circle in San Diego, California, and expects to move its headquarters to the Wateridge Circle facilities during the first half of 2021.</w:t>
      </w:r>
    </w:p>
    <w:p>
      <w:pPr>
        <w:spacing w:after="0" w:line="205" w:lineRule="exact"/>
        <w:rPr>
          <w:sz w:val="20"/>
          <w:szCs w:val="20"/>
          <w:color w:val="auto"/>
        </w:rPr>
      </w:pPr>
    </w:p>
    <w:p>
      <w:pPr>
        <w:jc w:val="both"/>
        <w:ind w:right="100"/>
        <w:spacing w:after="0" w:line="291" w:lineRule="auto"/>
        <w:rPr>
          <w:sz w:val="20"/>
          <w:szCs w:val="20"/>
          <w:color w:val="auto"/>
        </w:rPr>
      </w:pPr>
      <w:r>
        <w:rPr>
          <w:rFonts w:ascii="Arial" w:cs="Arial" w:eastAsia="Arial" w:hAnsi="Arial"/>
          <w:sz w:val="18"/>
          <w:szCs w:val="18"/>
          <w:color w:val="auto"/>
        </w:rPr>
        <w:t>Under the Sublease Termination, AnaptysBio has agreed to early terminate the sublease agreement for the 10455 Building on December 15, 2020 (the "Termination Date"). Prior to the Termination Date, all rights and obligations under the existing sublease agreement remain in full force and effect, including without limitation AnaptysBio's rent obligations, direct expense obligations and other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On or prior to the Termination Date, AnaptysBio shall (i) remove all furniture, signage, and other personal property from the 10455 Building,</w:t>
      </w:r>
    </w:p>
    <w:p>
      <w:pPr>
        <w:spacing w:after="0" w:line="39" w:lineRule="exact"/>
        <w:rPr>
          <w:sz w:val="20"/>
          <w:szCs w:val="20"/>
          <w:color w:val="auto"/>
        </w:rPr>
      </w:pPr>
    </w:p>
    <w:p>
      <w:pPr>
        <w:ind w:right="280" w:firstLine="8"/>
        <w:spacing w:after="0" w:line="244" w:lineRule="auto"/>
        <w:tabs>
          <w:tab w:leader="none" w:pos="291" w:val="left"/>
        </w:tabs>
        <w:numPr>
          <w:ilvl w:val="0"/>
          <w:numId w:val="1"/>
        </w:numPr>
        <w:rPr>
          <w:rFonts w:ascii="Arial" w:cs="Arial" w:eastAsia="Arial" w:hAnsi="Arial"/>
          <w:sz w:val="20"/>
          <w:szCs w:val="20"/>
          <w:color w:val="auto"/>
        </w:rPr>
      </w:pPr>
      <w:r>
        <w:rPr>
          <w:rFonts w:ascii="Arial" w:cs="Arial" w:eastAsia="Arial" w:hAnsi="Arial"/>
          <w:sz w:val="20"/>
          <w:szCs w:val="20"/>
          <w:color w:val="auto"/>
        </w:rPr>
        <w:t>return Sublessor FF&amp;E, and (iii) surrender the 10455 Building, in accordance with the terms and conditions of the sublease agreement (the "Surrender Conditions").</w:t>
      </w:r>
    </w:p>
    <w:p>
      <w:pPr>
        <w:spacing w:after="0" w:line="218"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Additionally, within five business days following the Termination Date and completion of the Surrender Conditions, Sublessor shall return the full amount of the security deposit to AnaptysBio. In connection with the Sublease Termination, AnaptysBio will have no further obligations after the December 15, 2020 termination date.</w:t>
      </w:r>
    </w:p>
    <w:p>
      <w:pPr>
        <w:spacing w:after="0" w:line="213" w:lineRule="exact"/>
        <w:rPr>
          <w:sz w:val="20"/>
          <w:szCs w:val="20"/>
          <w:color w:val="auto"/>
        </w:rPr>
      </w:pPr>
    </w:p>
    <w:p>
      <w:pPr>
        <w:jc w:val="both"/>
        <w:ind w:right="200"/>
        <w:spacing w:after="0" w:line="385" w:lineRule="auto"/>
        <w:rPr>
          <w:sz w:val="20"/>
          <w:szCs w:val="20"/>
          <w:color w:val="auto"/>
        </w:rPr>
      </w:pPr>
      <w:r>
        <w:rPr>
          <w:rFonts w:ascii="Arial" w:cs="Arial" w:eastAsia="Arial" w:hAnsi="Arial"/>
          <w:sz w:val="16"/>
          <w:szCs w:val="16"/>
          <w:color w:val="auto"/>
        </w:rPr>
        <w:t>The description of the Sublease Termination contained herein does not purport to be complete and is subject to, and qualified in its entirety by, the full text of the Sublease Termination, a copy of which will be filed as an exhibit to AnaptysBio’s next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 w:name="page3"/>
    <w:bookmarkEnd w:id="2"/>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AnaptysBio, Inc.</w:t>
      </w:r>
    </w:p>
    <w:p>
      <w:pPr>
        <w:spacing w:after="0" w:line="20" w:lineRule="exact"/>
        <w:rPr>
          <w:sz w:val="20"/>
          <w:szCs w:val="20"/>
          <w:color w:val="auto"/>
        </w:rPr>
      </w:pPr>
    </w:p>
    <w:p>
      <w:pPr>
        <w:ind w:left="20"/>
        <w:spacing w:after="0"/>
        <w:tabs>
          <w:tab w:leader="none" w:pos="4200" w:val="left"/>
          <w:tab w:leader="none" w:pos="4780" w:val="left"/>
        </w:tabs>
        <w:rPr>
          <w:sz w:val="20"/>
          <w:szCs w:val="20"/>
          <w:color w:val="auto"/>
        </w:rPr>
      </w:pPr>
      <w:r>
        <w:rPr>
          <w:rFonts w:ascii="Arial" w:cs="Arial" w:eastAsia="Arial" w:hAnsi="Arial"/>
          <w:sz w:val="20"/>
          <w:szCs w:val="20"/>
          <w:color w:val="auto"/>
        </w:rPr>
        <w:t>Date: November 17,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5715</wp:posOffset>
            </wp:positionV>
            <wp:extent cx="4105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0"/>
          <w:szCs w:val="20"/>
          <w:color w:val="auto"/>
        </w:rPr>
        <w:t>Name: Eric Loumeau</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Operating Officer and General Counsel</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2020-11-17T15:37:27Z</dcterms:created>
  <dcterms:modified xsi:type="dcterms:W3CDTF">2020-11-17T15:37:27Z</dcterms:modified>
</cp:coreProperties>
</file>