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0"/>
          <w:szCs w:val="20"/>
          <w:b w:val="1"/>
          <w:bCs w:val="1"/>
          <w:color w:val="auto"/>
        </w:rPr>
        <w:t>UNITED STATES</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20"/>
          <w:szCs w:val="20"/>
          <w:b w:val="1"/>
          <w:bCs w:val="1"/>
          <w:color w:val="auto"/>
        </w:rPr>
        <w:t>SECURITIES AND EXCHANGE COMMISSION</w:t>
      </w:r>
    </w:p>
    <w:p>
      <w:pPr>
        <w:jc w:val="center"/>
        <w:ind w:right="-59"/>
        <w:spacing w:after="0"/>
        <w:rPr>
          <w:sz w:val="20"/>
          <w:szCs w:val="20"/>
          <w:color w:val="auto"/>
        </w:rPr>
      </w:pPr>
      <w:r>
        <w:rPr>
          <w:rFonts w:ascii="Arial" w:cs="Arial" w:eastAsia="Arial" w:hAnsi="Arial"/>
          <w:sz w:val="20"/>
          <w:szCs w:val="20"/>
          <w:b w:val="1"/>
          <w:bCs w:val="1"/>
          <w:color w:val="auto"/>
        </w:rPr>
        <w:t>WASHINGTON, D.C. 20549</w:t>
      </w:r>
    </w:p>
    <w:p>
      <w:pPr>
        <w:spacing w:after="0" w:line="207" w:lineRule="exact"/>
        <w:rPr>
          <w:sz w:val="24"/>
          <w:szCs w:val="24"/>
          <w:color w:val="auto"/>
        </w:rPr>
      </w:pPr>
    </w:p>
    <w:p>
      <w:pPr>
        <w:jc w:val="center"/>
        <w:ind w:right="-59"/>
        <w:spacing w:after="0" w:line="230" w:lineRule="exact"/>
        <w:rPr>
          <w:sz w:val="20"/>
          <w:szCs w:val="20"/>
          <w:color w:val="auto"/>
        </w:rPr>
      </w:pPr>
      <w:r>
        <w:rPr>
          <w:rFonts w:ascii="Arial" w:cs="Arial" w:eastAsia="Arial" w:hAnsi="Arial"/>
          <w:sz w:val="20"/>
          <w:szCs w:val="20"/>
          <w:b w:val="1"/>
          <w:bCs w:val="1"/>
          <w:color w:val="auto"/>
        </w:rPr>
        <w:t>FORM 8</w:t>
      </w:r>
      <w:r>
        <w:rPr>
          <w:rFonts w:ascii="MS PGothic" w:cs="MS PGothic" w:eastAsia="MS PGothic" w:hAnsi="MS PGothic"/>
          <w:sz w:val="20"/>
          <w:szCs w:val="20"/>
          <w:b w:val="1"/>
          <w:bCs w:val="1"/>
          <w:color w:val="auto"/>
        </w:rPr>
        <w:t>‑</w:t>
      </w:r>
      <w:r>
        <w:rPr>
          <w:rFonts w:ascii="Arial" w:cs="Arial" w:eastAsia="Arial" w:hAnsi="Arial"/>
          <w:sz w:val="20"/>
          <w:szCs w:val="20"/>
          <w:b w:val="1"/>
          <w:bCs w:val="1"/>
          <w:color w:val="auto"/>
        </w:rPr>
        <w:t>K</w:t>
      </w:r>
    </w:p>
    <w:p>
      <w:pPr>
        <w:spacing w:after="0" w:line="229" w:lineRule="exact"/>
        <w:rPr>
          <w:sz w:val="24"/>
          <w:szCs w:val="24"/>
          <w:color w:val="auto"/>
        </w:rPr>
      </w:pPr>
    </w:p>
    <w:p>
      <w:pPr>
        <w:jc w:val="center"/>
        <w:ind w:right="-59"/>
        <w:spacing w:after="0"/>
        <w:rPr>
          <w:sz w:val="20"/>
          <w:szCs w:val="20"/>
          <w:color w:val="auto"/>
        </w:rPr>
      </w:pPr>
      <w:r>
        <w:rPr>
          <w:rFonts w:ascii="Arial" w:cs="Arial" w:eastAsia="Arial" w:hAnsi="Arial"/>
          <w:sz w:val="20"/>
          <w:szCs w:val="20"/>
          <w:b w:val="1"/>
          <w:bCs w:val="1"/>
          <w:color w:val="auto"/>
        </w:rPr>
        <w:t>CURRENT REPORT PURSUANT TO</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20"/>
          <w:szCs w:val="20"/>
          <w:b w:val="1"/>
          <w:bCs w:val="1"/>
          <w:color w:val="auto"/>
        </w:rPr>
        <w:t>SECTION 13 OR 15(d) OF THE</w:t>
      </w:r>
    </w:p>
    <w:p>
      <w:pPr>
        <w:jc w:val="center"/>
        <w:ind w:right="-59"/>
        <w:spacing w:after="0"/>
        <w:rPr>
          <w:sz w:val="20"/>
          <w:szCs w:val="20"/>
          <w:color w:val="auto"/>
        </w:rPr>
      </w:pPr>
      <w:r>
        <w:rPr>
          <w:rFonts w:ascii="Arial" w:cs="Arial" w:eastAsia="Arial" w:hAnsi="Arial"/>
          <w:sz w:val="20"/>
          <w:szCs w:val="20"/>
          <w:b w:val="1"/>
          <w:bCs w:val="1"/>
          <w:color w:val="auto"/>
        </w:rPr>
        <w:t>SECURITIES EXCHANGE ACT OF 1934</w:t>
      </w:r>
    </w:p>
    <w:p>
      <w:pPr>
        <w:spacing w:after="0" w:line="207" w:lineRule="exact"/>
        <w:rPr>
          <w:sz w:val="24"/>
          <w:szCs w:val="24"/>
          <w:color w:val="auto"/>
        </w:rPr>
      </w:pPr>
    </w:p>
    <w:p>
      <w:pPr>
        <w:ind w:left="4460"/>
        <w:spacing w:after="0"/>
        <w:rPr>
          <w:sz w:val="20"/>
          <w:szCs w:val="20"/>
          <w:color w:val="auto"/>
        </w:rPr>
      </w:pPr>
      <w:r>
        <w:rPr>
          <w:rFonts w:ascii="Arial" w:cs="Arial" w:eastAsia="Arial" w:hAnsi="Arial"/>
          <w:sz w:val="20"/>
          <w:szCs w:val="20"/>
          <w:b w:val="1"/>
          <w:bCs w:val="1"/>
          <w:color w:val="auto"/>
        </w:rPr>
        <w:t>Date of Report: May 18, 2018</w:t>
      </w:r>
    </w:p>
    <w:p>
      <w:pPr>
        <w:spacing w:after="0" w:line="22" w:lineRule="exact"/>
        <w:rPr>
          <w:sz w:val="24"/>
          <w:szCs w:val="24"/>
          <w:color w:val="auto"/>
        </w:rPr>
      </w:pPr>
    </w:p>
    <w:p>
      <w:pPr>
        <w:ind w:left="4460"/>
        <w:spacing w:after="0"/>
        <w:rPr>
          <w:sz w:val="20"/>
          <w:szCs w:val="20"/>
          <w:color w:val="auto"/>
        </w:rPr>
      </w:pPr>
      <w:r>
        <w:rPr>
          <w:rFonts w:ascii="Arial" w:cs="Arial" w:eastAsia="Arial" w:hAnsi="Arial"/>
          <w:sz w:val="20"/>
          <w:szCs w:val="20"/>
          <w:color w:val="auto"/>
        </w:rPr>
        <w:t>(Date of earliest event reported)</w:t>
      </w:r>
    </w:p>
    <w:p>
      <w:pPr>
        <w:spacing w:after="0" w:line="207" w:lineRule="exact"/>
        <w:rPr>
          <w:sz w:val="24"/>
          <w:szCs w:val="24"/>
          <w:color w:val="auto"/>
        </w:rPr>
      </w:pPr>
    </w:p>
    <w:p>
      <w:pPr>
        <w:jc w:val="center"/>
        <w:ind w:right="-59"/>
        <w:spacing w:after="0"/>
        <w:rPr>
          <w:sz w:val="20"/>
          <w:szCs w:val="20"/>
          <w:color w:val="auto"/>
        </w:rPr>
      </w:pPr>
      <w:r>
        <w:rPr>
          <w:rFonts w:ascii="Arial" w:cs="Arial" w:eastAsia="Arial" w:hAnsi="Arial"/>
          <w:sz w:val="20"/>
          <w:szCs w:val="20"/>
          <w:b w:val="1"/>
          <w:bCs w:val="1"/>
          <w:color w:val="auto"/>
        </w:rPr>
        <w:t>ANAPTYSBIO, INC.</w:t>
      </w:r>
    </w:p>
    <w:p>
      <w:pPr>
        <w:spacing w:after="0" w:line="22" w:lineRule="exact"/>
        <w:rPr>
          <w:sz w:val="24"/>
          <w:szCs w:val="24"/>
          <w:color w:val="auto"/>
        </w:rPr>
      </w:pPr>
    </w:p>
    <w:p>
      <w:pPr>
        <w:jc w:val="center"/>
        <w:ind w:right="-59"/>
        <w:spacing w:after="0"/>
        <w:rPr>
          <w:sz w:val="20"/>
          <w:szCs w:val="20"/>
          <w:color w:val="auto"/>
        </w:rPr>
      </w:pPr>
      <w:r>
        <w:rPr>
          <w:rFonts w:ascii="Arial" w:cs="Arial" w:eastAsia="Arial" w:hAnsi="Arial"/>
          <w:sz w:val="20"/>
          <w:szCs w:val="20"/>
          <w:color w:val="auto"/>
        </w:rPr>
        <w:t>(Exact Name of Registrant as Specified in Its Charter)</w:t>
      </w:r>
    </w:p>
    <w:p>
      <w:pPr>
        <w:spacing w:after="0" w:line="207" w:lineRule="exact"/>
        <w:rPr>
          <w:sz w:val="24"/>
          <w:szCs w:val="24"/>
          <w:color w:val="auto"/>
        </w:rPr>
      </w:pPr>
    </w:p>
    <w:p>
      <w:pPr>
        <w:jc w:val="center"/>
        <w:ind w:right="-59"/>
        <w:spacing w:after="0"/>
        <w:rPr>
          <w:sz w:val="20"/>
          <w:szCs w:val="20"/>
          <w:color w:val="auto"/>
        </w:rPr>
      </w:pPr>
      <w:r>
        <w:rPr>
          <w:rFonts w:ascii="Arial" w:cs="Arial" w:eastAsia="Arial" w:hAnsi="Arial"/>
          <w:sz w:val="20"/>
          <w:szCs w:val="20"/>
          <w:b w:val="1"/>
          <w:bCs w:val="1"/>
          <w:color w:val="auto"/>
        </w:rPr>
        <w:t>Delaware</w:t>
      </w:r>
    </w:p>
    <w:p>
      <w:pPr>
        <w:spacing w:after="0" w:line="22" w:lineRule="exact"/>
        <w:rPr>
          <w:sz w:val="24"/>
          <w:szCs w:val="24"/>
          <w:color w:val="auto"/>
        </w:rPr>
      </w:pPr>
    </w:p>
    <w:p>
      <w:pPr>
        <w:jc w:val="center"/>
        <w:ind w:right="-59"/>
        <w:spacing w:after="0"/>
        <w:rPr>
          <w:sz w:val="20"/>
          <w:szCs w:val="20"/>
          <w:color w:val="auto"/>
        </w:rPr>
      </w:pPr>
      <w:r>
        <w:rPr>
          <w:rFonts w:ascii="Arial" w:cs="Arial" w:eastAsia="Arial" w:hAnsi="Arial"/>
          <w:sz w:val="20"/>
          <w:szCs w:val="20"/>
          <w:color w:val="auto"/>
        </w:rPr>
        <w:t>(State or Other Jurisdiction of Incorporation)</w:t>
      </w:r>
    </w:p>
    <w:p>
      <w:pPr>
        <w:spacing w:after="0" w:line="369" w:lineRule="exact"/>
        <w:rPr>
          <w:sz w:val="24"/>
          <w:szCs w:val="24"/>
          <w:color w:val="auto"/>
        </w:rPr>
      </w:pPr>
    </w:p>
    <w:tbl>
      <w:tblPr>
        <w:tblLayout w:type="fixed"/>
        <w:tblInd w:w="860" w:type="dxa"/>
        <w:tblCellMar>
          <w:top w:w="0" w:type="dxa"/>
          <w:left w:w="0" w:type="dxa"/>
          <w:bottom w:w="0" w:type="dxa"/>
          <w:right w:w="0" w:type="dxa"/>
        </w:tblCellMar>
      </w:tblPr>
      <w:tr>
        <w:trPr>
          <w:trHeight w:val="256"/>
        </w:trPr>
        <w:tc>
          <w:tcPr>
            <w:tcW w:w="5040" w:type="dxa"/>
            <w:vAlign w:val="bottom"/>
          </w:tcPr>
          <w:p>
            <w:pPr>
              <w:jc w:val="center"/>
              <w:ind w:right="1721"/>
              <w:spacing w:after="0"/>
              <w:rPr>
                <w:sz w:val="20"/>
                <w:szCs w:val="20"/>
                <w:color w:val="auto"/>
              </w:rPr>
            </w:pPr>
            <w:r>
              <w:rPr>
                <w:rFonts w:ascii="Arial" w:cs="Arial" w:eastAsia="Arial" w:hAnsi="Arial"/>
                <w:sz w:val="20"/>
                <w:szCs w:val="20"/>
                <w:b w:val="1"/>
                <w:bCs w:val="1"/>
                <w:color w:val="auto"/>
                <w:w w:val="89"/>
              </w:rPr>
              <w:t>001-37985</w:t>
            </w:r>
          </w:p>
        </w:tc>
        <w:tc>
          <w:tcPr>
            <w:tcW w:w="4540" w:type="dxa"/>
            <w:vAlign w:val="bottom"/>
          </w:tcPr>
          <w:p>
            <w:pPr>
              <w:jc w:val="right"/>
              <w:ind w:right="781"/>
              <w:spacing w:after="0"/>
              <w:rPr>
                <w:sz w:val="20"/>
                <w:szCs w:val="20"/>
                <w:color w:val="auto"/>
              </w:rPr>
            </w:pPr>
            <w:r>
              <w:rPr>
                <w:rFonts w:ascii="Arial" w:cs="Arial" w:eastAsia="Arial" w:hAnsi="Arial"/>
                <w:sz w:val="20"/>
                <w:szCs w:val="20"/>
                <w:b w:val="1"/>
                <w:bCs w:val="1"/>
                <w:color w:val="auto"/>
              </w:rPr>
              <w:t>20-3828755</w:t>
            </w:r>
          </w:p>
        </w:tc>
      </w:tr>
      <w:tr>
        <w:trPr>
          <w:trHeight w:val="284"/>
        </w:trPr>
        <w:tc>
          <w:tcPr>
            <w:tcW w:w="5040" w:type="dxa"/>
            <w:vAlign w:val="bottom"/>
          </w:tcPr>
          <w:p>
            <w:pPr>
              <w:jc w:val="center"/>
              <w:ind w:right="1721"/>
              <w:spacing w:after="0"/>
              <w:rPr>
                <w:sz w:val="20"/>
                <w:szCs w:val="20"/>
                <w:color w:val="auto"/>
              </w:rPr>
            </w:pPr>
            <w:r>
              <w:rPr>
                <w:rFonts w:ascii="Arial" w:cs="Arial" w:eastAsia="Arial" w:hAnsi="Arial"/>
                <w:sz w:val="20"/>
                <w:szCs w:val="20"/>
                <w:color w:val="auto"/>
                <w:w w:val="91"/>
              </w:rPr>
              <w:t>(Commission File Number)</w:t>
            </w:r>
          </w:p>
        </w:tc>
        <w:tc>
          <w:tcPr>
            <w:tcW w:w="4540" w:type="dxa"/>
            <w:vAlign w:val="bottom"/>
          </w:tcPr>
          <w:p>
            <w:pPr>
              <w:jc w:val="center"/>
              <w:ind w:left="1721"/>
              <w:spacing w:after="0"/>
              <w:rPr>
                <w:sz w:val="20"/>
                <w:szCs w:val="20"/>
                <w:color w:val="auto"/>
              </w:rPr>
            </w:pPr>
            <w:r>
              <w:rPr>
                <w:rFonts w:ascii="Arial" w:cs="Arial" w:eastAsia="Arial" w:hAnsi="Arial"/>
                <w:sz w:val="20"/>
                <w:szCs w:val="20"/>
                <w:color w:val="auto"/>
                <w:w w:val="93"/>
              </w:rPr>
              <w:t>(IRS Employer Identification No.)</w:t>
            </w:r>
          </w:p>
        </w:tc>
      </w:tr>
      <w:tr>
        <w:trPr>
          <w:trHeight w:val="621"/>
        </w:trPr>
        <w:tc>
          <w:tcPr>
            <w:tcW w:w="5040" w:type="dxa"/>
            <w:vAlign w:val="bottom"/>
          </w:tcPr>
          <w:p>
            <w:pPr>
              <w:jc w:val="center"/>
              <w:ind w:right="1721"/>
              <w:spacing w:after="0"/>
              <w:rPr>
                <w:sz w:val="20"/>
                <w:szCs w:val="20"/>
                <w:color w:val="auto"/>
              </w:rPr>
            </w:pPr>
            <w:r>
              <w:rPr>
                <w:rFonts w:ascii="Arial" w:cs="Arial" w:eastAsia="Arial" w:hAnsi="Arial"/>
                <w:sz w:val="20"/>
                <w:szCs w:val="20"/>
                <w:b w:val="1"/>
                <w:bCs w:val="1"/>
                <w:color w:val="auto"/>
                <w:w w:val="90"/>
              </w:rPr>
              <w:t>10421 Pacific Center Court, Suite 200</w:t>
            </w:r>
          </w:p>
        </w:tc>
        <w:tc>
          <w:tcPr>
            <w:tcW w:w="4540" w:type="dxa"/>
            <w:vAlign w:val="bottom"/>
          </w:tcPr>
          <w:p>
            <w:pPr>
              <w:spacing w:after="0"/>
              <w:rPr>
                <w:sz w:val="24"/>
                <w:szCs w:val="24"/>
                <w:color w:val="auto"/>
              </w:rPr>
            </w:pPr>
          </w:p>
        </w:tc>
      </w:tr>
      <w:tr>
        <w:trPr>
          <w:trHeight w:val="256"/>
        </w:trPr>
        <w:tc>
          <w:tcPr>
            <w:tcW w:w="5040" w:type="dxa"/>
            <w:vAlign w:val="bottom"/>
          </w:tcPr>
          <w:p>
            <w:pPr>
              <w:jc w:val="center"/>
              <w:ind w:right="1741"/>
              <w:spacing w:after="0"/>
              <w:rPr>
                <w:sz w:val="20"/>
                <w:szCs w:val="20"/>
                <w:color w:val="auto"/>
              </w:rPr>
            </w:pPr>
            <w:r>
              <w:rPr>
                <w:rFonts w:ascii="Arial" w:cs="Arial" w:eastAsia="Arial" w:hAnsi="Arial"/>
                <w:sz w:val="20"/>
                <w:szCs w:val="20"/>
                <w:b w:val="1"/>
                <w:bCs w:val="1"/>
                <w:color w:val="auto"/>
                <w:w w:val="89"/>
              </w:rPr>
              <w:t>San Diego, CA</w:t>
            </w:r>
          </w:p>
        </w:tc>
        <w:tc>
          <w:tcPr>
            <w:tcW w:w="4540" w:type="dxa"/>
            <w:vAlign w:val="bottom"/>
          </w:tcPr>
          <w:p>
            <w:pPr>
              <w:jc w:val="right"/>
              <w:ind w:right="1001"/>
              <w:spacing w:after="0"/>
              <w:rPr>
                <w:sz w:val="20"/>
                <w:szCs w:val="20"/>
                <w:color w:val="auto"/>
              </w:rPr>
            </w:pPr>
            <w:r>
              <w:rPr>
                <w:rFonts w:ascii="Arial" w:cs="Arial" w:eastAsia="Arial" w:hAnsi="Arial"/>
                <w:sz w:val="20"/>
                <w:szCs w:val="20"/>
                <w:b w:val="1"/>
                <w:bCs w:val="1"/>
                <w:color w:val="auto"/>
              </w:rPr>
              <w:t>92121</w:t>
            </w:r>
          </w:p>
        </w:tc>
      </w:tr>
      <w:tr>
        <w:trPr>
          <w:trHeight w:val="284"/>
        </w:trPr>
        <w:tc>
          <w:tcPr>
            <w:tcW w:w="5040" w:type="dxa"/>
            <w:vAlign w:val="bottom"/>
          </w:tcPr>
          <w:p>
            <w:pPr>
              <w:jc w:val="center"/>
              <w:ind w:right="1721"/>
              <w:spacing w:after="0"/>
              <w:rPr>
                <w:sz w:val="20"/>
                <w:szCs w:val="20"/>
                <w:color w:val="auto"/>
              </w:rPr>
            </w:pPr>
            <w:r>
              <w:rPr>
                <w:rFonts w:ascii="Arial" w:cs="Arial" w:eastAsia="Arial" w:hAnsi="Arial"/>
                <w:sz w:val="20"/>
                <w:szCs w:val="20"/>
                <w:color w:val="auto"/>
                <w:w w:val="91"/>
              </w:rPr>
              <w:t>(Address of Principal Executive Offices)</w:t>
            </w:r>
          </w:p>
        </w:tc>
        <w:tc>
          <w:tcPr>
            <w:tcW w:w="4540" w:type="dxa"/>
            <w:vAlign w:val="bottom"/>
          </w:tcPr>
          <w:p>
            <w:pPr>
              <w:jc w:val="center"/>
              <w:ind w:left="1721"/>
              <w:spacing w:after="0"/>
              <w:rPr>
                <w:sz w:val="20"/>
                <w:szCs w:val="20"/>
                <w:color w:val="auto"/>
              </w:rPr>
            </w:pPr>
            <w:r>
              <w:rPr>
                <w:rFonts w:ascii="Arial" w:cs="Arial" w:eastAsia="Arial" w:hAnsi="Arial"/>
                <w:sz w:val="20"/>
                <w:szCs w:val="20"/>
                <w:color w:val="auto"/>
                <w:w w:val="93"/>
              </w:rPr>
              <w:t>(Zip Code)</w:t>
            </w:r>
          </w:p>
        </w:tc>
      </w:tr>
    </w:tbl>
    <w:p>
      <w:pPr>
        <w:spacing w:after="0" w:line="200" w:lineRule="exact"/>
        <w:rPr>
          <w:sz w:val="24"/>
          <w:szCs w:val="24"/>
          <w:color w:val="auto"/>
        </w:rPr>
      </w:pPr>
    </w:p>
    <w:p>
      <w:pPr>
        <w:spacing w:after="0" w:line="259" w:lineRule="exact"/>
        <w:rPr>
          <w:sz w:val="24"/>
          <w:szCs w:val="24"/>
          <w:color w:val="auto"/>
        </w:rPr>
      </w:pPr>
    </w:p>
    <w:p>
      <w:pPr>
        <w:jc w:val="center"/>
        <w:ind w:right="-59"/>
        <w:spacing w:after="0"/>
        <w:rPr>
          <w:sz w:val="20"/>
          <w:szCs w:val="20"/>
          <w:color w:val="auto"/>
        </w:rPr>
      </w:pPr>
      <w:r>
        <w:rPr>
          <w:rFonts w:ascii="Arial" w:cs="Arial" w:eastAsia="Arial" w:hAnsi="Arial"/>
          <w:sz w:val="20"/>
          <w:szCs w:val="20"/>
          <w:b w:val="1"/>
          <w:bCs w:val="1"/>
          <w:color w:val="auto"/>
        </w:rPr>
        <w:t>(858) 362-6295</w:t>
      </w:r>
    </w:p>
    <w:p>
      <w:pPr>
        <w:spacing w:after="0" w:line="22" w:lineRule="exact"/>
        <w:rPr>
          <w:sz w:val="24"/>
          <w:szCs w:val="24"/>
          <w:color w:val="auto"/>
        </w:rPr>
      </w:pPr>
    </w:p>
    <w:p>
      <w:pPr>
        <w:jc w:val="center"/>
        <w:ind w:right="-59"/>
        <w:spacing w:after="0"/>
        <w:rPr>
          <w:sz w:val="20"/>
          <w:szCs w:val="20"/>
          <w:color w:val="auto"/>
        </w:rPr>
      </w:pPr>
      <w:r>
        <w:rPr>
          <w:rFonts w:ascii="Arial" w:cs="Arial" w:eastAsia="Arial" w:hAnsi="Arial"/>
          <w:sz w:val="20"/>
          <w:szCs w:val="20"/>
          <w:color w:val="auto"/>
        </w:rPr>
        <w:t>(Registrant’s Telephone Number, Including Area Code)</w:t>
      </w:r>
    </w:p>
    <w:p>
      <w:pPr>
        <w:spacing w:after="0" w:line="207" w:lineRule="exact"/>
        <w:rPr>
          <w:sz w:val="24"/>
          <w:szCs w:val="24"/>
          <w:color w:val="auto"/>
        </w:rPr>
      </w:pPr>
    </w:p>
    <w:p>
      <w:pPr>
        <w:jc w:val="center"/>
        <w:ind w:right="-59"/>
        <w:spacing w:after="0"/>
        <w:rPr>
          <w:sz w:val="20"/>
          <w:szCs w:val="20"/>
          <w:color w:val="auto"/>
        </w:rPr>
      </w:pPr>
      <w:r>
        <w:rPr>
          <w:rFonts w:ascii="Arial" w:cs="Arial" w:eastAsia="Arial" w:hAnsi="Arial"/>
          <w:sz w:val="20"/>
          <w:szCs w:val="20"/>
          <w:b w:val="1"/>
          <w:bCs w:val="1"/>
          <w:color w:val="auto"/>
        </w:rPr>
        <w:t>Not Applicable</w:t>
      </w:r>
    </w:p>
    <w:p>
      <w:pPr>
        <w:spacing w:after="0" w:line="22" w:lineRule="exact"/>
        <w:rPr>
          <w:sz w:val="24"/>
          <w:szCs w:val="24"/>
          <w:color w:val="auto"/>
        </w:rPr>
      </w:pPr>
    </w:p>
    <w:p>
      <w:pPr>
        <w:jc w:val="center"/>
        <w:ind w:right="-59"/>
        <w:spacing w:after="0"/>
        <w:rPr>
          <w:sz w:val="20"/>
          <w:szCs w:val="20"/>
          <w:color w:val="auto"/>
        </w:rPr>
      </w:pPr>
      <w:r>
        <w:rPr>
          <w:rFonts w:ascii="Arial" w:cs="Arial" w:eastAsia="Arial" w:hAnsi="Arial"/>
          <w:sz w:val="20"/>
          <w:szCs w:val="20"/>
          <w:color w:val="auto"/>
        </w:rPr>
        <w:t>(Former name or former address, if changed since last report.)</w:t>
      </w:r>
    </w:p>
    <w:p>
      <w:pPr>
        <w:spacing w:after="0" w:line="200" w:lineRule="exact"/>
        <w:rPr>
          <w:sz w:val="24"/>
          <w:szCs w:val="24"/>
          <w:color w:val="auto"/>
        </w:rPr>
      </w:pPr>
    </w:p>
    <w:p>
      <w:pPr>
        <w:spacing w:after="0" w:line="245" w:lineRule="exact"/>
        <w:rPr>
          <w:sz w:val="24"/>
          <w:szCs w:val="24"/>
          <w:color w:val="auto"/>
        </w:rPr>
      </w:pPr>
    </w:p>
    <w:p>
      <w:pPr>
        <w:ind w:right="60"/>
        <w:spacing w:after="0" w:line="223" w:lineRule="exact"/>
        <w:rPr>
          <w:sz w:val="20"/>
          <w:szCs w:val="20"/>
          <w:color w:val="auto"/>
        </w:rPr>
      </w:pPr>
      <w:r>
        <w:rPr>
          <w:rFonts w:ascii="Arial" w:cs="Arial" w:eastAsia="Arial" w:hAnsi="Arial"/>
          <w:sz w:val="18"/>
          <w:szCs w:val="18"/>
          <w:color w:val="auto"/>
        </w:rPr>
        <w:t>Check the appropriate box below if the Form 8</w:t>
      </w:r>
      <w:r>
        <w:rPr>
          <w:rFonts w:ascii="MS PGothic" w:cs="MS PGothic" w:eastAsia="MS PGothic" w:hAnsi="MS PGothic"/>
          <w:sz w:val="18"/>
          <w:szCs w:val="18"/>
          <w:color w:val="auto"/>
        </w:rPr>
        <w:t>‑</w:t>
      </w:r>
      <w:r>
        <w:rPr>
          <w:rFonts w:ascii="Arial" w:cs="Arial" w:eastAsia="Arial" w:hAnsi="Arial"/>
          <w:sz w:val="18"/>
          <w:szCs w:val="18"/>
          <w:color w:val="auto"/>
        </w:rPr>
        <w:t>K filing is intended to simultaneously satisfy the filing obligation of the registrant under any of the following provisions (see General Instruction A.2. below):</w:t>
      </w:r>
    </w:p>
    <w:p>
      <w:pPr>
        <w:spacing w:after="0" w:line="203" w:lineRule="exact"/>
        <w:rPr>
          <w:sz w:val="24"/>
          <w:szCs w:val="24"/>
          <w:color w:val="auto"/>
        </w:rPr>
      </w:pPr>
    </w:p>
    <w:p>
      <w:pPr>
        <w:ind w:left="320"/>
        <w:spacing w:after="0"/>
        <w:rPr>
          <w:sz w:val="20"/>
          <w:szCs w:val="20"/>
          <w:color w:val="auto"/>
        </w:rPr>
      </w:pPr>
      <w:r>
        <w:rPr>
          <w:rFonts w:ascii="Arial" w:cs="Arial" w:eastAsia="Arial" w:hAnsi="Arial"/>
          <w:sz w:val="18"/>
          <w:szCs w:val="18"/>
          <w:color w:val="auto"/>
        </w:rPr>
        <w:t>Written communications pursuant to Rule 425 under the Securities Act (17 CFR 230.425)</w:t>
      </w:r>
    </w:p>
    <w:p>
      <w:pPr>
        <w:spacing w:after="0" w:line="23" w:lineRule="exact"/>
        <w:rPr>
          <w:sz w:val="24"/>
          <w:szCs w:val="24"/>
          <w:color w:val="auto"/>
        </w:rPr>
      </w:pPr>
    </w:p>
    <w:p>
      <w:pPr>
        <w:ind w:left="320"/>
        <w:spacing w:after="0" w:line="207" w:lineRule="exact"/>
        <w:rPr>
          <w:sz w:val="20"/>
          <w:szCs w:val="20"/>
          <w:color w:val="auto"/>
        </w:rPr>
      </w:pPr>
      <w:r>
        <w:rPr>
          <w:rFonts w:ascii="Arial" w:cs="Arial" w:eastAsia="Arial" w:hAnsi="Arial"/>
          <w:sz w:val="18"/>
          <w:szCs w:val="18"/>
          <w:color w:val="auto"/>
        </w:rPr>
        <w:t>Soliciting material pursuant to Rule 14a</w:t>
      </w:r>
      <w:r>
        <w:rPr>
          <w:rFonts w:ascii="MS PGothic" w:cs="MS PGothic" w:eastAsia="MS PGothic" w:hAnsi="MS PGothic"/>
          <w:sz w:val="18"/>
          <w:szCs w:val="18"/>
          <w:color w:val="auto"/>
        </w:rPr>
        <w:t>‑</w:t>
      </w:r>
      <w:r>
        <w:rPr>
          <w:rFonts w:ascii="Arial" w:cs="Arial" w:eastAsia="Arial" w:hAnsi="Arial"/>
          <w:sz w:val="18"/>
          <w:szCs w:val="18"/>
          <w:color w:val="auto"/>
        </w:rPr>
        <w:t>12 under the Exchange Act (17 CFR 240.14a</w:t>
      </w:r>
      <w:r>
        <w:rPr>
          <w:rFonts w:ascii="MS PGothic" w:cs="MS PGothic" w:eastAsia="MS PGothic" w:hAnsi="MS PGothic"/>
          <w:sz w:val="18"/>
          <w:szCs w:val="18"/>
          <w:color w:val="auto"/>
        </w:rPr>
        <w:t>‑</w:t>
      </w:r>
      <w:r>
        <w:rPr>
          <w:rFonts w:ascii="Arial" w:cs="Arial" w:eastAsia="Arial" w:hAnsi="Arial"/>
          <w:sz w:val="18"/>
          <w:szCs w:val="18"/>
          <w:color w:val="auto"/>
        </w:rPr>
        <w:t>12)</w:t>
      </w:r>
    </w:p>
    <w:p>
      <w:pPr>
        <w:spacing w:after="0" w:line="9" w:lineRule="exact"/>
        <w:rPr>
          <w:sz w:val="24"/>
          <w:szCs w:val="24"/>
          <w:color w:val="auto"/>
        </w:rPr>
      </w:pPr>
    </w:p>
    <w:p>
      <w:pPr>
        <w:ind w:left="320"/>
        <w:spacing w:after="0" w:line="207" w:lineRule="exact"/>
        <w:rPr>
          <w:sz w:val="20"/>
          <w:szCs w:val="20"/>
          <w:color w:val="auto"/>
        </w:rPr>
      </w:pPr>
      <w:r>
        <w:rPr>
          <w:rFonts w:ascii="Arial" w:cs="Arial" w:eastAsia="Arial" w:hAnsi="Arial"/>
          <w:sz w:val="18"/>
          <w:szCs w:val="18"/>
          <w:color w:val="auto"/>
        </w:rPr>
        <w:t>Pre</w:t>
      </w:r>
      <w:r>
        <w:rPr>
          <w:rFonts w:ascii="MS PGothic" w:cs="MS PGothic" w:eastAsia="MS PGothic" w:hAnsi="MS PGothic"/>
          <w:sz w:val="18"/>
          <w:szCs w:val="18"/>
          <w:color w:val="auto"/>
        </w:rPr>
        <w:t>‑</w:t>
      </w:r>
      <w:r>
        <w:rPr>
          <w:rFonts w:ascii="Arial" w:cs="Arial" w:eastAsia="Arial" w:hAnsi="Arial"/>
          <w:sz w:val="18"/>
          <w:szCs w:val="18"/>
          <w:color w:val="auto"/>
        </w:rPr>
        <w:t>commencement communications pursuant to Rule 14d</w:t>
      </w:r>
      <w:r>
        <w:rPr>
          <w:rFonts w:ascii="MS PGothic" w:cs="MS PGothic" w:eastAsia="MS PGothic" w:hAnsi="MS PGothic"/>
          <w:sz w:val="18"/>
          <w:szCs w:val="18"/>
          <w:color w:val="auto"/>
        </w:rPr>
        <w:t>‑</w:t>
      </w:r>
      <w:r>
        <w:rPr>
          <w:rFonts w:ascii="Arial" w:cs="Arial" w:eastAsia="Arial" w:hAnsi="Arial"/>
          <w:sz w:val="18"/>
          <w:szCs w:val="18"/>
          <w:color w:val="auto"/>
        </w:rPr>
        <w:t>2(b) under the Exchange Act (17 CFR 240.14d</w:t>
      </w:r>
      <w:r>
        <w:rPr>
          <w:rFonts w:ascii="MS PGothic" w:cs="MS PGothic" w:eastAsia="MS PGothic" w:hAnsi="MS PGothic"/>
          <w:sz w:val="18"/>
          <w:szCs w:val="18"/>
          <w:color w:val="auto"/>
        </w:rPr>
        <w:t>‑</w:t>
      </w:r>
      <w:r>
        <w:rPr>
          <w:rFonts w:ascii="Arial" w:cs="Arial" w:eastAsia="Arial" w:hAnsi="Arial"/>
          <w:sz w:val="18"/>
          <w:szCs w:val="18"/>
          <w:color w:val="auto"/>
        </w:rPr>
        <w:t>2(b))</w:t>
      </w:r>
    </w:p>
    <w:p>
      <w:pPr>
        <w:spacing w:after="0" w:line="9" w:lineRule="exact"/>
        <w:rPr>
          <w:sz w:val="24"/>
          <w:szCs w:val="24"/>
          <w:color w:val="auto"/>
        </w:rPr>
      </w:pPr>
    </w:p>
    <w:p>
      <w:pPr>
        <w:ind w:left="320"/>
        <w:spacing w:after="0" w:line="207" w:lineRule="exact"/>
        <w:rPr>
          <w:sz w:val="20"/>
          <w:szCs w:val="20"/>
          <w:color w:val="auto"/>
        </w:rPr>
      </w:pPr>
      <w:r>
        <w:rPr>
          <w:rFonts w:ascii="Arial" w:cs="Arial" w:eastAsia="Arial" w:hAnsi="Arial"/>
          <w:sz w:val="18"/>
          <w:szCs w:val="18"/>
          <w:color w:val="auto"/>
        </w:rPr>
        <w:t>Pre</w:t>
      </w:r>
      <w:r>
        <w:rPr>
          <w:rFonts w:ascii="MS PGothic" w:cs="MS PGothic" w:eastAsia="MS PGothic" w:hAnsi="MS PGothic"/>
          <w:sz w:val="18"/>
          <w:szCs w:val="18"/>
          <w:color w:val="auto"/>
        </w:rPr>
        <w:t>‑</w:t>
      </w:r>
      <w:r>
        <w:rPr>
          <w:rFonts w:ascii="Arial" w:cs="Arial" w:eastAsia="Arial" w:hAnsi="Arial"/>
          <w:sz w:val="18"/>
          <w:szCs w:val="18"/>
          <w:color w:val="auto"/>
        </w:rPr>
        <w:t>commencement communications pursuant to Rule 13e</w:t>
      </w:r>
      <w:r>
        <w:rPr>
          <w:rFonts w:ascii="MS PGothic" w:cs="MS PGothic" w:eastAsia="MS PGothic" w:hAnsi="MS PGothic"/>
          <w:sz w:val="18"/>
          <w:szCs w:val="18"/>
          <w:color w:val="auto"/>
        </w:rPr>
        <w:t>‑</w:t>
      </w:r>
      <w:r>
        <w:rPr>
          <w:rFonts w:ascii="Arial" w:cs="Arial" w:eastAsia="Arial" w:hAnsi="Arial"/>
          <w:sz w:val="18"/>
          <w:szCs w:val="18"/>
          <w:color w:val="auto"/>
        </w:rPr>
        <w:t>4(c) under the Exchange Act (17 CFR 240.13e</w:t>
      </w:r>
      <w:r>
        <w:rPr>
          <w:rFonts w:ascii="MS PGothic" w:cs="MS PGothic" w:eastAsia="MS PGothic" w:hAnsi="MS PGothic"/>
          <w:sz w:val="18"/>
          <w:szCs w:val="18"/>
          <w:color w:val="auto"/>
        </w:rPr>
        <w:t>‑</w:t>
      </w:r>
      <w:r>
        <w:rPr>
          <w:rFonts w:ascii="Arial" w:cs="Arial" w:eastAsia="Arial" w:hAnsi="Arial"/>
          <w:sz w:val="18"/>
          <w:szCs w:val="18"/>
          <w:color w:val="auto"/>
        </w:rPr>
        <w:t>4(c))</w:t>
      </w:r>
    </w:p>
    <w:p>
      <w:pPr>
        <w:spacing w:after="0" w:line="211" w:lineRule="exact"/>
        <w:rPr>
          <w:sz w:val="24"/>
          <w:szCs w:val="24"/>
          <w:color w:val="auto"/>
        </w:rPr>
      </w:pPr>
    </w:p>
    <w:p>
      <w:pPr>
        <w:spacing w:after="0" w:line="272"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 Emerging growth company x</w:t>
      </w:r>
    </w:p>
    <w:p>
      <w:pPr>
        <w:spacing w:after="0" w:line="395" w:lineRule="exact"/>
        <w:rPr>
          <w:sz w:val="24"/>
          <w:szCs w:val="24"/>
          <w:color w:val="auto"/>
        </w:rPr>
      </w:pPr>
    </w:p>
    <w:p>
      <w:pPr>
        <w:ind w:right="8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x</w:t>
      </w:r>
    </w:p>
    <w:p>
      <w:pPr>
        <w:sectPr>
          <w:pgSz w:w="11900" w:h="16838" w:orient="portrait"/>
          <w:cols w:equalWidth="0" w:num="1">
            <w:col w:w="11360"/>
          </w:cols>
          <w:pgMar w:left="240" w:top="225" w:right="299" w:bottom="1440" w:gutter="0" w:footer="0" w:header="0"/>
        </w:sectPr>
      </w:pPr>
    </w:p>
    <w:bookmarkStart w:id="1" w:name="page2"/>
    <w:bookmarkEnd w:id="1"/>
    <w:p>
      <w:pPr>
        <w:spacing w:after="0"/>
        <w:tabs>
          <w:tab w:leader="none" w:pos="1220" w:val="left"/>
        </w:tabs>
        <w:rPr>
          <w:sz w:val="20"/>
          <w:szCs w:val="20"/>
          <w:color w:val="auto"/>
        </w:rPr>
      </w:pPr>
      <w:r>
        <w:rPr>
          <w:rFonts w:ascii="Arial" w:cs="Arial" w:eastAsia="Arial" w:hAnsi="Arial"/>
          <w:sz w:val="20"/>
          <w:szCs w:val="20"/>
          <w:b w:val="1"/>
          <w:bCs w:val="1"/>
          <w:color w:val="auto"/>
        </w:rPr>
        <w:t>Item 1.01.</w:t>
      </w:r>
      <w:r>
        <w:rPr>
          <w:sz w:val="20"/>
          <w:szCs w:val="20"/>
          <w:color w:val="auto"/>
        </w:rPr>
        <w:tab/>
      </w:r>
      <w:r>
        <w:rPr>
          <w:rFonts w:ascii="Arial" w:cs="Arial" w:eastAsia="Arial" w:hAnsi="Arial"/>
          <w:sz w:val="18"/>
          <w:szCs w:val="18"/>
          <w:b w:val="1"/>
          <w:bCs w:val="1"/>
          <w:color w:val="auto"/>
        </w:rPr>
        <w:t>Entry into a Material Definitive Agreement.</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Entry into Trex Enterprises Sublease</w:t>
      </w:r>
    </w:p>
    <w:p>
      <w:pPr>
        <w:spacing w:after="0" w:line="221" w:lineRule="exact"/>
        <w:rPr>
          <w:sz w:val="20"/>
          <w:szCs w:val="20"/>
          <w:color w:val="auto"/>
        </w:rPr>
      </w:pPr>
    </w:p>
    <w:p>
      <w:pPr>
        <w:ind w:right="480" w:firstLine="648"/>
        <w:spacing w:after="0" w:line="347" w:lineRule="auto"/>
        <w:rPr>
          <w:sz w:val="20"/>
          <w:szCs w:val="20"/>
          <w:color w:val="auto"/>
        </w:rPr>
      </w:pPr>
      <w:r>
        <w:rPr>
          <w:rFonts w:ascii="Arial" w:cs="Arial" w:eastAsia="Arial" w:hAnsi="Arial"/>
          <w:sz w:val="16"/>
          <w:szCs w:val="16"/>
          <w:color w:val="auto"/>
        </w:rPr>
        <w:t>On May 18, 2018, AnaptysBio, Inc. (“</w:t>
      </w:r>
      <w:r>
        <w:rPr>
          <w:rFonts w:ascii="Arial" w:cs="Arial" w:eastAsia="Arial" w:hAnsi="Arial"/>
          <w:sz w:val="16"/>
          <w:szCs w:val="16"/>
          <w:b w:val="1"/>
          <w:bCs w:val="1"/>
          <w:color w:val="auto"/>
        </w:rPr>
        <w:t>AnaptysBio</w:t>
      </w:r>
      <w:r>
        <w:rPr>
          <w:rFonts w:ascii="Arial" w:cs="Arial" w:eastAsia="Arial" w:hAnsi="Arial"/>
          <w:sz w:val="16"/>
          <w:szCs w:val="16"/>
          <w:color w:val="auto"/>
        </w:rPr>
        <w:t>”) entered into that certain Sublease (the “</w:t>
      </w:r>
      <w:r>
        <w:rPr>
          <w:rFonts w:ascii="Arial" w:cs="Arial" w:eastAsia="Arial" w:hAnsi="Arial"/>
          <w:sz w:val="16"/>
          <w:szCs w:val="16"/>
          <w:b w:val="1"/>
          <w:bCs w:val="1"/>
          <w:color w:val="auto"/>
        </w:rPr>
        <w:t>Sublease</w:t>
      </w:r>
      <w:r>
        <w:rPr>
          <w:rFonts w:ascii="Arial" w:cs="Arial" w:eastAsia="Arial" w:hAnsi="Arial"/>
          <w:sz w:val="16"/>
          <w:szCs w:val="16"/>
          <w:color w:val="auto"/>
        </w:rPr>
        <w:t>”) with Trex Enterprises Corporation, a California corporation, with respect to facilities in the building at 10455 Pacific Center Court in San Diego, California (the “</w:t>
      </w:r>
      <w:r>
        <w:rPr>
          <w:rFonts w:ascii="Arial" w:cs="Arial" w:eastAsia="Arial" w:hAnsi="Arial"/>
          <w:sz w:val="16"/>
          <w:szCs w:val="16"/>
          <w:b w:val="1"/>
          <w:bCs w:val="1"/>
          <w:color w:val="auto"/>
        </w:rPr>
        <w:t>San Diego Building</w:t>
      </w:r>
      <w:r>
        <w:rPr>
          <w:rFonts w:ascii="Arial" w:cs="Arial" w:eastAsia="Arial" w:hAnsi="Arial"/>
          <w:sz w:val="16"/>
          <w:szCs w:val="16"/>
          <w:color w:val="auto"/>
        </w:rPr>
        <w:t>”).</w:t>
      </w:r>
    </w:p>
    <w:p>
      <w:pPr>
        <w:spacing w:after="0" w:line="12"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Under the Sublease, AnaptysBio has agreed to sublease approximately 18,322 square feet of space in the San Diego Building for a term of 40 months, beginning on July 7, 2018 (or on a later date as described in the Sublease). The term of the Sublease includes three options to extend the term of the lease for an additional year. The monthly base rent will be $1.65 per rentable square foot, and will be increased by 3% annually. AnaptysBio is also responsible for real estate taxes, building insurance, maintenance and its pro rata share of direct expenses and utilities.</w:t>
      </w:r>
    </w:p>
    <w:p>
      <w:pPr>
        <w:spacing w:after="0" w:line="63"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description of the Sublease contained herein does not purport to be complete and is subject to, and qualified in its entirety by, the full text of the Sublease, a copy of which will be filed as an exhibit to AnaptysBio’s next quarterly report on Form 10-Q.</w:t>
      </w:r>
    </w:p>
    <w:p>
      <w:pPr>
        <w:sectPr>
          <w:pgSz w:w="11900" w:h="16838" w:orient="portrait"/>
          <w:cols w:equalWidth="0" w:num="1">
            <w:col w:w="11320"/>
          </w:cols>
          <w:pgMar w:left="240" w:top="360" w:right="339" w:bottom="1440" w:gutter="0" w:footer="0" w:header="0"/>
        </w:sectPr>
      </w:pPr>
    </w:p>
    <w:bookmarkStart w:id="2" w:name="page3"/>
    <w:bookmarkEnd w:id="2"/>
    <w:p>
      <w:pPr>
        <w:jc w:val="center"/>
        <w:ind w:right="-119"/>
        <w:spacing w:after="0"/>
        <w:rPr>
          <w:sz w:val="20"/>
          <w:szCs w:val="20"/>
          <w:color w:val="auto"/>
        </w:rPr>
      </w:pPr>
      <w:r>
        <w:rPr>
          <w:rFonts w:ascii="Arial" w:cs="Arial" w:eastAsia="Arial" w:hAnsi="Arial"/>
          <w:sz w:val="20"/>
          <w:szCs w:val="20"/>
          <w:b w:val="1"/>
          <w:bCs w:val="1"/>
          <w:color w:val="auto"/>
        </w:rPr>
        <w:t>SIGNATURES</w:t>
      </w:r>
    </w:p>
    <w:p>
      <w:pPr>
        <w:spacing w:after="0" w:line="316"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20" w:lineRule="exact"/>
        <w:rPr>
          <w:sz w:val="20"/>
          <w:szCs w:val="20"/>
          <w:color w:val="auto"/>
        </w:rPr>
      </w:pPr>
    </w:p>
    <w:p>
      <w:pPr>
        <w:ind w:left="3240"/>
        <w:spacing w:after="0"/>
        <w:rPr>
          <w:sz w:val="20"/>
          <w:szCs w:val="20"/>
          <w:color w:val="auto"/>
        </w:rPr>
      </w:pPr>
      <w:r>
        <w:rPr>
          <w:rFonts w:ascii="Arial" w:cs="Arial" w:eastAsia="Arial" w:hAnsi="Arial"/>
          <w:sz w:val="20"/>
          <w:szCs w:val="20"/>
          <w:color w:val="auto"/>
        </w:rPr>
        <w:t>AnaptysBio, Inc.</w:t>
      </w:r>
    </w:p>
    <w:p>
      <w:pPr>
        <w:spacing w:after="0" w:line="200" w:lineRule="exact"/>
        <w:rPr>
          <w:sz w:val="20"/>
          <w:szCs w:val="20"/>
          <w:color w:val="auto"/>
        </w:rPr>
      </w:pPr>
    </w:p>
    <w:p>
      <w:pPr>
        <w:spacing w:after="0" w:line="259" w:lineRule="exact"/>
        <w:rPr>
          <w:sz w:val="20"/>
          <w:szCs w:val="20"/>
          <w:color w:val="auto"/>
        </w:rPr>
      </w:pPr>
    </w:p>
    <w:p>
      <w:pPr>
        <w:spacing w:after="0"/>
        <w:tabs>
          <w:tab w:leader="none" w:pos="2360" w:val="left"/>
          <w:tab w:leader="none" w:pos="2840" w:val="left"/>
        </w:tabs>
        <w:rPr>
          <w:sz w:val="20"/>
          <w:szCs w:val="20"/>
          <w:color w:val="auto"/>
        </w:rPr>
      </w:pPr>
      <w:r>
        <w:rPr>
          <w:rFonts w:ascii="Arial" w:cs="Arial" w:eastAsia="Arial" w:hAnsi="Arial"/>
          <w:sz w:val="20"/>
          <w:szCs w:val="20"/>
          <w:color w:val="auto"/>
        </w:rPr>
        <w:t>Date: May 23, 2018</w:t>
      </w:r>
      <w:r>
        <w:rPr>
          <w:sz w:val="20"/>
          <w:szCs w:val="20"/>
          <w:color w:val="auto"/>
        </w:rPr>
        <w:tab/>
      </w:r>
      <w:r>
        <w:rPr>
          <w:rFonts w:ascii="Arial" w:cs="Arial" w:eastAsia="Arial" w:hAnsi="Arial"/>
          <w:sz w:val="20"/>
          <w:szCs w:val="20"/>
          <w:color w:val="auto"/>
        </w:rPr>
        <w:t>By:</w:t>
      </w:r>
      <w:r>
        <w:rPr>
          <w:sz w:val="20"/>
          <w:szCs w:val="20"/>
          <w:color w:val="auto"/>
        </w:rPr>
        <w:tab/>
      </w:r>
      <w:r>
        <w:rPr>
          <w:rFonts w:ascii="Arial" w:cs="Arial" w:eastAsia="Arial" w:hAnsi="Arial"/>
          <w:sz w:val="19"/>
          <w:szCs w:val="19"/>
          <w:color w:val="auto"/>
        </w:rPr>
        <w:t>/s/ Dominic Piscitelli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1820545</wp:posOffset>
            </wp:positionH>
            <wp:positionV relativeFrom="paragraph">
              <wp:posOffset>-14605</wp:posOffset>
            </wp:positionV>
            <wp:extent cx="14382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38275" cy="8890"/>
                    </a:xfrm>
                    <a:prstGeom prst="rect">
                      <a:avLst/>
                    </a:prstGeom>
                    <a:noFill/>
                  </pic:spPr>
                </pic:pic>
              </a:graphicData>
            </a:graphic>
          </wp:anchor>
        </w:drawing>
      </w:r>
    </w:p>
    <w:p>
      <w:pPr>
        <w:spacing w:after="0" w:line="209" w:lineRule="exact"/>
        <w:rPr>
          <w:sz w:val="20"/>
          <w:szCs w:val="20"/>
          <w:color w:val="auto"/>
        </w:rPr>
      </w:pPr>
    </w:p>
    <w:p>
      <w:pPr>
        <w:ind w:left="3240"/>
        <w:spacing w:after="0"/>
        <w:rPr>
          <w:sz w:val="20"/>
          <w:szCs w:val="20"/>
          <w:color w:val="auto"/>
        </w:rPr>
      </w:pPr>
      <w:r>
        <w:rPr>
          <w:rFonts w:ascii="Arial" w:cs="Arial" w:eastAsia="Arial" w:hAnsi="Arial"/>
          <w:sz w:val="20"/>
          <w:szCs w:val="20"/>
          <w:color w:val="auto"/>
        </w:rPr>
        <w:t>Name: Dominic Piscitelli</w:t>
      </w:r>
    </w:p>
    <w:p>
      <w:pPr>
        <w:spacing w:after="0" w:line="54" w:lineRule="exact"/>
        <w:rPr>
          <w:sz w:val="20"/>
          <w:szCs w:val="20"/>
          <w:color w:val="auto"/>
        </w:rPr>
      </w:pPr>
    </w:p>
    <w:p>
      <w:pPr>
        <w:ind w:left="3240"/>
        <w:spacing w:after="0"/>
        <w:rPr>
          <w:sz w:val="20"/>
          <w:szCs w:val="20"/>
          <w:color w:val="auto"/>
        </w:rPr>
      </w:pPr>
      <w:r>
        <w:rPr>
          <w:rFonts w:ascii="Arial" w:cs="Arial" w:eastAsia="Arial" w:hAnsi="Arial"/>
          <w:sz w:val="20"/>
          <w:szCs w:val="20"/>
          <w:color w:val="auto"/>
        </w:rPr>
        <w:t>Title: Chief Financial Officer</w:t>
      </w:r>
    </w:p>
    <w:sectPr>
      <w:pgSz w:w="11900" w:h="16838" w:orient="portrait"/>
      <w:cols w:equalWidth="0" w:num="1">
        <w:col w:w="11300"/>
      </w:cols>
      <w:pgMar w:left="240" w:top="441"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2019-12-07T05:00:37Z</dcterms:created>
  <dcterms:modified xsi:type="dcterms:W3CDTF">2019-12-07T05:00:37Z</dcterms:modified>
</cp:coreProperties>
</file>