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2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8-K</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 PURSUANT TO</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13 OR 15(d) OF THE SECURITIES EXCHANGE ACT OF 1934</w:t>
      </w:r>
    </w:p>
    <w:p>
      <w:pPr>
        <w:spacing w:after="0" w:line="16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3"/>
          <w:szCs w:val="13"/>
          <w:b w:val="1"/>
          <w:bCs w:val="1"/>
          <w:color w:val="auto"/>
        </w:rPr>
        <w:t>Date of Report: June 3, 2025</w:t>
      </w:r>
    </w:p>
    <w:p>
      <w:pPr>
        <w:spacing w:after="0" w:line="20"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3"/>
          <w:szCs w:val="13"/>
          <w:color w:val="auto"/>
        </w:rPr>
        <w:t>(Date of earliest event reported)</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ANAPTYSBIO,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Charter)</w:t>
      </w:r>
    </w:p>
    <w:p>
      <w:pPr>
        <w:sectPr>
          <w:pgSz w:w="11900" w:h="16838" w:orient="portrait"/>
          <w:cols w:equalWidth="0" w:num="1">
            <w:col w:w="11300"/>
          </w:cols>
          <w:pgMar w:left="300" w:top="1059" w:right="299" w:bottom="1440" w:gutter="0" w:footer="0" w:header="0"/>
        </w:sectPr>
      </w:pPr>
    </w:p>
    <w:p>
      <w:pPr>
        <w:spacing w:after="0" w:line="18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2"/>
          <w:szCs w:val="12"/>
          <w:b w:val="1"/>
          <w:bCs w:val="1"/>
          <w:color w:val="auto"/>
        </w:rPr>
        <w:t>001-37985</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20-3828755</w:t>
      </w:r>
    </w:p>
    <w:p>
      <w:pPr>
        <w:spacing w:after="0" w:line="24" w:lineRule="exact"/>
        <w:rPr>
          <w:sz w:val="24"/>
          <w:szCs w:val="24"/>
          <w:color w:val="auto"/>
        </w:rPr>
      </w:pPr>
    </w:p>
    <w:p>
      <w:pPr>
        <w:sectPr>
          <w:pgSz w:w="11900" w:h="16838" w:orient="portrait"/>
          <w:cols w:equalWidth="0" w:num="3">
            <w:col w:w="4680" w:space="720"/>
            <w:col w:w="2920" w:space="720"/>
            <w:col w:w="2260"/>
          </w:cols>
          <w:pgMar w:left="300" w:top="1059" w:right="29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60" w:space="720"/>
            <w:col w:w="2860"/>
          </w:cols>
          <w:pgMar w:left="300" w:top="1059" w:right="299" w:bottom="1440" w:gutter="0" w:footer="0" w:header="0"/>
          <w:type w:val="continuous"/>
        </w:sectPr>
      </w:pPr>
    </w:p>
    <w:p>
      <w:pPr>
        <w:spacing w:after="0" w:line="2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3"/>
          <w:szCs w:val="13"/>
          <w:b w:val="1"/>
          <w:bCs w:val="1"/>
          <w:color w:val="auto"/>
        </w:rPr>
        <w:t>10770 Wateridge Circle, Suite 210,</w:t>
      </w:r>
    </w:p>
    <w:p>
      <w:pPr>
        <w:spacing w:after="0" w:line="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San Diego, CA 92121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(Address of Principal Executive Offices, and Zip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(858) 362-6295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(Registrant’s Telephone Number, Including Area Code)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color w:val="auto"/>
        </w:rPr>
        <w:t>(Former name or former address, if changed since last report.)</w:t>
      </w:r>
    </w:p>
    <w:p>
      <w:pPr>
        <w:sectPr>
          <w:pgSz w:w="11900" w:h="16838" w:orient="portrait"/>
          <w:cols w:equalWidth="0" w:num="1">
            <w:col w:w="11300"/>
          </w:cols>
          <w:pgMar w:left="300" w:top="1059" w:right="29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4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Written communication pursuant to Rule 425 under the Securities Act (17 CFR 230.425)</w:t>
      </w:r>
    </w:p>
    <w:p>
      <w:pPr>
        <w:spacing w:after="0" w:line="46"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Soliciting material pursuant to Rule 14a-12 under the Exchange Act (17 CFR 240.14a-12)</w:t>
      </w:r>
    </w:p>
    <w:p>
      <w:pPr>
        <w:spacing w:after="0" w:line="2"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14d-2(b) under the Exchange Act (17 CFR 240.14d-2(b))</w:t>
      </w:r>
    </w:p>
    <w:p>
      <w:pPr>
        <w:spacing w:after="0" w:line="10" w:lineRule="exact"/>
        <w:rPr>
          <w:sz w:val="24"/>
          <w:szCs w:val="24"/>
          <w:color w:val="auto"/>
        </w:rPr>
      </w:pPr>
    </w:p>
    <w:p>
      <w:pPr>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Pre-commencement communication pursuant to Rule 13e-4(c) under the Exchange Act (17 CFR 240.13e-4(c))</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78" w:lineRule="exact"/>
        <w:rPr>
          <w:sz w:val="24"/>
          <w:szCs w:val="24"/>
          <w:color w:val="auto"/>
        </w:rPr>
      </w:pPr>
    </w:p>
    <w:tbl>
      <w:tblPr>
        <w:tblLayout w:type="fixed"/>
        <w:tblInd w:w="190" w:type="dxa"/>
        <w:tblCellMar>
          <w:top w:w="0" w:type="dxa"/>
          <w:left w:w="0" w:type="dxa"/>
          <w:bottom w:w="0" w:type="dxa"/>
          <w:right w:w="0" w:type="dxa"/>
        </w:tblCellMar>
      </w:tblPr>
      <w:tr>
        <w:trPr>
          <w:trHeight w:val="164"/>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r>
        <w:trPr>
          <w:trHeight w:val="144"/>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ANAB</w:t>
            </w:r>
          </w:p>
        </w:tc>
        <w:tc>
          <w:tcPr>
            <w:tcW w:w="4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25"/>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80" w:type="dxa"/>
            <w:vAlign w:val="bottom"/>
            <w:tcBorders>
              <w:bottom w:val="single" w:sz="8" w:color="auto"/>
              <w:right w:val="single" w:sz="8" w:color="auto"/>
            </w:tcBorders>
          </w:tcPr>
          <w:p>
            <w:pPr>
              <w:spacing w:after="0"/>
              <w:rPr>
                <w:sz w:val="2"/>
                <w:szCs w:val="2"/>
                <w:color w:val="auto"/>
              </w:rPr>
            </w:pPr>
          </w:p>
        </w:tc>
      </w:tr>
    </w:tbl>
    <w:p>
      <w:pPr>
        <w:spacing w:after="0" w:line="196" w:lineRule="exact"/>
        <w:rPr>
          <w:sz w:val="24"/>
          <w:szCs w:val="24"/>
          <w:color w:val="auto"/>
        </w:rPr>
      </w:pPr>
    </w:p>
    <w:p>
      <w:pPr>
        <w:ind w:right="2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9" w:lineRule="exact"/>
        <w:rPr>
          <w:sz w:val="24"/>
          <w:szCs w:val="24"/>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20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570865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9" w:right="299"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7.01.</w:t>
        <w:tab/>
        <w:t>Regulation FD.</w:t>
      </w:r>
    </w:p>
    <w:p>
      <w:pPr>
        <w:spacing w:after="0" w:line="14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2"/>
          <w:szCs w:val="12"/>
          <w:color w:val="auto"/>
        </w:rPr>
        <w:t>On June 03, 2025, AnaptysBio, Inc. (“</w:t>
      </w:r>
      <w:r>
        <w:rPr>
          <w:rFonts w:ascii="Times New Roman" w:cs="Times New Roman" w:eastAsia="Times New Roman" w:hAnsi="Times New Roman"/>
          <w:sz w:val="12"/>
          <w:szCs w:val="12"/>
          <w:b w:val="1"/>
          <w:bCs w:val="1"/>
          <w:i w:val="1"/>
          <w:iCs w:val="1"/>
          <w:color w:val="auto"/>
        </w:rPr>
        <w:t>AnaptysBio</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issued a press release announcing positive rosnilimab data updated through six months in robust Phase 2b clinical trial in rheumatoid arthritis, a copy of which is attached hereto as Exhibit 99.1.</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03, 2025, AnaptysBio presented a slide presentation regarding the rosnilimab data, a copy of which is attached hereto as Exhibit 99.2.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03, 2025, AnaptysBio updated its corporate investor presentation, a full copy of which is attached hereto as Exhibit 99.3.</w:t>
      </w:r>
    </w:p>
    <w:p>
      <w:pPr>
        <w:spacing w:after="0" w:line="150" w:lineRule="exact"/>
        <w:rPr>
          <w:sz w:val="20"/>
          <w:szCs w:val="20"/>
          <w:color w:val="auto"/>
        </w:rPr>
      </w:pPr>
    </w:p>
    <w:p>
      <w:pPr>
        <w:ind w:right="220"/>
        <w:spacing w:after="0" w:line="327" w:lineRule="auto"/>
        <w:rPr>
          <w:sz w:val="20"/>
          <w:szCs w:val="20"/>
          <w:color w:val="auto"/>
        </w:rPr>
      </w:pPr>
      <w:r>
        <w:rPr>
          <w:rFonts w:ascii="Times New Roman" w:cs="Times New Roman" w:eastAsia="Times New Roman" w:hAnsi="Times New Roman"/>
          <w:sz w:val="11"/>
          <w:szCs w:val="11"/>
          <w:color w:val="auto"/>
        </w:rPr>
        <w:t>The information in this Item 7.01, including Exhibits 99.1, 99.2 and 99.3, shall not be deemed “filed” for purposes of Section 18 of the Securities Exchange Act of 1934, as amended (the “Exchange Act”), or otherwise subject to the liabilities of that section, nor shall it be deemed incorporated by reference into any other filing under the Exchange Act or the Securities Act of 1933, as amended, except as expressly set forth by specific reference in such a filing.</w:t>
      </w:r>
    </w:p>
    <w:p>
      <w:pPr>
        <w:spacing w:after="0" w:line="8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8.01.</w:t>
        <w:tab/>
        <w:t>Other Events.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June 03, 2025, AnaptysBio announced positive rosnilimab data updated through six months in robust Phase 2b RENOIR clinical trial in rheumatoid arthritis.</w:t>
      </w:r>
    </w:p>
    <w:p>
      <w:pPr>
        <w:spacing w:after="0" w:line="15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AnaptysBio announced that investigational rosnilimab, a depleter and agonist targeting PD-1+ T cells, demonstrated a best-in-disease profile in patients with moderate-to-severe rheumatoid arthritis (RA). In the robust, global 424-patient Phase 2b trial, rosnilimab achieved JAK-like efficacy on multiple clinically meaningful measures, including low disease activity (LDA) and remission on the Clinical Disease Activity Index (CDAI), as well as ACR70 response, over a six-month period. Furthermore, responses were then durable for at least two months off drug. Rosnilimab was safe and well tolerated.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960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Exhibit Title or Description</w:t>
            </w:r>
          </w:p>
        </w:tc>
      </w:tr>
      <w:tr>
        <w:trPr>
          <w:trHeight w:val="149"/>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1480" w:type="dxa"/>
            <w:vAlign w:val="bottom"/>
          </w:tcPr>
          <w:p>
            <w:pPr>
              <w:spacing w:after="0"/>
              <w:rPr>
                <w:sz w:val="12"/>
                <w:szCs w:val="12"/>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Press release issued by AnaptysBio, Inc. regarding the positive rosnilimab data, dated June 03, 2025.</w:t>
            </w:r>
          </w:p>
        </w:tc>
      </w:tr>
      <w:tr>
        <w:trPr>
          <w:trHeight w:val="151"/>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1480" w:type="dxa"/>
            <w:vAlign w:val="bottom"/>
          </w:tcPr>
          <w:p>
            <w:pPr>
              <w:spacing w:after="0"/>
              <w:rPr>
                <w:sz w:val="13"/>
                <w:szCs w:val="13"/>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Presentation regarding updated rosnilimab data, presented June 03, 2025.</w:t>
            </w:r>
          </w:p>
        </w:tc>
      </w:tr>
      <w:tr>
        <w:trPr>
          <w:trHeight w:val="151"/>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3</w:t>
            </w:r>
          </w:p>
        </w:tc>
        <w:tc>
          <w:tcPr>
            <w:tcW w:w="1480" w:type="dxa"/>
            <w:vAlign w:val="bottom"/>
          </w:tcPr>
          <w:p>
            <w:pPr>
              <w:spacing w:after="0"/>
              <w:rPr>
                <w:sz w:val="13"/>
                <w:szCs w:val="13"/>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Anaptys Corporate Presentation June 2025.</w:t>
            </w:r>
          </w:p>
        </w:tc>
      </w:tr>
      <w:tr>
        <w:trPr>
          <w:trHeight w:val="178"/>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480" w:type="dxa"/>
            <w:vAlign w:val="bottom"/>
          </w:tcPr>
          <w:p>
            <w:pPr>
              <w:spacing w:after="0"/>
              <w:rPr>
                <w:sz w:val="15"/>
                <w:szCs w:val="15"/>
                <w:color w:val="auto"/>
              </w:rPr>
            </w:pPr>
          </w:p>
        </w:tc>
        <w:tc>
          <w:tcPr>
            <w:tcW w:w="960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w:t>
            </w:r>
          </w:p>
        </w:tc>
      </w:tr>
      <w:tr>
        <w:trPr>
          <w:trHeight w:val="576"/>
        </w:trPr>
        <w:tc>
          <w:tcPr>
            <w:tcW w:w="2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0"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2"/>
          <w:szCs w:val="12"/>
          <w:color w:val="auto"/>
        </w:rPr>
        <w:t>AnaptysBio, Inc.</w:t>
      </w:r>
    </w:p>
    <w:p>
      <w:pPr>
        <w:spacing w:after="0" w:line="17" w:lineRule="exact"/>
        <w:rPr>
          <w:sz w:val="20"/>
          <w:szCs w:val="20"/>
          <w:color w:val="auto"/>
        </w:rPr>
      </w:pPr>
    </w:p>
    <w:p>
      <w:pPr>
        <w:spacing w:after="0"/>
        <w:tabs>
          <w:tab w:leader="none" w:pos="4220" w:val="left"/>
          <w:tab w:leader="none" w:pos="4780" w:val="left"/>
        </w:tabs>
        <w:rPr>
          <w:sz w:val="20"/>
          <w:szCs w:val="20"/>
          <w:color w:val="auto"/>
        </w:rPr>
      </w:pPr>
      <w:r>
        <w:rPr>
          <w:rFonts w:ascii="Times New Roman" w:cs="Times New Roman" w:eastAsia="Times New Roman" w:hAnsi="Times New Roman"/>
          <w:sz w:val="12"/>
          <w:szCs w:val="12"/>
          <w:color w:val="auto"/>
        </w:rPr>
        <w:t>Date: June 03,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9525</wp:posOffset>
            </wp:positionV>
            <wp:extent cx="41376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37660" cy="5715"/>
                    </a:xfrm>
                    <a:prstGeom prst="rect">
                      <a:avLst/>
                    </a:prstGeom>
                    <a:noFill/>
                  </pic:spPr>
                </pic:pic>
              </a:graphicData>
            </a:graphic>
          </wp:anchor>
        </w:drawing>
      </w:r>
    </w:p>
    <w:p>
      <w:pPr>
        <w:spacing w:after="0" w:line="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Name: Dennis Mulroy</w:t>
      </w:r>
    </w:p>
    <w:p>
      <w:pPr>
        <w:spacing w:after="0" w:line="3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0159"/>
          </w:cols>
          <w:pgMar w:left="300" w:top="989"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2025-06-03T16:28:02Z</dcterms:created>
  <dcterms:modified xsi:type="dcterms:W3CDTF">2025-06-03T16:28:02Z</dcterms:modified>
</cp:coreProperties>
</file>