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 PURSUANT TO</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January 31, 2025</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(Date of earliest event reported)</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ANAPTYSBIO, INC.</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ectPr>
          <w:pgSz w:w="11900" w:h="16838" w:orient="portrait"/>
          <w:cols w:equalWidth="0" w:num="1">
            <w:col w:w="11280"/>
          </w:cols>
          <w:pgMar w:left="300" w:top="1222" w:right="319" w:bottom="1440" w:gutter="0" w:footer="0" w:header="0"/>
        </w:sectPr>
      </w:pPr>
    </w:p>
    <w:p>
      <w:pPr>
        <w:spacing w:after="0" w:line="21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001-37985</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20-3828755</w:t>
      </w:r>
    </w:p>
    <w:p>
      <w:pPr>
        <w:spacing w:after="0" w:line="44" w:lineRule="exact"/>
        <w:rPr>
          <w:sz w:val="24"/>
          <w:szCs w:val="24"/>
          <w:color w:val="auto"/>
        </w:rPr>
      </w:pPr>
    </w:p>
    <w:p>
      <w:pPr>
        <w:sectPr>
          <w:pgSz w:w="11900" w:h="16838" w:orient="portrait"/>
          <w:cols w:equalWidth="0" w:num="3">
            <w:col w:w="4620" w:space="720"/>
            <w:col w:w="2920" w:space="720"/>
            <w:col w:w="2300"/>
          </w:cols>
          <w:pgMar w:left="300" w:top="1222" w:right="31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740" w:space="720"/>
            <w:col w:w="3000"/>
          </w:cols>
          <w:pgMar w:left="300" w:top="1222" w:right="319" w:bottom="1440" w:gutter="0" w:footer="0" w:header="0"/>
          <w:type w:val="continuous"/>
        </w:sectPr>
      </w:pPr>
    </w:p>
    <w:p>
      <w:pPr>
        <w:spacing w:after="0" w:line="8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10770 Wateridge Circle, Suite 210,</w:t>
      </w:r>
    </w:p>
    <w:p>
      <w:pPr>
        <w:spacing w:after="0" w:line="1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San Diego, CA 92121</w:t>
      </w:r>
    </w:p>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 and Zip Code)</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(858) 362-6295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ectPr>
          <w:pgSz w:w="11900" w:h="16838" w:orient="portrait"/>
          <w:cols w:equalWidth="0" w:num="1">
            <w:col w:w="11280"/>
          </w:cols>
          <w:pgMar w:left="300" w:top="1222" w:right="319" w:bottom="1440" w:gutter="0" w:footer="0" w:header="0"/>
          <w:type w:val="continuous"/>
        </w:sectPr>
      </w:pP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Written communication pursuant to Rule 425 under the Securities Act (17 CFR 230.425)</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Soliciting material pursuant to Rule 14a-12 under the Exchange Act (17 CFR 240.14a-12)</w:t>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Pre-commencement communication pursuant to Rule 14d-2(b) under the Exchange Act (17 CFR 240.14d-2(b))</w:t>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Pre-commencement communication pursuant to Rule 13e-4(c) under the Exchange Act (17 CFR 240.13e-4(c))</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9" w:lineRule="exact"/>
        <w:rPr>
          <w:sz w:val="24"/>
          <w:szCs w:val="24"/>
          <w:color w:val="auto"/>
        </w:rPr>
      </w:pPr>
    </w:p>
    <w:tbl>
      <w:tblPr>
        <w:tblLayout w:type="fixed"/>
        <w:tblInd w:w="190" w:type="dxa"/>
        <w:tblCellMar>
          <w:top w:w="0" w:type="dxa"/>
          <w:left w:w="0" w:type="dxa"/>
          <w:bottom w:w="0" w:type="dxa"/>
          <w:right w:w="0" w:type="dxa"/>
        </w:tblCellMar>
      </w:tblPr>
      <w:tr>
        <w:trPr>
          <w:trHeight w:val="195"/>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175"/>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ANAB</w:t>
            </w:r>
          </w:p>
        </w:tc>
        <w:tc>
          <w:tcPr>
            <w:tcW w:w="4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5" w:lineRule="exact"/>
        <w:rPr>
          <w:sz w:val="24"/>
          <w:szCs w:val="24"/>
          <w:color w:val="auto"/>
        </w:rPr>
      </w:pPr>
    </w:p>
    <w:p>
      <w:pPr>
        <w:ind w:left="958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42"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674370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type w:val="continuous"/>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17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On January 31, 2025, AnaptysBio, Inc.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Anaptys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entered into an Exclusive License Agreement (the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License Agreement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with Vanda Pharmaceuticals Inc.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Vanda</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pursuant to which Anaptys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13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Pursuant to the terms of the License Agreement, Anaptys will receive an upfront payment of $10 million and a $5 million payment for existing drug supply. Anaptys is also eligible to receive up to $35 million for future regulatory approval and sales milestones in addition to a 10% royalty on net sales.</w:t>
      </w:r>
    </w:p>
    <w:p>
      <w:pPr>
        <w:spacing w:after="0" w:line="12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License Agreement includes various representations, warranties, covenants, indemnities, and other customary provisions and contains customary provisions for termination (i) by Vanda following the three-year anniversary of the effective date of the License Agreement upon at least 12 months’ prior written notice to Anaptys or (ii) by either party in the event of breach of the License Agreement (subject to cure), subject, in each case, to certain reversion rights, or upon the other party’s bankruptcy.</w:t>
      </w:r>
    </w:p>
    <w:p>
      <w:pPr>
        <w:spacing w:after="0" w:line="136" w:lineRule="exact"/>
        <w:rPr>
          <w:sz w:val="20"/>
          <w:szCs w:val="20"/>
          <w:color w:val="auto"/>
        </w:rPr>
      </w:pPr>
    </w:p>
    <w:p>
      <w:pPr>
        <w:ind w:right="500"/>
        <w:spacing w:after="0" w:line="188" w:lineRule="exact"/>
        <w:rPr>
          <w:sz w:val="20"/>
          <w:szCs w:val="20"/>
          <w:color w:val="auto"/>
        </w:rPr>
      </w:pPr>
      <w:r>
        <w:rPr>
          <w:rFonts w:ascii="Times New Roman" w:cs="Times New Roman" w:eastAsia="Times New Roman" w:hAnsi="Times New Roman"/>
          <w:sz w:val="14"/>
          <w:szCs w:val="14"/>
          <w:color w:val="auto"/>
        </w:rPr>
        <w:t>The foregoing summary of the License Agreement does not purport to be complete and is qualified in its entirety by reference to the full text of the License Agreement. A copy of the License Agreement will be filed as an exhibit to AnaptysBio’s Quarterly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for the quarter ended March 31, 2025.</w:t>
      </w:r>
    </w:p>
    <w:p>
      <w:pPr>
        <w:spacing w:after="0" w:line="1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3, 2025, AnaptysBio issued a press release announcing the entry into the License Agreement with Vanda, a copy of which is attached hereto as Exhibit 99.1.</w:t>
      </w:r>
    </w:p>
    <w:p>
      <w:pPr>
        <w:spacing w:after="0" w:line="17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4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Exhibit Title or Description</w:t>
            </w:r>
          </w:p>
        </w:tc>
      </w:tr>
      <w:tr>
        <w:trPr>
          <w:trHeight w:val="177"/>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9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Press release issued by AnaptysBio, Inc. regarding the Vanda Exclusive License Agreement, dated January 31, 2025.</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21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540" w:type="dxa"/>
            <w:vAlign w:val="bottom"/>
          </w:tcPr>
          <w:p>
            <w:pPr>
              <w:spacing w:after="0"/>
              <w:rPr>
                <w:sz w:val="18"/>
                <w:szCs w:val="18"/>
                <w:color w:val="auto"/>
              </w:rPr>
            </w:pPr>
          </w:p>
        </w:tc>
        <w:tc>
          <w:tcPr>
            <w:tcW w:w="9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Cover Page Interactive Data File (the cover page XBRL tags are embedded within the inline XBRL document).</w:t>
            </w:r>
          </w:p>
        </w:tc>
      </w:tr>
      <w:tr>
        <w:trPr>
          <w:trHeight w:val="681"/>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850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AnaptysBio, Inc.</w:t>
            </w:r>
          </w:p>
        </w:tc>
      </w:tr>
      <w:tr>
        <w:trPr>
          <w:trHeight w:val="187"/>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3, 2025</w:t>
            </w:r>
          </w:p>
        </w:tc>
        <w:tc>
          <w:tcPr>
            <w:tcW w:w="20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By:</w:t>
            </w:r>
          </w:p>
        </w:tc>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Eric Loumeau</w:t>
            </w:r>
          </w:p>
        </w:tc>
      </w:tr>
      <w:tr>
        <w:trPr>
          <w:trHeight w:val="175"/>
        </w:trPr>
        <w:tc>
          <w:tcPr>
            <w:tcW w:w="27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Eric Loumeau</w:t>
            </w:r>
          </w:p>
        </w:tc>
      </w:tr>
      <w:tr>
        <w:trPr>
          <w:trHeight w:val="198"/>
        </w:trPr>
        <w:tc>
          <w:tcPr>
            <w:tcW w:w="27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Legal Officer</w:t>
            </w:r>
          </w:p>
        </w:tc>
      </w:tr>
    </w:tbl>
    <w:p>
      <w:pPr>
        <w:sectPr>
          <w:pgSz w:w="11900" w:h="16838" w:orient="portrait"/>
          <w:cols w:equalWidth="0" w:num="1">
            <w:col w:w="11280"/>
          </w:cols>
          <w:pgMar w:left="300" w:top="1137"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2025-02-03T07:58:25Z</dcterms:created>
  <dcterms:modified xsi:type="dcterms:W3CDTF">2025-02-03T07:58:25Z</dcterms:modified>
</cp:coreProperties>
</file>