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Number 333-222868</w:t>
      </w:r>
    </w:p>
    <w:p>
      <w:pPr>
        <w:spacing w:after="0" w:line="144" w:lineRule="exact"/>
        <w:rPr>
          <w:sz w:val="24"/>
          <w:szCs w:val="24"/>
          <w:color w:val="auto"/>
        </w:rPr>
      </w:pPr>
    </w:p>
    <w:p>
      <w:pPr>
        <w:ind w:left="200" w:right="160"/>
        <w:spacing w:after="0"/>
        <w:rPr>
          <w:sz w:val="20"/>
          <w:szCs w:val="20"/>
          <w:color w:val="auto"/>
        </w:rPr>
      </w:pPr>
      <w:r>
        <w:rPr>
          <w:rFonts w:ascii="Arial" w:cs="Arial" w:eastAsia="Arial" w:hAnsi="Arial"/>
          <w:sz w:val="18"/>
          <w:szCs w:val="18"/>
          <w:color w:val="D13239"/>
        </w:rPr>
        <w:t>The information in this preliminary prospectus supplement is not complete and may be changed. This preliminary prospectus supplement is not an offer to sell these securities and it is not soliciting an offer to buy these securities in any state where the offer or sale is not permitted.</w:t>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D13239"/>
        </w:rPr>
        <w:t>SUBJECT TO COMPLETION, DATED SEPTEMBER 24, 2018</w:t>
      </w:r>
    </w:p>
    <w:p>
      <w:pPr>
        <w:spacing w:after="0" w:line="29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PRELIMINARY PROSPECTUS SUPPLEMENT TO PROSPECTUS DATED FEBRUARY 5, 2018</w:t>
      </w:r>
    </w:p>
    <w:p>
      <w:pPr>
        <w:spacing w:after="0" w:line="338" w:lineRule="exact"/>
        <w:rPr>
          <w:sz w:val="24"/>
          <w:szCs w:val="24"/>
          <w:color w:val="auto"/>
        </w:rPr>
      </w:pPr>
    </w:p>
    <w:p>
      <w:pPr>
        <w:jc w:val="center"/>
        <w:ind w:right="-179"/>
        <w:spacing w:after="0"/>
        <w:rPr>
          <w:sz w:val="20"/>
          <w:szCs w:val="20"/>
          <w:color w:val="auto"/>
        </w:rPr>
      </w:pPr>
      <w:r>
        <w:rPr>
          <w:rFonts w:ascii="Arial" w:cs="Arial" w:eastAsia="Arial" w:hAnsi="Arial"/>
          <w:sz w:val="29"/>
          <w:szCs w:val="29"/>
          <w:color w:val="auto"/>
        </w:rPr>
        <w:t>$200,000,000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236855</wp:posOffset>
            </wp:positionV>
            <wp:extent cx="3618865"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79"/>
        <w:spacing w:after="0"/>
        <w:rPr>
          <w:sz w:val="20"/>
          <w:szCs w:val="20"/>
          <w:color w:val="auto"/>
        </w:rPr>
      </w:pPr>
      <w:r>
        <w:rPr>
          <w:rFonts w:ascii="Arial" w:cs="Arial" w:eastAsia="Arial" w:hAnsi="Arial"/>
          <w:sz w:val="29"/>
          <w:szCs w:val="2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305435</wp:posOffset>
            </wp:positionV>
            <wp:extent cx="1054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640"/>
        <w:spacing w:after="0"/>
        <w:rPr>
          <w:sz w:val="20"/>
          <w:szCs w:val="20"/>
          <w:color w:val="auto"/>
        </w:rPr>
      </w:pPr>
      <w:r>
        <w:rPr>
          <w:rFonts w:ascii="Arial" w:cs="Arial" w:eastAsia="Arial" w:hAnsi="Arial"/>
          <w:sz w:val="18"/>
          <w:szCs w:val="18"/>
          <w:color w:val="auto"/>
        </w:rPr>
        <w:t>We are offering $200,000,000 of our common stock pursuant to this prospectus supplement and the accompanying prospectus.</w:t>
      </w:r>
    </w:p>
    <w:p>
      <w:pPr>
        <w:spacing w:after="0" w:line="212" w:lineRule="exact"/>
        <w:rPr>
          <w:sz w:val="24"/>
          <w:szCs w:val="24"/>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We have granted the underwriters a 30-day option to purchase up to $30,000,000 of additional shares of our common stock from us at the public offering price, less underwriting discounts and commissions.</w:t>
      </w:r>
    </w:p>
    <w:p>
      <w:pPr>
        <w:spacing w:after="0" w:line="197" w:lineRule="exact"/>
        <w:rPr>
          <w:sz w:val="24"/>
          <w:szCs w:val="24"/>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“ANAB.” The last sale price of our common stock on The Nasdaq Global Select Market on September 21, 2018 was $92.80 per share.</w:t>
      </w:r>
    </w:p>
    <w:p>
      <w:pPr>
        <w:spacing w:after="0" w:line="197" w:lineRule="exact"/>
        <w:rPr>
          <w:sz w:val="24"/>
          <w:szCs w:val="24"/>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w:t>
      </w:r>
    </w:p>
    <w:p>
      <w:pPr>
        <w:spacing w:after="0" w:line="175" w:lineRule="exact"/>
        <w:rPr>
          <w:sz w:val="24"/>
          <w:szCs w:val="24"/>
          <w:color w:val="auto"/>
        </w:rPr>
      </w:pPr>
    </w:p>
    <w:p>
      <w:pPr>
        <w:jc w:val="both"/>
        <w:ind w:left="200" w:right="20" w:firstLine="441"/>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An investment in our common stock involves a high degree of risk. You should carefully consider the information under the heading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S-13 of this prospectus supplement and in the documents incorporated by reference into this prospectus supplement before investing in our securities.</w:t>
      </w:r>
    </w:p>
    <w:p>
      <w:pPr>
        <w:spacing w:after="0" w:line="169" w:lineRule="exact"/>
        <w:rPr>
          <w:sz w:val="24"/>
          <w:szCs w:val="24"/>
          <w:color w:val="auto"/>
        </w:rPr>
      </w:pPr>
    </w:p>
    <w:p>
      <w:pPr>
        <w:ind w:left="200" w:right="400" w:firstLine="441"/>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6"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Underwriting</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Price to</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Discounts and</w:t>
            </w:r>
          </w:p>
        </w:tc>
        <w:tc>
          <w:tcPr>
            <w:tcW w:w="6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Proceeds to</w:t>
            </w:r>
          </w:p>
        </w:tc>
      </w:t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Public</w:t>
            </w:r>
          </w:p>
        </w:tc>
        <w:tc>
          <w:tcPr>
            <w:tcW w:w="172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rPr>
              <w:t>Commissions(1)</w:t>
            </w:r>
          </w:p>
        </w:tc>
        <w:tc>
          <w:tcPr>
            <w:tcW w:w="1740" w:type="dxa"/>
            <w:vAlign w:val="bottom"/>
            <w:gridSpan w:val="2"/>
          </w:tcPr>
          <w:p>
            <w:pPr>
              <w:jc w:val="center"/>
              <w:ind w:left="499"/>
              <w:spacing w:after="0"/>
              <w:rPr>
                <w:sz w:val="20"/>
                <w:szCs w:val="20"/>
                <w:color w:val="auto"/>
              </w:rPr>
            </w:pPr>
            <w:r>
              <w:rPr>
                <w:rFonts w:ascii="Arial" w:cs="Arial" w:eastAsia="Arial" w:hAnsi="Arial"/>
                <w:sz w:val="14"/>
                <w:szCs w:val="14"/>
                <w:b w:val="1"/>
                <w:bCs w:val="1"/>
                <w:color w:val="auto"/>
              </w:rPr>
              <w:t>AnaptysBio, Inc.</w:t>
            </w: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0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642"/>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59"/>
              <w:spacing w:after="0" w:line="196" w:lineRule="exact"/>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r>
    </w:tbl>
    <w:p>
      <w:pPr>
        <w:spacing w:after="0" w:line="6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beginning on page S-26 for additional information regarding underwriting compensation. The underwriters will</w:t>
      </w:r>
    </w:p>
    <w:p>
      <w:pPr>
        <w:ind w:left="640" w:right="200"/>
        <w:spacing w:after="0" w:line="246" w:lineRule="auto"/>
        <w:rPr>
          <w:rFonts w:ascii="Arial" w:cs="Arial" w:eastAsia="Arial" w:hAnsi="Arial"/>
          <w:sz w:val="18"/>
          <w:szCs w:val="18"/>
          <w:color w:val="auto"/>
        </w:rPr>
      </w:pPr>
      <w:r>
        <w:rPr>
          <w:rFonts w:ascii="Arial" w:cs="Arial" w:eastAsia="Arial" w:hAnsi="Arial"/>
          <w:sz w:val="18"/>
          <w:szCs w:val="18"/>
          <w:color w:val="auto"/>
        </w:rPr>
        <w:t>receive an aggregate underwriting discount of up to $ on the shares sold pursuant to the exercise of the underwriters’ option to purchase additional shares.</w:t>
      </w:r>
    </w:p>
    <w:p>
      <w:pPr>
        <w:spacing w:after="0" w:line="193" w:lineRule="exact"/>
        <w:rPr>
          <w:sz w:val="24"/>
          <w:szCs w:val="24"/>
          <w:color w:val="auto"/>
        </w:rPr>
      </w:pPr>
    </w:p>
    <w:p>
      <w:pPr>
        <w:ind w:left="640"/>
        <w:spacing w:after="0"/>
        <w:tabs>
          <w:tab w:leader="none" w:pos="10580" w:val="left"/>
        </w:tabs>
        <w:rPr>
          <w:sz w:val="20"/>
          <w:szCs w:val="20"/>
          <w:color w:val="auto"/>
        </w:rPr>
      </w:pPr>
      <w:r>
        <w:rPr>
          <w:rFonts w:ascii="Arial" w:cs="Arial" w:eastAsia="Arial" w:hAnsi="Arial"/>
          <w:sz w:val="18"/>
          <w:szCs w:val="18"/>
          <w:color w:val="auto"/>
        </w:rPr>
        <w:t>If the underwriters exercise the option in full, the total underwriting discounts and commissions payable by us will be $</w:t>
      </w:r>
      <w:r>
        <w:rPr>
          <w:sz w:val="20"/>
          <w:szCs w:val="20"/>
          <w:color w:val="auto"/>
        </w:rPr>
        <w:tab/>
      </w:r>
      <w:r>
        <w:rPr>
          <w:rFonts w:ascii="Arial" w:cs="Arial" w:eastAsia="Arial" w:hAnsi="Arial"/>
          <w:sz w:val="17"/>
          <w:szCs w:val="17"/>
          <w:color w:val="auto"/>
        </w:rPr>
        <w:t>, and</w:t>
      </w:r>
    </w:p>
    <w:p>
      <w:pPr>
        <w:ind w:left="200"/>
        <w:spacing w:after="0"/>
        <w:tabs>
          <w:tab w:leader="none" w:pos="4840" w:val="left"/>
        </w:tabs>
        <w:rPr>
          <w:sz w:val="20"/>
          <w:szCs w:val="20"/>
          <w:color w:val="auto"/>
        </w:rPr>
      </w:pPr>
      <w:r>
        <w:rPr>
          <w:rFonts w:ascii="Arial" w:cs="Arial" w:eastAsia="Arial" w:hAnsi="Arial"/>
          <w:sz w:val="18"/>
          <w:szCs w:val="18"/>
          <w:color w:val="auto"/>
        </w:rPr>
        <w:t>the total proceeds to us, before expenses, will be $</w:t>
      </w:r>
      <w:r>
        <w:rPr>
          <w:sz w:val="20"/>
          <w:szCs w:val="20"/>
          <w:color w:val="auto"/>
        </w:rPr>
        <w:tab/>
      </w:r>
      <w:r>
        <w:rPr>
          <w:rFonts w:ascii="Arial" w:cs="Arial" w:eastAsia="Arial" w:hAnsi="Arial"/>
          <w:sz w:val="14"/>
          <w:szCs w:val="14"/>
          <w:color w:val="auto"/>
        </w:rPr>
        <w:t>.</w:t>
      </w:r>
    </w:p>
    <w:p>
      <w:pPr>
        <w:spacing w:after="0" w:line="212" w:lineRule="exact"/>
        <w:rPr>
          <w:sz w:val="24"/>
          <w:szCs w:val="24"/>
          <w:color w:val="auto"/>
        </w:rPr>
      </w:pPr>
    </w:p>
    <w:p>
      <w:pPr>
        <w:ind w:left="640"/>
        <w:spacing w:after="0"/>
        <w:tabs>
          <w:tab w:leader="none" w:pos="7600" w:val="left"/>
        </w:tabs>
        <w:rPr>
          <w:sz w:val="20"/>
          <w:szCs w:val="20"/>
          <w:color w:val="auto"/>
        </w:rPr>
      </w:pPr>
      <w:r>
        <w:rPr>
          <w:rFonts w:ascii="Arial" w:cs="Arial" w:eastAsia="Arial" w:hAnsi="Arial"/>
          <w:sz w:val="18"/>
          <w:szCs w:val="18"/>
          <w:color w:val="auto"/>
        </w:rPr>
        <w:t>The underwriters expect to deliver the shares of common stock on or about</w:t>
      </w:r>
      <w:r>
        <w:rPr>
          <w:sz w:val="20"/>
          <w:szCs w:val="20"/>
          <w:color w:val="auto"/>
        </w:rPr>
        <w:tab/>
      </w:r>
      <w:r>
        <w:rPr>
          <w:rFonts w:ascii="Arial" w:cs="Arial" w:eastAsia="Arial" w:hAnsi="Arial"/>
          <w:sz w:val="17"/>
          <w:szCs w:val="17"/>
          <w:color w:val="auto"/>
        </w:rPr>
        <w:t>, 2018.</w:t>
      </w:r>
    </w:p>
    <w:p>
      <w:pPr>
        <w:spacing w:after="0" w:line="375" w:lineRule="exact"/>
        <w:rPr>
          <w:sz w:val="24"/>
          <w:szCs w:val="24"/>
          <w:color w:val="auto"/>
        </w:rPr>
      </w:pPr>
    </w:p>
    <w:p>
      <w:pPr>
        <w:ind w:left="200"/>
        <w:spacing w:after="0"/>
        <w:tabs>
          <w:tab w:leader="none" w:pos="5400" w:val="left"/>
          <w:tab w:leader="none" w:pos="1002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8"/>
          <w:szCs w:val="28"/>
          <w:b w:val="1"/>
          <w:bCs w:val="1"/>
          <w:color w:val="auto"/>
        </w:rPr>
        <w:t>Jefferies</w:t>
      </w:r>
    </w:p>
    <w:p>
      <w:pPr>
        <w:sectPr>
          <w:pgSz w:w="11900" w:h="16838" w:orient="portrait"/>
          <w:cols w:equalWidth="0" w:num="1">
            <w:col w:w="11240"/>
          </w:cols>
          <w:pgMar w:left="240" w:top="230" w:right="419" w:bottom="1440" w:gutter="0" w:footer="0" w:header="0"/>
        </w:sectPr>
      </w:pPr>
    </w:p>
    <w:p>
      <w:pPr>
        <w:spacing w:after="0" w:line="341" w:lineRule="exact"/>
        <w:rPr>
          <w:sz w:val="24"/>
          <w:szCs w:val="24"/>
          <w:color w:val="auto"/>
        </w:rPr>
      </w:pPr>
    </w:p>
    <w:p>
      <w:pPr>
        <w:ind w:left="3400"/>
        <w:spacing w:after="0"/>
        <w:tabs>
          <w:tab w:leader="none" w:pos="750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8"/>
          <w:szCs w:val="18"/>
          <w:color w:val="auto"/>
        </w:rPr>
        <w:t>, 2018</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274320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87"/>
              </w:rPr>
              <w:t>Prospectus Supplement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8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w:t>
              </w:r>
              <w:r>
                <w:rPr>
                  <w:rFonts w:ascii="Arial" w:cs="Arial" w:eastAsia="Arial" w:hAnsi="Arial"/>
                  <w:sz w:val="15"/>
                  <w:szCs w:val="15"/>
                  <w:color w:val="0000EE"/>
                </w:rPr>
                <w:t>BOUT</w:t>
              </w:r>
              <w:r>
                <w:rPr>
                  <w:rFonts w:ascii="Arial" w:cs="Arial" w:eastAsia="Arial" w:hAnsi="Arial"/>
                  <w:sz w:val="18"/>
                  <w:szCs w:val="18"/>
                  <w:color w:val="0000EE"/>
                </w:rPr>
                <w:t xml:space="preserve"> T</w:t>
              </w:r>
              <w:r>
                <w:rPr>
                  <w:rFonts w:ascii="Arial" w:cs="Arial" w:eastAsia="Arial" w:hAnsi="Arial"/>
                  <w:sz w:val="15"/>
                  <w:szCs w:val="15"/>
                  <w:color w:val="0000EE"/>
                </w:rPr>
                <w:t>HIS</w:t>
              </w:r>
              <w:r>
                <w:rPr>
                  <w:rFonts w:ascii="Arial" w:cs="Arial" w:eastAsia="Arial" w:hAnsi="Arial"/>
                  <w:sz w:val="18"/>
                  <w:szCs w:val="18"/>
                  <w:color w:val="0000EE"/>
                </w:rPr>
                <w:t xml:space="preserve"> 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UPPLEMENT</w:t>
              </w:r>
            </w:hyperlink>
          </w:p>
        </w:tc>
        <w:tc>
          <w:tcPr>
            <w:tcW w:w="1260" w:type="dxa"/>
            <w:vAlign w:val="bottom"/>
            <w:gridSpan w:val="4"/>
          </w:tcPr>
          <w:p>
            <w:pPr>
              <w:jc w:val="center"/>
              <w:ind w:left="831"/>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9680" w:type="dxa"/>
            <w:vAlign w:val="bottom"/>
            <w:gridSpan w:val="25"/>
            <w:vMerge w:val="continue"/>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w:t>
              </w:r>
              <w:r>
                <w:rPr>
                  <w:rFonts w:ascii="Arial" w:cs="Arial" w:eastAsia="Arial" w:hAnsi="Arial"/>
                  <w:sz w:val="15"/>
                  <w:szCs w:val="15"/>
                  <w:color w:val="0000EE"/>
                  <w:w w:val="94"/>
                </w:rPr>
                <w:t>ROSPECTUS</w:t>
              </w:r>
              <w:r>
                <w:rPr>
                  <w:rFonts w:ascii="Arial" w:cs="Arial" w:eastAsia="Arial" w:hAnsi="Arial"/>
                  <w:sz w:val="18"/>
                  <w:szCs w:val="18"/>
                  <w:color w:val="0000EE"/>
                  <w:w w:val="94"/>
                </w:rPr>
                <w:t xml:space="preserve"> S</w:t>
              </w:r>
              <w:r>
                <w:rPr>
                  <w:rFonts w:ascii="Arial" w:cs="Arial" w:eastAsia="Arial" w:hAnsi="Arial"/>
                  <w:sz w:val="15"/>
                  <w:szCs w:val="15"/>
                  <w:color w:val="0000EE"/>
                  <w:w w:val="94"/>
                </w:rPr>
                <w:t>UPPLEMENT</w:t>
              </w:r>
              <w:r>
                <w:rPr>
                  <w:rFonts w:ascii="Arial" w:cs="Arial" w:eastAsia="Arial" w:hAnsi="Arial"/>
                  <w:sz w:val="18"/>
                  <w:szCs w:val="18"/>
                  <w:color w:val="0000EE"/>
                  <w:w w:val="94"/>
                </w:rPr>
                <w:t xml:space="preserve"> S</w:t>
              </w:r>
              <w:r>
                <w:rPr>
                  <w:rFonts w:ascii="Arial" w:cs="Arial" w:eastAsia="Arial" w:hAnsi="Arial"/>
                  <w:sz w:val="15"/>
                  <w:szCs w:val="15"/>
                  <w:color w:val="0000EE"/>
                  <w:w w:val="94"/>
                </w:rPr>
                <w:t>UMMARY</w:t>
              </w:r>
            </w:hyperlink>
          </w:p>
        </w:tc>
        <w:tc>
          <w:tcPr>
            <w:tcW w:w="140" w:type="dxa"/>
            <w:vAlign w:val="bottom"/>
            <w:tcBorders>
              <w:top w:val="single" w:sz="8" w:color="0000EE"/>
            </w:tcBorders>
          </w:tcPr>
          <w:p>
            <w:pPr>
              <w:spacing w:after="0"/>
              <w:rPr>
                <w:sz w:val="17"/>
                <w:szCs w:val="17"/>
                <w:color w:val="auto"/>
              </w:rPr>
            </w:pPr>
          </w:p>
        </w:tc>
        <w:tc>
          <w:tcPr>
            <w:tcW w:w="672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8560" w:type="dxa"/>
            <w:vAlign w:val="bottom"/>
            <w:gridSpan w:val="21"/>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8580" w:type="dxa"/>
            <w:vAlign w:val="bottom"/>
            <w:gridSpan w:val="22"/>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7160" w:type="dxa"/>
            <w:vAlign w:val="bottom"/>
            <w:gridSpan w:val="12"/>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300" w:type="dxa"/>
            <w:vAlign w:val="bottom"/>
            <w:gridSpan w:val="17"/>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w:t>
              </w:r>
              <w:r>
                <w:rPr>
                  <w:rFonts w:ascii="Arial" w:cs="Arial" w:eastAsia="Arial" w:hAnsi="Arial"/>
                  <w:sz w:val="15"/>
                  <w:szCs w:val="15"/>
                  <w:color w:val="0000EE"/>
                </w:rPr>
                <w:t>RICE</w:t>
              </w:r>
              <w:r>
                <w:rPr>
                  <w:rFonts w:ascii="Arial" w:cs="Arial" w:eastAsia="Arial" w:hAnsi="Arial"/>
                  <w:sz w:val="18"/>
                  <w:szCs w:val="18"/>
                  <w:color w:val="0000EE"/>
                </w:rPr>
                <w:t xml:space="preserve"> R</w:t>
              </w:r>
              <w:r>
                <w:rPr>
                  <w:rFonts w:ascii="Arial" w:cs="Arial" w:eastAsia="Arial" w:hAnsi="Arial"/>
                  <w:sz w:val="15"/>
                  <w:szCs w:val="15"/>
                  <w:color w:val="0000EE"/>
                </w:rPr>
                <w:t>ANGE OF</w:t>
              </w:r>
              <w:r>
                <w:rPr>
                  <w:rFonts w:ascii="Arial" w:cs="Arial" w:eastAsia="Arial" w:hAnsi="Arial"/>
                  <w:sz w:val="18"/>
                  <w:szCs w:val="18"/>
                  <w:color w:val="0000EE"/>
                </w:rPr>
                <w:t xml:space="preserve"> C</w:t>
              </w:r>
              <w:r>
                <w:rPr>
                  <w:rFonts w:ascii="Arial" w:cs="Arial" w:eastAsia="Arial" w:hAnsi="Arial"/>
                  <w:sz w:val="15"/>
                  <w:szCs w:val="15"/>
                  <w:color w:val="0000EE"/>
                </w:rPr>
                <w:t>OMMON</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7120" w:type="dxa"/>
            <w:vAlign w:val="bottom"/>
            <w:gridSpan w:val="11"/>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8320" w:type="dxa"/>
            <w:vAlign w:val="bottom"/>
            <w:gridSpan w:val="18"/>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w:t>
              </w:r>
              <w:r>
                <w:rPr>
                  <w:rFonts w:ascii="Arial" w:cs="Arial" w:eastAsia="Arial" w:hAnsi="Arial"/>
                  <w:sz w:val="15"/>
                  <w:szCs w:val="15"/>
                  <w:color w:val="0000EE"/>
                </w:rPr>
                <w:t>NITED</w:t>
              </w:r>
              <w:r>
                <w:rPr>
                  <w:rFonts w:ascii="Arial" w:cs="Arial" w:eastAsia="Arial" w:hAnsi="Arial"/>
                  <w:sz w:val="18"/>
                  <w:szCs w:val="18"/>
                  <w:color w:val="0000EE"/>
                </w:rPr>
                <w:t xml:space="preserve"> S</w:t>
              </w:r>
              <w:r>
                <w:rPr>
                  <w:rFonts w:ascii="Arial" w:cs="Arial" w:eastAsia="Arial" w:hAnsi="Arial"/>
                  <w:sz w:val="15"/>
                  <w:szCs w:val="15"/>
                  <w:color w:val="0000EE"/>
                </w:rPr>
                <w:t>TATES</w:t>
              </w:r>
              <w:r>
                <w:rPr>
                  <w:rFonts w:ascii="Arial" w:cs="Arial" w:eastAsia="Arial" w:hAnsi="Arial"/>
                  <w:sz w:val="18"/>
                  <w:szCs w:val="18"/>
                  <w:color w:val="0000EE"/>
                </w:rPr>
                <w:t xml:space="preserve">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 OF</w:t>
              </w:r>
              <w:r>
                <w:rPr>
                  <w:rFonts w:ascii="Arial" w:cs="Arial" w:eastAsia="Arial" w:hAnsi="Arial"/>
                  <w:sz w:val="18"/>
                  <w:szCs w:val="18"/>
                  <w:color w:val="0000EE"/>
                </w:rPr>
                <w:t xml:space="preserve"> O</w:t>
              </w:r>
              <w:r>
                <w:rPr>
                  <w:rFonts w:ascii="Arial" w:cs="Arial" w:eastAsia="Arial" w:hAnsi="Arial"/>
                  <w:sz w:val="15"/>
                  <w:szCs w:val="15"/>
                  <w:color w:val="0000EE"/>
                </w:rPr>
                <w:t>UR</w:t>
              </w:r>
              <w:r>
                <w:rPr>
                  <w:rFonts w:ascii="Arial" w:cs="Arial" w:eastAsia="Arial" w:hAnsi="Arial"/>
                  <w:sz w:val="18"/>
                  <w:szCs w:val="18"/>
                  <w:color w:val="0000EE"/>
                </w:rPr>
                <w:t xml:space="preserve"> C</w:t>
              </w:r>
              <w:r>
                <w:rPr>
                  <w:rFonts w:ascii="Arial" w:cs="Arial" w:eastAsia="Arial" w:hAnsi="Arial"/>
                  <w:sz w:val="15"/>
                  <w:szCs w:val="15"/>
                  <w:color w:val="0000EE"/>
                </w:rPr>
                <w:t>OMMON</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S-21</w:t>
            </w:r>
          </w:p>
        </w:tc>
        <w:tc>
          <w:tcPr>
            <w:tcW w:w="0" w:type="dxa"/>
            <w:vAlign w:val="bottom"/>
          </w:tcPr>
          <w:p>
            <w:pPr>
              <w:spacing w:after="0"/>
              <w:rPr>
                <w:sz w:val="1"/>
                <w:szCs w:val="1"/>
                <w:color w:val="auto"/>
              </w:rPr>
            </w:pPr>
          </w:p>
        </w:tc>
      </w:tr>
      <w:tr>
        <w:trPr>
          <w:trHeight w:val="196"/>
        </w:trPr>
        <w:tc>
          <w:tcPr>
            <w:tcW w:w="8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900" w:type="dxa"/>
            <w:vAlign w:val="bottom"/>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S-38</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420" w:type="dxa"/>
            <w:vAlign w:val="bottom"/>
            <w:gridSpan w:val="19"/>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340" w:type="dxa"/>
            <w:vAlign w:val="bottom"/>
            <w:gridSpan w:val="5"/>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S-38</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I</w:t>
              </w:r>
              <w:r>
                <w:rPr>
                  <w:rFonts w:ascii="Arial" w:cs="Arial" w:eastAsia="Arial" w:hAnsi="Arial"/>
                  <w:sz w:val="15"/>
                  <w:szCs w:val="15"/>
                  <w:color w:val="0000EE"/>
                </w:rPr>
                <w:t>NFORMATION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S-39</w:t>
            </w:r>
          </w:p>
        </w:tc>
        <w:tc>
          <w:tcPr>
            <w:tcW w:w="0" w:type="dxa"/>
            <w:vAlign w:val="bottom"/>
          </w:tcPr>
          <w:p>
            <w:pPr>
              <w:spacing w:after="0"/>
              <w:rPr>
                <w:sz w:val="1"/>
                <w:szCs w:val="1"/>
                <w:color w:val="auto"/>
              </w:rPr>
            </w:pPr>
          </w:p>
        </w:tc>
      </w:tr>
      <w:tr>
        <w:trPr>
          <w:trHeight w:val="45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500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w w:val="85"/>
              </w:rPr>
              <w:t>Prospectus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20" w:type="dxa"/>
            <w:vAlign w:val="bottom"/>
            <w:gridSpan w:val="10"/>
            <w:vMerge w:val="restart"/>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A</w:t>
              </w:r>
              <w:r>
                <w:rPr>
                  <w:rFonts w:ascii="Arial" w:cs="Arial" w:eastAsia="Arial" w:hAnsi="Arial"/>
                  <w:sz w:val="15"/>
                  <w:szCs w:val="15"/>
                  <w:color w:val="0000EE"/>
                  <w:w w:val="93"/>
                </w:rPr>
                <w:t>BOUT 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7760" w:type="dxa"/>
            <w:vAlign w:val="bottom"/>
            <w:gridSpan w:val="15"/>
            <w:vMerge w:val="restart"/>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920" w:type="dxa"/>
            <w:vAlign w:val="bottom"/>
            <w:tcBorders>
              <w:bottom w:val="single" w:sz="8" w:color="0000EE"/>
            </w:tcBorders>
            <w:gridSpan w:val="10"/>
            <w:vMerge w:val="continue"/>
          </w:tcPr>
          <w:p>
            <w:pPr>
              <w:spacing w:after="0"/>
              <w:rPr>
                <w:sz w:val="14"/>
                <w:szCs w:val="14"/>
                <w:color w:val="auto"/>
              </w:rPr>
            </w:pPr>
          </w:p>
        </w:tc>
        <w:tc>
          <w:tcPr>
            <w:tcW w:w="7760" w:type="dxa"/>
            <w:vAlign w:val="bottom"/>
            <w:gridSpan w:val="15"/>
            <w:vMerge w:val="continue"/>
          </w:tcPr>
          <w:p>
            <w:pPr>
              <w:spacing w:after="0"/>
              <w:rPr>
                <w:sz w:val="14"/>
                <w:szCs w:val="14"/>
                <w:color w:val="auto"/>
              </w:rPr>
            </w:pPr>
          </w:p>
        </w:tc>
        <w:tc>
          <w:tcPr>
            <w:tcW w:w="980" w:type="dxa"/>
            <w:vAlign w:val="bottom"/>
            <w:gridSpan w:val="2"/>
          </w:tcPr>
          <w:p>
            <w:pPr>
              <w:spacing w:after="0"/>
              <w:rPr>
                <w:sz w:val="14"/>
                <w:szCs w:val="14"/>
                <w:color w:val="auto"/>
              </w:rPr>
            </w:pPr>
          </w:p>
        </w:tc>
        <w:tc>
          <w:tcPr>
            <w:tcW w:w="2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w:t>
              </w:r>
              <w:r>
                <w:rPr>
                  <w:rFonts w:ascii="Arial" w:cs="Arial" w:eastAsia="Arial" w:hAnsi="Arial"/>
                  <w:sz w:val="15"/>
                  <w:szCs w:val="15"/>
                  <w:color w:val="0000EE"/>
                </w:rPr>
                <w:t>ATIO OF</w:t>
              </w:r>
              <w:r>
                <w:rPr>
                  <w:rFonts w:ascii="Arial" w:cs="Arial" w:eastAsia="Arial" w:hAnsi="Arial"/>
                  <w:sz w:val="18"/>
                  <w:szCs w:val="18"/>
                  <w:color w:val="0000EE"/>
                </w:rPr>
                <w:t xml:space="preserve"> E</w:t>
              </w:r>
              <w:r>
                <w:rPr>
                  <w:rFonts w:ascii="Arial" w:cs="Arial" w:eastAsia="Arial" w:hAnsi="Arial"/>
                  <w:sz w:val="15"/>
                  <w:szCs w:val="15"/>
                  <w:color w:val="0000EE"/>
                </w:rPr>
                <w:t>ARNINGS TO</w:t>
              </w:r>
              <w:r>
                <w:rPr>
                  <w:rFonts w:ascii="Arial" w:cs="Arial" w:eastAsia="Arial" w:hAnsi="Arial"/>
                  <w:sz w:val="18"/>
                  <w:szCs w:val="18"/>
                  <w:color w:val="0000EE"/>
                </w:rPr>
                <w:t xml:space="preserve"> F</w:t>
              </w:r>
              <w:r>
                <w:rPr>
                  <w:rFonts w:ascii="Arial" w:cs="Arial" w:eastAsia="Arial" w:hAnsi="Arial"/>
                  <w:sz w:val="15"/>
                  <w:szCs w:val="15"/>
                  <w:color w:val="0000EE"/>
                </w:rPr>
                <w:t>IXED</w:t>
              </w:r>
              <w:r>
                <w:rPr>
                  <w:rFonts w:ascii="Arial" w:cs="Arial" w:eastAsia="Arial" w:hAnsi="Arial"/>
                  <w:sz w:val="18"/>
                  <w:szCs w:val="18"/>
                  <w:color w:val="0000EE"/>
                </w:rPr>
                <w:t xml:space="preserve"> C</w:t>
              </w:r>
              <w:r>
                <w:rPr>
                  <w:rFonts w:ascii="Arial" w:cs="Arial" w:eastAsia="Arial" w:hAnsi="Arial"/>
                  <w:sz w:val="15"/>
                  <w:szCs w:val="15"/>
                  <w:color w:val="0000EE"/>
                </w:rPr>
                <w:t>HARGES</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1920" w:type="dxa"/>
            <w:vAlign w:val="bottom"/>
            <w:tcBorders>
              <w:top w:val="single" w:sz="8" w:color="0000EE"/>
            </w:tcBorders>
            <w:gridSpan w:val="16"/>
          </w:tcPr>
          <w:p>
            <w:pPr>
              <w:spacing w:after="0"/>
              <w:rPr>
                <w:sz w:val="17"/>
                <w:szCs w:val="17"/>
                <w:color w:val="auto"/>
              </w:rPr>
            </w:pPr>
          </w:p>
        </w:tc>
        <w:tc>
          <w:tcPr>
            <w:tcW w:w="6660" w:type="dxa"/>
            <w:vAlign w:val="bottom"/>
            <w:gridSpan w:val="6"/>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7160" w:type="dxa"/>
            <w:vAlign w:val="bottom"/>
            <w:gridSpan w:val="12"/>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340" w:type="dxa"/>
            <w:vAlign w:val="bottom"/>
            <w:gridSpan w:val="5"/>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I</w:t>
              </w:r>
              <w:r>
                <w:rPr>
                  <w:rFonts w:ascii="Arial" w:cs="Arial" w:eastAsia="Arial" w:hAnsi="Arial"/>
                  <w:sz w:val="15"/>
                  <w:szCs w:val="15"/>
                  <w:color w:val="0000EE"/>
                  <w:w w:val="95"/>
                </w:rPr>
                <w:t>NCORPORATION OF</w:t>
              </w:r>
              <w:r>
                <w:rPr>
                  <w:rFonts w:ascii="Arial" w:cs="Arial" w:eastAsia="Arial" w:hAnsi="Arial"/>
                  <w:sz w:val="18"/>
                  <w:szCs w:val="18"/>
                  <w:color w:val="0000EE"/>
                  <w:w w:val="95"/>
                </w:rPr>
                <w:t xml:space="preserve"> I</w:t>
              </w:r>
              <w:r>
                <w:rPr>
                  <w:rFonts w:ascii="Arial" w:cs="Arial" w:eastAsia="Arial" w:hAnsi="Arial"/>
                  <w:sz w:val="15"/>
                  <w:szCs w:val="15"/>
                  <w:color w:val="0000EE"/>
                  <w:w w:val="95"/>
                </w:rPr>
                <w:t>NFORMATION BY</w:t>
              </w:r>
              <w:r>
                <w:rPr>
                  <w:rFonts w:ascii="Arial" w:cs="Arial" w:eastAsia="Arial" w:hAnsi="Arial"/>
                  <w:sz w:val="18"/>
                  <w:szCs w:val="18"/>
                  <w:color w:val="0000EE"/>
                  <w:w w:val="95"/>
                </w:rPr>
                <w:t xml:space="preserve"> R</w:t>
              </w:r>
              <w:r>
                <w:rPr>
                  <w:rFonts w:ascii="Arial" w:cs="Arial" w:eastAsia="Arial" w:hAnsi="Arial"/>
                  <w:sz w:val="15"/>
                  <w:szCs w:val="15"/>
                  <w:color w:val="0000EE"/>
                  <w:w w:val="95"/>
                </w:rPr>
                <w:t>EFERENCE</w:t>
              </w:r>
            </w:hyperlink>
          </w:p>
        </w:tc>
        <w:tc>
          <w:tcPr>
            <w:tcW w:w="5960" w:type="dxa"/>
            <w:vAlign w:val="bottom"/>
            <w:gridSpan w:val="4"/>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300" w:type="dxa"/>
            <w:vAlign w:val="bottom"/>
            <w:gridSpan w:val="17"/>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7200" w:type="dxa"/>
            <w:vAlign w:val="bottom"/>
            <w:gridSpan w:val="13"/>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W</w:t>
              </w:r>
              <w:r>
                <w:rPr>
                  <w:rFonts w:ascii="Arial" w:cs="Arial" w:eastAsia="Arial" w:hAnsi="Arial"/>
                  <w:sz w:val="15"/>
                  <w:szCs w:val="15"/>
                  <w:color w:val="0000EE"/>
                  <w:w w:val="95"/>
                </w:rPr>
                <w:t>ARRANTS</w:t>
              </w:r>
            </w:hyperlink>
          </w:p>
        </w:tc>
        <w:tc>
          <w:tcPr>
            <w:tcW w:w="440" w:type="dxa"/>
            <w:vAlign w:val="bottom"/>
            <w:tcBorders>
              <w:top w:val="single" w:sz="8" w:color="0000EE"/>
            </w:tcBorders>
            <w:gridSpan w:val="4"/>
          </w:tcPr>
          <w:p>
            <w:pPr>
              <w:spacing w:after="0"/>
              <w:rPr>
                <w:sz w:val="17"/>
                <w:szCs w:val="17"/>
                <w:color w:val="auto"/>
              </w:rPr>
            </w:pPr>
          </w:p>
        </w:tc>
        <w:tc>
          <w:tcPr>
            <w:tcW w:w="7080" w:type="dxa"/>
            <w:vAlign w:val="bottom"/>
            <w:gridSpan w:val="10"/>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S</w:t>
              </w:r>
              <w:r>
                <w:rPr>
                  <w:rFonts w:ascii="Arial" w:cs="Arial" w:eastAsia="Arial" w:hAnsi="Arial"/>
                  <w:sz w:val="15"/>
                  <w:szCs w:val="15"/>
                  <w:color w:val="0000EE"/>
                  <w:w w:val="94"/>
                </w:rPr>
                <w:t>UBSCRIPTION</w:t>
              </w:r>
              <w:r>
                <w:rPr>
                  <w:rFonts w:ascii="Arial" w:cs="Arial" w:eastAsia="Arial" w:hAnsi="Arial"/>
                  <w:sz w:val="18"/>
                  <w:szCs w:val="18"/>
                  <w:color w:val="0000EE"/>
                  <w:w w:val="94"/>
                </w:rPr>
                <w:t xml:space="preserve"> R</w:t>
              </w:r>
              <w:r>
                <w:rPr>
                  <w:rFonts w:ascii="Arial" w:cs="Arial" w:eastAsia="Arial" w:hAnsi="Arial"/>
                  <w:sz w:val="15"/>
                  <w:szCs w:val="15"/>
                  <w:color w:val="0000EE"/>
                  <w:w w:val="94"/>
                </w:rPr>
                <w:t>IGHTS</w:t>
              </w:r>
            </w:hyperlink>
          </w:p>
        </w:tc>
        <w:tc>
          <w:tcPr>
            <w:tcW w:w="6700" w:type="dxa"/>
            <w:vAlign w:val="bottom"/>
            <w:gridSpan w:val="7"/>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U</w:t>
              </w:r>
              <w:r>
                <w:rPr>
                  <w:rFonts w:ascii="Arial" w:cs="Arial" w:eastAsia="Arial" w:hAnsi="Arial"/>
                  <w:sz w:val="15"/>
                  <w:szCs w:val="15"/>
                  <w:color w:val="0000EE"/>
                </w:rPr>
                <w:t>NITS</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7920" w:type="dxa"/>
            <w:vAlign w:val="bottom"/>
            <w:gridSpan w:val="16"/>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420" w:type="dxa"/>
            <w:vAlign w:val="bottom"/>
            <w:gridSpan w:val="19"/>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240" w:top="459"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On February 5, 2018, we filed with the Securities and Exchange Commission, or SEC, a “shelf”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including the documents incorporated by reference herein, which describes the specific terms of this offering and also adds to and updates the information contained in the accompanying prospectus and the documents incorporated by reference.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prospectus and the information incorporated by reference herein and therein, as well as the additional information described in this prospectus supplement under “Where You Can Find More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78" w:lineRule="exact"/>
        <w:rPr>
          <w:sz w:val="20"/>
          <w:szCs w:val="20"/>
          <w:color w:val="auto"/>
        </w:rPr>
      </w:pPr>
    </w:p>
    <w:p>
      <w:pPr>
        <w:ind w:left="200" w:right="300" w:firstLine="441"/>
        <w:spacing w:after="0" w:line="293"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65"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and the underwriters have not authorized anyone to provide you with information different than that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You should assume that the information appearing in this prospectus supplement, the accompanying prospectus, the documents incorporated by reference herein and therein,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Information by Reference.”</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this prospectus supplement, unless the context otherwise requires, the terms “AnaptysBio” the “Company,” “we,” “us,” and “our” refer to AnaptysBio, Inc., a Delaware corporation.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120" w:firstLine="426"/>
        <w:spacing w:after="0" w:line="293" w:lineRule="auto"/>
        <w:rPr>
          <w:sz w:val="20"/>
          <w:szCs w:val="20"/>
          <w:color w:val="auto"/>
        </w:rPr>
      </w:pPr>
      <w:r>
        <w:rPr>
          <w:rFonts w:ascii="Arial" w:cs="Arial" w:eastAsia="Arial" w:hAnsi="Arial"/>
          <w:sz w:val="16"/>
          <w:szCs w:val="16"/>
          <w:i w:val="1"/>
          <w:iCs w:val="1"/>
          <w:color w:val="auto"/>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the accompanying prospectus and the information incorporated by reference, including “Risk Factors,” the financial statements, and related notes, and the other information that we incorporate by reference herein and therein.</w:t>
      </w: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78" w:lineRule="exact"/>
        <w:rPr>
          <w:sz w:val="20"/>
          <w:szCs w:val="20"/>
          <w:color w:val="auto"/>
        </w:rPr>
      </w:pPr>
    </w:p>
    <w:p>
      <w:pPr>
        <w:ind w:left="380" w:right="80" w:firstLine="426"/>
        <w:spacing w:after="0" w:line="269" w:lineRule="auto"/>
        <w:rPr>
          <w:sz w:val="20"/>
          <w:szCs w:val="20"/>
          <w:color w:val="auto"/>
        </w:rPr>
      </w:pPr>
      <w:r>
        <w:rPr>
          <w:rFonts w:ascii="Arial" w:cs="Arial" w:eastAsia="Arial" w:hAnsi="Arial"/>
          <w:sz w:val="17"/>
          <w:szCs w:val="17"/>
          <w:color w:val="auto"/>
        </w:rPr>
        <w:t xml:space="preserve">Our most advanced wholly-owned antibody programs, etokimab and ANB019, neutralize therapeutic targets that are genetically associated with severe inflammatory disorders in humans. Etokimab is the nonproprietary name adopted by the United States Adopted Names Council, in consultation with the World Health Organization International Nonproprietary Names Expert Committee, for our anti-IL-33 antibody drug candidate previously referred to as ANB020. Etokimab inhibits the activity of the interleukin-33 cytokine, or IL-33, which we believe is broadly applicable to the treatment of atopic inflammatory disorders, such as moderate-to-severe atopic dermatitis, eosinophilic asthma, chronic rhinosinusitis with nasal polyps and potentially other allergic conditions. We have completed a Phase 1 trial of etokimab in healthy volunteers in Australia, the results of which were presented at the 2017 American Academy of Dermatology, or AAD, Annual Meeting and the American Academy of Allergy, Asthma and Immunology, or AAAAI, 2017 Annual Meeting in March 2017. We believe the results of this Phase 1 trial demonstrate a favorable safety profile of etokimab, which was well-tolerated and for which no dose-limiting toxicities were observed, and favorable pharmacodynamic properties of etokimab,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w:t>
      </w:r>
    </w:p>
    <w:p>
      <w:pPr>
        <w:spacing w:after="0" w:line="183" w:lineRule="exact"/>
        <w:rPr>
          <w:sz w:val="20"/>
          <w:szCs w:val="20"/>
          <w:color w:val="auto"/>
        </w:rPr>
      </w:pPr>
    </w:p>
    <w:p>
      <w:pPr>
        <w:ind w:left="380" w:right="220" w:firstLine="426"/>
        <w:spacing w:after="0" w:line="286" w:lineRule="auto"/>
        <w:rPr>
          <w:sz w:val="20"/>
          <w:szCs w:val="20"/>
          <w:color w:val="auto"/>
        </w:rPr>
      </w:pPr>
      <w:r>
        <w:rPr>
          <w:rFonts w:ascii="Arial" w:cs="Arial" w:eastAsia="Arial" w:hAnsi="Arial"/>
          <w:sz w:val="16"/>
          <w:szCs w:val="16"/>
          <w:color w:val="auto"/>
        </w:rPr>
        <w:t>We have subsequently completed a Phase 2a trial of etokimab in 12 moderate-to-severe adult atopic dermatitis patients, under an approved Clinical Trial Authorisation, or CTA, with the U.K. Medicines and Healthcare Products Regulatory Agency, or MHRA, announced top-line data from an interim analysis of this trial in October 2017 and presented data upon completion of this trial at the 2018 AAD Annual Meeting in February 2018 and the 2018 European Academy of Allergy and Clinical Immunology, or EAACI, Congress in May 2018. This Phase</w:t>
      </w:r>
    </w:p>
    <w:p>
      <w:pPr>
        <w:spacing w:after="0" w:line="2" w:lineRule="exact"/>
        <w:rPr>
          <w:sz w:val="20"/>
          <w:szCs w:val="20"/>
          <w:color w:val="auto"/>
        </w:rPr>
      </w:pPr>
    </w:p>
    <w:p>
      <w:pPr>
        <w:ind w:left="380"/>
        <w:spacing w:after="0" w:line="252" w:lineRule="auto"/>
        <w:rPr>
          <w:sz w:val="20"/>
          <w:szCs w:val="20"/>
          <w:color w:val="auto"/>
        </w:rPr>
      </w:pPr>
      <w:r>
        <w:rPr>
          <w:rFonts w:ascii="Arial" w:cs="Arial" w:eastAsia="Arial" w:hAnsi="Arial"/>
          <w:sz w:val="18"/>
          <w:szCs w:val="18"/>
          <w:color w:val="auto"/>
        </w:rPr>
        <w:t>2a proof-of-concept trial enrolled 12 moderate-to-severe adult atopic dermatitis patients, who were initially administered a single intravenous dose of placebo within 14 days of enrollment, followed by a single intravenous 300mg dose of etokimab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w:t>
      </w:r>
    </w:p>
    <w:p>
      <w:pPr>
        <w:spacing w:after="0" w:line="14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83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5483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7" w:lineRule="auto"/>
        <w:rPr>
          <w:sz w:val="20"/>
          <w:szCs w:val="20"/>
          <w:color w:val="auto"/>
        </w:rPr>
      </w:pPr>
      <w:r>
        <w:rPr>
          <w:rFonts w:ascii="Arial" w:cs="Arial" w:eastAsia="Arial" w:hAnsi="Arial"/>
          <w:sz w:val="16"/>
          <w:szCs w:val="16"/>
          <w:color w:val="auto"/>
        </w:rPr>
        <w:t xml:space="preserve">following etokimab administration relative to their enrollment baseline. Additional efficacy endpoints measured during the trial included the 5-dimensional pruritus, or 5-D pruritus, scale which measures itchiness, the 5-point Investigator’s Global Assessment, or IGA, scale, Dermatology Life Quality Index, or DLQI, and the SCORing Atopic Dermatitis, or SCORAD, scale. The average baseline EASI score at enrollment amongst all 12 patients was 32. All 12 patients were inadequately controlled by topical corticosteroids and seven of these 12 patients were treated with systemic non-biologic anti-inflammatory therapy prior to the screening washout period of this trial and exhibited an average EASI baseline score of 36 upon enrollment, while the remaining five of 12 enrolled patients did not require systemic immuno-modulators pre-study and exhibited an average EASI baseline score of 27. Biomarkers included blood eosinophil levels,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measuring IL-33 mediated interferon-gamma release, granulocyte infiltration and cytokine levels in localized skin lesions measured five days after placebo administration and five days after etokimab administration. We believe the data from this trial demonstrate proof-of-concept for etokimab in moderate-to-severe adult atopic dermatitis and suggest that etokimab may provide meaningful differentiation in terms of patient convenience. Based on our analysis of publicly available data sources and interviews with physicians and key opinion leaders in the field, atopic dermatitis affects approximately 1.4 million adults in the United States, and we estimate that 280,000 of these patients have moderate-to-severe atopic dermatitis.</w:t>
      </w:r>
    </w:p>
    <w:p>
      <w:pPr>
        <w:spacing w:after="0" w:line="169"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As further development in atopic dermatitis, we are enrolling a Phase 2b randomized, double-blinded, placebo-controlled, multi-dose study in 300 adults patients with moderate-to-severe atopic dermatitis, also referred to as the ATLAS trial, to assess different dose levels and dosing frequencies of subcutaneously-administered etokimab for a 16-week treatment period followed by an eight-week follow-up period, with top-line data expected in the second half of 2019. Sixty patients are being randomized into each of five arms in the ATLAS trial where dosing will occur as follows: (i) initial 600mg loading dose followed by 300mg monthly doses of etokimab, (ii) initial 300mg loading dose followed by 150mg monthly doses of etokimab, (iii) initial 300mg loading dose followed by 150mg doses of etokimab every eight weeks, (iv) monthly 20mg doses of etokimab and (v) monthly doses of placebo.</w:t>
      </w:r>
    </w:p>
    <w:p>
      <w:pPr>
        <w:spacing w:after="0" w:line="189" w:lineRule="exact"/>
        <w:rPr>
          <w:sz w:val="20"/>
          <w:szCs w:val="20"/>
          <w:color w:val="auto"/>
        </w:rPr>
      </w:pPr>
    </w:p>
    <w:p>
      <w:pPr>
        <w:ind w:left="380" w:right="20" w:firstLine="426"/>
        <w:spacing w:after="0" w:line="268" w:lineRule="auto"/>
        <w:rPr>
          <w:sz w:val="20"/>
          <w:szCs w:val="20"/>
          <w:color w:val="auto"/>
        </w:rPr>
      </w:pPr>
      <w:r>
        <w:rPr>
          <w:rFonts w:ascii="Arial" w:cs="Arial" w:eastAsia="Arial" w:hAnsi="Arial"/>
          <w:sz w:val="17"/>
          <w:szCs w:val="17"/>
          <w:color w:val="auto"/>
        </w:rPr>
        <w:t>We are conducting, under a CTA with the MHRA in the United Kingdom and under an Investigational New Drug Application, or IND, with the U.S. Food and Drug Administration, or FDA, a randomized, placebo-controlled Phase 2a trial of etokimab in 25 severe adult eosinophilic asthma patients, who were randomized between a single 300mg intravenous dose of etokimab or placebo upon enrollment (Day 1) at six sites located in the United States and the United Kingdom. Upon screening, which occurred 7 to 14 days prior to enrollment, patients were required to have a blood eosinophil count of at least 300 per microliter, confirmed clinical diagnosis of severe asthma according to the Global Initiative for Asthma, or GINA, 2016, pre-bronchodilator Forced Expiratory Volume in One Second, or FEV1, of less than 80% of predicted and at least one asthma exacerbation within the past 12 months requiring use of rescue medication. Patients were required to be stably maintained on high-dose inhaled corticosteroids, or ICS, and long-acting beta-2-agonists, or LABA, for at least three months prior to screening and were required to continue ICS/LABA therapy during the course of this trial. Baseline clinical assessments were conducted for each patient on Day 1 prior to etokimab or placebo dose, and patients completed follow-up clinical assessments on Days 2, 8, 22, 36 and 64 as of an interim analysis. The last follow-up visit for each patient will occur on Day 127 post-dose. Baseline parameters of etokimab-dosed patients (n=12) were 545 blood eosinophils per microliter, 2.5 liters FEV1 and 65% predicted FEV1, while placebo-dosed patients (n=13) had 705 blood eosinophils per microliter, 2.5 liters FEV1 and 66% predicted FEV1. Nine of 12 (75%) etokimab-dosed patients were male with an average age of 41, while nine of 13 (69%) placebo-dosed patients were male with an average age of 36.</w:t>
      </w:r>
    </w:p>
    <w:p>
      <w:pPr>
        <w:spacing w:after="0" w:line="185"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announced top-line data from this Phase 2a trial in September 2018, which we believe demonstrated proof-of-concept for etokimab in severe adult eosinophilic asthma patients with rapid and sustained FEV1 improvement. Etokimab-dosed patients rapidly improved lung function by Day 2, where FEV1 increased by 8% over placebo. FEV1 increase was sustained at Day 64, where etokimab-dosed patients demonstrated 11%</w:t>
      </w:r>
    </w:p>
    <w:p>
      <w:pPr>
        <w:spacing w:after="0" w:line="9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5758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3" w:lineRule="auto"/>
        <w:rPr>
          <w:sz w:val="20"/>
          <w:szCs w:val="20"/>
          <w:color w:val="auto"/>
        </w:rPr>
      </w:pPr>
      <w:r>
        <w:rPr>
          <w:rFonts w:ascii="Arial" w:cs="Arial" w:eastAsia="Arial" w:hAnsi="Arial"/>
          <w:sz w:val="16"/>
          <w:szCs w:val="16"/>
          <w:color w:val="auto"/>
        </w:rPr>
        <w:t>increase over placebo. Blood eosinophil reduction, which is a biomarker illustrative of etokimab’s mechanistic breadth, was observed at 31% over placebo at Day 2 and sustained to 46% over placebo at Day 64. This reduction correlated with FEV1 improvement and was consistent with the blood eosinophil effects observed in a prior single dose etokimab trial in moderate-to-severe atopic dermatitis patients. Etokimab was generally well-tolerated by all patients and no serious adverse events have been reported to date. No treatment-emergent adverse events were deemed to be etokimab-related, and the most frequent treatment-emergent adverse events reported were single occurrences of moderate strep throat in two etokimab-dosed patients and single occurrences of mild vomiting in two placebo-dosed patients. No exacerbations or rescue therapy usage has been reported as of the interim analysis. This Phase 2a trial is currently ongoing and the company plans to report full data from this trial at a medical conference in 2019 following trial completion. In addition, we plan to continue development of etokimab in eosinophilic asthma with a multi-dose Phase 2b randomized, double-blinded, placebo-controlled trial, which is expected to be initiated in 2019. We estimate that approximately</w:t>
      </w:r>
    </w:p>
    <w:p>
      <w:pPr>
        <w:spacing w:after="0" w:line="7" w:lineRule="exact"/>
        <w:rPr>
          <w:sz w:val="20"/>
          <w:szCs w:val="20"/>
          <w:color w:val="auto"/>
        </w:rPr>
      </w:pPr>
    </w:p>
    <w:p>
      <w:pPr>
        <w:ind w:left="380" w:right="260"/>
        <w:spacing w:after="0" w:line="261" w:lineRule="auto"/>
        <w:rPr>
          <w:sz w:val="20"/>
          <w:szCs w:val="20"/>
          <w:color w:val="auto"/>
        </w:rPr>
      </w:pPr>
      <w:r>
        <w:rPr>
          <w:rFonts w:ascii="Arial" w:cs="Arial" w:eastAsia="Arial" w:hAnsi="Arial"/>
          <w:sz w:val="18"/>
          <w:szCs w:val="18"/>
          <w:color w:val="auto"/>
        </w:rPr>
        <w:t>1.1 million adults in the United States are diagnosed with severe asthma that is uncontrolled through standard-of-care, and 50% of these patients have eosinophilic asthma.</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key top-line data we announced in September 2018:</w:t>
      </w:r>
    </w:p>
    <w:p>
      <w:pPr>
        <w:spacing w:after="0" w:line="23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Change Relative to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3"/>
              </w:rPr>
              <w:t>Day 1 Baseline</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Parameter</w:t>
            </w:r>
          </w:p>
        </w:tc>
        <w:tc>
          <w:tcPr>
            <w:tcW w:w="290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Timepoint</w:t>
            </w:r>
          </w:p>
        </w:tc>
        <w:tc>
          <w:tcPr>
            <w:tcW w:w="360" w:type="dxa"/>
            <w:vAlign w:val="bottom"/>
          </w:tcPr>
          <w:p>
            <w:pPr>
              <w:spacing w:after="0"/>
              <w:rPr>
                <w:sz w:val="10"/>
                <w:szCs w:val="10"/>
                <w:color w:val="auto"/>
              </w:rPr>
            </w:pPr>
          </w:p>
        </w:tc>
        <w:tc>
          <w:tcPr>
            <w:tcW w:w="80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Etokimab</w:t>
            </w:r>
          </w:p>
        </w:tc>
        <w:tc>
          <w:tcPr>
            <w:tcW w:w="400" w:type="dxa"/>
            <w:vAlign w:val="bottom"/>
          </w:tcPr>
          <w:p>
            <w:pPr>
              <w:spacing w:after="0"/>
              <w:rPr>
                <w:sz w:val="10"/>
                <w:szCs w:val="10"/>
                <w:color w:val="auto"/>
              </w:rPr>
            </w:pPr>
          </w:p>
        </w:tc>
        <w:tc>
          <w:tcPr>
            <w:tcW w:w="10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2"/>
              </w:rPr>
              <w:t>Placebo</w:t>
            </w: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right"/>
              <w:ind w:right="208"/>
              <w:spacing w:after="0" w:line="158" w:lineRule="exact"/>
              <w:rPr>
                <w:sz w:val="20"/>
                <w:szCs w:val="20"/>
                <w:color w:val="auto"/>
              </w:rPr>
            </w:pPr>
            <w:r>
              <w:rPr>
                <w:rFonts w:ascii="Arial" w:cs="Arial" w:eastAsia="Arial" w:hAnsi="Arial"/>
                <w:sz w:val="14"/>
                <w:szCs w:val="14"/>
                <w:b w:val="1"/>
                <w:bCs w:val="1"/>
                <w:color w:val="auto"/>
              </w:rPr>
              <w:t>(n=12)</w:t>
            </w:r>
          </w:p>
        </w:tc>
        <w:tc>
          <w:tcPr>
            <w:tcW w:w="400" w:type="dxa"/>
            <w:vAlign w:val="bottom"/>
          </w:tcPr>
          <w:p>
            <w:pPr>
              <w:spacing w:after="0"/>
              <w:rPr>
                <w:sz w:val="13"/>
                <w:szCs w:val="13"/>
                <w:color w:val="auto"/>
              </w:rPr>
            </w:pPr>
          </w:p>
        </w:tc>
        <w:tc>
          <w:tcPr>
            <w:tcW w:w="10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(n=13)</w:t>
            </w: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FEV1 Increase (%)</w:t>
            </w:r>
          </w:p>
        </w:tc>
        <w:tc>
          <w:tcPr>
            <w:tcW w:w="3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Day 2</w:t>
            </w:r>
          </w:p>
        </w:tc>
        <w:tc>
          <w:tcPr>
            <w:tcW w:w="3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40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22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36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64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64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Blood Eosinophil Level (%)</w:t>
            </w:r>
          </w:p>
        </w:tc>
        <w:tc>
          <w:tcPr>
            <w:tcW w:w="3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Day 2</w:t>
            </w:r>
          </w:p>
        </w:tc>
        <w:tc>
          <w:tcPr>
            <w:tcW w:w="11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-22%</w:t>
            </w:r>
          </w:p>
        </w:tc>
        <w:tc>
          <w:tcPr>
            <w:tcW w:w="144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9%</w:t>
            </w:r>
          </w:p>
        </w:tc>
        <w:tc>
          <w:tcPr>
            <w:tcW w:w="5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22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36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64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80" w:firstLine="426"/>
        <w:spacing w:after="0" w:line="284" w:lineRule="auto"/>
        <w:rPr>
          <w:sz w:val="20"/>
          <w:szCs w:val="20"/>
          <w:color w:val="auto"/>
        </w:rPr>
      </w:pPr>
      <w:r>
        <w:rPr>
          <w:rFonts w:ascii="Arial" w:cs="Arial" w:eastAsia="Arial" w:hAnsi="Arial"/>
          <w:sz w:val="16"/>
          <w:szCs w:val="16"/>
          <w:color w:val="auto"/>
        </w:rPr>
        <w:t>We have submitted an IND to the FDA to enable initiation of a randomized, placebo-controlled Phase 2 trial of etokimab in approximately 100 adult patients with chronic rhinosinusitis with nasal polyps, or CRSwNP, which is a debilitating atopic disorder associated with elevated IL-33 pathway signaling. We expect that patients in this trial, also known as the ECLIPSE trial, will be randomized between three cohorts, which include two different subcutaneous dosing frequencies of etokimab, or placebo, each in combination with mometasone furoate nasal spray as background therapy, for a treatment period of 16 weeks followed by an eight-week follow-up period, where efficacy will be assessed at week 16 post-dosing using the bilateral endoscopic Nasal Polyp Score and Sino-Nasal Outcome Test. We plan to initiate the ECLIPSE trial by the end of 2018, and anticipate top-line data to be available in the second half of 2019. Based on publicly available data sources, CRSwNP affects approximately</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1.3 million adults in the United States, and we estimate that 400,000 of these patients are inadequately controlled with standard-of-care.</w:t>
      </w:r>
    </w:p>
    <w:p>
      <w:pPr>
        <w:spacing w:after="0" w:line="222" w:lineRule="exact"/>
        <w:rPr>
          <w:sz w:val="20"/>
          <w:szCs w:val="20"/>
          <w:color w:val="auto"/>
        </w:rPr>
      </w:pPr>
    </w:p>
    <w:p>
      <w:pPr>
        <w:ind w:left="380" w:right="20" w:firstLine="426"/>
        <w:spacing w:after="0" w:line="279" w:lineRule="auto"/>
        <w:rPr>
          <w:sz w:val="20"/>
          <w:szCs w:val="20"/>
          <w:color w:val="auto"/>
        </w:rPr>
      </w:pPr>
      <w:r>
        <w:rPr>
          <w:rFonts w:ascii="Arial" w:cs="Arial" w:eastAsia="Arial" w:hAnsi="Arial"/>
          <w:sz w:val="17"/>
          <w:szCs w:val="17"/>
          <w:color w:val="auto"/>
        </w:rPr>
        <w:t>As a result of market assessment regarding the adoption of the peanut oral food challenge in future commercial usage of etokimab in peanut allergy patients, we have has decided to deprioritize further company-sponsored clinical development of etokimab in moderate-to-severe baseline adult peanut allergy patients. We therefore do not intend to utilize our capital or clinical development resources to pursue a Phase 2b clinical trial of etokimab in peanut allergy, however we may pursue potential investigator-sponsored trials related to this indication.</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35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49352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85" w:lineRule="auto"/>
        <w:rPr>
          <w:sz w:val="20"/>
          <w:szCs w:val="20"/>
          <w:color w:val="auto"/>
        </w:rPr>
      </w:pPr>
      <w:r>
        <w:rPr>
          <w:rFonts w:ascii="Arial" w:cs="Arial" w:eastAsia="Arial" w:hAnsi="Arial"/>
          <w:sz w:val="16"/>
          <w:szCs w:val="16"/>
          <w:color w:val="auto"/>
        </w:rPr>
        <w:t xml:space="preserve">ANB019 inhibits the interleukin-36 receptor, or IL-36R, for the treatment of rare inflammatory diseases including generalized pustular psoriasis, or GPP, and palmoplantar pustulosis, or PPP, previously referred to as palmo-plantar pustular psoriasis. We have completed, under an approved Clinical Trial Notification, or CTN, a Phase 1 clinical trial in healthy volunteers for which we announced positive top-line results from an interim analysis of this trial and subsequently presented completed data from this trial at the 2018 EAACI Congress. In the double-blinded,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 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The favorable pharmacokinetics and pharmacodynamic properties of ANB019 and other results demonstrated by this Phase 1 trial support advancement of ANB019 into Phase 2 studies for GPP and PPP.</w:t>
      </w:r>
    </w:p>
    <w:p>
      <w:pPr>
        <w:spacing w:after="0" w:line="178" w:lineRule="exact"/>
        <w:rPr>
          <w:sz w:val="20"/>
          <w:szCs w:val="20"/>
          <w:color w:val="auto"/>
        </w:rPr>
      </w:pPr>
    </w:p>
    <w:p>
      <w:pPr>
        <w:ind w:left="380" w:firstLine="426"/>
        <w:spacing w:after="0" w:line="285" w:lineRule="auto"/>
        <w:rPr>
          <w:sz w:val="20"/>
          <w:szCs w:val="20"/>
          <w:color w:val="auto"/>
        </w:rPr>
      </w:pPr>
      <w:r>
        <w:rPr>
          <w:rFonts w:ascii="Arial" w:cs="Arial" w:eastAsia="Arial" w:hAnsi="Arial"/>
          <w:sz w:val="16"/>
          <w:szCs w:val="16"/>
          <w:color w:val="auto"/>
        </w:rPr>
        <w:t>We have received clearance of a CTA filing with the MHRA and an IND filing with the FDA, and have initiated a 10-patient open-label multi-dose Phase 2 trial of ANB019 in GPP patients, also referred to as the GALLOP trial, where top-line data are anticipated by early 2019. Patients in the GALLOP study are dosed with a 750mg intravenous loading dose of ANB019 upon enrollment, followed by 100mg subcutaneously-administered monthly doses of ANB019 for a treatment period of up to 16 weeks post enrollment and then monitored for a total of 8 weeks. We have cleared an IND with the FDA and have initiated, in the United States, a randomized, double-blind, placebo-controlled approximately</w:t>
      </w:r>
    </w:p>
    <w:p>
      <w:pPr>
        <w:spacing w:after="0" w:line="2" w:lineRule="exact"/>
        <w:rPr>
          <w:sz w:val="20"/>
          <w:szCs w:val="20"/>
          <w:color w:val="auto"/>
        </w:rPr>
      </w:pPr>
    </w:p>
    <w:p>
      <w:pPr>
        <w:ind w:left="380" w:right="440"/>
        <w:spacing w:after="0" w:line="290" w:lineRule="auto"/>
        <w:rPr>
          <w:sz w:val="20"/>
          <w:szCs w:val="20"/>
          <w:color w:val="auto"/>
        </w:rPr>
      </w:pPr>
      <w:r>
        <w:rPr>
          <w:rFonts w:ascii="Arial" w:cs="Arial" w:eastAsia="Arial" w:hAnsi="Arial"/>
          <w:sz w:val="17"/>
          <w:szCs w:val="17"/>
          <w:color w:val="auto"/>
        </w:rPr>
        <w:t>50-patient multi-dose trial of ANB019 in PPP, also referred to as the POPLAR trial. We intend to submit a CTA filing to the MHRA to permit expansion of the POPLAR trial in the United Kingdom, where top-line data is anticipated in the second half of 2019.</w:t>
      </w:r>
    </w:p>
    <w:p>
      <w:pPr>
        <w:spacing w:after="0" w:line="162"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In addition to etokimab and ANB019, our wholly-owned pipeline includes novel anti-inflammatory checkpoint receptor modulator antibodies that we believe is applicable for treatment of certain autoimmune diseases where immune checkpoint receptors are insufficiently activated, where we anticipate an IND for the first such antibody in the second half of 2019.</w:t>
      </w:r>
    </w:p>
    <w:p>
      <w:pPr>
        <w:spacing w:after="0" w:line="181" w:lineRule="exact"/>
        <w:rPr>
          <w:sz w:val="20"/>
          <w:szCs w:val="20"/>
          <w:color w:val="auto"/>
        </w:rPr>
      </w:pPr>
    </w:p>
    <w:p>
      <w:pPr>
        <w:jc w:val="both"/>
        <w:ind w:left="380" w:right="200" w:firstLine="426"/>
        <w:spacing w:after="0" w:line="312"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Our collaborations include an immuno-oncology-focused collaboration with TESARO, Inc. and TESARO Development, Ltd., or collectively, TESARO and an inflammation-focused collaboration with Celgene Corporation, or Celgene.</w:t>
      </w:r>
    </w:p>
    <w:p>
      <w:pPr>
        <w:spacing w:after="0" w:line="147" w:lineRule="exact"/>
        <w:rPr>
          <w:sz w:val="20"/>
          <w:szCs w:val="20"/>
          <w:color w:val="auto"/>
        </w:rPr>
      </w:pPr>
    </w:p>
    <w:p>
      <w:pPr>
        <w:jc w:val="both"/>
        <w:ind w:left="380" w:right="200" w:firstLine="426"/>
        <w:spacing w:after="0" w:line="277"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00" w:right="20" w:hanging="195"/>
        <w:spacing w:after="0" w:line="283"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Etokimab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indicated is a central mediator of atopic diseases, including moderate-to-severe atopic dermatitis, severe eosinophilic asthma, chronic rhinosinusitis with nasal polyps and potentially other allergic conditions. IL-33 directly mediates release of disease-associated cytokines, which recruit pro-inflammatory cells that mediate atopic disease. Because etokimab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genetically validated through human studies published in the medical literature. We have completed a Phase 1 trial of etokimab in healthy volunteers in Australia, which demonstrated a favorable safety, pharmacokinetic and pharmacodynamic profile of etokimab, and we presented these results at the 2017 AAD Annual Meeting and the American Academy of Allergy, Asthma and Immunology 2017 Annual Meeting in March 2017. We subsequently completed a Phase 2a trial of etokimab in 12 moderate-to-severe adult atopic dermatitis patients, under an approved CTA with the MHRA, announced top-line data from an interim analysis of this trial in October 2017 and presented data upon completion of this trial at the 2018 AAD Annual Meeting in February 2018 and the 2018 EAACI Congress in May 2018. We believe the data from this trial demonstrate proof-of-concept for etokimab in moderate-to-severe adult atopic dermatitis and suggest that etokimab may provide meaningful differentiation from available therapies in terms of patient convenience. As further development in atopic dermatitis, we are enrolling a Phase 2b randomized, double-blinded, placebo-controlled, multi-dose study</w:t>
      </w:r>
    </w:p>
    <w:p>
      <w:pPr>
        <w:spacing w:after="0" w:line="5"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in 300 adults patients with moderate-to-severe atopic dermatitis, also referred to as the ATLAS trial, to</w:t>
      </w:r>
    </w:p>
    <w:p>
      <w:pPr>
        <w:spacing w:after="0" w:line="1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80"/>
          </w:cols>
          <w:pgMar w:left="24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24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424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20" w:right="80"/>
        <w:spacing w:after="0" w:line="285" w:lineRule="auto"/>
        <w:rPr>
          <w:sz w:val="20"/>
          <w:szCs w:val="20"/>
          <w:color w:val="auto"/>
        </w:rPr>
      </w:pPr>
      <w:r>
        <w:rPr>
          <w:rFonts w:ascii="Arial" w:cs="Arial" w:eastAsia="Arial" w:hAnsi="Arial"/>
          <w:sz w:val="16"/>
          <w:szCs w:val="16"/>
          <w:color w:val="auto"/>
        </w:rPr>
        <w:t>assess different dose levels and dosing frequencies of subcutaneously-administered etokimab for a 16-week treatment period followed by an eight-week follow-up period, with top-line data expected in the second half of 2019. Based on our analysis of publicly available data sources and interviews with physicians and key opinion leaders in the field, atopic dermatitis affects approximately 1.4 million adults in the United States, and we estimate that 280,000 of these patients have moderate-to-severe atopic dermatitis. We are conducting, under a CTA with the MHRA in the United Kingdom and under an IND with the FDA, a randomized, placebo-controlled 25-patient single dose Phase 2a trial of etokimab versus placebo, each in combination with inhaled corticosteroids and long-acting beta agonists as background therapy, where efficacy will be assessed using improvement in FEV1. An interim analysis of this Phase 2a trial was disclosed in September 2018, which we believe demonstrated proof-of-concept for etokimab in severe adult eosinophilic asthma patients with rapid and sustained FEV1 improvement. This Phase 2a trial is currently ongoing and the company plans to report full data from this trial at a medical conference in 2019 following trial completion. In addition, we plan to continue development of etokimab in eosinophilic asthma with a multi-dose Phase 2b randomized, double-blinded, placebo-controlled trial, which is expected to be initiated in 2019. Based on our analysis of publicly available data sources and interviews with physicians and key opinion leaders in the field, we estimate that approximately 1.1 million adults in the United States are diagnosed with severe asthma that is uncontrolled through standard-of-care, and 50% of these patients have eosinophilic asthma. We have submitted an IND to the FDA to enable initiation of a randomized, placebo-controlled Phase 2 trial of etokimab in approximately 100 adult patients, also known as the ECLIPSE trial, with CRSwNP, which is a debilitating atopic disorder associated with elevated IL-33 pathway signaling. We plan to initiate the ECLIPSE trial by the end of 2018, and anticipate top-line data to be available in the second half of 2019. Based on our analysis of publicly available data sources and interviews with physicians and key opinion leaders in the field, CRSwNP affects approximately 1.3 million adults in the United States, and we estimate that 400,000 of these patients are inadequately controlled with standard-of-care.</w:t>
      </w:r>
    </w:p>
    <w:p>
      <w:pPr>
        <w:spacing w:after="0" w:line="72" w:lineRule="exact"/>
        <w:rPr>
          <w:sz w:val="20"/>
          <w:szCs w:val="20"/>
          <w:color w:val="auto"/>
        </w:rPr>
      </w:pPr>
    </w:p>
    <w:p>
      <w:pPr>
        <w:ind w:left="1000" w:hanging="195"/>
        <w:spacing w:after="0" w:line="285"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w:t>
      </w:r>
      <w:r>
        <w:rPr>
          <w:rFonts w:ascii="Arial" w:cs="Arial" w:eastAsia="Arial" w:hAnsi="Arial"/>
          <w:sz w:val="16"/>
          <w:szCs w:val="16"/>
          <w:b w:val="1"/>
          <w:bCs w:val="1"/>
          <w:color w:val="auto"/>
        </w:rPr>
        <w:t xml:space="preserve"> </w:t>
      </w:r>
      <w:r>
        <w:rPr>
          <w:rFonts w:ascii="Arial" w:cs="Arial" w:eastAsia="Arial" w:hAnsi="Arial"/>
          <w:sz w:val="16"/>
          <w:szCs w:val="16"/>
          <w:color w:val="auto"/>
        </w:rPr>
        <w:t>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for treatment of this disorder.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that we estimate affects approximately 150,000 patients in the United States alone. PPP is believed to be caused by increased systemic levels</w:t>
      </w:r>
    </w:p>
    <w:p>
      <w:pPr>
        <w:spacing w:after="0" w:line="1" w:lineRule="exact"/>
        <w:rPr>
          <w:rFonts w:ascii="Arial" w:cs="Arial" w:eastAsia="Arial" w:hAnsi="Arial"/>
          <w:sz w:val="16"/>
          <w:szCs w:val="16"/>
          <w:color w:val="auto"/>
        </w:rPr>
      </w:pPr>
    </w:p>
    <w:p>
      <w:pPr>
        <w:ind w:left="1000" w:right="40"/>
        <w:spacing w:after="0" w:line="267" w:lineRule="auto"/>
        <w:rPr>
          <w:rFonts w:ascii="Arial" w:cs="Arial" w:eastAsia="Arial" w:hAnsi="Arial"/>
          <w:sz w:val="16"/>
          <w:szCs w:val="16"/>
          <w:color w:val="auto"/>
        </w:rPr>
      </w:pPr>
      <w:r>
        <w:rPr>
          <w:rFonts w:ascii="Arial" w:cs="Arial" w:eastAsia="Arial" w:hAnsi="Arial"/>
          <w:sz w:val="17"/>
          <w:szCs w:val="17"/>
          <w:color w:val="auto"/>
        </w:rPr>
        <w:t>of interleukin-36 resulting in inflammatory pustules on the hands and feet of patients that cause significant inability to stand, walk or do manual work, which we believe can be addressed by treatment with ANB019. We have completed, under an approved CTN, a Phase 1 clinical trial in healthy volunteers which showed favorable safety, pharmacokinetic and pharmacodynamic properties that support advancement of ANB019 into Phase 2 studies for GPP and PPP. We have received clearance of a CTA filing to the MHRA and an IND filing with the FDA, and have subsequently initiated a 10-patient open-label multi-dose Phase 2 study of ANB019 in GPP patients, the GALLOP trial, where efficacy will be assessed using the modified Japanese Dermatology Association Severity Index. We believe that positive results from the GALLOP trial may enable initiation of a subsequent registration study enrolling less than 100 GPP patients. We have cleared an IND with the FDA and have initiated, in the United States, a randomized, double-blind, placebo-controlled approximately 50-patient multi-dose trial of ANB019 in PPP, also referred to as the POPLAR trial, where efficacy will be assessed using the Palmoplantar Pustulosis Severity Index. We intend to submit a CTA filing to the MHRA to permit expansion of the POPLAR trial in the United Kingdom, where top-line data is anticipated in the second half of 2019. We plan to seek FDA Orphan Drug Designation for the treatment of GPP and PPP. The</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80"/>
          </w:cols>
          <w:pgMar w:left="24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43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4643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20" w:right="460"/>
        <w:spacing w:after="0" w:line="277" w:lineRule="auto"/>
        <w:rPr>
          <w:sz w:val="20"/>
          <w:szCs w:val="20"/>
          <w:color w:val="auto"/>
        </w:rPr>
      </w:pPr>
      <w:r>
        <w:rPr>
          <w:rFonts w:ascii="Arial" w:cs="Arial" w:eastAsia="Arial" w:hAnsi="Arial"/>
          <w:sz w:val="18"/>
          <w:szCs w:val="18"/>
          <w:color w:val="auto"/>
        </w:rPr>
        <w:t>FDA may grant Orphan Drug Designation to a drug intended to treat a disease or condition that generally affects fewer than 200,000 individuals in the United States.</w:t>
      </w:r>
    </w:p>
    <w:p>
      <w:pPr>
        <w:spacing w:after="0" w:line="72" w:lineRule="exact"/>
        <w:rPr>
          <w:sz w:val="20"/>
          <w:szCs w:val="20"/>
          <w:color w:val="auto"/>
        </w:rPr>
      </w:pPr>
    </w:p>
    <w:p>
      <w:pPr>
        <w:ind w:left="1000" w:right="80" w:hanging="195"/>
        <w:spacing w:after="0" w:line="258"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us to multiple different novel anti-inflammatory checkpoint 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modulator antibodies for the treatment of certain autoimmune diseases where we believe checkpoint receptor function is insufficiently activated. Known human immune checkpoint receptors include CTLA-4, PD-1, LAG-3, BTLA and TIGIT. We anticipate that, subsequent to regulatory clearance, one of our wholly-owned checkpoint receptor antibodies will initiate human testing during the second half of 2019.</w:t>
      </w: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1000" w:hanging="195"/>
        <w:spacing w:after="0" w:line="266"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00" w:right="380" w:hanging="195"/>
        <w:spacing w:after="0" w:line="347"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jc w:val="both"/>
        <w:ind w:left="1000" w:right="60" w:hanging="195"/>
        <w:spacing w:after="0" w:line="266"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1000" w:right="60" w:hanging="195"/>
        <w:spacing w:after="0" w:line="266"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toxicology studies, typically in less than 12 months. We believe this timeline is significantly shorter than conventional antibody discovery approaches based upon mouse immunization and microbial display systems.</w:t>
      </w:r>
    </w:p>
    <w:p>
      <w:pPr>
        <w:spacing w:after="0" w:line="81" w:lineRule="exact"/>
        <w:rPr>
          <w:rFonts w:ascii="Arial" w:cs="Arial" w:eastAsia="Arial" w:hAnsi="Arial"/>
          <w:sz w:val="18"/>
          <w:szCs w:val="18"/>
          <w:color w:val="auto"/>
        </w:rPr>
      </w:pPr>
    </w:p>
    <w:p>
      <w:pPr>
        <w:ind w:left="1000" w:right="340" w:hanging="195"/>
        <w:spacing w:after="0" w:line="266"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71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387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$76.6 million in payments through June 30, 2018.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1000" w:right="740" w:hanging="195"/>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Anti-PD-1 Monospecific Antagonist Antibody (TSR-042): Registration program initiated for metastatic microsatellite instability high (MSI-H) endometrial cancer;</w:t>
      </w:r>
    </w:p>
    <w:p>
      <w:pPr>
        <w:spacing w:after="0" w:line="75" w:lineRule="exact"/>
        <w:rPr>
          <w:rFonts w:ascii="Arial" w:cs="Arial" w:eastAsia="Arial" w:hAnsi="Arial"/>
          <w:sz w:val="18"/>
          <w:szCs w:val="18"/>
          <w:color w:val="auto"/>
        </w:rPr>
      </w:pPr>
    </w:p>
    <w:p>
      <w:pPr>
        <w:ind w:left="1000" w:right="360" w:hanging="195"/>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Anti-TIM-3 Monospecific Antagonist Antibody (TSR-022): Dose escalation completed in Phase 1, combination trial with TSR-042 is ongoing;</w:t>
      </w:r>
    </w:p>
    <w:p>
      <w:pPr>
        <w:spacing w:after="0" w:line="75" w:lineRule="exact"/>
        <w:rPr>
          <w:rFonts w:ascii="Arial" w:cs="Arial" w:eastAsia="Arial" w:hAnsi="Arial"/>
          <w:sz w:val="18"/>
          <w:szCs w:val="18"/>
          <w:color w:val="auto"/>
        </w:rPr>
      </w:pPr>
    </w:p>
    <w:p>
      <w:pPr>
        <w:ind w:left="1000" w:right="60" w:hanging="195"/>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Anti-LAG-3 Monospecific Antagonist Antibody (TSR-033): Phase 1 trial dose escalation and combination trial with TSR-042 is ongoing, and</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Anti-PD-1/LAG-3 Bispecific Antagonist Antibody (TSR-075): lead candidate identified, IND-enabling studies on-going.</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380" w:firstLine="426"/>
        <w:spacing w:after="0" w:line="274"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w:t>
      </w:r>
    </w:p>
    <w:p>
      <w:pPr>
        <w:ind w:left="380" w:right="560"/>
        <w:spacing w:after="0" w:line="255" w:lineRule="auto"/>
        <w:rPr>
          <w:sz w:val="20"/>
          <w:szCs w:val="20"/>
          <w:color w:val="auto"/>
        </w:rPr>
      </w:pPr>
      <w:r>
        <w:rPr>
          <w:rFonts w:ascii="Arial" w:cs="Arial" w:eastAsia="Arial" w:hAnsi="Arial"/>
          <w:sz w:val="18"/>
          <w:szCs w:val="18"/>
          <w:color w:val="auto"/>
        </w:rPr>
        <w:t>a target-by-target basis by our delivery of antibodies meeting certain pre-specified parameters pertaining to each target under collaboration. Celgene is currently advancing two AnaptysBio-generated anti-inflammatory antibody programs, where one of these programs is an anti-PD-1 agonist antibody (CC-90006) currently in a Phase 1 trial for psoriasis.</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80"/>
          </w:cols>
          <w:pgMar w:left="24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Below is a list of key milestones relating to our wholly-owned pipeline programs:</w:t>
      </w:r>
    </w:p>
    <w:p>
      <w:pPr>
        <w:sectPr>
          <w:pgSz w:w="11900" w:h="16838" w:orient="portrait"/>
          <w:cols w:equalWidth="0" w:num="1">
            <w:col w:w="11000"/>
          </w:cols>
          <w:pgMar w:left="240" w:top="459" w:right="659" w:bottom="1440" w:gutter="0" w:footer="0" w:header="0"/>
        </w:sectPr>
      </w:pPr>
    </w:p>
    <w:p>
      <w:pPr>
        <w:spacing w:after="0" w:line="248"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Etokimab (anti-IL-33)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ANB019 (anti-IL-36R)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Milestone</w:t>
            </w:r>
          </w:p>
        </w:tc>
        <w:tc>
          <w:tcPr>
            <w:tcW w:w="31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Timing</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Moderate-to-Severe Adult Atopic Dermatitis</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89"/>
              </w:rPr>
              <w:t>Top-line data announced October 2017</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87"/>
              </w:rPr>
              <w:t>Phase 2a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Detailed data presented at AAD and</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6"/>
              </w:rPr>
              <w:t>EAACI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4"/>
              </w:rPr>
              <w:t>ATLAS: Moderate-to-Severe Adult Atopic</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Initiated H1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0"/>
              </w:rPr>
              <w:t>Dermatitis Phase 2b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1"/>
              </w:rPr>
              <w:t>Top-line data</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1"/>
              </w:rPr>
              <w:t>anticipated in H2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0"/>
              </w:rPr>
              <w:t>Severe Adult Eosinophilic Asthma Phase 2a</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88"/>
              </w:rPr>
              <w:t>Top-line data presented September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7"/>
              </w:rPr>
              <w:t>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88"/>
              </w:rPr>
              <w:t>Detailed data to be presented</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1"/>
              </w:rPr>
              <w:t>Eosinophilic Asthma Phase 2b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2"/>
              </w:rPr>
              <w:t>To be initiated in 2019</w:t>
            </w:r>
          </w:p>
        </w:tc>
      </w:tr>
      <w:tr>
        <w:trPr>
          <w:trHeight w:val="216"/>
        </w:trPr>
        <w:tc>
          <w:tcPr>
            <w:tcW w:w="3420" w:type="dxa"/>
            <w:vAlign w:val="bottom"/>
          </w:tcPr>
          <w:p>
            <w:pPr>
              <w:jc w:val="center"/>
              <w:ind w:right="50"/>
              <w:spacing w:after="0"/>
              <w:rPr>
                <w:sz w:val="20"/>
                <w:szCs w:val="20"/>
                <w:color w:val="auto"/>
              </w:rPr>
            </w:pPr>
            <w:r>
              <w:rPr>
                <w:rFonts w:ascii="Arial" w:cs="Arial" w:eastAsia="Arial" w:hAnsi="Arial"/>
                <w:sz w:val="18"/>
                <w:szCs w:val="18"/>
                <w:color w:val="auto"/>
                <w:w w:val="94"/>
              </w:rPr>
              <w:t>ECLIPSE: Adult Chronic Rhinosinusitis with</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 be initiated by end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89"/>
              </w:rPr>
              <w:t>Nasal Polyps Phase 2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anticipated in</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3"/>
              </w:rPr>
              <w:t>H2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Healthy Volunteer Top-line Phase I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announced November 2017</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1"/>
              </w:rPr>
              <w:t>Detailed data presented at EAACI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GALLOP: GPP Phase 2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Initiated H1 2018</w:t>
            </w:r>
          </w:p>
        </w:tc>
      </w:tr>
      <w:tr>
        <w:trPr>
          <w:trHeight w:val="216"/>
        </w:trPr>
        <w:tc>
          <w:tcPr>
            <w:tcW w:w="3420" w:type="dxa"/>
            <w:vAlign w:val="bottom"/>
          </w:tcPr>
          <w:p>
            <w:pPr>
              <w:spacing w:after="0"/>
              <w:rPr>
                <w:sz w:val="18"/>
                <w:szCs w:val="18"/>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anticipated in</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early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89"/>
              </w:rPr>
              <w:t>POPLAR: PPP Phase 2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Initiated H2 2018</w:t>
            </w:r>
          </w:p>
        </w:tc>
      </w:tr>
      <w:tr>
        <w:trPr>
          <w:trHeight w:val="216"/>
        </w:trPr>
        <w:tc>
          <w:tcPr>
            <w:tcW w:w="3420" w:type="dxa"/>
            <w:vAlign w:val="bottom"/>
          </w:tcPr>
          <w:p>
            <w:pPr>
              <w:spacing w:after="0"/>
              <w:rPr>
                <w:sz w:val="18"/>
                <w:szCs w:val="18"/>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anticipated in</w:t>
            </w:r>
          </w:p>
        </w:tc>
      </w:tr>
      <w:tr>
        <w:trPr>
          <w:trHeight w:val="230"/>
        </w:trPr>
        <w:tc>
          <w:tcPr>
            <w:tcW w:w="3420" w:type="dxa"/>
            <w:vAlign w:val="bottom"/>
          </w:tcPr>
          <w:p>
            <w:pPr>
              <w:spacing w:after="0"/>
              <w:rPr>
                <w:sz w:val="20"/>
                <w:szCs w:val="20"/>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3"/>
              </w:rPr>
              <w:t>H2 2019</w:t>
            </w:r>
          </w:p>
        </w:tc>
      </w:tr>
      <w:tr>
        <w:trPr>
          <w:trHeight w:val="554"/>
        </w:trPr>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Our Strategy</w:t>
            </w:r>
          </w:p>
        </w:tc>
        <w:tc>
          <w:tcPr>
            <w:tcW w:w="3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3640" w:space="720"/>
            <w:col w:w="6640"/>
          </w:cols>
          <w:pgMar w:left="240" w:top="459" w:right="659" w:bottom="1440" w:gutter="0" w:footer="0" w:header="0"/>
          <w:type w:val="continuous"/>
        </w:sectPr>
      </w:pPr>
    </w:p>
    <w:p>
      <w:pPr>
        <w:spacing w:after="0" w:line="2" w:lineRule="exact"/>
        <w:rPr>
          <w:sz w:val="20"/>
          <w:szCs w:val="20"/>
          <w:color w:val="auto"/>
        </w:rPr>
      </w:pPr>
    </w:p>
    <w:p>
      <w:pPr>
        <w:ind w:left="380" w:right="620" w:firstLine="42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00" w:hanging="195"/>
        <w:spacing w:after="0" w:line="288"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working to demonstrate the safety and efficacy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wholly-owned pipeline programs, and have completed a Phase 1 trial of etokimab in healthy volunteers in Australia,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have completed a Phase 2a trial of etokimab in patients with moderate-to-severe adult atopic dermatitis where top-line data efficacy was announced in October 2017 and completed trial data was presented at the 2018 AAD Annual Meeting and the 2018 EAACI Congress. In September 2018, we announced top-line data from an interim analysis of an ongoing randomized, double-blinded placebo-controlled Phase 2a trial of etokimab in severe adult eosinophilic asthma patients and plan to initiate a randomized, placebo-controlled Phase 2 trial of etokimab in approximately 100 adult patients with CRSwNP. We are also enrolling a Phase 2b randomized, double-blinded, placebo-controlled, multi-dose study in 300 adults patients with moderate-to-severe atopic dermatitis. We have conducted, under an approved CTN, a Phase 1 clinical trial in healthy volunteers to assess the safety, pharmacokinetics and pharmacodynamics of ANB019 and announced top-line data from this trial in November 2017. We have received clearance of a CTA filing to the MHRA and an IND with</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240" w:top="459" w:right="6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29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029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the FDA, and have subsequently initiated a 10-patient open-label multi-dose Phase 2 trial of ANB019 in GPP patients, and have received clearance of an IND with the FDA, and subsequently initiated in the United States, a randomized, double-blind, placebo-controlled approximately 50-patient multi-dose trial of ANB019 in PPP.</w:t>
      </w:r>
    </w:p>
    <w:p>
      <w:pPr>
        <w:spacing w:after="0" w:line="83" w:lineRule="exact"/>
        <w:rPr>
          <w:sz w:val="20"/>
          <w:szCs w:val="20"/>
          <w:color w:val="auto"/>
        </w:rPr>
      </w:pPr>
    </w:p>
    <w:p>
      <w:pPr>
        <w:ind w:left="1000" w:right="220" w:hanging="195"/>
        <w:spacing w:after="0" w:line="26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targets. Our goal is to continue expanding our wholly-owned new therapeutic antibody program pipeline by innovating one or more wholly-owned novel pipeline antibodies to potentially first-in-class immune-related targets.</w:t>
      </w:r>
    </w:p>
    <w:p>
      <w:pPr>
        <w:spacing w:after="0" w:line="85" w:lineRule="exact"/>
        <w:rPr>
          <w:rFonts w:ascii="Arial" w:cs="Arial" w:eastAsia="Arial" w:hAnsi="Arial"/>
          <w:sz w:val="18"/>
          <w:szCs w:val="18"/>
          <w:color w:val="auto"/>
        </w:rPr>
      </w:pPr>
    </w:p>
    <w:p>
      <w:pPr>
        <w:ind w:left="1000" w:hanging="195"/>
        <w:spacing w:after="0" w:line="298"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Identifying emerging opportunities in key therapeutic areas. </w:t>
      </w:r>
      <w:r>
        <w:rPr>
          <w:rFonts w:ascii="Arial" w:cs="Arial" w:eastAsia="Arial" w:hAnsi="Arial"/>
          <w:sz w:val="16"/>
          <w:szCs w:val="16"/>
          <w:color w:val="auto"/>
        </w:rPr>
        <w:t>We intend to remain at the forefront of discovery and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59" w:lineRule="exact"/>
        <w:rPr>
          <w:rFonts w:ascii="Arial" w:cs="Arial" w:eastAsia="Arial" w:hAnsi="Arial"/>
          <w:sz w:val="16"/>
          <w:szCs w:val="16"/>
          <w:color w:val="auto"/>
        </w:rPr>
      </w:pPr>
    </w:p>
    <w:p>
      <w:pPr>
        <w:ind w:left="1000" w:right="80" w:hanging="195"/>
        <w:spacing w:after="0" w:line="26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to key 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40" w:firstLine="426"/>
        <w:spacing w:after="0" w:line="302"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supplement. Investors should not rely on any such information in deciding whether to purchase our common stock.</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380" w:right="60" w:firstLine="42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the last day of the fiscal year following the fifth anniversary of the completion of our initial public offering in January 2017, the last day of the fiscal year in which we have total annual gross revenue of at least $1.07 billion, the date on which we are deemed to be a large accelerated filer (this means that at the end of a fiscal year we have been public for at least 12 months, have filed at least one annual report and the market value of our common stock that is held by non-affiliates exceeds $700 million as of the end of the second quarter of that fiscal year), or the date on which we have issued more than $1.0 billion in nonconvertible debt securities during the prior three-year period. We will cease to be an “emerging growth company” as of December 31, 2018 as a result of our public float exceeding $700 million as of June 30, 2018.</w:t>
      </w:r>
    </w:p>
    <w:p>
      <w:pPr>
        <w:spacing w:after="0" w:line="13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35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535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40" w:type="dxa"/>
            <w:vAlign w:val="bottom"/>
          </w:tcPr>
          <w:p>
            <w:pPr>
              <w:ind w:left="2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520" w:type="dxa"/>
            <w:vAlign w:val="bottom"/>
          </w:tcPr>
          <w:p>
            <w:pPr>
              <w:spacing w:after="0"/>
              <w:rPr>
                <w:sz w:val="24"/>
                <w:szCs w:val="24"/>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Shares</w:t>
            </w:r>
          </w:p>
        </w:tc>
      </w:tr>
      <w:tr>
        <w:trPr>
          <w:trHeight w:val="473"/>
        </w:trPr>
        <w:tc>
          <w:tcPr>
            <w:tcW w:w="3860" w:type="dxa"/>
            <w:vAlign w:val="bottom"/>
          </w:tcPr>
          <w:p>
            <w:pPr>
              <w:spacing w:after="0"/>
              <w:rPr>
                <w:sz w:val="20"/>
                <w:szCs w:val="20"/>
                <w:color w:val="auto"/>
              </w:rPr>
            </w:pPr>
            <w:r>
              <w:rPr>
                <w:rFonts w:ascii="Arial" w:cs="Arial" w:eastAsia="Arial" w:hAnsi="Arial"/>
                <w:sz w:val="18"/>
                <w:szCs w:val="18"/>
                <w:color w:val="auto"/>
                <w:w w:val="95"/>
              </w:rPr>
              <w:t>Common stock to be outstanding after this offering</w:t>
            </w:r>
          </w:p>
        </w:tc>
        <w:tc>
          <w:tcPr>
            <w:tcW w:w="520" w:type="dxa"/>
            <w:vAlign w:val="bottom"/>
          </w:tcPr>
          <w:p>
            <w:pPr>
              <w:spacing w:after="0"/>
              <w:rPr>
                <w:sz w:val="24"/>
                <w:szCs w:val="24"/>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Shares</w:t>
            </w:r>
          </w:p>
        </w:tc>
      </w:tr>
      <w:tr>
        <w:trPr>
          <w:trHeight w:val="458"/>
        </w:trPr>
        <w:tc>
          <w:tcPr>
            <w:tcW w:w="38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We have granted the underwriters a 30-day option to purchase up</w:t>
            </w:r>
          </w:p>
        </w:tc>
      </w:tr>
      <w:tr>
        <w:trPr>
          <w:trHeight w:val="216"/>
        </w:trPr>
        <w:tc>
          <w:tcPr>
            <w:tcW w:w="386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to</w:t>
            </w:r>
          </w:p>
        </w:tc>
        <w:tc>
          <w:tcPr>
            <w:tcW w:w="6240" w:type="dxa"/>
            <w:vAlign w:val="bottom"/>
          </w:tcPr>
          <w:p>
            <w:pPr>
              <w:ind w:left="380"/>
              <w:spacing w:after="0"/>
              <w:rPr>
                <w:sz w:val="20"/>
                <w:szCs w:val="20"/>
                <w:color w:val="auto"/>
              </w:rPr>
            </w:pPr>
            <w:r>
              <w:rPr>
                <w:rFonts w:ascii="Arial" w:cs="Arial" w:eastAsia="Arial" w:hAnsi="Arial"/>
                <w:sz w:val="18"/>
                <w:szCs w:val="18"/>
                <w:color w:val="auto"/>
                <w:w w:val="91"/>
              </w:rPr>
              <w:t>additional shares from us at the public offering price, less underwriting discounts</w:t>
            </w:r>
          </w:p>
        </w:tc>
      </w:tr>
      <w:tr>
        <w:trPr>
          <w:trHeight w:val="230"/>
        </w:trPr>
        <w:tc>
          <w:tcPr>
            <w:tcW w:w="3860" w:type="dxa"/>
            <w:vAlign w:val="bottom"/>
          </w:tcPr>
          <w:p>
            <w:pPr>
              <w:spacing w:after="0"/>
              <w:rPr>
                <w:sz w:val="20"/>
                <w:szCs w:val="20"/>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and commissions.</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Public offering price</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40" w:type="dxa"/>
            <w:vAlign w:val="bottom"/>
          </w:tcPr>
          <w:p>
            <w:pPr>
              <w:ind w:left="300"/>
              <w:spacing w:after="0"/>
              <w:rPr>
                <w:sz w:val="20"/>
                <w:szCs w:val="20"/>
                <w:color w:val="auto"/>
              </w:rPr>
            </w:pPr>
            <w:r>
              <w:rPr>
                <w:rFonts w:ascii="Arial" w:cs="Arial" w:eastAsia="Arial" w:hAnsi="Arial"/>
                <w:sz w:val="18"/>
                <w:szCs w:val="18"/>
                <w:color w:val="auto"/>
              </w:rPr>
              <w:t>per share</w:t>
            </w:r>
          </w:p>
        </w:tc>
      </w:tr>
      <w:tr>
        <w:trPr>
          <w:trHeight w:val="458"/>
        </w:trPr>
        <w:tc>
          <w:tcPr>
            <w:tcW w:w="3860" w:type="dxa"/>
            <w:vAlign w:val="bottom"/>
          </w:tcPr>
          <w:p>
            <w:pPr>
              <w:spacing w:after="0"/>
              <w:rPr>
                <w:sz w:val="20"/>
                <w:szCs w:val="20"/>
                <w:color w:val="auto"/>
              </w:rPr>
            </w:pPr>
            <w:r>
              <w:rPr>
                <w:rFonts w:ascii="Arial" w:cs="Arial" w:eastAsia="Arial" w:hAnsi="Arial"/>
                <w:sz w:val="18"/>
                <w:szCs w:val="18"/>
                <w:color w:val="auto"/>
              </w:rPr>
              <w:t>Use of proceeds</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5"/>
              </w:rPr>
              <w:t>We intend to use the net proceeds that we receive in this offering to fund research and</w:t>
            </w:r>
          </w:p>
        </w:tc>
      </w:tr>
      <w:tr>
        <w:trPr>
          <w:trHeight w:val="216"/>
        </w:trPr>
        <w:tc>
          <w:tcPr>
            <w:tcW w:w="3860" w:type="dxa"/>
            <w:vAlign w:val="bottom"/>
          </w:tcPr>
          <w:p>
            <w:pPr>
              <w:spacing w:after="0"/>
              <w:rPr>
                <w:sz w:val="18"/>
                <w:szCs w:val="18"/>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6"/>
              </w:rPr>
              <w:t>development activities for our clinical development programs, our ongoing preclinical,</w:t>
            </w:r>
          </w:p>
        </w:tc>
      </w:tr>
      <w:tr>
        <w:trPr>
          <w:trHeight w:val="216"/>
        </w:trPr>
        <w:tc>
          <w:tcPr>
            <w:tcW w:w="3860" w:type="dxa"/>
            <w:vAlign w:val="bottom"/>
          </w:tcPr>
          <w:p>
            <w:pPr>
              <w:spacing w:after="0"/>
              <w:rPr>
                <w:sz w:val="18"/>
                <w:szCs w:val="18"/>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5"/>
              </w:rPr>
              <w:t>discovery and research programs, and for working capital and other general corporate</w:t>
            </w:r>
          </w:p>
        </w:tc>
      </w:tr>
      <w:tr>
        <w:trPr>
          <w:trHeight w:val="216"/>
        </w:trPr>
        <w:tc>
          <w:tcPr>
            <w:tcW w:w="3860" w:type="dxa"/>
            <w:vAlign w:val="bottom"/>
          </w:tcPr>
          <w:p>
            <w:pPr>
              <w:spacing w:after="0"/>
              <w:rPr>
                <w:sz w:val="18"/>
                <w:szCs w:val="18"/>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88"/>
              </w:rPr>
              <w:t>purposes. We may use a portion of the proceeds to acquire other complementary businesses</w:t>
            </w:r>
          </w:p>
        </w:tc>
      </w:tr>
      <w:tr>
        <w:trPr>
          <w:trHeight w:val="216"/>
        </w:trPr>
        <w:tc>
          <w:tcPr>
            <w:tcW w:w="3860" w:type="dxa"/>
            <w:vAlign w:val="bottom"/>
          </w:tcPr>
          <w:p>
            <w:pPr>
              <w:spacing w:after="0"/>
              <w:rPr>
                <w:sz w:val="18"/>
                <w:szCs w:val="18"/>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2"/>
              </w:rPr>
              <w:t>or technologies, although we have no present commitments or agreements to do so. See</w:t>
            </w:r>
          </w:p>
        </w:tc>
      </w:tr>
      <w:tr>
        <w:trPr>
          <w:trHeight w:val="216"/>
        </w:trPr>
        <w:tc>
          <w:tcPr>
            <w:tcW w:w="3860" w:type="dxa"/>
            <w:vAlign w:val="bottom"/>
          </w:tcPr>
          <w:p>
            <w:pPr>
              <w:spacing w:after="0"/>
              <w:rPr>
                <w:sz w:val="18"/>
                <w:szCs w:val="18"/>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3"/>
              </w:rPr>
              <w:t>“Use of Proceeds” for a more complete description of the intended use of proceeds from</w:t>
            </w:r>
          </w:p>
        </w:tc>
      </w:tr>
      <w:tr>
        <w:trPr>
          <w:trHeight w:val="230"/>
        </w:trPr>
        <w:tc>
          <w:tcPr>
            <w:tcW w:w="3860" w:type="dxa"/>
            <w:vAlign w:val="bottom"/>
          </w:tcPr>
          <w:p>
            <w:pPr>
              <w:spacing w:after="0"/>
              <w:rPr>
                <w:sz w:val="20"/>
                <w:szCs w:val="20"/>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this offering.</w:t>
            </w:r>
          </w:p>
        </w:tc>
      </w:tr>
      <w:tr>
        <w:trPr>
          <w:trHeight w:val="445"/>
        </w:trPr>
        <w:tc>
          <w:tcPr>
            <w:tcW w:w="3860" w:type="dxa"/>
            <w:vAlign w:val="bottom"/>
          </w:tcPr>
          <w:p>
            <w:pPr>
              <w:spacing w:after="0"/>
              <w:rPr>
                <w:sz w:val="20"/>
                <w:szCs w:val="20"/>
                <w:color w:val="auto"/>
              </w:rPr>
            </w:pPr>
            <w:r>
              <w:rPr>
                <w:rFonts w:ascii="Arial" w:cs="Arial" w:eastAsia="Arial" w:hAnsi="Arial"/>
                <w:sz w:val="18"/>
                <w:szCs w:val="18"/>
                <w:color w:val="auto"/>
              </w:rPr>
              <w:t>Risk factors</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1"/>
              </w:rPr>
              <w:t>You should read the “Risk Factors” section of this prospectus supplement for a discussion</w:t>
            </w:r>
          </w:p>
        </w:tc>
      </w:tr>
      <w:tr>
        <w:trPr>
          <w:trHeight w:val="230"/>
        </w:trPr>
        <w:tc>
          <w:tcPr>
            <w:tcW w:w="3860" w:type="dxa"/>
            <w:vAlign w:val="bottom"/>
          </w:tcPr>
          <w:p>
            <w:pPr>
              <w:spacing w:after="0"/>
              <w:rPr>
                <w:sz w:val="20"/>
                <w:szCs w:val="20"/>
                <w:color w:val="auto"/>
              </w:rPr>
            </w:pP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w w:val="94"/>
              </w:rPr>
              <w:t>of factors to consider carefully before deciding to invest in shares of our common stock.</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“ANAB”</w:t>
            </w:r>
          </w:p>
        </w:tc>
      </w:tr>
    </w:tbl>
    <w:p>
      <w:pPr>
        <w:spacing w:after="0" w:line="215"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as shown above is based on 24,028,504 shares outstanding as of June 30, 2018 and excludes:</w:t>
      </w:r>
    </w:p>
    <w:p>
      <w:pPr>
        <w:spacing w:after="0" w:line="76" w:lineRule="exact"/>
        <w:rPr>
          <w:sz w:val="20"/>
          <w:szCs w:val="20"/>
          <w:color w:val="auto"/>
        </w:rPr>
      </w:pPr>
    </w:p>
    <w:p>
      <w:pPr>
        <w:ind w:left="1000" w:right="240" w:hanging="195"/>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2,455,234 shares of common stock issuable upon exercise of outstanding options as of June 30, 2018, with a weighted-average exercise price of $22.50 per share;</w:t>
      </w:r>
    </w:p>
    <w:p>
      <w:pPr>
        <w:spacing w:after="0" w:line="75" w:lineRule="exact"/>
        <w:rPr>
          <w:rFonts w:ascii="Arial" w:cs="Arial" w:eastAsia="Arial" w:hAnsi="Arial"/>
          <w:sz w:val="18"/>
          <w:szCs w:val="18"/>
          <w:color w:val="auto"/>
        </w:rPr>
      </w:pPr>
    </w:p>
    <w:p>
      <w:pPr>
        <w:ind w:left="1000" w:right="120" w:hanging="195"/>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65,100 shares of common stock issuable upon the exercise of options granted after June 30, 2018, with a weighted-average exercise price of $82.01 per share;</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2,081,558 shares of common stock reserved for future issuance under our 2017 Equity Incentive Plan as of June 30, 2018; and</w:t>
      </w:r>
    </w:p>
    <w:p>
      <w:pPr>
        <w:spacing w:after="0" w:line="142" w:lineRule="exact"/>
        <w:rPr>
          <w:rFonts w:ascii="Arial" w:cs="Arial" w:eastAsia="Arial" w:hAnsi="Arial"/>
          <w:sz w:val="17"/>
          <w:szCs w:val="17"/>
          <w:color w:val="auto"/>
        </w:rPr>
      </w:pPr>
    </w:p>
    <w:p>
      <w:pPr>
        <w:ind w:left="1000" w:hanging="195"/>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455,913 shares of common stock reserved for future issuance under our 2017 Employee Stock Purchase Plan as of June 30, 2018.</w:t>
      </w:r>
    </w:p>
    <w:p>
      <w:pPr>
        <w:spacing w:after="0" w:line="237" w:lineRule="exact"/>
        <w:rPr>
          <w:sz w:val="20"/>
          <w:szCs w:val="20"/>
          <w:color w:val="auto"/>
        </w:rPr>
      </w:pPr>
    </w:p>
    <w:p>
      <w:pPr>
        <w:ind w:left="380" w:right="420" w:firstLine="426"/>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of the outstanding options or warrants described above and no exercise of the underwriters’ option to purchase additional shares of common stock.</w:t>
      </w:r>
    </w:p>
    <w:p>
      <w:pPr>
        <w:spacing w:after="0" w:line="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00"/>
          </w:cols>
          <w:pgMar w:left="24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Prior to making a decision about investing in our securities, you should carefully consider the risk factors described below together with all of the risks, uncertainties and assumptions discussed under Part II, Item 1A, “Risk Factors,” in our Annual Report on Form 10-K for the year ended December 31, 2017 and our most recent Quarterly Report on Form 10-Q for the quarter ended June 30, 2018, which is incorporated herein by reference, and may be amended, supplemented or superseded from time to time by other reports we file with the SEC in the future. If any of the risks incorporated by reference or set forth below occurs, our business, operations and financial condition could suffer significantly. As a result, you could lose some or all of your investment in our common stock. The risks and uncertainties we have described are not the only ones we face. Additional risks and uncertainties not presently known to us or that we currently deem immaterial may also affect our business, operations and financial condition, or cause the value of our common stock to decline.</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management will have broad discretion as to the use of the proceeds from this offering and we may not use the proceeds effectively.</w:t>
      </w:r>
    </w:p>
    <w:p>
      <w:pPr>
        <w:spacing w:after="0" w:line="14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You will be relying on the judgment of our management concerning these uses and you will not have the opportunity, as part of your investment decision, to assess whether the proceeds are being used appropriately. The failure of our management to apply these funds effectively could result in unfavorable returns and uncertainty about our prospects, each of which could cause the price of our common stock to decline.</w:t>
      </w:r>
    </w:p>
    <w:p>
      <w:pPr>
        <w:spacing w:after="0" w:line="292"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If you purchase shares of common stock sold in this offering you will experience immediate and substantial dilution in your investment. You will experience further dilution if we issue additional equity securities in the future.</w:t>
      </w:r>
    </w:p>
    <w:p>
      <w:pPr>
        <w:spacing w:after="0" w:line="5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Since the price per share of our common stock being offered is substantially higher than the net tangible book value per share of our common stock, you will suffer substantial dilution with respect to the net tangible book value of the shares of common stock you purchase in this offering. Based</w:t>
      </w:r>
    </w:p>
    <w:p>
      <w:pPr>
        <w:ind w:left="200"/>
        <w:spacing w:after="0"/>
        <w:tabs>
          <w:tab w:leader="none" w:pos="3020" w:val="left"/>
        </w:tabs>
        <w:rPr>
          <w:sz w:val="20"/>
          <w:szCs w:val="20"/>
          <w:color w:val="auto"/>
        </w:rPr>
      </w:pPr>
      <w:r>
        <w:rPr>
          <w:rFonts w:ascii="Arial" w:cs="Arial" w:eastAsia="Arial" w:hAnsi="Arial"/>
          <w:sz w:val="18"/>
          <w:szCs w:val="18"/>
          <w:color w:val="auto"/>
        </w:rPr>
        <w:t>on the public offering price of $</w:t>
      </w:r>
      <w:r>
        <w:rPr>
          <w:sz w:val="20"/>
          <w:szCs w:val="20"/>
          <w:color w:val="auto"/>
        </w:rPr>
        <w:tab/>
      </w:r>
      <w:r>
        <w:rPr>
          <w:rFonts w:ascii="Arial" w:cs="Arial" w:eastAsia="Arial" w:hAnsi="Arial"/>
          <w:sz w:val="16"/>
          <w:szCs w:val="16"/>
          <w:color w:val="auto"/>
        </w:rPr>
        <w:t>per share, and our net tangible book value as of June 30, 2018, if you purchase shares of common stock in this</w:t>
      </w:r>
    </w:p>
    <w:p>
      <w:pPr>
        <w:spacing w:after="0" w:line="9"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offering, you will suffer immediate and substantial dilution of $ per share with respect to the net tangible book value of the common stock. See “Dilution” for a more detailed discussion of the dilution you will incur if you purchase shares of common stock in this offering.</w:t>
      </w:r>
    </w:p>
    <w:p>
      <w:pPr>
        <w:spacing w:after="0" w:line="184"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In addition, we have a significant number of stock options outstanding, and may also choose to issue additional common stock, or securities convertible into or exchangeable for common stock, in the future. In the event that the outstanding options are exercised, or that we make additional issuances of common stock or other convertible or exchangeable securities, you could experience additional dilution.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Future sales of a substantial number of shares of our common stock by our existing stockholders could cause our stock price to decline.</w:t>
      </w:r>
    </w:p>
    <w:p>
      <w:pPr>
        <w:spacing w:after="0" w:line="14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market price of our common stock could decline as a result of sales of substantial amounts of our common stock in the public market after the closing of this offering, or the perception that these sales could occur. For example, certain of our stockholders possess rights with respect to the registration of their shares under the Securities Act of 1933, as amended, or the Securities Act. Registration of these shares under the Securities Act would result in the shares becoming freely tradable without restriction under the Securities Act.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In addition, we have a significant number of stock options outstanding. If a substantial number of shares of common stock underlying these options are sold, or if it is perceived that they will be sold, in the public market, the trading price of our common stock could decline.</w:t>
      </w: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225" w:lineRule="exact"/>
        <w:rPr>
          <w:sz w:val="20"/>
          <w:szCs w:val="20"/>
          <w:color w:val="auto"/>
        </w:rPr>
      </w:pPr>
    </w:p>
    <w:p>
      <w:pPr>
        <w:jc w:val="both"/>
        <w:ind w:left="200" w:right="300"/>
        <w:spacing w:after="0" w:line="266" w:lineRule="auto"/>
        <w:rPr>
          <w:sz w:val="20"/>
          <w:szCs w:val="20"/>
          <w:color w:val="auto"/>
        </w:rPr>
      </w:pPr>
      <w:r>
        <w:rPr>
          <w:rFonts w:ascii="Arial" w:cs="Arial" w:eastAsia="Arial" w:hAnsi="Arial"/>
          <w:sz w:val="18"/>
          <w:szCs w:val="18"/>
          <w:b w:val="1"/>
          <w:bCs w:val="1"/>
          <w:color w:val="auto"/>
        </w:rPr>
        <w:t>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7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elected to structure our initial Phase 2a clinical trials in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 results we have observed in these smaller patient populations may not be 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w:t>
      </w:r>
    </w:p>
    <w:p>
      <w:pPr>
        <w:spacing w:after="0" w:line="18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later studies may also include different design elements that could contribute to us experiencing different results than we have observed in our Phase 2a trials. In addition, the initial results we have reported from our completed Phase 2a clinical trials have included interim analyses and top-line results, which may not accurately predict the final results of the clinical trial or the results of future clinical trials. For instance, while we expect FEV1 to be an important endpoint in our later studies, our data from our Phase 2a study of severe adult eosinophilic asthma are from a single dose of drug evaluated only at timepoints through Day 64 and not at the planned Day 127 timepoint.</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 words “believe,” “may,” “will,” “potentially,” “estimate,” “continue,” “anticipate,” “intend,” “could,” “would,” “project,” “plan” “expect,” and similar expressions that convey uncertainty of future events or outcomes are intended to identify forward-looking statements.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statements are based on current expectations of future events. Such statements include, but are not limited to:</w:t>
      </w:r>
    </w:p>
    <w:p>
      <w:pPr>
        <w:spacing w:after="0" w:line="131"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etokimab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860" w:hanging="224"/>
        <w:spacing w:after="0" w:line="308"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likelihood that the clinical data generated in any study we are performing or plan to perform in a non-U.S. jurisdiction will be subsequently accepted by the FDA and its foreign regulatory authorities outside of the jurisdiction where the study was being performed;</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860" w:right="140" w:hanging="224"/>
        <w:spacing w:after="0" w:line="342"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29" w:lineRule="exact"/>
        <w:rPr>
          <w:rFonts w:ascii="Arial" w:cs="Arial" w:eastAsia="Arial" w:hAnsi="Arial"/>
          <w:sz w:val="16"/>
          <w:szCs w:val="16"/>
          <w:color w:val="auto"/>
        </w:rPr>
      </w:pPr>
    </w:p>
    <w:p>
      <w:pPr>
        <w:ind w:left="860" w:right="240" w:hanging="224"/>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etokimab and ANB019 and our other product candidates;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avoid infringing upon the intellectual property rights of others;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under the section titled “Risk Factors” and elsewhere in this prospectus supplement, the accompanying prospectus and the documents incorporated by reference into this prospectus supplement or the accompanying prospectus. You are cautioned not to place undue reliance on these forward-looking statements, which speak only as of the date made.</w:t>
      </w:r>
    </w:p>
    <w:p>
      <w:pPr>
        <w:spacing w:after="0" w:line="158" w:lineRule="exact"/>
        <w:rPr>
          <w:sz w:val="20"/>
          <w:szCs w:val="20"/>
          <w:color w:val="auto"/>
        </w:rPr>
      </w:pPr>
    </w:p>
    <w:p>
      <w:pPr>
        <w:ind w:left="200" w:right="340" w:firstLine="441"/>
        <w:spacing w:after="0" w:line="297" w:lineRule="auto"/>
        <w:rPr>
          <w:sz w:val="20"/>
          <w:szCs w:val="20"/>
          <w:color w:val="auto"/>
        </w:rPr>
      </w:pPr>
      <w:r>
        <w:rPr>
          <w:rFonts w:ascii="Arial" w:cs="Arial" w:eastAsia="Arial" w:hAnsi="Arial"/>
          <w:sz w:val="16"/>
          <w:szCs w:val="16"/>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estimate that we will receive net proceeds of approximately $189.6 million from the sale of $200.0 million of shares of our common stock in this offering, after deducting estimated underwriting discounts and commissions and estimated offering expenses payable by us. If the underwriters exercise their option to purchase up to $30.0 million of additional shares in full, we estimate that the net proceeds of the shares we sell in this offering will be approximately $218.7 million.</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currently intend to use the net proceeds we receive from this offering, together with our existing cash, cash equivalents and investments, to fund research and development activities for our clinical development programs, including, but not limited to, our ongoing and planned clinical trials for etokimab and ANB019, including related manufacturing costs, and our ongoing preclinical, discovery and research programs, and for working capital and other general corporate purposes.</w:t>
      </w:r>
    </w:p>
    <w:p>
      <w:pPr>
        <w:spacing w:after="0" w:line="18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Based on our planned use of the net proceeds, we believe that the funds from this offering, together with our existing cash, cash equivalents and investments, will be sufficient to fund our operating expenses and capital expenditure requirements through at least the end of 2020.</w:t>
      </w:r>
    </w:p>
    <w:p>
      <w:pPr>
        <w:spacing w:after="0" w:line="124"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expected use of the net proceeds from this offering represents our intentions based upon our current plans and business conditions. As of the date of this prospectus supplement,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 to do so.</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and planned preclinical studies and clinical trials,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Pending their use as described above, we intend to invest the net proceeds from this offering in short term and long-term, investment-grade interest-bearing securities such as money market accounts, certificates of deposit, commercial paper and guaranteed obligations of the U.S. government.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common stock is listed on The Nasdaq Global Select Market under the symbol “ANAB.” The following table sets forth, for the periods indicated, the reported high and low sales prices per share of our common stock as reported by The Nasdaq Global Select Market:</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LOW</w:t>
            </w: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December 31, 2017</w:t>
            </w:r>
          </w:p>
        </w:tc>
        <w:tc>
          <w:tcPr>
            <w:tcW w:w="3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First Quarter (beginning January 26, 2017)</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29.96</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$15.17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$18.15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37.62</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102.63</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$34.56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$91.01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108.57</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$66.39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(through September 21, 2018)</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$67.91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last reported sales price of our common stock on The Nasdaq Global Select Market on September 21, 2018 was $92.80 per share. On September 21, 2018, there were 17 holders of record of our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our lenders.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as adjusted net tangible book value per share of our common stock immediately after this offering.</w:t>
      </w:r>
    </w:p>
    <w:p>
      <w:pPr>
        <w:spacing w:after="0" w:line="170"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Our net tangible book value as of June 30, 2018 was approximately $285.0 million, or $11.86 per share. Net tangible book value per share is determined by dividing our total tangible assets, less total liabilities, by the number of shares of our common stock outstanding as of June 30, 2018.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54" w:lineRule="exact"/>
        <w:rPr>
          <w:sz w:val="20"/>
          <w:szCs w:val="20"/>
          <w:color w:val="auto"/>
        </w:rPr>
      </w:pPr>
    </w:p>
    <w:p>
      <w:pPr>
        <w:ind w:left="200" w:right="160" w:firstLine="441"/>
        <w:spacing w:after="0" w:line="274" w:lineRule="auto"/>
        <w:rPr>
          <w:sz w:val="20"/>
          <w:szCs w:val="20"/>
          <w:color w:val="auto"/>
        </w:rPr>
      </w:pPr>
      <w:r>
        <w:rPr>
          <w:rFonts w:ascii="Arial" w:cs="Arial" w:eastAsia="Arial" w:hAnsi="Arial"/>
          <w:sz w:val="17"/>
          <w:szCs w:val="17"/>
          <w:color w:val="auto"/>
        </w:rPr>
        <w:t>After giving effect to the sale of shares of our common stock at the public offering price of $ per share, and after deducting estimated underwriting discounts and commissions and estimated offering expenses, our as adjusted net tangible book value as of June 30, 2018 would</w:t>
      </w:r>
    </w:p>
    <w:tbl>
      <w:tblPr>
        <w:tblLayout w:type="fixed"/>
        <w:tblInd w:w="200" w:type="dxa"/>
        <w:tblCellMar>
          <w:top w:w="0" w:type="dxa"/>
          <w:left w:w="0" w:type="dxa"/>
          <w:bottom w:w="0" w:type="dxa"/>
          <w:right w:w="0" w:type="dxa"/>
        </w:tblCellMar>
      </w:tblPr>
      <w:tr>
        <w:trPr>
          <w:trHeight w:val="202"/>
        </w:trPr>
        <w:tc>
          <w:tcPr>
            <w:tcW w:w="2340" w:type="dxa"/>
            <w:vAlign w:val="bottom"/>
            <w:gridSpan w:val="2"/>
          </w:tcPr>
          <w:p>
            <w:pPr>
              <w:spacing w:after="0" w:line="202" w:lineRule="exact"/>
              <w:rPr>
                <w:sz w:val="20"/>
                <w:szCs w:val="20"/>
                <w:color w:val="auto"/>
              </w:rPr>
            </w:pPr>
            <w:r>
              <w:rPr>
                <w:rFonts w:ascii="Arial" w:cs="Arial" w:eastAsia="Arial" w:hAnsi="Arial"/>
                <w:sz w:val="18"/>
                <w:szCs w:val="18"/>
                <w:color w:val="auto"/>
              </w:rPr>
              <w:t>have been approximately $</w:t>
            </w:r>
          </w:p>
        </w:tc>
        <w:tc>
          <w:tcPr>
            <w:tcW w:w="1500" w:type="dxa"/>
            <w:vAlign w:val="bottom"/>
          </w:tcPr>
          <w:p>
            <w:pPr>
              <w:ind w:left="140"/>
              <w:spacing w:after="0" w:line="202" w:lineRule="exact"/>
              <w:rPr>
                <w:sz w:val="20"/>
                <w:szCs w:val="20"/>
                <w:color w:val="auto"/>
              </w:rPr>
            </w:pPr>
            <w:r>
              <w:rPr>
                <w:rFonts w:ascii="Arial" w:cs="Arial" w:eastAsia="Arial" w:hAnsi="Arial"/>
                <w:sz w:val="18"/>
                <w:szCs w:val="18"/>
                <w:color w:val="auto"/>
              </w:rPr>
              <w:t>million, or $</w:t>
            </w:r>
          </w:p>
        </w:tc>
        <w:tc>
          <w:tcPr>
            <w:tcW w:w="60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0"/>
              </w:rPr>
              <w:t>per share. This represents an immediate increase in net tangible book value of $</w:t>
            </w:r>
          </w:p>
        </w:tc>
        <w:tc>
          <w:tcPr>
            <w:tcW w:w="114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w w:val="93"/>
              </w:rPr>
              <w:t>to existing stockholders and immediate dilution of $</w:t>
            </w:r>
          </w:p>
        </w:tc>
        <w:tc>
          <w:tcPr>
            <w:tcW w:w="420" w:type="dxa"/>
            <w:vAlign w:val="bottom"/>
          </w:tcPr>
          <w:p>
            <w:pPr>
              <w:spacing w:after="0"/>
              <w:rPr>
                <w:sz w:val="18"/>
                <w:szCs w:val="18"/>
                <w:color w:val="auto"/>
              </w:rPr>
            </w:pPr>
          </w:p>
        </w:tc>
        <w:tc>
          <w:tcPr>
            <w:tcW w:w="6780" w:type="dxa"/>
            <w:vAlign w:val="bottom"/>
            <w:gridSpan w:val="5"/>
          </w:tcPr>
          <w:p>
            <w:pPr>
              <w:ind w:left="40"/>
              <w:spacing w:after="0"/>
              <w:rPr>
                <w:sz w:val="20"/>
                <w:szCs w:val="20"/>
                <w:color w:val="auto"/>
              </w:rPr>
            </w:pPr>
            <w:r>
              <w:rPr>
                <w:rFonts w:ascii="Arial" w:cs="Arial" w:eastAsia="Arial" w:hAnsi="Arial"/>
                <w:sz w:val="18"/>
                <w:szCs w:val="18"/>
                <w:color w:val="auto"/>
                <w:w w:val="96"/>
              </w:rPr>
              <w:t>per share to investors purchasing our common stock in this offering. The following table</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illustrates this dilution on a per share basis:</w:t>
            </w:r>
          </w:p>
        </w:tc>
        <w:tc>
          <w:tcPr>
            <w:tcW w:w="4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6"/>
              </w:rPr>
              <w:t>Public offering price per share</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ind w:left="340"/>
              <w:spacing w:after="0"/>
              <w:rPr>
                <w:sz w:val="20"/>
                <w:szCs w:val="20"/>
                <w:color w:val="auto"/>
              </w:rPr>
            </w:pPr>
            <w:r>
              <w:rPr>
                <w:rFonts w:ascii="Arial" w:cs="Arial" w:eastAsia="Arial" w:hAnsi="Arial"/>
                <w:sz w:val="18"/>
                <w:szCs w:val="18"/>
                <w:color w:val="auto"/>
                <w:w w:val="89"/>
              </w:rPr>
              <w:t>Net tangible book value per share as of June 30, 2018</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Increase in net tangible book value per share attributable to investors purchasing our common stock in this offering</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5"/>
          </w:tcPr>
          <w:p>
            <w:pPr>
              <w:spacing w:after="0"/>
              <w:rPr>
                <w:sz w:val="20"/>
                <w:szCs w:val="20"/>
                <w:color w:val="auto"/>
              </w:rPr>
            </w:pPr>
            <w:r>
              <w:rPr>
                <w:rFonts w:ascii="Arial" w:cs="Arial" w:eastAsia="Arial" w:hAnsi="Arial"/>
                <w:sz w:val="18"/>
                <w:szCs w:val="18"/>
                <w:color w:val="auto"/>
              </w:rPr>
              <w:t>As adjusted net tangible book value per share as of June 30, 2018 after this offering</w:t>
            </w: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common stock in this offering</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underwriters exercise their option to purchase $30.0 million of additional shares in full, the as adjusted net tangible book value per share of</w:t>
      </w:r>
    </w:p>
    <w:p>
      <w:pPr>
        <w:spacing w:after="0" w:line="46"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our common stock after giving effect to this offering would be $ per share, and the dilution in net tangible book value per share to investors purchasing common stock in this offering would be $ per share.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and discussion above are based on 24,028,504 shares outstanding as of June 30, 2018 and excludes:</w:t>
      </w:r>
    </w:p>
    <w:p>
      <w:pPr>
        <w:spacing w:after="0" w:line="131" w:lineRule="exact"/>
        <w:rPr>
          <w:sz w:val="20"/>
          <w:szCs w:val="20"/>
          <w:color w:val="auto"/>
        </w:rPr>
      </w:pPr>
    </w:p>
    <w:p>
      <w:pPr>
        <w:ind w:left="860" w:right="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2,455,234 shares of common stock issuable upon exercise of outstanding options as of June 30, 2018, with a weighted-average exercise price of $22.50 per share;</w:t>
      </w:r>
    </w:p>
    <w:p>
      <w:pPr>
        <w:spacing w:after="0" w:line="75" w:lineRule="exact"/>
        <w:rPr>
          <w:rFonts w:ascii="Arial" w:cs="Arial" w:eastAsia="Arial" w:hAnsi="Arial"/>
          <w:sz w:val="18"/>
          <w:szCs w:val="18"/>
          <w:color w:val="auto"/>
        </w:rPr>
      </w:pPr>
    </w:p>
    <w:p>
      <w:pPr>
        <w:ind w:left="860" w:right="30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65,100 shares of common stock issuable upon the exercise of options granted after June 30, 2018, with a weighted-average exercise price of $82.01 per share;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2,081,558 shares of common stock reserved for future issuance under our 2017 Equity Incentive Plan as of June 30, 2018;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455,913 shares of common stock reserved for future issuance under our 2017 Employee Stock Purchase Plan as of June 30, 2018.</w:t>
      </w:r>
    </w:p>
    <w:p>
      <w:pPr>
        <w:spacing w:after="0" w:line="237" w:lineRule="exact"/>
        <w:rPr>
          <w:sz w:val="20"/>
          <w:szCs w:val="20"/>
          <w:color w:val="auto"/>
        </w:rPr>
      </w:pPr>
    </w:p>
    <w:p>
      <w:pPr>
        <w:jc w:val="both"/>
        <w:ind w:left="200" w:right="360" w:firstLine="441"/>
        <w:spacing w:after="0" w:line="259" w:lineRule="auto"/>
        <w:rPr>
          <w:sz w:val="20"/>
          <w:szCs w:val="20"/>
          <w:color w:val="auto"/>
        </w:rPr>
      </w:pPr>
      <w:r>
        <w:rPr>
          <w:rFonts w:ascii="Arial" w:cs="Arial" w:eastAsia="Arial" w:hAnsi="Arial"/>
          <w:sz w:val="18"/>
          <w:szCs w:val="18"/>
          <w:color w:val="auto"/>
        </w:rPr>
        <w:t>To the extent that outstanding options or warrants have been or may be exercised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for investors purchasing our common stock in this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This section summarizes the material U.S. federal income tax considerations relating to the acquisition, ownership and disposition of our common stock acquired in this offering by “non-U.S. holders” (as defined below).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6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71" w:lineRule="exact"/>
        <w:rPr>
          <w:sz w:val="20"/>
          <w:szCs w:val="20"/>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partnerships or other entities treated as partnerships or pass-through entities for U.S. federal tax purposes (or investors in such entities);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860" w:right="66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860" w:right="58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accrual method taxpayers subject to special tax accounting rules under Section 451(b) of the Code;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this summary, a “non-U.S. holder” is any beneficial owner of our common stock, other than a partnership, that is not:</w:t>
      </w:r>
    </w:p>
    <w:p>
      <w:pPr>
        <w:spacing w:after="0" w:line="142"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860" w:right="560" w:hanging="224"/>
        <w:spacing w:after="0" w:line="342" w:lineRule="auto"/>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you are a non-U.S. citizen who is an individual,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8"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w:t>
      </w:r>
    </w:p>
    <w:p>
      <w:pPr>
        <w:jc w:val="both"/>
        <w:ind w:left="200" w:right="480"/>
        <w:spacing w:after="0" w:line="281" w:lineRule="auto"/>
        <w:rPr>
          <w:sz w:val="20"/>
          <w:szCs w:val="20"/>
          <w:color w:val="auto"/>
        </w:rPr>
      </w:pPr>
      <w:r>
        <w:rPr>
          <w:rFonts w:ascii="Arial" w:cs="Arial" w:eastAsia="Arial" w:hAnsi="Arial"/>
          <w:sz w:val="16"/>
          <w:szCs w:val="16"/>
          <w:color w:val="auto"/>
        </w:rPr>
        <w:t>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dividends received by corporate non-U.S. holders that are effectively connected with a U.S. trade or business of 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corporate non-U.S. holder may also be subject to a branch profits tax at a rate of 30% or such lower rate as may be specified by an applicable tax treaty.</w:t>
      </w:r>
    </w:p>
    <w:p>
      <w:pPr>
        <w:spacing w:after="0" w:line="234"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See also the sections below titled “—Foreign Account Tax Compliance Act” and “—Backup Withholding and Information Reporting” for additional withholding rules that may apply to dividends.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 of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discussions below regarding Backup Withholding and Information Reporting and the Foreign Account Tax Compliance</w:t>
      </w:r>
    </w:p>
    <w:p>
      <w:pPr>
        <w:spacing w:after="0" w:line="23"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Act, non-U.S. holders will generally not be subject to U.S. federal income tax on any gains realized on the sale, exchange or other disposition of our common stock unless:</w:t>
      </w:r>
    </w:p>
    <w:p>
      <w:pPr>
        <w:spacing w:after="0" w:line="89" w:lineRule="exact"/>
        <w:rPr>
          <w:sz w:val="20"/>
          <w:szCs w:val="20"/>
          <w:color w:val="auto"/>
        </w:rPr>
      </w:pPr>
    </w:p>
    <w:p>
      <w:pPr>
        <w:ind w:left="860" w:right="340" w:hanging="224"/>
        <w:spacing w:after="0" w:line="286" w:lineRule="auto"/>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860" w:right="60" w:hanging="224"/>
        <w:spacing w:after="0" w:line="259"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certain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gain realized by a Non U.S. Holder on a disposition of our common stock will not be subject to U.S. federal income tax so long as (1) the Non U.S. Holder owned, directly, indirectly or constructively, no more than five percent of our common stock at all times within the shorter of (i) the five year period preceding the disposition or (ii) the holder’s holding period and (2) our common stock is regularly traded on an established securities market.</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 treaty between the United States and the non-U.S. holder’s country of residence might provide for a lower rate.</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24%. The backup withholding rules do not apply to payments to corporations, whether domestic or foreign, provided they establish such exemption.</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83"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jc w:val="center"/>
        <w:ind w:left="5540" w:right="900" w:hanging="4904"/>
        <w:spacing w:after="0" w:line="449" w:lineRule="auto"/>
        <w:tabs>
          <w:tab w:leader="none" w:pos="8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 S-24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00" w:hanging="224"/>
        <w:spacing w:after="0" w:line="279"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 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however,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LOCAL AND FOREIGN TAX CONSEQUENCES OF PURCHASING, HOLDING AND DISPOSING OF OUR COMMON STOCK, INCLUDING THE CONSEQUENCES OF ANY RECENTLY ADOPTED AND PROPOSED CHANGES IN APPLICABLE LAWS.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9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28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2980" w:type="dxa"/>
            <w:vAlign w:val="bottom"/>
          </w:tcPr>
          <w:p>
            <w:pPr>
              <w:spacing w:after="0"/>
              <w:rPr>
                <w:sz w:val="24"/>
                <w:szCs w:val="24"/>
                <w:color w:val="auto"/>
              </w:rPr>
            </w:pPr>
          </w:p>
        </w:tc>
      </w:tr>
      <w:tr>
        <w:trPr>
          <w:trHeight w:val="432"/>
        </w:trPr>
        <w:tc>
          <w:tcPr>
            <w:tcW w:w="7640" w:type="dxa"/>
            <w:vAlign w:val="bottom"/>
            <w:gridSpan w:val="2"/>
          </w:tcPr>
          <w:p>
            <w:pPr>
              <w:ind w:left="640"/>
              <w:spacing w:after="0"/>
              <w:rPr>
                <w:sz w:val="20"/>
                <w:szCs w:val="20"/>
                <w:color w:val="auto"/>
              </w:rPr>
            </w:pPr>
            <w:r>
              <w:rPr>
                <w:rFonts w:ascii="Arial" w:cs="Arial" w:eastAsia="Arial" w:hAnsi="Arial"/>
                <w:sz w:val="18"/>
                <w:szCs w:val="18"/>
                <w:color w:val="auto"/>
                <w:w w:val="95"/>
              </w:rPr>
              <w:t>Under the terms and subject to the conditions contained in an underwriting agreement dated</w:t>
            </w:r>
          </w:p>
        </w:tc>
        <w:tc>
          <w:tcPr>
            <w:tcW w:w="2980" w:type="dxa"/>
            <w:vAlign w:val="bottom"/>
          </w:tcPr>
          <w:p>
            <w:pPr>
              <w:ind w:left="380"/>
              <w:spacing w:after="0"/>
              <w:rPr>
                <w:sz w:val="20"/>
                <w:szCs w:val="20"/>
                <w:color w:val="auto"/>
              </w:rPr>
            </w:pPr>
            <w:r>
              <w:rPr>
                <w:rFonts w:ascii="Arial" w:cs="Arial" w:eastAsia="Arial" w:hAnsi="Arial"/>
                <w:sz w:val="18"/>
                <w:szCs w:val="18"/>
                <w:color w:val="auto"/>
                <w:w w:val="88"/>
              </w:rPr>
              <w:t>, 2018, we have agreed to sell to the</w:t>
            </w:r>
          </w:p>
        </w:tc>
      </w:tr>
    </w:tbl>
    <w:p>
      <w:pPr>
        <w:ind w:left="200" w:right="1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named below, for whom Credit Suisse Securities (USA) LLC, J.P. Morgan Securities LLC and Jefferies LLC are acting as representatives, the following respective numbers of shares of common stock:</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58"/>
        </w:trPr>
        <w:tc>
          <w:tcPr>
            <w:tcW w:w="10360" w:type="dxa"/>
            <w:vAlign w:val="bottom"/>
            <w:gridSpan w:val="3"/>
            <w:vMerge w:val="continue"/>
          </w:tcPr>
          <w:p>
            <w:pPr>
              <w:spacing w:after="0"/>
              <w:rPr>
                <w:sz w:val="13"/>
                <w:szCs w:val="13"/>
                <w:color w:val="auto"/>
              </w:rPr>
            </w:pPr>
          </w:p>
        </w:tc>
        <w:tc>
          <w:tcPr>
            <w:tcW w:w="6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95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Credit Suisse Securities (USA) LLC</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ectPr>
          <w:pgSz w:w="11900" w:h="16838" w:orient="portrait"/>
          <w:cols w:equalWidth="0" w:num="1">
            <w:col w:w="11240"/>
          </w:cols>
          <w:pgMar w:left="240" w:top="446" w:right="419" w:bottom="1440" w:gutter="0" w:footer="0" w:header="0"/>
        </w:sectPr>
      </w:pP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underwriting discounts and commissions.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at the public offering price less</w:t>
      </w:r>
    </w:p>
    <w:p>
      <w:pPr>
        <w:spacing w:after="0" w:line="463" w:lineRule="exact"/>
        <w:rPr>
          <w:sz w:val="20"/>
          <w:szCs w:val="20"/>
          <w:color w:val="auto"/>
        </w:rPr>
      </w:pPr>
    </w:p>
    <w:p>
      <w:pPr>
        <w:sectPr>
          <w:pgSz w:w="11900" w:h="16838" w:orient="portrait"/>
          <w:cols w:equalWidth="0" w:num="2">
            <w:col w:w="7060" w:space="580"/>
            <w:col w:w="3600"/>
          </w:cols>
          <w:pgMar w:left="240" w:top="446" w:right="419" w:bottom="1440" w:gutter="0" w:footer="0" w:header="0"/>
          <w:type w:val="continuous"/>
        </w:sectPr>
      </w:pPr>
    </w:p>
    <w:p>
      <w:pPr>
        <w:ind w:left="200" w:right="40" w:firstLine="441"/>
        <w:spacing w:after="0" w:line="264"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supplement and to selling group members at that price less a selling concession of $ per share. After the public offering the underwriters may change the public offering price and concession and discount to broker/dealers.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we will pay:</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With</w:t>
            </w:r>
          </w:p>
        </w:tc>
        <w:tc>
          <w:tcPr>
            <w:tcW w:w="380" w:type="dxa"/>
            <w:vAlign w:val="bottom"/>
          </w:tcPr>
          <w:p>
            <w:pPr>
              <w:spacing w:after="0"/>
              <w:rPr>
                <w:sz w:val="10"/>
                <w:szCs w:val="10"/>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Without</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3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us(1)</w:t>
            </w: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6"/>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488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160" w:type="dxa"/>
            <w:vAlign w:val="bottom"/>
            <w:gridSpan w:val="3"/>
          </w:tcPr>
          <w:p>
            <w:pPr>
              <w:spacing w:after="0"/>
              <w:rPr>
                <w:sz w:val="20"/>
                <w:szCs w:val="20"/>
                <w:color w:val="auto"/>
              </w:rPr>
            </w:pPr>
            <w:r>
              <w:rPr>
                <w:rFonts w:ascii="Arial" w:cs="Arial" w:eastAsia="Arial" w:hAnsi="Arial"/>
                <w:sz w:val="18"/>
                <w:szCs w:val="18"/>
                <w:color w:val="auto"/>
                <w:w w:val="97"/>
              </w:rPr>
              <w:t>(1)   The underwriters will receive an aggregate underwriting discount of up to $</w:t>
            </w:r>
          </w:p>
        </w:tc>
        <w:tc>
          <w:tcPr>
            <w:tcW w:w="4880" w:type="dxa"/>
            <w:vAlign w:val="bottom"/>
            <w:gridSpan w:val="10"/>
          </w:tcPr>
          <w:p>
            <w:pPr>
              <w:ind w:left="260"/>
              <w:spacing w:after="0"/>
              <w:rPr>
                <w:sz w:val="20"/>
                <w:szCs w:val="20"/>
                <w:color w:val="auto"/>
              </w:rPr>
            </w:pPr>
            <w:r>
              <w:rPr>
                <w:rFonts w:ascii="Arial" w:cs="Arial" w:eastAsia="Arial" w:hAnsi="Arial"/>
                <w:sz w:val="18"/>
                <w:szCs w:val="18"/>
                <w:color w:val="auto"/>
                <w:w w:val="91"/>
              </w:rPr>
              <w:t>on the shares sold pursuant to the exercise of the underwriters’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option to purchase additional shares.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gridSpan w:val="3"/>
          </w:tcPr>
          <w:p>
            <w:pPr>
              <w:ind w:left="420"/>
              <w:spacing w:after="0"/>
              <w:rPr>
                <w:sz w:val="20"/>
                <w:szCs w:val="20"/>
                <w:color w:val="auto"/>
              </w:rPr>
            </w:pPr>
            <w:r>
              <w:rPr>
                <w:rFonts w:ascii="Arial" w:cs="Arial" w:eastAsia="Arial" w:hAnsi="Arial"/>
                <w:sz w:val="18"/>
                <w:szCs w:val="18"/>
                <w:color w:val="auto"/>
                <w:w w:val="95"/>
              </w:rPr>
              <w:t>We estimate that our out of pocket expenses for this offering will be approximately $</w:t>
            </w:r>
          </w:p>
        </w:tc>
        <w:tc>
          <w:tcPr>
            <w:tcW w:w="260" w:type="dxa"/>
            <w:vAlign w:val="bottom"/>
          </w:tcPr>
          <w:p>
            <w:pPr>
              <w:spacing w:after="0"/>
              <w:rPr>
                <w:sz w:val="24"/>
                <w:szCs w:val="24"/>
                <w:color w:val="auto"/>
              </w:rPr>
            </w:pPr>
          </w:p>
        </w:tc>
        <w:tc>
          <w:tcPr>
            <w:tcW w:w="3960" w:type="dxa"/>
            <w:vAlign w:val="bottom"/>
            <w:gridSpan w:val="8"/>
          </w:tcPr>
          <w:p>
            <w:pPr>
              <w:ind w:left="60"/>
              <w:spacing w:after="0"/>
              <w:rPr>
                <w:sz w:val="20"/>
                <w:szCs w:val="20"/>
                <w:color w:val="auto"/>
              </w:rPr>
            </w:pPr>
            <w:r>
              <w:rPr>
                <w:rFonts w:ascii="Arial" w:cs="Arial" w:eastAsia="Arial" w:hAnsi="Arial"/>
                <w:sz w:val="18"/>
                <w:szCs w:val="18"/>
                <w:color w:val="auto"/>
                <w:w w:val="92"/>
              </w:rPr>
              <w:t>. We have also agreed to reimburse the underwriters</w:t>
            </w:r>
          </w:p>
        </w:tc>
        <w:tc>
          <w:tcPr>
            <w:tcW w:w="0" w:type="dxa"/>
            <w:vAlign w:val="bottom"/>
          </w:tcPr>
          <w:p>
            <w:pPr>
              <w:spacing w:after="0"/>
              <w:rPr>
                <w:sz w:val="1"/>
                <w:szCs w:val="1"/>
                <w:color w:val="auto"/>
              </w:rPr>
            </w:pPr>
          </w:p>
        </w:tc>
      </w:tr>
    </w:tbl>
    <w:p>
      <w:pPr>
        <w:ind w:left="200" w:right="60"/>
        <w:spacing w:after="0" w:line="261" w:lineRule="auto"/>
        <w:rPr>
          <w:sz w:val="20"/>
          <w:szCs w:val="20"/>
          <w:color w:val="auto"/>
        </w:rPr>
      </w:pPr>
      <w:r>
        <w:rPr>
          <w:rFonts w:ascii="Arial" w:cs="Arial" w:eastAsia="Arial" w:hAnsi="Arial"/>
          <w:sz w:val="18"/>
          <w:szCs w:val="18"/>
          <w:color w:val="auto"/>
        </w:rPr>
        <w:t>for up to $35,000 for their FINRA counsel fee. In accordance with FINRA Rule 5110, this reimbursed fee is deemed underwriting compensation for this offering. In addition, the underwriters have agreed to reimburse us for certain expenses.</w:t>
      </w:r>
    </w:p>
    <w:p>
      <w:pPr>
        <w:spacing w:after="0" w:line="184"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have agreed with the underwriters that, for a period of 90 days after the date of this prospectus supplement, and our executive officers, directors and their affiliates have agreed with the underwriters that, for a period of 45 days after the date of this prospectus supplement,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240" w:top="446" w:right="4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J.P. Morgan Securities LLC and Jefferies LLC.</w:t>
      </w:r>
    </w:p>
    <w:p>
      <w:pPr>
        <w:spacing w:after="0" w:line="16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restrictions on our executive officers and directors and their affiliates above do not apply to the following, subject to certain limitations set forth in the lock-up agreements:</w:t>
      </w:r>
    </w:p>
    <w:p>
      <w:pPr>
        <w:spacing w:after="0" w:line="76" w:lineRule="exact"/>
        <w:rPr>
          <w:sz w:val="20"/>
          <w:szCs w:val="20"/>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860" w:right="38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860" w:right="52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 or</w:t>
      </w:r>
    </w:p>
    <w:p>
      <w:pPr>
        <w:spacing w:after="0" w:line="130" w:lineRule="exact"/>
        <w:rPr>
          <w:rFonts w:ascii="Arial" w:cs="Arial" w:eastAsia="Arial" w:hAnsi="Arial"/>
          <w:sz w:val="18"/>
          <w:szCs w:val="18"/>
          <w:color w:val="auto"/>
        </w:rPr>
      </w:pPr>
    </w:p>
    <w:p>
      <w:pPr>
        <w:ind w:left="860" w:right="280" w:hanging="224"/>
        <w:spacing w:after="0" w:line="26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symbol “ANAB.”</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and passive market making in accordance with Regulation M under the Securities Exchange Act of 1934, as amended, or the Exchange Act.</w:t>
      </w:r>
    </w:p>
    <w:p>
      <w:pPr>
        <w:spacing w:after="0" w:line="87" w:lineRule="exact"/>
        <w:rPr>
          <w:sz w:val="20"/>
          <w:szCs w:val="20"/>
          <w:color w:val="auto"/>
        </w:rPr>
      </w:pPr>
    </w:p>
    <w:p>
      <w:pPr>
        <w:ind w:left="860" w:hanging="224"/>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860" w:right="20" w:hanging="224"/>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20"/>
        <w:spacing w:after="0" w:line="302" w:lineRule="auto"/>
        <w:rPr>
          <w:sz w:val="20"/>
          <w:szCs w:val="20"/>
          <w:color w:val="auto"/>
        </w:rPr>
      </w:pPr>
      <w:r>
        <w:rPr>
          <w:rFonts w:ascii="Arial" w:cs="Arial" w:eastAsia="Arial" w:hAnsi="Arial"/>
          <w:sz w:val="16"/>
          <w:szCs w:val="16"/>
          <w:color w:val="auto"/>
        </w:rPr>
        <w:t>be either a covered short position or a naked short position. In a covered short position, the number of shares over-allotted by the underwriters is not greater than the number of additional shares that they have 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60" w:lineRule="exact"/>
        <w:rPr>
          <w:sz w:val="20"/>
          <w:szCs w:val="20"/>
          <w:color w:val="auto"/>
        </w:rPr>
      </w:pPr>
    </w:p>
    <w:p>
      <w:pPr>
        <w:ind w:left="860" w:hanging="224"/>
        <w:spacing w:after="0" w:line="272"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3" w:lineRule="exact"/>
        <w:rPr>
          <w:rFonts w:ascii="Arial" w:cs="Arial" w:eastAsia="Arial" w:hAnsi="Arial"/>
          <w:sz w:val="17"/>
          <w:szCs w:val="17"/>
          <w:color w:val="auto"/>
        </w:rPr>
      </w:pPr>
    </w:p>
    <w:p>
      <w:pPr>
        <w:ind w:left="860" w:right="40" w:hanging="224"/>
        <w:spacing w:after="0" w:line="30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860" w:right="20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6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Any distributor subject to MiFID II that is offering, selling or recommending the shares is responsible for undertaking its own target market assessment in respect of the shares and determining its own distribution channels for the purposes of the MiFID product governance rules under Commission Delegated Directive (EU) 2017/593 (“Delegated Directive”). Neither the issuer nor the underwriters make any representations or warranties as to a distributor’s compliance with the Delegated Directive.</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securities which are the subject of the offering contemplated by this prospectus supplement to the public in that Relevant Member State other than:</w:t>
      </w:r>
    </w:p>
    <w:p>
      <w:pPr>
        <w:spacing w:after="0" w:line="9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any underwriter to publish a prospectus pursuant to Article 3 of the Prospectus Directive.</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6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860" w:right="240" w:hanging="224"/>
        <w:spacing w:after="0" w:line="308" w:lineRule="auto"/>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without the benefit of a prospectus qualified under those securities laws as it is an “accredited investor” as defined under National Instrument 45-106—Prospectus Exemptions,</w:t>
      </w:r>
    </w:p>
    <w:p>
      <w:pPr>
        <w:spacing w:after="0" w:line="51" w:lineRule="exact"/>
        <w:rPr>
          <w:rFonts w:ascii="Arial" w:cs="Arial" w:eastAsia="Arial" w:hAnsi="Arial"/>
          <w:sz w:val="17"/>
          <w:szCs w:val="17"/>
          <w:color w:val="auto"/>
        </w:rPr>
      </w:pPr>
    </w:p>
    <w:p>
      <w:pPr>
        <w:ind w:left="860" w:right="74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Canadian purchasers are hereby notified that the underwriters are relying on the exemption set out in section 3A.3 or 3A.4, if applicable, of National Instrument 33-105—</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from having to provide certain conflict of interest disclosure in this document.</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Neither this prospectus supplement nor any other offering material relating to the securities described in this prospectus supplement has been submitted to the clearance procedures of the Autorité des Marchés Financiers or of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supplement nor any other offering material relating to the securities has been or will be:</w:t>
      </w:r>
    </w:p>
    <w:p>
      <w:pPr>
        <w:spacing w:after="0" w:line="60" w:lineRule="exact"/>
        <w:rPr>
          <w:sz w:val="20"/>
          <w:szCs w:val="20"/>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860" w:right="160" w:hanging="224"/>
        <w:spacing w:after="0" w:line="286"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securities to the public in France.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80" w:hanging="224"/>
        <w:spacing w:after="0" w:line="264"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80" w:hanging="224"/>
        <w:spacing w:after="0" w:line="342"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2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securities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Republic of Italy</w:t>
      </w:r>
    </w:p>
    <w:p>
      <w:pPr>
        <w:spacing w:after="0" w:line="121" w:lineRule="exact"/>
        <w:rPr>
          <w:sz w:val="20"/>
          <w:szCs w:val="20"/>
          <w:color w:val="auto"/>
        </w:rPr>
      </w:pPr>
    </w:p>
    <w:p>
      <w:pPr>
        <w:jc w:val="both"/>
        <w:ind w:left="200" w:right="380" w:firstLine="441"/>
        <w:spacing w:after="0" w:line="286" w:lineRule="auto"/>
        <w:rPr>
          <w:sz w:val="20"/>
          <w:szCs w:val="20"/>
          <w:color w:val="auto"/>
        </w:rPr>
      </w:pPr>
      <w:r>
        <w:rPr>
          <w:rFonts w:ascii="Arial" w:cs="Arial" w:eastAsia="Arial" w:hAnsi="Arial"/>
          <w:sz w:val="17"/>
          <w:szCs w:val="17"/>
          <w:color w:val="auto"/>
        </w:rPr>
        <w:t xml:space="preserve">The offering of securities has not been registered with the </w:t>
      </w:r>
      <w:r>
        <w:rPr>
          <w:rFonts w:ascii="Arial" w:cs="Arial" w:eastAsia="Arial" w:hAnsi="Arial"/>
          <w:sz w:val="17"/>
          <w:szCs w:val="17"/>
          <w:i w:val="1"/>
          <w:iCs w:val="1"/>
          <w:color w:val="auto"/>
        </w:rPr>
        <w:t>Commissione Nazionale per le Società e la Borsa</w:t>
      </w:r>
      <w:r>
        <w:rPr>
          <w:rFonts w:ascii="Arial" w:cs="Arial" w:eastAsia="Arial" w:hAnsi="Arial"/>
          <w:sz w:val="17"/>
          <w:szCs w:val="17"/>
          <w:color w:val="auto"/>
        </w:rPr>
        <w:t xml:space="preserve"> (“CONSOB”) pursuant to Italian securities legislation and, accordingly, no securities may be offered, sold or delivered, nor copies of this prospectus supplement, the accompanying prospectus or any other documents relating to the securities may not be distributed in Italy except:</w:t>
      </w:r>
    </w:p>
    <w:p>
      <w:pPr>
        <w:spacing w:after="0" w:line="71" w:lineRule="exact"/>
        <w:rPr>
          <w:sz w:val="20"/>
          <w:szCs w:val="20"/>
          <w:color w:val="auto"/>
        </w:rPr>
      </w:pPr>
    </w:p>
    <w:p>
      <w:pPr>
        <w:ind w:left="1060" w:right="160" w:hanging="424"/>
        <w:spacing w:after="0" w:line="291"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24 February 1998, as amended (the “Decree No. 58”) and defined in Article 26, paragraph 1, letter d) of CONSOB Regulation No. 16190 of 29 October 2007, as amended (“Regulation</w:t>
      </w:r>
    </w:p>
    <w:p>
      <w:pPr>
        <w:ind w:left="1060" w:right="40"/>
        <w:spacing w:after="0" w:line="261" w:lineRule="auto"/>
        <w:rPr>
          <w:rFonts w:ascii="Arial" w:cs="Arial" w:eastAsia="Arial" w:hAnsi="Arial"/>
          <w:sz w:val="16"/>
          <w:szCs w:val="16"/>
          <w:color w:val="auto"/>
        </w:rPr>
      </w:pPr>
      <w:r>
        <w:rPr>
          <w:rFonts w:ascii="Arial" w:cs="Arial" w:eastAsia="Arial" w:hAnsi="Arial"/>
          <w:sz w:val="18"/>
          <w:szCs w:val="18"/>
          <w:color w:val="auto"/>
        </w:rPr>
        <w:t>No. 16190”) pursuant to Article 34-ter, paragraph 1, letter. b) of CONSOB Regulation No. 11971 of 14 May 1999, as amended (“Regulation No. 11971”); or</w:t>
      </w:r>
    </w:p>
    <w:p>
      <w:pPr>
        <w:spacing w:after="0" w:line="89" w:lineRule="exact"/>
        <w:rPr>
          <w:rFonts w:ascii="Arial" w:cs="Arial" w:eastAsia="Arial" w:hAnsi="Arial"/>
          <w:sz w:val="16"/>
          <w:szCs w:val="16"/>
          <w:color w:val="auto"/>
        </w:rPr>
      </w:pPr>
    </w:p>
    <w:p>
      <w:pPr>
        <w:ind w:left="1060" w:right="50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Any offer, sale or delivery of the securities or distribution of copies of this prospectus supplement, the accompanying prospectus or any other documents relating to the securities in the Republic of Italy must be:</w:t>
      </w:r>
    </w:p>
    <w:p>
      <w:pPr>
        <w:spacing w:after="0" w:line="76" w:lineRule="exact"/>
        <w:rPr>
          <w:sz w:val="20"/>
          <w:szCs w:val="20"/>
          <w:color w:val="auto"/>
        </w:rPr>
      </w:pPr>
    </w:p>
    <w:p>
      <w:pPr>
        <w:ind w:left="1060" w:hanging="424"/>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left="200" w:right="680" w:firstLine="441"/>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securities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Furthermore, securities which are initially offered and placed in Italy or abroad to qualified investors only but in the following year are regularly (“</w:t>
      </w:r>
      <w:r>
        <w:rPr>
          <w:rFonts w:ascii="Arial" w:cs="Arial" w:eastAsia="Arial" w:hAnsi="Arial"/>
          <w:sz w:val="16"/>
          <w:szCs w:val="16"/>
          <w:i w:val="1"/>
          <w:iCs w:val="1"/>
          <w:color w:val="auto"/>
        </w:rPr>
        <w:t>sistematicamente</w:t>
      </w:r>
      <w:r>
        <w:rPr>
          <w:rFonts w:ascii="Arial" w:cs="Arial" w:eastAsia="Arial" w:hAnsi="Arial"/>
          <w:sz w:val="16"/>
          <w:szCs w:val="16"/>
          <w:color w:val="auto"/>
        </w:rPr>
        <w:t>”) distributed on the secondary market in Italy to non-qualified investors become subject to the public offer and the prospectus requirement rules provided under Decree No. 58 and Regulation No. 11971. Failure to comply with such rules may result in the sale of the securities being declared null and void and in the liability of the intermediary transferring the securities for any damages suffered by such non-qualified investors.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This prospectus supplement does not constitute a Prospectus Directive-compliant prospectus in accordance with the German Securities Prospectus Act (</w:t>
      </w:r>
      <w:r>
        <w:rPr>
          <w:rFonts w:ascii="Arial" w:cs="Arial" w:eastAsia="Arial" w:hAnsi="Arial"/>
          <w:sz w:val="18"/>
          <w:szCs w:val="18"/>
          <w:i w:val="1"/>
          <w:iCs w:val="1"/>
          <w:color w:val="auto"/>
        </w:rPr>
        <w:t>Wertpapierprospektgesetz</w:t>
      </w:r>
      <w:r>
        <w:rPr>
          <w:rFonts w:ascii="Arial" w:cs="Arial" w:eastAsia="Arial" w:hAnsi="Arial"/>
          <w:sz w:val="18"/>
          <w:szCs w:val="18"/>
          <w:color w:val="auto"/>
        </w:rPr>
        <w:t>) and does therefore not allow any public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offering in the Federal Republic of Germany (“Germany”) or any other Relevant Member State pursuant to § 17 and § 18 of the German Securities Prospectus Act. No action has been or will be taken in Germany that would permit a public offering of the securities, or distribution of a prospectus or any other offering material relating to the securities. In particular, no securities prospectus (</w:t>
      </w:r>
      <w:r>
        <w:rPr>
          <w:rFonts w:ascii="Arial" w:cs="Arial" w:eastAsia="Arial" w:hAnsi="Arial"/>
          <w:sz w:val="18"/>
          <w:szCs w:val="18"/>
          <w:i w:val="1"/>
          <w:iCs w:val="1"/>
          <w:color w:val="auto"/>
        </w:rPr>
        <w:t>Wertpapierprospekt</w:t>
      </w:r>
      <w:r>
        <w:rPr>
          <w:rFonts w:ascii="Arial" w:cs="Arial" w:eastAsia="Arial" w:hAnsi="Arial"/>
          <w:sz w:val="18"/>
          <w:szCs w:val="18"/>
          <w:color w:val="auto"/>
        </w:rPr>
        <w:t>) within the meaning of the German Securities Prospectus Act or any other applicable laws of Germany, has been or will be published within Germany, nor has this prospectus supplement been filed with or approved by the German Federal Financial Supervisory Authority (</w:t>
      </w:r>
      <w:r>
        <w:rPr>
          <w:rFonts w:ascii="Arial" w:cs="Arial" w:eastAsia="Arial" w:hAnsi="Arial"/>
          <w:sz w:val="18"/>
          <w:szCs w:val="18"/>
          <w:i w:val="1"/>
          <w:iCs w:val="1"/>
          <w:color w:val="auto"/>
        </w:rPr>
        <w:t>Bundesanstalt für Finanzdienstleistungsaufsicht</w:t>
      </w:r>
      <w:r>
        <w:rPr>
          <w:rFonts w:ascii="Arial" w:cs="Arial" w:eastAsia="Arial" w:hAnsi="Arial"/>
          <w:sz w:val="18"/>
          <w:szCs w:val="18"/>
          <w:color w:val="auto"/>
        </w:rPr>
        <w:t>) for publication within Germany.</w:t>
      </w:r>
    </w:p>
    <w:p>
      <w:pPr>
        <w:spacing w:after="0" w:line="193"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Each manager will represent, agree and undertake, (i) that it has not offered, sold or delivered and will not offer, sell or deliver the securities within Germany other than in accordance with the German Securities Prospectus 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and any other applicable laws in Germany governing the issue, sale and offering of securities, and (ii) that it will distribute in Germany any offering material relating to the securities only under circumstances that will result in compliance with the applicable rules and regulations of Germany.</w:t>
      </w:r>
    </w:p>
    <w:p>
      <w:pPr>
        <w:spacing w:after="0" w:line="17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This prospectus supplement is strictly for use of the person who has received it. It may not be forwarded to other persons or published in Germany.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information contained in this prospectus supplement and the accompanying prospectus do not constitute a public offer of securities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notes which are the subject of the offering contemplated by this offering memorandum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Kingdom of Saudi Arabia</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Offers of Securities Regulations issued by the Capital Market Authority of Saudi Arabia (the “Capital Market Authority”). The Capital Market Authority does not make any representations as to the accuracy or completeness of this prospectus supplement, and expressly disclaims any liability whatsoever for</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any loss arising from, or incurred in reliance upon, any part of this prospectus supplement. Prospective purchasers of the securities offered hereby should conduct their own due diligence on the accuracy of the information relating to the securities. If a prospective purchaser does not understand the contents of this prospectus supplement he or she should consult an authorised financial adviser. By accepting this prospectus supplement and other information relating to the offering of the securities in the Kingdom of Saudi Arabia, each recipient represents that he is a “sophisticated investor”, as set out in the prospectus supplement.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This prospectus supplement does not constitute a prospectus under the Israeli Securities Law, 5728-1968, and has not been filed with or approved by the Israel Securities Authority. In Israel, this prospectus supplement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Due to restrictions under the securities laws of South Africa, the securities are not offered, and the offer of our securities shall not be transferred, sold, renounced or delivered, in South Africa or to a person with an address in South Africa, unless one or other of the following exemptions applies:</w:t>
      </w:r>
    </w:p>
    <w:p>
      <w:pPr>
        <w:spacing w:after="0" w:line="29" w:lineRule="exact"/>
        <w:rPr>
          <w:sz w:val="20"/>
          <w:szCs w:val="20"/>
          <w:color w:val="auto"/>
        </w:rPr>
      </w:pPr>
    </w:p>
    <w:p>
      <w:pPr>
        <w:ind w:left="1060" w:right="140" w:hanging="424"/>
        <w:spacing w:after="0" w:line="25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authorized services provider or financial institution, acting as agent in the capacity of an authorized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 A South African resident person or company or any non-South African company which is a subsidiary of a South African company is not permitted to acquire the securities unless such person has obtained exchange control approval to do so.</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1060" w:right="34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60" w:right="160" w:hanging="424"/>
        <w:spacing w:after="0" w:line="308"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2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620" w:right="30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w:t>
      </w:r>
    </w:p>
    <w:p>
      <w:pPr>
        <w:ind w:left="200" w:right="240"/>
        <w:spacing w:after="0" w:line="302" w:lineRule="auto"/>
        <w:rPr>
          <w:sz w:val="20"/>
          <w:szCs w:val="20"/>
          <w:color w:val="auto"/>
        </w:rPr>
      </w:pPr>
      <w:r>
        <w:rPr>
          <w:rFonts w:ascii="Arial" w:cs="Arial" w:eastAsia="Arial" w:hAnsi="Arial"/>
          <w:sz w:val="16"/>
          <w:szCs w:val="16"/>
          <w:color w:val="auto"/>
        </w:rPr>
        <w:t>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Residents of Malaysia</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securities may not be offered for subscription or purchase and no invitation to subscribe for or purchase such Certificates in Malaysia may be made, directly or indirectly, and this prospectus supplement or any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document or other materials in connection therewith may not be distributed in Malaysia other than to persons falling within the categories specified under Schedule 6 or Section 229(l)(b), Schedule 7 or Section 230(l)(b) and Schedule 8 or Section 257(3) of the Capital Market and Services Act, 2007 of Malaysia. The Securities Commission of Malaysia shall not be liable for any non-disclosure on the part of the Issuer and assumes no responsibility for the correctness of any statements made or opinions or reports expressed in this prospectus supplement.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This prospectus supplement does not constitute a public offer of the securities offered by this prospectus supplement, whether by sale or subscription, in the People’s Republic of China, or the PRC. The securities are not being offered or sold directly or indirectly in the PRC to or for the benefit of, legal or natural persons of the PRC.</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This prospectus supplement does not constitute an invitation or offer to the public in the Cayman Islands of the securities, whether by way of sale or subscription. The underwriters have not offered or sold, and will not offer or sell, directly or indirectly, any securities in the Cayman Islands.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securities offered by this prospectus supplement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4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This prospectus supplement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 (b) who has signed a declaration that he, whether individually or jointly with his spouse, has net worth in excess of US$1,000,000 and that he consents to being treated as a professional investor.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Fenwick &amp; West LLP, San Francisco, California. Certain legal matters relating to the offering will be passed upon for the underwriters by Cooley LLP, San Diego, California.</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consolidated financial statements of AnaptysBio, Inc. as of December 31, 2017 and 2016, and for each of the years in the three-year period ended December 31, 2017, have been incorporated by reference herein and in the registration statement in reliance upon the report of KPMG LLP, an independent registered public accounting firm, incorporated by reference herein, and upon the authority of said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and are required to file annual, quarterly and other reports, proxy statements and other information with the SEC. You may request copies of these reports, proxy statements and other information without charge, by written or telephonic request directed to AnaptysBio, Inc., Attn: Investor Relations, 10421 Pacific Center Court, Suite 200, San Diego, CA 92121, telephone (858) 362-6295. You may also inspect and copy these reports, proxy statements and other information at the public reference facilities maintained by the SEC in Washington, D.C., 100 F Street N.E., Washington, D.C. 20549. Copies of such materials can be obtained from the SEC’s public reference section at prescribed rates. You may obtain information on the operation of the public reference rooms by calling the SEC at (800) SEC-0330. Additionally, the SEC maintains an Internet site (https://www.sec.gov) that contains reports, proxy and information statements, and various other information about us. You may also inspect the documents described herein at our principal executive offices, 10421 Pacific Center Court, Suite 200, San Diego, CA 92121, during normal business hours.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Information about us is also available at our website at https://www.anaptysbio.com. However, the information on, or that can be accessed through, our website is not a part of this prospectus supplement or the accompanying prospectus and is not incorporated by reference into this prospectus supplement (other than those filings with the SEC that we specifically incorporate by reference into this prospectus supplement or accompanying prospectus).</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the accompanying prospectus, and information we file later with the SEC will automatically update and supersede this information. We incorporate by reference the documents listed below and any future filings we make with the SEC under Section 13(a), 13(c), 14, or 15(d) of the Exchange Act prior to the termination of any offering of securities made by this prospectus supplement:</w:t>
      </w:r>
    </w:p>
    <w:p>
      <w:pPr>
        <w:spacing w:after="0" w:line="78" w:lineRule="exact"/>
        <w:rPr>
          <w:sz w:val="20"/>
          <w:szCs w:val="20"/>
          <w:color w:val="auto"/>
        </w:rPr>
      </w:pPr>
    </w:p>
    <w:p>
      <w:pPr>
        <w:ind w:left="860" w:hanging="224"/>
        <w:spacing w:after="0" w:line="264"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5, 2018 (as amended on September 14, 2018), including certain information incorporated by reference therein from our Definitive Proxy Statement for our 2018 annual meeting of stockholders filed with the SEC on April 26, 2018;</w:t>
      </w:r>
    </w:p>
    <w:p>
      <w:pPr>
        <w:spacing w:after="0" w:line="86"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and June 30, 2018, filed with the SEC on May 8, 2018 (as amended on September 14, 2018) and August 7, 2018 (as amended on September 14, 2018), respectively</w:t>
      </w:r>
    </w:p>
    <w:p>
      <w:pPr>
        <w:spacing w:after="0" w:line="75"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 2018, March 5, 2018, March 20, 2018, May 23, 2018 and June 12, 2018 (in each case, except for information contained therein that is furnished rather than filed); and</w:t>
      </w:r>
    </w:p>
    <w:p>
      <w:pPr>
        <w:spacing w:after="0" w:line="75" w:lineRule="exact"/>
        <w:rPr>
          <w:rFonts w:ascii="Arial" w:cs="Arial" w:eastAsia="Arial" w:hAnsi="Arial"/>
          <w:sz w:val="18"/>
          <w:szCs w:val="18"/>
          <w:color w:val="auto"/>
        </w:rPr>
      </w:pPr>
    </w:p>
    <w:p>
      <w:pPr>
        <w:ind w:left="860" w:right="520" w:hanging="224"/>
        <w:spacing w:after="0" w:line="308" w:lineRule="auto"/>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with the SEC on January 17, 2017 under Section 12 of the Exchange Act, including any amendment or report filed for the purpose of updating such description.</w:t>
      </w:r>
    </w:p>
    <w:p>
      <w:pPr>
        <w:spacing w:after="0" w:line="14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Upon written or oral request, we will provide without charge to each person, including any beneficial owner, to whom this prospectus supplement and the accompanying prospectus are delivered, a copy of any or all of such information that has been incorporated herein by reference (other than exhibits to such documents unless such exhibits are specifically incorporated by reference into the documents that this prospectus supplement and accompanying prospectus incorporates). Written or oral requests for copies should be directed AnaptysBio, Inc., Attn: Investor Relations, 10421 Pacific Center Court, Suite 200, San Diego, CA 92121, telephone (858) 362-6295. See the section of this prospectus supplement entitled “Where You Can Find More Information” for information concerning how to read and obtain copies of materials that we file with the SEC at the SEC’s public offices.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AnaptysBio, Inc.</w:t>
      </w: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From time to time, we may offer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w:t>
      </w:r>
    </w:p>
    <w:p>
      <w:pPr>
        <w:spacing w:after="0" w:line="17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traded on the Nasdaq Global Market under the symbol “ANAB.”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0" w:right="40"/>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An investment in our securities involves a high degree of risk. You should carefully consider the information under the heading “</w:t>
      </w:r>
      <w:hyperlink w:anchor="page4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6 of this prospectus before investing in our securities.</w:t>
      </w:r>
    </w:p>
    <w:p>
      <w:pPr>
        <w:spacing w:after="0" w:line="152"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74" w:lineRule="exact"/>
        <w:rPr>
          <w:sz w:val="20"/>
          <w:szCs w:val="20"/>
          <w:color w:val="auto"/>
        </w:rPr>
      </w:pPr>
    </w:p>
    <w:p>
      <w:pPr>
        <w:ind w:left="200" w:right="48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5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date of this prospectus is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ABOUT THIS PROSPECTUS</w:t>
              </w:r>
            </w:hyperlink>
          </w:p>
        </w:tc>
        <w:tc>
          <w:tcPr>
            <w:tcW w:w="2140" w:type="dxa"/>
            <w:vAlign w:val="bottom"/>
            <w:gridSpan w:val="8"/>
          </w:tcPr>
          <w:p>
            <w:pPr>
              <w:spacing w:after="0"/>
              <w:rPr>
                <w:sz w:val="22"/>
                <w:szCs w:val="22"/>
                <w:color w:val="auto"/>
              </w:rPr>
            </w:pPr>
          </w:p>
        </w:tc>
        <w:tc>
          <w:tcPr>
            <w:tcW w:w="6200" w:type="dxa"/>
            <w:vAlign w:val="bottom"/>
          </w:tcPr>
          <w:p>
            <w:pPr>
              <w:spacing w:after="0"/>
              <w:rPr>
                <w:sz w:val="22"/>
                <w:szCs w:val="2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PROSPECTUS SUMMARY</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RATIO OF EARNINGS TO FIXED CHARGES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RISK FACTORS</w:t>
              </w:r>
            </w:hyperlink>
          </w:p>
        </w:tc>
        <w:tc>
          <w:tcPr>
            <w:tcW w:w="2240" w:type="dxa"/>
            <w:vAlign w:val="bottom"/>
            <w:tcBorders>
              <w:top w:val="single" w:sz="8" w:color="0000EE"/>
            </w:tcBorders>
            <w:gridSpan w:val="11"/>
          </w:tcPr>
          <w:p>
            <w:pPr>
              <w:spacing w:after="0"/>
              <w:rPr>
                <w:sz w:val="24"/>
                <w:szCs w:val="24"/>
                <w:color w:val="auto"/>
              </w:rPr>
            </w:pPr>
          </w:p>
        </w:tc>
        <w:tc>
          <w:tcPr>
            <w:tcW w:w="880" w:type="dxa"/>
            <w:vAlign w:val="bottom"/>
            <w:gridSpan w:val="2"/>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FORWARD-LOOKING STATEMENTS</w:t>
              </w:r>
            </w:hyperlink>
          </w:p>
        </w:tc>
        <w:tc>
          <w:tcPr>
            <w:tcW w:w="1440" w:type="dxa"/>
            <w:vAlign w:val="bottom"/>
            <w:gridSpan w:val="5"/>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8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WHERE YOU CAN FIND MORE INFORMATION</w:t>
              </w:r>
            </w:hyperlink>
          </w:p>
        </w:tc>
        <w:tc>
          <w:tcPr>
            <w:tcW w:w="56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3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INCORPORATION OF INFORMATION BY REFERENCE</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304"/>
        </w:trPr>
        <w:tc>
          <w:tcPr>
            <w:tcW w:w="20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PLAN OF DISTRIBUTION</w:t>
              </w:r>
            </w:hyperlink>
          </w:p>
        </w:tc>
        <w:tc>
          <w:tcPr>
            <w:tcW w:w="2300" w:type="dxa"/>
            <w:vAlign w:val="bottom"/>
            <w:gridSpan w:val="9"/>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DESCRIPTION OF CAPITAL STOCK</w:t>
              </w:r>
            </w:hyperlink>
          </w:p>
        </w:tc>
        <w:tc>
          <w:tcPr>
            <w:tcW w:w="1500" w:type="dxa"/>
            <w:vAlign w:val="bottom"/>
            <w:gridSpan w:val="6"/>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DEBT SECURITIES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3020" w:type="dxa"/>
            <w:vAlign w:val="bottom"/>
            <w:tcBorders>
              <w:top w:val="single" w:sz="8" w:color="0000EE"/>
            </w:tcBorders>
            <w:gridSpan w:val="1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DESCRIPTION OF WARRANTS</w:t>
              </w:r>
            </w:hyperlink>
          </w:p>
        </w:tc>
        <w:tc>
          <w:tcPr>
            <w:tcW w:w="1360" w:type="dxa"/>
            <w:vAlign w:val="bottom"/>
            <w:gridSpan w:val="4"/>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DESCRIPTION OF SUBSCRIPTION RIGHTS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3460" w:type="dxa"/>
            <w:vAlign w:val="bottom"/>
            <w:tcBorders>
              <w:top w:val="single" w:sz="8" w:color="0000EE"/>
            </w:tcBorders>
            <w:gridSpan w:val="1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DESCRIPTION OF UNITS</w:t>
              </w:r>
            </w:hyperlink>
          </w:p>
        </w:tc>
        <w:tc>
          <w:tcPr>
            <w:tcW w:w="920" w:type="dxa"/>
            <w:vAlign w:val="bottom"/>
            <w:gridSpan w:val="3"/>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LEGAL MATTERS</w:t>
              </w:r>
            </w:hyperlink>
          </w:p>
        </w:tc>
        <w:tc>
          <w:tcPr>
            <w:tcW w:w="560" w:type="dxa"/>
            <w:vAlign w:val="bottom"/>
            <w:tcBorders>
              <w:top w:val="single" w:sz="8" w:color="0000EE"/>
            </w:tcBorders>
            <w:gridSpan w:val="2"/>
          </w:tcPr>
          <w:p>
            <w:pPr>
              <w:spacing w:after="0"/>
              <w:rPr>
                <w:sz w:val="24"/>
                <w:szCs w:val="24"/>
                <w:color w:val="auto"/>
              </w:rPr>
            </w:pPr>
          </w:p>
        </w:tc>
        <w:tc>
          <w:tcPr>
            <w:tcW w:w="2360" w:type="dxa"/>
            <w:vAlign w:val="bottom"/>
            <w:gridSpan w:val="10"/>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gridSpan w:val="2"/>
          </w:tcPr>
          <w:p>
            <w:pPr>
              <w:jc w:val="right"/>
              <w:ind w:right="535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(the SEC) as a “well-known seasoned issuer” as defined in Rule 405 under the Securities Act of 1933, as amended (Securities Act) using a “shelf” registration process. Under this shelf registration process, from time to time, we may sell any combination of the securities described in this prospectus in one or more offerings, in amounts, at prices, and on the terms that we will determine at the time of the offering and which will be set forth in a prospectus supplement and any related free writing prospectus.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Any statement that we make in this prospectus will be modified or superseded by any inconsistent statement made by us in a prospectus supplement. This prospectus, together with the applicable prospectus supplements and the documents incorporated by reference into this prospectus, includes all material information relating to this offering.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1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29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p>
    <w:p>
      <w:pPr>
        <w:spacing w:after="0" w:line="6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In this prospectus, unless the context otherwise requires, the terms “AnaptysBio,” the “Company,” “we,” “us,” and “our” refer to AnaptysBio, Inc., a Delaware corporation.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i w:val="1"/>
          <w:iCs w:val="1"/>
          <w:color w:val="auto"/>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in vitro.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78" w:lineRule="exact"/>
        <w:rPr>
          <w:sz w:val="20"/>
          <w:szCs w:val="20"/>
          <w:color w:val="auto"/>
        </w:rPr>
      </w:pPr>
    </w:p>
    <w:p>
      <w:pPr>
        <w:ind w:left="380" w:right="120" w:firstLine="426"/>
        <w:spacing w:after="0" w:line="288" w:lineRule="auto"/>
        <w:rPr>
          <w:sz w:val="20"/>
          <w:szCs w:val="20"/>
          <w:color w:val="auto"/>
        </w:rPr>
      </w:pPr>
      <w:r>
        <w:rPr>
          <w:rFonts w:ascii="Arial" w:cs="Arial" w:eastAsia="Arial" w:hAnsi="Arial"/>
          <w:sz w:val="16"/>
          <w:szCs w:val="16"/>
          <w:color w:val="auto"/>
        </w:rPr>
        <w:t>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the results of which were presented at the 2017 American Academy of Dermatology Annual Meeting and the American Academy of Allergy, Asthma and 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ex vivo pharmacodynamic assay. We have subsequently completed enrollment of a Phase 2a trial of ANB020 in 12 moderate-to-severe adult atopic dermatitis patients, under an approved Clinical Trial Authorisation, or CTA, with the U.K. Medicines and Healthcare Products Regulatory Agency, or MHRA, and announced top-line data from an interim analysis of this trial in October 2017.</w:t>
      </w:r>
    </w:p>
    <w:p>
      <w:pPr>
        <w:spacing w:after="0" w:line="169"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197" w:lineRule="exact"/>
        <w:rPr>
          <w:sz w:val="20"/>
          <w:szCs w:val="20"/>
          <w:color w:val="auto"/>
        </w:rPr>
      </w:pPr>
    </w:p>
    <w:p>
      <w:pPr>
        <w:jc w:val="both"/>
        <w:ind w:left="380" w:right="100" w:firstLine="426"/>
        <w:spacing w:after="0" w:line="276" w:lineRule="auto"/>
        <w:rPr>
          <w:sz w:val="20"/>
          <w:szCs w:val="20"/>
          <w:color w:val="auto"/>
        </w:rPr>
      </w:pPr>
      <w:r>
        <w:rPr>
          <w:rFonts w:ascii="Arial" w:cs="Arial" w:eastAsia="Arial" w:hAnsi="Arial"/>
          <w:sz w:val="17"/>
          <w:szCs w:val="17"/>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 reached EASI-50 and pruritus was reduced by 28%, which was sustained until Day 57 when 75% of patients achieved EASI-50; pruritus was reduced by 22% at Day 57. All 12 patients achieved EASI-50 at one or more time points through Day 57 post-ANB020 administration. Exploratory biomarker assessment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193"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7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As of October 31, 2017, we completed 75 percent enrollment of this trial and top-line data are expected in the first quarter of 2018.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165" w:lineRule="exact"/>
        <w:rPr>
          <w:sz w:val="20"/>
          <w:szCs w:val="20"/>
          <w:color w:val="auto"/>
        </w:rPr>
      </w:pPr>
    </w:p>
    <w:p>
      <w:pPr>
        <w:ind w:left="380" w:right="60" w:firstLine="426"/>
        <w:spacing w:after="0" w:line="269" w:lineRule="auto"/>
        <w:rPr>
          <w:sz w:val="20"/>
          <w:szCs w:val="20"/>
          <w:color w:val="auto"/>
        </w:rPr>
      </w:pPr>
      <w:r>
        <w:rPr>
          <w:rFonts w:ascii="Arial" w:cs="Arial" w:eastAsia="Arial" w:hAnsi="Arial"/>
          <w:sz w:val="17"/>
          <w:szCs w:val="17"/>
          <w:color w:val="auto"/>
        </w:rPr>
        <w:t>ANB019 inhibits the interleukin-36 receptor, or IL-36R, for the treatment of rare inflammatory diseases including generalized pustular psoriasis, or GPP, and palmo-plantar pustular psoriasis, or PPP. We are currently conducting, under an approved Clinical Trial Notification, or CTN, a Phase 1 clinical trial in healthy volunteers, where 54 subjects are dosed with ANB019 and 18 are dosed with placebo in single and multi-dose cohorts at various subcutaneous and intravenously administered dose levels. In November 2017, we announced positive top-line results from an interim analysis, which showed favorable safety, pharmacokinetics and pharmacodynamic properties that support advancement of ANB019 into Phase 2 studies for generalized pustular psoriasis and palmo-plantar pustular psoriasis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 During December 2017, we submitted a CTA filing to the MHRA supporting the initiation of a 10-patient open-label multi-dose Phase 2 study of ANB019 in GPP patients. We anticipated filing an additional CTA application to support the initiation of a placebo-controlled multi-dose study of ANB019 in PPP.</w:t>
      </w:r>
    </w:p>
    <w:p>
      <w:pPr>
        <w:spacing w:after="0" w:line="183" w:lineRule="exact"/>
        <w:rPr>
          <w:sz w:val="20"/>
          <w:szCs w:val="20"/>
          <w:color w:val="auto"/>
        </w:rPr>
      </w:pPr>
    </w:p>
    <w:p>
      <w:pPr>
        <w:jc w:val="both"/>
        <w:ind w:left="380" w:right="200" w:firstLine="426"/>
        <w:spacing w:after="0" w:line="312"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Our collaborations include an immuno-oncology-focused collaboration with TESARO, Inc. and TESARO Development, Ltd., or collectively, TESARO and an inflammation-focused collaboration with Celgene Corporation, or Celgene.</w:t>
      </w:r>
    </w:p>
    <w:p>
      <w:pPr>
        <w:spacing w:after="0" w:line="147" w:lineRule="exact"/>
        <w:rPr>
          <w:sz w:val="20"/>
          <w:szCs w:val="20"/>
          <w:color w:val="auto"/>
        </w:rPr>
      </w:pPr>
    </w:p>
    <w:p>
      <w:pPr>
        <w:ind w:left="380" w:right="80" w:firstLine="426"/>
        <w:spacing w:after="0" w:line="279" w:lineRule="auto"/>
        <w:rPr>
          <w:sz w:val="20"/>
          <w:szCs w:val="20"/>
          <w:color w:val="auto"/>
        </w:rPr>
      </w:pPr>
      <w:r>
        <w:rPr>
          <w:rFonts w:ascii="Arial" w:cs="Arial" w:eastAsia="Arial" w:hAnsi="Arial"/>
          <w:sz w:val="17"/>
          <w:szCs w:val="17"/>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anti-LAG-3 antibody (TSR-033), and TESARO has initiated IND-enabling preclinical studies for an AnaptysBio generated PD-1/LAG-3 bispecific antibody, which has exhibited similar levels of T-cell activation in vitro as a combination of TSR-042 and TSR-033.</w:t>
      </w:r>
    </w:p>
    <w:p>
      <w:pPr>
        <w:spacing w:after="0" w:line="170" w:lineRule="exact"/>
        <w:rPr>
          <w:sz w:val="20"/>
          <w:szCs w:val="20"/>
          <w:color w:val="auto"/>
        </w:rPr>
      </w:pPr>
    </w:p>
    <w:p>
      <w:pPr>
        <w:ind w:left="380" w:right="120" w:firstLine="426"/>
        <w:spacing w:after="0" w:line="308" w:lineRule="auto"/>
        <w:rPr>
          <w:sz w:val="20"/>
          <w:szCs w:val="20"/>
          <w:color w:val="auto"/>
        </w:rPr>
      </w:pPr>
      <w:r>
        <w:rPr>
          <w:rFonts w:ascii="Arial" w:cs="Arial" w:eastAsia="Arial" w:hAnsi="Arial"/>
          <w:sz w:val="17"/>
          <w:szCs w:val="17"/>
          <w:color w:val="auto"/>
        </w:rPr>
        <w:t>Under our Celgene partnership, Celgene is conducting a Phase 1 study of an AnaptysBio-generated anti-PD-1 agonist antibody (CC-90006) in healthy volunteers, and an undisclosed second AnaptysBio-generated antibody is currently under preclinical development.</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With this prospectus, we may offer common stock, preferred stock, debt securities, warrants, subscription rights to purchase our common stock, preferred stock or debt securities, and/or units consisting of some or all of these securities in any combination.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may offer shares of our common stock, par value $0.001 per share.</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380" w:right="100" w:firstLine="426"/>
        <w:spacing w:after="0" w:line="302" w:lineRule="auto"/>
        <w:rPr>
          <w:sz w:val="20"/>
          <w:szCs w:val="20"/>
          <w:color w:val="auto"/>
        </w:rPr>
      </w:pPr>
      <w:r>
        <w:rPr>
          <w:rFonts w:ascii="Arial" w:cs="Arial" w:eastAsia="Arial" w:hAnsi="Arial"/>
          <w:sz w:val="16"/>
          <w:szCs w:val="16"/>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Debt Securities</w:t>
      </w:r>
    </w:p>
    <w:p>
      <w:pPr>
        <w:spacing w:after="0" w:line="117" w:lineRule="exact"/>
        <w:rPr>
          <w:sz w:val="20"/>
          <w:szCs w:val="20"/>
          <w:color w:val="auto"/>
        </w:rPr>
      </w:pPr>
    </w:p>
    <w:p>
      <w:pPr>
        <w:ind w:left="380" w:right="280" w:firstLine="426"/>
        <w:spacing w:after="0" w:line="286" w:lineRule="auto"/>
        <w:rPr>
          <w:sz w:val="20"/>
          <w:szCs w:val="20"/>
          <w:color w:val="auto"/>
        </w:rPr>
      </w:pPr>
      <w:r>
        <w:rPr>
          <w:rFonts w:ascii="Arial" w:cs="Arial" w:eastAsia="Arial" w:hAnsi="Arial"/>
          <w:sz w:val="17"/>
          <w:szCs w:val="17"/>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66"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Subscription Rights</w:t>
      </w:r>
    </w:p>
    <w:p>
      <w:pPr>
        <w:spacing w:after="0" w:line="117" w:lineRule="exact"/>
        <w:rPr>
          <w:sz w:val="20"/>
          <w:szCs w:val="20"/>
          <w:color w:val="auto"/>
        </w:rPr>
      </w:pPr>
    </w:p>
    <w:p>
      <w:pPr>
        <w:ind w:left="380" w:right="420" w:firstLine="426"/>
        <w:spacing w:after="0" w:line="308" w:lineRule="auto"/>
        <w:rPr>
          <w:sz w:val="20"/>
          <w:szCs w:val="20"/>
          <w:color w:val="auto"/>
        </w:rPr>
      </w:pPr>
      <w:r>
        <w:rPr>
          <w:rFonts w:ascii="Arial" w:cs="Arial" w:eastAsia="Arial" w:hAnsi="Arial"/>
          <w:sz w:val="17"/>
          <w:szCs w:val="17"/>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03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4403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Units</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380" w:right="460" w:firstLine="426"/>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39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The following table sets forth our dollar coverage deficiency. Any time we offer debt securities pursuant to this prospectus, we will provide an updated table setting forth our ratio of earnings to fixed charges on a historical basis in the applicable prospectus supplement, if required. Any time we offer shares of preferred stock pursuant to this prospectus, we will provide a table setting forth our ratio of combined fixed charges and preferred stock dividends to earnings, if required.</w:t>
      </w:r>
    </w:p>
    <w:p>
      <w:pPr>
        <w:spacing w:after="0" w:line="19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1660" w:type="dxa"/>
            <w:vAlign w:val="bottom"/>
            <w:gridSpan w:val="2"/>
            <w:vMerge w:val="restart"/>
          </w:tcPr>
          <w:p>
            <w:pPr>
              <w:jc w:val="center"/>
              <w:ind w:right="730"/>
              <w:spacing w:after="0"/>
              <w:rPr>
                <w:sz w:val="20"/>
                <w:szCs w:val="20"/>
                <w:color w:val="auto"/>
              </w:rPr>
            </w:pPr>
            <w:r>
              <w:rPr>
                <w:rFonts w:ascii="Arial" w:cs="Arial" w:eastAsia="Arial" w:hAnsi="Arial"/>
                <w:sz w:val="14"/>
                <w:szCs w:val="14"/>
                <w:b w:val="1"/>
                <w:bCs w:val="1"/>
                <w:color w:val="auto"/>
                <w:w w:val="93"/>
              </w:rPr>
              <w:t>Year Ended</w:t>
            </w:r>
          </w:p>
        </w:tc>
        <w:tc>
          <w:tcPr>
            <w:tcW w:w="1660" w:type="dxa"/>
            <w:vAlign w:val="bottom"/>
            <w:gridSpan w:val="2"/>
            <w:vMerge w:val="restart"/>
          </w:tcPr>
          <w:p>
            <w:pPr>
              <w:jc w:val="center"/>
              <w:ind w:right="73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2"/>
                <w:szCs w:val="12"/>
                <w:color w:val="auto"/>
              </w:rPr>
            </w:pPr>
          </w:p>
        </w:tc>
        <w:tc>
          <w:tcPr>
            <w:tcW w:w="1660" w:type="dxa"/>
            <w:vAlign w:val="bottom"/>
            <w:gridSpan w:val="2"/>
          </w:tcPr>
          <w:p>
            <w:pPr>
              <w:jc w:val="center"/>
              <w:ind w:right="73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73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660" w:type="dxa"/>
            <w:vAlign w:val="bottom"/>
            <w:gridSpan w:val="2"/>
          </w:tcPr>
          <w:p>
            <w:pPr>
              <w:jc w:val="center"/>
              <w:ind w:left="3739"/>
              <w:spacing w:after="0"/>
              <w:rPr>
                <w:sz w:val="20"/>
                <w:szCs w:val="20"/>
                <w:color w:val="auto"/>
              </w:rPr>
            </w:pPr>
            <w:r>
              <w:rPr>
                <w:rFonts w:ascii="Arial" w:cs="Arial" w:eastAsia="Arial" w:hAnsi="Arial"/>
                <w:sz w:val="14"/>
                <w:szCs w:val="14"/>
                <w:b w:val="1"/>
                <w:bCs w:val="1"/>
                <w:color w:val="auto"/>
                <w:w w:val="89"/>
              </w:rPr>
              <w:t>2014</w:t>
            </w:r>
          </w:p>
        </w:tc>
        <w:tc>
          <w:tcPr>
            <w:tcW w:w="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5"/>
                <w:szCs w:val="15"/>
                <w:color w:val="auto"/>
              </w:rPr>
              <w:t>(1)</w:t>
            </w:r>
          </w:p>
        </w:tc>
        <w:tc>
          <w:tcPr>
            <w:tcW w:w="8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84"/>
              </w:rPr>
              <w:t>*</w:t>
            </w:r>
          </w:p>
        </w:tc>
        <w:tc>
          <w:tcPr>
            <w:tcW w:w="8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4"/>
              </w:rPr>
              <w:t>*</w:t>
            </w: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800" w:right="200" w:hanging="414"/>
        <w:spacing w:after="0" w:line="291" w:lineRule="auto"/>
        <w:tabs>
          <w:tab w:leader="none" w:pos="800" w:val="left"/>
        </w:tabs>
        <w:numPr>
          <w:ilvl w:val="0"/>
          <w:numId w:val="33"/>
        </w:numPr>
        <w:rPr>
          <w:rFonts w:ascii="Arial" w:cs="Arial" w:eastAsia="Arial" w:hAnsi="Arial"/>
          <w:sz w:val="14"/>
          <w:szCs w:val="14"/>
          <w:color w:val="auto"/>
        </w:rPr>
      </w:pPr>
      <w:r>
        <w:rPr>
          <w:rFonts w:ascii="Arial" w:cs="Arial" w:eastAsia="Arial" w:hAnsi="Arial"/>
          <w:sz w:val="16"/>
          <w:szCs w:val="16"/>
          <w:color w:val="auto"/>
        </w:rPr>
        <w:t>The ratio of earnings to fixed charges is computed by dividing earnings by fixed charges. Earnings consist of income before income taxes plus fixed charges. Fixed charges consist of interest expense, including amortized discounts, premiums and capitalized expenses related to</w:t>
      </w:r>
    </w:p>
    <w:p>
      <w:pPr>
        <w:ind w:left="800"/>
        <w:spacing w:after="0"/>
        <w:rPr>
          <w:sz w:val="20"/>
          <w:szCs w:val="20"/>
          <w:color w:val="auto"/>
        </w:rPr>
      </w:pPr>
      <w:r>
        <w:rPr>
          <w:rFonts w:ascii="Arial" w:cs="Arial" w:eastAsia="Arial" w:hAnsi="Arial"/>
          <w:sz w:val="18"/>
          <w:szCs w:val="18"/>
          <w:color w:val="auto"/>
        </w:rPr>
        <w:t>indebtedness.</w:t>
      </w:r>
    </w:p>
    <w:p>
      <w:pPr>
        <w:spacing w:after="0" w:line="9" w:lineRule="exact"/>
        <w:rPr>
          <w:sz w:val="20"/>
          <w:szCs w:val="20"/>
          <w:color w:val="auto"/>
        </w:rPr>
      </w:pPr>
    </w:p>
    <w:p>
      <w:pPr>
        <w:ind w:left="800" w:hanging="41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were inadequate to cover fixed charges for all periods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2017,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8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2017,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6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are required to file annual, quarterly and other reports, proxy statements and other information with the SEC. You may inspect and copy these reports, proxy statements and other information at the public reference facilities maintained by the SEC in Washington, D.C., 100 F Street N.E., Washington, D.C. 20549. Copies of such materials can be obtained from the SEC’s public reference section at prescribed rates. You may obtain information on the operation of the public reference rooms by calling the SEC at (800) SEC-0330. Additionally, the SEC maintains an Internet site (http://www.sec.gov) that contains reports, proxy and information statements, and various other information about us.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Information about us is also available at our website at http://www.anaptysbio.com. However, the information on our website is not a part of this prospectus and is not incorporated by reference into this prospectus.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left="200" w:right="40" w:firstLine="441"/>
        <w:spacing w:after="0" w:line="297" w:lineRule="auto"/>
        <w:rPr>
          <w:sz w:val="20"/>
          <w:szCs w:val="20"/>
          <w:color w:val="auto"/>
        </w:rPr>
      </w:pPr>
      <w:r>
        <w:rPr>
          <w:rFonts w:ascii="Arial" w:cs="Arial" w:eastAsia="Arial" w:hAnsi="Arial"/>
          <w:sz w:val="16"/>
          <w:szCs w:val="16"/>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64"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8,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and filed with the SEC on May 12,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2017 and filed with the SEC on August 10,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2017 and filed with the SEC on November 7,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Reports on Form 8-K filed on March 2, 2017, July 27, 2017, August 24, 2017 and February 1, 2018; and</w:t>
      </w:r>
    </w:p>
    <w:p>
      <w:pPr>
        <w:spacing w:after="0" w:line="130" w:lineRule="exact"/>
        <w:rPr>
          <w:rFonts w:ascii="Arial" w:cs="Arial" w:eastAsia="Arial" w:hAnsi="Arial"/>
          <w:sz w:val="18"/>
          <w:szCs w:val="18"/>
          <w:color w:val="auto"/>
        </w:rPr>
      </w:pPr>
    </w:p>
    <w:p>
      <w:pPr>
        <w:ind w:left="1060" w:right="340" w:hanging="316"/>
        <w:spacing w:after="0" w:line="308"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with the SEC on January 17, 2017 under Section 12 of the Exchange Act, including any amendment or report filed for the purpose of updating such description.</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10421 Pacific Center Court, telephone number (858) 362-6295. See the section of this prospectus entitled “Where You Can Find More Information” for information concerning how to read and obtain copies of materials that we file with the SEC at the SEC’s public offices.</w:t>
      </w:r>
    </w:p>
    <w:p>
      <w:pPr>
        <w:spacing w:after="0" w:line="193"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Any statement contained in this prospectus, or in a document all or a portion of which is incorporated by reference, shall be modified or superseded for purposes of this prospectus to the extent that a statement contained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77"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9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will file a prospectus supplement to describe the terms of any offering of our securities covered by this prospectus. The prospectus supplement will disclose:</w:t>
      </w:r>
    </w:p>
    <w:p>
      <w:pPr>
        <w:spacing w:after="0" w:line="76"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the offer;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names of any underwriters, including any managing underwriters, as well as any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from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if any, may purchase additional securities from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underwriting discounts, commissions or other items constituting underwriters’ compensation, and any commissions paid to agents;</w:t>
      </w:r>
    </w:p>
    <w:p>
      <w:pPr>
        <w:spacing w:after="0" w:line="142" w:lineRule="exact"/>
        <w:rPr>
          <w:rFonts w:ascii="Arial" w:cs="Arial" w:eastAsia="Arial" w:hAnsi="Arial"/>
          <w:sz w:val="17"/>
          <w:szCs w:val="17"/>
          <w:color w:val="auto"/>
        </w:rPr>
      </w:pPr>
    </w:p>
    <w:p>
      <w:pPr>
        <w:ind w:left="1060" w:right="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 subscription rights offering, whether we have engaged dealer-managers to facilitate the offering or subscription, including their name or names and compensation;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public offering price;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authorized to issue 510,000,000 shares of all classes of capital stock, of which 500,000,000 shares are common stock, $0.001 par value per share, and 10,000,000 shares are preferred stock, $0.001 par value per share. Our capital is stated in U.S. dollars. As of September 30, 2017, we had 20,496,288 outstanding shares of common stock and no outstanding shares of preferred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According to the terms of our amended and restated investors’ rights agreement entered into in July 2015, certain of our common stockholders are entitled to demand, piggyback and Form S-3 registration rights.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At any point, the holders of at least a majority of the then-outstanding registrable securities may make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24"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register any of our securities for public sale in an offering, holders of registrable securities will have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w:t>
      </w:r>
    </w:p>
    <w:p>
      <w:pPr>
        <w:ind w:left="200" w:right="140"/>
        <w:spacing w:after="0" w:line="270" w:lineRule="auto"/>
        <w:rPr>
          <w:sz w:val="20"/>
          <w:szCs w:val="20"/>
          <w:color w:val="auto"/>
        </w:rPr>
      </w:pPr>
      <w:r>
        <w:rPr>
          <w:rFonts w:ascii="Arial" w:cs="Arial" w:eastAsia="Arial" w:hAnsi="Arial"/>
          <w:sz w:val="17"/>
          <w:szCs w:val="17"/>
          <w:color w:val="auto"/>
        </w:rPr>
        <w:t>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179"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Form S-3 Registration Rights. </w:t>
      </w:r>
      <w:r>
        <w:rPr>
          <w:rFonts w:ascii="Arial" w:cs="Arial" w:eastAsia="Arial" w:hAnsi="Arial"/>
          <w:sz w:val="17"/>
          <w:szCs w:val="17"/>
          <w:color w:val="auto"/>
        </w:rPr>
        <w:t>Any holder of then-outstanding registrable securities can request that we register all or part of their shares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generally will pay all expenses, other than underwriting discounts and commissions.</w:t>
      </w:r>
    </w:p>
    <w:p>
      <w:pPr>
        <w:spacing w:after="0" w:line="225"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i w:val="1"/>
          <w:iCs w:val="1"/>
          <w:color w:val="auto"/>
        </w:rPr>
        <w:t>Expiration of Registration Right</w:t>
      </w:r>
      <w:r>
        <w:rPr>
          <w:rFonts w:ascii="Arial" w:cs="Arial" w:eastAsia="Arial" w:hAnsi="Arial"/>
          <w:sz w:val="16"/>
          <w:szCs w:val="16"/>
          <w:color w:val="auto"/>
        </w:rPr>
        <w:t>s. The registration rights described above will expire, with respect to any particular holder of these rights,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the fifth anniversary of the closing of our initial public offering, a merger, consolidation, sale or disposition of our company or a sale by a holder of equity securities representing at least a majority of the voting power of our company, when that holder holds less than 1% of our outstanding common stock and can sell all of its registrable securities in a three-month period without restriction under Rule 144 of the Securities Act.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of September 30, 2017, no shares of our preferred stock are issued and outstanding and no such shares were subject to outstanding options or other rights to purchase or acquire. However, shares of preferred stock may be issued in one or more series from time to time by our board of directors, and the 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 of Unissued Shares of Capital Stock</w:t>
      </w:r>
    </w:p>
    <w:p>
      <w:pPr>
        <w:spacing w:after="0" w:line="121"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i w:val="1"/>
          <w:iCs w:val="1"/>
          <w:color w:val="auto"/>
        </w:rPr>
        <w:t xml:space="preserve">Common Stock. </w:t>
      </w:r>
      <w:r>
        <w:rPr>
          <w:rFonts w:ascii="Arial" w:cs="Arial" w:eastAsia="Arial" w:hAnsi="Arial"/>
          <w:sz w:val="17"/>
          <w:szCs w:val="17"/>
          <w:color w:val="auto"/>
        </w:rPr>
        <w:t>Our shares of authorized and unissued common stock are available for future issuance without additional stockholder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While these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Our certificate of incorporation grants our board of directors the authority, without any further vote or action by our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0" w:lineRule="exact"/>
        <w:rPr>
          <w:sz w:val="20"/>
          <w:szCs w:val="20"/>
          <w:color w:val="auto"/>
        </w:rPr>
      </w:pPr>
    </w:p>
    <w:p>
      <w:pPr>
        <w:ind w:left="1060" w:right="4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420" w:hanging="316"/>
        <w:spacing w:after="0" w:line="308"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60" w:right="120" w:hanging="316"/>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76" w:lineRule="exact"/>
        <w:rPr>
          <w:sz w:val="20"/>
          <w:szCs w:val="20"/>
          <w:color w:val="auto"/>
        </w:rPr>
      </w:pPr>
    </w:p>
    <w:p>
      <w:pPr>
        <w:ind w:left="1060" w:hanging="316"/>
        <w:spacing w:after="0" w:line="297"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restated certificate of incorporation and restated bylaws authorize only our board of directors to fill</w:t>
      </w:r>
      <w:r>
        <w:rPr>
          <w:rFonts w:ascii="Arial" w:cs="Arial" w:eastAsia="Arial" w:hAnsi="Arial"/>
          <w:sz w:val="16"/>
          <w:szCs w:val="16"/>
          <w:i w:val="1"/>
          <w:iCs w:val="1"/>
          <w:color w:val="auto"/>
        </w:rPr>
        <w:t xml:space="preserve"> </w:t>
      </w:r>
      <w:r>
        <w:rPr>
          <w:rFonts w:ascii="Arial" w:cs="Arial" w:eastAsia="Arial" w:hAnsi="Arial"/>
          <w:sz w:val="16"/>
          <w:szCs w:val="16"/>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3" w:lineRule="exact"/>
        <w:rPr>
          <w:rFonts w:ascii="Arial" w:cs="Arial" w:eastAsia="Arial" w:hAnsi="Arial"/>
          <w:sz w:val="16"/>
          <w:szCs w:val="16"/>
          <w:color w:val="auto"/>
        </w:rPr>
      </w:pPr>
    </w:p>
    <w:p>
      <w:pPr>
        <w:ind w:left="1060" w:right="60" w:hanging="316"/>
        <w:spacing w:after="0" w:line="25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92" w:lineRule="exact"/>
        <w:rPr>
          <w:rFonts w:ascii="Arial" w:cs="Arial" w:eastAsia="Arial" w:hAnsi="Arial"/>
          <w:sz w:val="18"/>
          <w:szCs w:val="18"/>
          <w:color w:val="auto"/>
        </w:rPr>
      </w:pPr>
    </w:p>
    <w:p>
      <w:pPr>
        <w:ind w:left="1060" w:right="100" w:hanging="316"/>
        <w:spacing w:after="0" w:line="25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restated certificate of incorporation provides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7" w:lineRule="exact"/>
        <w:rPr>
          <w:rFonts w:ascii="Arial" w:cs="Arial" w:eastAsia="Arial" w:hAnsi="Arial"/>
          <w:sz w:val="18"/>
          <w:szCs w:val="18"/>
          <w:color w:val="auto"/>
        </w:rPr>
      </w:pPr>
    </w:p>
    <w:p>
      <w:pPr>
        <w:ind w:left="1060" w:hanging="316"/>
        <w:spacing w:after="0" w:line="27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3" w:lineRule="exact"/>
        <w:rPr>
          <w:rFonts w:ascii="Arial" w:cs="Arial" w:eastAsia="Arial" w:hAnsi="Arial"/>
          <w:sz w:val="17"/>
          <w:szCs w:val="17"/>
          <w:color w:val="auto"/>
        </w:rPr>
      </w:pPr>
    </w:p>
    <w:p>
      <w:pPr>
        <w:jc w:val="both"/>
        <w:ind w:left="1060" w:right="14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directors unless a corporation’s certificate of incorporation provides otherwise. Our restated certificate of incorporation and restated bylaws do not provide for cumulative voting.</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Amendment to Certificate of Incorporation and Bylaws. </w:t>
      </w:r>
      <w:r>
        <w:rPr>
          <w:rFonts w:ascii="Arial" w:cs="Arial" w:eastAsia="Arial" w:hAnsi="Arial"/>
          <w:sz w:val="18"/>
          <w:szCs w:val="18"/>
          <w:color w:val="auto"/>
        </w:rPr>
        <w:t>Any amendment of the above provisions in our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bylaws requires approval by holders of at least two-thirds of our then-outstanding capital stock entitled to vote in the election of directors.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the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 shares of undesignated preferred stock with rights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40"/>
        <w:spacing w:after="0" w:line="264" w:lineRule="auto"/>
        <w:rPr>
          <w:sz w:val="20"/>
          <w:szCs w:val="20"/>
          <w:color w:val="auto"/>
        </w:rPr>
      </w:pPr>
      <w:r>
        <w:rPr>
          <w:rFonts w:ascii="Arial" w:cs="Arial" w:eastAsia="Arial" w:hAnsi="Arial"/>
          <w:sz w:val="18"/>
          <w:szCs w:val="18"/>
          <w:color w:val="auto"/>
        </w:rPr>
        <w:t>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7" w:lineRule="exact"/>
        <w:rPr>
          <w:sz w:val="20"/>
          <w:szCs w:val="20"/>
          <w:color w:val="auto"/>
        </w:rPr>
      </w:pPr>
    </w:p>
    <w:p>
      <w:pPr>
        <w:ind w:left="1060" w:hanging="316"/>
        <w:spacing w:after="0" w:line="279"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Choice of Forum. </w:t>
      </w:r>
      <w:r>
        <w:rPr>
          <w:rFonts w:ascii="Arial" w:cs="Arial" w:eastAsia="Arial" w:hAnsi="Arial"/>
          <w:sz w:val="17"/>
          <w:szCs w:val="17"/>
          <w:color w:val="auto"/>
        </w:rPr>
        <w:t>Our restated certificate of incorporation provides that the Court of Chancery of the State of Delaware will be the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Global Market under the trading symbol “ANAB.”</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92"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or places where principal and, if applicable, premium and interest,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denominations of $1,000 or any integral multiple of that number;</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securities (as described below) or global securities (as described below);</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75"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20" w:hanging="316"/>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events of default, if not otherwise described below under “Events of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shares of our common stock or preferred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terms and conditions, if any, upon which the debt securities shall be subordinated in right of payment to our other indebtedness.</w:t>
      </w:r>
    </w:p>
    <w:p>
      <w:pPr>
        <w:spacing w:after="0" w:line="23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7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Registrar and Paying Agent</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76"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provisions regarding the convertibility or exchangeability of the debt securities, including who may convert or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Global Securities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form of indenture provides that we will not consolidate with or merge into any other person or convey, transfer, sell or lease our properties and assets substantially as an entirety to any person, unless:</w:t>
      </w:r>
    </w:p>
    <w:p>
      <w:pPr>
        <w:spacing w:after="0" w:line="76" w:lineRule="exact"/>
        <w:rPr>
          <w:sz w:val="20"/>
          <w:szCs w:val="20"/>
          <w:color w:val="auto"/>
        </w:rPr>
      </w:pPr>
    </w:p>
    <w:p>
      <w:pPr>
        <w:ind w:left="1060" w:right="20" w:hanging="316"/>
        <w:spacing w:after="0" w:line="297"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63" w:lineRule="exact"/>
        <w:rPr>
          <w:rFonts w:ascii="Arial" w:cs="Arial" w:eastAsia="Arial" w:hAnsi="Arial"/>
          <w:sz w:val="16"/>
          <w:szCs w:val="16"/>
          <w:color w:val="auto"/>
        </w:rPr>
      </w:pPr>
    </w:p>
    <w:p>
      <w:pPr>
        <w:ind w:left="1060" w:hanging="316"/>
        <w:spacing w:after="0" w:line="308"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76" w:lineRule="exact"/>
        <w:rPr>
          <w:sz w:val="20"/>
          <w:szCs w:val="20"/>
          <w:color w:val="auto"/>
        </w:rPr>
      </w:pPr>
    </w:p>
    <w:p>
      <w:pPr>
        <w:ind w:left="5620" w:right="5140" w:hanging="4876"/>
        <w:spacing w:after="0" w:line="536" w:lineRule="auto"/>
        <w:tabs>
          <w:tab w:leader="none" w:pos="1064"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fail to pay any principal or premium, if any, when it becomes due; 18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fail to pay any interest within 30 days after it becomes due;</w:t>
      </w:r>
    </w:p>
    <w:p>
      <w:pPr>
        <w:spacing w:after="0" w:line="130"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us or any of our significant subsidiaries.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84"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lawful interest on overdue interest and overdue principal has been paid;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8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76" w:lineRule="exact"/>
        <w:rPr>
          <w:sz w:val="20"/>
          <w:szCs w:val="20"/>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fails to institute a proceeding within 60 days after such request; and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76" w:lineRule="exact"/>
        <w:rPr>
          <w:sz w:val="20"/>
          <w:szCs w:val="20"/>
          <w:color w:val="auto"/>
        </w:rPr>
      </w:pPr>
    </w:p>
    <w:p>
      <w:pPr>
        <w:ind w:left="10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that the surviving entity following a change of control permitted under the indenture will assume all of our obligations under the indenture and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certificated debt securities in addition to uncertificated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comply with any requirements of the SEC under the Trust Indenture Act of 1939;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cure any ambiguity, defect or inconsistency, or make any other change that does not materially and adversely affect the rights of any holder;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appoint a successor trustee under the indenture with respect to one or more series.</w:t>
      </w:r>
    </w:p>
    <w:p>
      <w:pPr>
        <w:spacing w:after="0" w:line="22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7" w:lineRule="exact"/>
        <w:rPr>
          <w:sz w:val="20"/>
          <w:szCs w:val="20"/>
          <w:color w:val="auto"/>
        </w:rPr>
      </w:pPr>
    </w:p>
    <w:p>
      <w:pPr>
        <w:ind w:left="1060" w:right="26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 to the indenture or such debt security;</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or reduce the amount of or postpone the date for payment of sinking fund or analogous obligations;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of or change the stated maturity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debt security payable in money other than that stated in the debt security;</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securities or change any provision with respect to redemption of debt securities; or</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take any other action otherwise prohibited by the indenture to be taken without the consent of each holder affected by the action.</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240" w:top="459" w:right="5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76" w:lineRule="exact"/>
        <w:rPr>
          <w:sz w:val="20"/>
          <w:szCs w:val="20"/>
          <w:color w:val="auto"/>
        </w:rPr>
      </w:pPr>
    </w:p>
    <w:p>
      <w:pPr>
        <w:ind w:left="1060" w:right="400" w:hanging="316"/>
        <w:spacing w:after="0" w:line="277" w:lineRule="auto"/>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to register the transfer or exchange of such debt securities;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to replace temporary or mutilated, destroyed, lost or stolen debt securities;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to compensate and indemnify the trustee; or</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30" w:lineRule="exact"/>
        <w:rPr>
          <w:rFonts w:ascii="Arial" w:cs="Arial" w:eastAsia="Arial" w:hAnsi="Arial"/>
          <w:sz w:val="18"/>
          <w:szCs w:val="18"/>
          <w:b w:val="1"/>
          <w:bCs w:val="1"/>
          <w:color w:val="auto"/>
        </w:rPr>
      </w:pPr>
    </w:p>
    <w:p>
      <w:pPr>
        <w:ind w:left="1060" w:right="400" w:hanging="316"/>
        <w:spacing w:after="0" w:line="264" w:lineRule="auto"/>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order to exercise either defeasance option, we must irrevocably deposit with the trustee or other qualifying trustee, in trust for that purpose:</w:t>
      </w:r>
    </w:p>
    <w:p>
      <w:pPr>
        <w:spacing w:after="0" w:line="142"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money;</w:t>
      </w:r>
    </w:p>
    <w:p>
      <w:pPr>
        <w:spacing w:after="0" w:line="130" w:lineRule="exact"/>
        <w:rPr>
          <w:rFonts w:ascii="Arial" w:cs="Arial" w:eastAsia="Arial" w:hAnsi="Arial"/>
          <w:sz w:val="18"/>
          <w:szCs w:val="18"/>
          <w:color w:val="auto"/>
        </w:rPr>
      </w:pPr>
    </w:p>
    <w:p>
      <w:pPr>
        <w:ind w:left="1060" w:right="220" w:hanging="316"/>
        <w:spacing w:after="0" w:line="259"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w:t>
      </w:r>
    </w:p>
    <w:p>
      <w:pPr>
        <w:spacing w:after="0" w:line="92" w:lineRule="exact"/>
        <w:rPr>
          <w:rFonts w:ascii="Arial" w:cs="Arial" w:eastAsia="Arial" w:hAnsi="Arial"/>
          <w:sz w:val="18"/>
          <w:szCs w:val="18"/>
          <w:color w:val="auto"/>
        </w:rPr>
      </w:pPr>
    </w:p>
    <w:p>
      <w:pPr>
        <w:ind w:left="1060" w:right="420" w:hanging="316"/>
        <w:spacing w:after="0" w:line="34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31" w:lineRule="exact"/>
        <w:rPr>
          <w:sz w:val="20"/>
          <w:szCs w:val="20"/>
          <w:color w:val="auto"/>
        </w:rPr>
      </w:pPr>
    </w:p>
    <w:p>
      <w:pPr>
        <w:ind w:left="1060" w:hanging="316"/>
        <w:spacing w:after="0" w:line="26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86"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98"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satisfied.</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we fail to comply with our remaining obligations under the indenture and applicable supplemental indenture after a covenant defeasance of the indenture and applicable supplemental indenture, and the debt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5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20" w:firstLine="441"/>
        <w:spacing w:after="0" w:line="255" w:lineRule="auto"/>
        <w:rPr>
          <w:sz w:val="20"/>
          <w:szCs w:val="20"/>
          <w:color w:val="auto"/>
        </w:rPr>
      </w:pPr>
      <w:r>
        <w:rPr>
          <w:rFonts w:ascii="Arial" w:cs="Arial" w:eastAsia="Arial" w:hAnsi="Arial"/>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76" w:lineRule="exact"/>
        <w:rPr>
          <w:sz w:val="20"/>
          <w:szCs w:val="20"/>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142" w:lineRule="exact"/>
        <w:rPr>
          <w:rFonts w:ascii="Arial" w:cs="Arial" w:eastAsia="Arial" w:hAnsi="Arial"/>
          <w:sz w:val="17"/>
          <w:szCs w:val="17"/>
          <w:color w:val="auto"/>
        </w:rPr>
      </w:pPr>
    </w:p>
    <w:p>
      <w:pPr>
        <w:ind w:left="1060" w:right="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debt warrants upon a change in control or similar event; and</w:t>
      </w:r>
    </w:p>
    <w:p>
      <w:pPr>
        <w:spacing w:after="0" w:line="153" w:lineRule="exact"/>
        <w:rPr>
          <w:rFonts w:ascii="Arial" w:cs="Arial" w:eastAsia="Arial" w:hAnsi="Arial"/>
          <w:sz w:val="16"/>
          <w:szCs w:val="16"/>
          <w:color w:val="auto"/>
        </w:rPr>
      </w:pPr>
    </w:p>
    <w:p>
      <w:pPr>
        <w:ind w:left="1060" w:right="4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Warrants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76" w:lineRule="exact"/>
        <w:rPr>
          <w:sz w:val="20"/>
          <w:szCs w:val="20"/>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60" w:right="16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provisions with respect to a holder’s right to require us to repurchase the warrants upon a change in control or similar event;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additional terms of the warrants, including procedures and limitations relating to the exchange, exercise and settlement of the warrants.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exercise any rights as stockholders.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240" w:top="459"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or debt securities upon the exercise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number and terms of our common stock, preferred stock or debt securities which may be purchased per each subscription right;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60" w:right="30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Fenwick &amp; West LLP, Mountain View, California, will issue an opinion about certain legal matters with respect to the securities. Any underwriters or agents will be advised about legal matters relating to any offering by their own counsel.</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 consolidated financial statements of AnaptysBio, Inc. as of December 31, 2016 and 2015, and for each of the years in the three-year period ended December 31, 2016, have been incorporated by reference herein in reliance upon the report of KPMG LLP, an independent registered public accounting firm, incorporated by reference herein, and upon the authority of said firm as experts in accounting and auditing.</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271780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560070</wp:posOffset>
            </wp:positionV>
            <wp:extent cx="3876040" cy="909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60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20"/>
        <w:spacing w:after="0"/>
        <w:rPr>
          <w:sz w:val="20"/>
          <w:szCs w:val="20"/>
          <w:color w:val="auto"/>
        </w:rPr>
      </w:pPr>
      <w:r>
        <w:rPr>
          <w:rFonts w:ascii="Arial" w:cs="Arial" w:eastAsia="Arial" w:hAnsi="Arial"/>
          <w:sz w:val="36"/>
          <w:szCs w:val="36"/>
          <w:b w:val="1"/>
          <w:bCs w:val="1"/>
          <w:color w:val="auto"/>
        </w:rPr>
        <w:t>AnaptysBio, Inc.</w:t>
      </w:r>
    </w:p>
    <w:p>
      <w:pPr>
        <w:spacing w:after="0" w:line="228" w:lineRule="exact"/>
        <w:rPr>
          <w:sz w:val="20"/>
          <w:szCs w:val="20"/>
          <w:color w:val="auto"/>
        </w:rPr>
      </w:pPr>
    </w:p>
    <w:p>
      <w:pPr>
        <w:ind w:left="46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414020</wp:posOffset>
            </wp:positionV>
            <wp:extent cx="10547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80"/>
        <w:spacing w:after="0"/>
        <w:rPr>
          <w:sz w:val="20"/>
          <w:szCs w:val="20"/>
          <w:color w:val="auto"/>
        </w:rPr>
      </w:pPr>
      <w:r>
        <w:rPr>
          <w:rFonts w:ascii="Arial" w:cs="Arial" w:eastAsia="Arial" w:hAnsi="Arial"/>
          <w:sz w:val="28"/>
          <w:szCs w:val="2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258445</wp:posOffset>
            </wp:positionV>
            <wp:extent cx="10547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4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1970405</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2012950</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3"/>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Roman"/>
      <w:start w:val="1"/>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1)"/>
      <w:numFmt w:val="lowerLetter"/>
      <w:start w:val="1"/>
    </w:lvl>
    <w:lvl w:ilvl="1">
      <w:lvlJc w:val="left"/>
      <w:lvlText w:val="(%2)"/>
      <w:numFmt w:val="lowerLetter"/>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lvl>
    <w:lvl w:ilvl="1">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2019-12-07T05:12:35Z</dcterms:created>
  <dcterms:modified xsi:type="dcterms:W3CDTF">2019-12-07T05:12:35Z</dcterms:modified>
</cp:coreProperties>
</file>