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September 9, 2015.</w:t>
      </w:r>
    </w:p>
    <w:p>
      <w:pPr>
        <w:spacing w:after="0" w:line="4"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S-1</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REGISTRATION STATEMENT</w:t>
      </w: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w:t>
      </w:r>
      <w:r>
        <w:rPr>
          <w:rFonts w:ascii="Arial" w:cs="Arial" w:eastAsia="Arial" w:hAnsi="Arial"/>
          <w:sz w:val="33"/>
          <w:szCs w:val="33"/>
          <w:b w:val="1"/>
          <w:bCs w:val="1"/>
          <w:color w:val="auto"/>
        </w:rPr>
        <w:t>NAPTYS</w:t>
      </w:r>
      <w:r>
        <w:rPr>
          <w:rFonts w:ascii="Arial" w:cs="Arial" w:eastAsia="Arial" w:hAnsi="Arial"/>
          <w:sz w:val="40"/>
          <w:szCs w:val="40"/>
          <w:b w:val="1"/>
          <w:bCs w:val="1"/>
          <w:color w:val="auto"/>
        </w:rPr>
        <w:t>B</w:t>
      </w:r>
      <w:r>
        <w:rPr>
          <w:rFonts w:ascii="Arial" w:cs="Arial" w:eastAsia="Arial" w:hAnsi="Arial"/>
          <w:sz w:val="33"/>
          <w:szCs w:val="33"/>
          <w:b w:val="1"/>
          <w:bCs w:val="1"/>
          <w:color w:val="auto"/>
        </w:rPr>
        <w:t>IO</w:t>
      </w:r>
      <w:r>
        <w:rPr>
          <w:rFonts w:ascii="Arial" w:cs="Arial" w:eastAsia="Arial" w:hAnsi="Arial"/>
          <w:sz w:val="40"/>
          <w:szCs w:val="40"/>
          <w:b w:val="1"/>
          <w:bCs w:val="1"/>
          <w:color w:val="auto"/>
        </w:rPr>
        <w:t>, I</w:t>
      </w:r>
      <w:r>
        <w:rPr>
          <w:rFonts w:ascii="Arial" w:cs="Arial" w:eastAsia="Arial" w:hAnsi="Arial"/>
          <w:sz w:val="33"/>
          <w:szCs w:val="33"/>
          <w:b w:val="1"/>
          <w:bCs w:val="1"/>
          <w:color w:val="auto"/>
        </w:rPr>
        <w:t>NC</w:t>
      </w:r>
      <w:r>
        <w:rPr>
          <w:rFonts w:ascii="Arial" w:cs="Arial" w:eastAsia="Arial" w:hAnsi="Arial"/>
          <w:sz w:val="40"/>
          <w:szCs w:val="40"/>
          <w:b w:val="1"/>
          <w:bCs w:val="1"/>
          <w:color w:val="auto"/>
        </w:rPr>
        <w:t>.</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40" w:type="dxa"/>
            <w:vAlign w:val="bottom"/>
          </w:tcPr>
          <w:p>
            <w:pPr>
              <w:jc w:val="center"/>
              <w:ind w:right="991"/>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3"/>
              </w:rPr>
              <w:t>20-3828755</w:t>
            </w:r>
          </w:p>
        </w:tc>
      </w:tr>
      <w:tr>
        <w:trPr>
          <w:trHeight w:val="149"/>
        </w:trPr>
        <w:tc>
          <w:tcPr>
            <w:tcW w:w="2840" w:type="dxa"/>
            <w:vAlign w:val="bottom"/>
          </w:tcPr>
          <w:p>
            <w:pPr>
              <w:jc w:val="center"/>
              <w:ind w:right="99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3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11"/>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6"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34"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Hamza Suria</w:t>
      </w:r>
    </w:p>
    <w:p>
      <w:pPr>
        <w:jc w:val="center"/>
        <w:ind w:right="-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9"/>
        <w:spacing w:after="0" w:line="222" w:lineRule="auto"/>
        <w:rPr>
          <w:sz w:val="20"/>
          <w:szCs w:val="20"/>
          <w:color w:val="auto"/>
        </w:rPr>
      </w:pPr>
      <w:r>
        <w:rPr>
          <w:rFonts w:ascii="Arial" w:cs="Arial" w:eastAsia="Arial" w:hAnsi="Arial"/>
          <w:sz w:val="14"/>
          <w:szCs w:val="14"/>
          <w:b w:val="1"/>
          <w:bCs w:val="1"/>
          <w:color w:val="auto"/>
        </w:rPr>
        <w:t>AnaptysBio, Inc.</w:t>
      </w:r>
    </w:p>
    <w:p>
      <w:pPr>
        <w:jc w:val="center"/>
        <w:ind w:right="-19"/>
        <w:spacing w:after="0" w:line="221" w:lineRule="auto"/>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2"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33"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4"/>
          <w:szCs w:val="24"/>
          <w:color w:val="auto"/>
        </w:rPr>
      </w:pPr>
    </w:p>
    <w:tbl>
      <w:tblPr>
        <w:tblLayout w:type="fixed"/>
        <w:tblInd w:w="208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2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51"/>
        </w:trPr>
        <w:tc>
          <w:tcPr>
            <w:tcW w:w="2480" w:type="dxa"/>
            <w:vAlign w:val="bottom"/>
          </w:tcPr>
          <w:p>
            <w:pPr>
              <w:jc w:val="center"/>
              <w:ind w:right="788"/>
              <w:spacing w:after="0" w:line="151" w:lineRule="exact"/>
              <w:rPr>
                <w:sz w:val="20"/>
                <w:szCs w:val="20"/>
                <w:color w:val="auto"/>
              </w:rPr>
            </w:pPr>
            <w:r>
              <w:rPr>
                <w:rFonts w:ascii="Arial" w:cs="Arial" w:eastAsia="Arial" w:hAnsi="Arial"/>
                <w:sz w:val="14"/>
                <w:szCs w:val="14"/>
                <w:b w:val="1"/>
                <w:bCs w:val="1"/>
                <w:color w:val="auto"/>
                <w:w w:val="91"/>
              </w:rPr>
              <w:t>Effie Toshav, Esq.</w:t>
            </w:r>
          </w:p>
        </w:tc>
        <w:tc>
          <w:tcPr>
            <w:tcW w:w="4820" w:type="dxa"/>
            <w:vAlign w:val="bottom"/>
          </w:tcPr>
          <w:p>
            <w:pPr>
              <w:jc w:val="center"/>
              <w:ind w:left="3308"/>
              <w:spacing w:after="0" w:line="151" w:lineRule="exact"/>
              <w:rPr>
                <w:sz w:val="20"/>
                <w:szCs w:val="20"/>
                <w:color w:val="auto"/>
              </w:rPr>
            </w:pPr>
            <w:r>
              <w:rPr>
                <w:rFonts w:ascii="Arial" w:cs="Arial" w:eastAsia="Arial" w:hAnsi="Arial"/>
                <w:sz w:val="14"/>
                <w:szCs w:val="14"/>
                <w:b w:val="1"/>
                <w:bCs w:val="1"/>
                <w:color w:val="auto"/>
                <w:w w:val="93"/>
              </w:rPr>
              <w:t>Charles S. Kim,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Matthew S. Rossiter, Esq.</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2"/>
              </w:rPr>
              <w:t>Robert W. Phillips,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4"/>
              </w:rPr>
              <w:t>Robert A. Freedman, Esq.</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4"/>
              </w:rPr>
              <w:t>Sean M. Clayton,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7"/>
              </w:rPr>
              <w:t>Fenwick &amp; West LLP</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5"/>
              </w:rPr>
              <w:t>555 California Street</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4"/>
              </w:rPr>
              <w:t>4401 Eastgate Mall</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San Francisco, CA 94104</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3"/>
              </w:rPr>
              <w:t>San Diego, CA 92121</w:t>
            </w:r>
          </w:p>
        </w:tc>
      </w:tr>
      <w:tr>
        <w:trPr>
          <w:trHeight w:val="186"/>
        </w:trPr>
        <w:tc>
          <w:tcPr>
            <w:tcW w:w="2480" w:type="dxa"/>
            <w:vAlign w:val="bottom"/>
          </w:tcPr>
          <w:p>
            <w:pPr>
              <w:jc w:val="center"/>
              <w:ind w:right="788"/>
              <w:spacing w:after="0"/>
              <w:rPr>
                <w:sz w:val="20"/>
                <w:szCs w:val="20"/>
                <w:color w:val="auto"/>
              </w:rPr>
            </w:pPr>
            <w:r>
              <w:rPr>
                <w:rFonts w:ascii="Arial" w:cs="Arial" w:eastAsia="Arial" w:hAnsi="Arial"/>
                <w:sz w:val="14"/>
                <w:szCs w:val="14"/>
                <w:b w:val="1"/>
                <w:bCs w:val="1"/>
                <w:color w:val="auto"/>
                <w:w w:val="93"/>
              </w:rPr>
              <w:t>(415) 875-2300</w:t>
            </w:r>
          </w:p>
        </w:tc>
        <w:tc>
          <w:tcPr>
            <w:tcW w:w="4820" w:type="dxa"/>
            <w:vAlign w:val="bottom"/>
          </w:tcPr>
          <w:p>
            <w:pPr>
              <w:jc w:val="center"/>
              <w:ind w:left="3288"/>
              <w:spacing w:after="0"/>
              <w:rPr>
                <w:sz w:val="20"/>
                <w:szCs w:val="20"/>
                <w:color w:val="auto"/>
              </w:rPr>
            </w:pPr>
            <w:r>
              <w:rPr>
                <w:rFonts w:ascii="Arial" w:cs="Arial" w:eastAsia="Arial" w:hAnsi="Arial"/>
                <w:sz w:val="14"/>
                <w:szCs w:val="14"/>
                <w:b w:val="1"/>
                <w:bCs w:val="1"/>
                <w:color w:val="auto"/>
                <w:w w:val="93"/>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right="22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6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5" w:lineRule="exact"/>
        <w:rPr>
          <w:sz w:val="24"/>
          <w:szCs w:val="24"/>
          <w:color w:val="auto"/>
        </w:rPr>
      </w:pPr>
    </w:p>
    <w:p>
      <w:pPr>
        <w:ind w:firstLine="342"/>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2360"/>
              <w:spacing w:after="0"/>
              <w:rPr>
                <w:sz w:val="20"/>
                <w:szCs w:val="20"/>
                <w:color w:val="auto"/>
              </w:rPr>
            </w:pPr>
            <w:r>
              <w:rPr>
                <w:rFonts w:ascii="Arial" w:cs="Arial" w:eastAsia="Arial" w:hAnsi="Arial"/>
                <w:sz w:val="14"/>
                <w:szCs w:val="14"/>
                <w:color w:val="auto"/>
              </w:rPr>
              <w:t>Accelerated filer</w:t>
            </w:r>
          </w:p>
        </w:tc>
      </w:tr>
      <w:tr>
        <w:trPr>
          <w:trHeight w:val="226"/>
        </w:trPr>
        <w:tc>
          <w:tcPr>
            <w:tcW w:w="1460" w:type="dxa"/>
            <w:vAlign w:val="bottom"/>
          </w:tcPr>
          <w:p>
            <w:pPr>
              <w:spacing w:after="0"/>
              <w:rPr>
                <w:sz w:val="20"/>
                <w:szCs w:val="20"/>
                <w:color w:val="auto"/>
              </w:rPr>
            </w:pPr>
            <w:r>
              <w:rPr>
                <w:rFonts w:ascii="Arial" w:cs="Arial" w:eastAsia="Arial" w:hAnsi="Arial"/>
                <w:sz w:val="14"/>
                <w:szCs w:val="14"/>
                <w:color w:val="auto"/>
              </w:rPr>
              <w:t>Non-accelerated filer</w:t>
            </w:r>
          </w:p>
        </w:tc>
        <w:tc>
          <w:tcPr>
            <w:tcW w:w="54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40" w:type="dxa"/>
            <w:vAlign w:val="bottom"/>
          </w:tcPr>
          <w:p>
            <w:pPr>
              <w:ind w:left="2360"/>
              <w:spacing w:after="0"/>
              <w:rPr>
                <w:sz w:val="20"/>
                <w:szCs w:val="20"/>
                <w:color w:val="auto"/>
              </w:rPr>
            </w:pPr>
            <w:r>
              <w:rPr>
                <w:rFonts w:ascii="Arial" w:cs="Arial" w:eastAsia="Arial" w:hAnsi="Arial"/>
                <w:sz w:val="14"/>
                <w:szCs w:val="14"/>
                <w:color w:val="auto"/>
                <w:w w:val="93"/>
              </w:rPr>
              <w:t>Smaller reporting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80010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4" w:lineRule="exact"/>
        <w:rPr>
          <w:sz w:val="24"/>
          <w:szCs w:val="24"/>
          <w:color w:val="auto"/>
        </w:rPr>
      </w:pPr>
    </w:p>
    <w:p>
      <w:pPr>
        <w:sectPr>
          <w:pgSz w:w="11900" w:h="16838" w:orient="portrait"/>
          <w:cols w:equalWidth="0" w:num="2">
            <w:col w:w="11240" w:space="40"/>
            <w:col w:w="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6"/>
              </w:rPr>
              <w:t>Proposed</w:t>
            </w: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(1)(2)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spacing w:after="0"/>
              <w:rPr>
                <w:sz w:val="20"/>
                <w:szCs w:val="20"/>
                <w:color w:val="auto"/>
              </w:rPr>
            </w:pPr>
            <w:r>
              <w:rPr>
                <w:rFonts w:ascii="Arial" w:cs="Arial" w:eastAsia="Arial" w:hAnsi="Arial"/>
                <w:sz w:val="14"/>
                <w:szCs w:val="14"/>
                <w:color w:val="auto"/>
              </w:rPr>
              <w:t>Common stock, $0.001 par value per share</w:t>
            </w:r>
          </w:p>
        </w:tc>
        <w:tc>
          <w:tcPr>
            <w:tcW w:w="1700" w:type="dxa"/>
            <w:vAlign w:val="bottom"/>
          </w:tcPr>
          <w:p>
            <w:pPr>
              <w:jc w:val="center"/>
              <w:spacing w:after="0"/>
              <w:rPr>
                <w:sz w:val="20"/>
                <w:szCs w:val="20"/>
                <w:color w:val="auto"/>
              </w:rPr>
            </w:pPr>
            <w:r>
              <w:rPr>
                <w:rFonts w:ascii="Arial" w:cs="Arial" w:eastAsia="Arial" w:hAnsi="Arial"/>
                <w:sz w:val="14"/>
                <w:szCs w:val="14"/>
                <w:color w:val="auto"/>
                <w:w w:val="92"/>
              </w:rPr>
              <w:t>$86,250,000</w:t>
            </w: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$10,023</w:t>
            </w:r>
          </w:p>
        </w:tc>
        <w:tc>
          <w:tcPr>
            <w:tcW w:w="0" w:type="dxa"/>
            <w:vAlign w:val="bottom"/>
          </w:tcPr>
          <w:p>
            <w:pPr>
              <w:spacing w:after="0"/>
              <w:rPr>
                <w:sz w:val="1"/>
                <w:szCs w:val="1"/>
                <w:color w:val="auto"/>
              </w:rPr>
            </w:pPr>
          </w:p>
        </w:tc>
      </w:tr>
    </w:tbl>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of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180" w:firstLine="342"/>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900" w:val="left"/>
        </w:tabs>
        <w:rPr>
          <w:sz w:val="20"/>
          <w:szCs w:val="20"/>
          <w:color w:val="auto"/>
        </w:rPr>
      </w:pPr>
      <w:r>
        <w:rPr>
          <w:rFonts w:ascii="Arial" w:cs="Arial" w:eastAsia="Arial" w:hAnsi="Arial"/>
          <w:sz w:val="16"/>
          <w:szCs w:val="16"/>
          <w:color w:val="auto"/>
        </w:rPr>
        <w:t>Preliminary Prospectus</w:t>
      </w:r>
      <w:r>
        <w:rPr>
          <w:sz w:val="20"/>
          <w:szCs w:val="20"/>
          <w:color w:val="auto"/>
        </w:rPr>
        <w:tab/>
      </w:r>
      <w:r>
        <w:rPr>
          <w:rFonts w:ascii="Arial" w:cs="Arial" w:eastAsia="Arial" w:hAnsi="Arial"/>
          <w:sz w:val="16"/>
          <w:szCs w:val="16"/>
          <w:i w:val="1"/>
          <w:iCs w:val="1"/>
          <w:color w:val="DE1A1E"/>
        </w:rPr>
        <w:t>Subject to Completion, dated 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183515</wp:posOffset>
            </wp:positionV>
            <wp:extent cx="2118360" cy="591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AnaptysBio, Inc.</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10" w:lineRule="exact"/>
        <w:rPr>
          <w:sz w:val="20"/>
          <w:szCs w:val="20"/>
          <w:color w:val="auto"/>
        </w:rPr>
      </w:pPr>
    </w:p>
    <w:p>
      <w:pPr>
        <w:ind w:left="5640" w:hanging="1358"/>
        <w:spacing w:after="0"/>
        <w:tabs>
          <w:tab w:leader="none" w:pos="5640" w:val="left"/>
        </w:tabs>
        <w:numPr>
          <w:ilvl w:val="0"/>
          <w:numId w:val="2"/>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24" w:lineRule="exact"/>
        <w:rPr>
          <w:sz w:val="20"/>
          <w:szCs w:val="20"/>
          <w:color w:val="auto"/>
        </w:rPr>
      </w:pPr>
    </w:p>
    <w:p>
      <w:pPr>
        <w:spacing w:after="0"/>
        <w:tabs>
          <w:tab w:leader="none" w:pos="6280" w:val="left"/>
        </w:tabs>
        <w:rPr>
          <w:sz w:val="20"/>
          <w:szCs w:val="20"/>
          <w:color w:val="auto"/>
        </w:rPr>
      </w:pPr>
      <w:r>
        <w:rPr>
          <w:rFonts w:ascii="Arial" w:cs="Arial" w:eastAsia="Arial" w:hAnsi="Arial"/>
          <w:sz w:val="16"/>
          <w:szCs w:val="16"/>
          <w:color w:val="auto"/>
        </w:rPr>
        <w:t>This is the initial public offering of shares of our common stock. We are offering</w:t>
      </w:r>
      <w:r>
        <w:rPr>
          <w:sz w:val="20"/>
          <w:szCs w:val="20"/>
          <w:color w:val="auto"/>
        </w:rPr>
        <w:tab/>
      </w:r>
      <w:r>
        <w:rPr>
          <w:rFonts w:ascii="Arial" w:cs="Arial" w:eastAsia="Arial" w:hAnsi="Arial"/>
          <w:sz w:val="16"/>
          <w:szCs w:val="16"/>
          <w:color w:val="auto"/>
        </w:rPr>
        <w:t>shares of our common stock. We anticipate that the initial public</w:t>
      </w:r>
    </w:p>
    <w:p>
      <w:pPr>
        <w:spacing w:after="0" w:line="5" w:lineRule="exact"/>
        <w:rPr>
          <w:sz w:val="20"/>
          <w:szCs w:val="20"/>
          <w:color w:val="auto"/>
        </w:rPr>
      </w:pPr>
    </w:p>
    <w:p>
      <w:pPr>
        <w:spacing w:after="0"/>
        <w:tabs>
          <w:tab w:leader="none" w:pos="4160" w:val="left"/>
          <w:tab w:leader="none" w:pos="4980" w:val="left"/>
        </w:tabs>
        <w:rPr>
          <w:sz w:val="20"/>
          <w:szCs w:val="20"/>
          <w:color w:val="auto"/>
        </w:rPr>
      </w:pPr>
      <w:r>
        <w:rPr>
          <w:rFonts w:ascii="Arial" w:cs="Arial" w:eastAsia="Arial" w:hAnsi="Arial"/>
          <w:sz w:val="16"/>
          <w:szCs w:val="16"/>
          <w:color w:val="auto"/>
        </w:rPr>
        <w:t>offering price of our common stock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5"/>
          <w:szCs w:val="15"/>
          <w:color w:val="auto"/>
        </w:rPr>
        <w:t>per share.</w:t>
      </w:r>
    </w:p>
    <w:p>
      <w:pPr>
        <w:spacing w:after="0" w:line="22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Prior to this offering, there has been no public market for our common stock. We have applied to list our common stock on the NASDAQ Global Market under the symbol “ANAB.”</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176" w:lineRule="exact"/>
        <w:rPr>
          <w:sz w:val="20"/>
          <w:szCs w:val="20"/>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a high degree of risk. See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12 of this prospectus.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Per Share</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Total</w:t>
            </w:r>
          </w:p>
        </w:tc>
      </w:tr>
      <w:tr>
        <w:trPr>
          <w:trHeight w:val="285"/>
        </w:trPr>
        <w:tc>
          <w:tcPr>
            <w:tcW w:w="60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r>
        <w:trPr>
          <w:trHeight w:val="400"/>
        </w:trPr>
        <w:tc>
          <w:tcPr>
            <w:tcW w:w="600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7"/>
                <w:szCs w:val="27"/>
                <w:color w:val="auto"/>
                <w:vertAlign w:val="superscript"/>
              </w:rPr>
              <w:t>(1)</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r>
        <w:trPr>
          <w:trHeight w:val="195"/>
        </w:trPr>
        <w:tc>
          <w:tcPr>
            <w:tcW w:w="6000" w:type="dxa"/>
            <w:vAlign w:val="bottom"/>
          </w:tcPr>
          <w:p>
            <w:pPr>
              <w:spacing w:after="0"/>
              <w:rPr>
                <w:sz w:val="20"/>
                <w:szCs w:val="20"/>
                <w:color w:val="auto"/>
              </w:rPr>
            </w:pPr>
            <w:r>
              <w:rPr>
                <w:rFonts w:ascii="Arial" w:cs="Arial" w:eastAsia="Arial" w:hAnsi="Arial"/>
                <w:sz w:val="16"/>
                <w:szCs w:val="16"/>
                <w:color w:val="auto"/>
              </w:rPr>
              <w:t>Proceeds to AnaptysBio, Inc. (before expenses)</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We refer you to “Underwriting” beginning on page 150 of this prospectus for additional information regarding total underwriter compensation.</w:t>
      </w:r>
    </w:p>
    <w:p>
      <w:pPr>
        <w:spacing w:after="0" w:line="221" w:lineRule="exact"/>
        <w:rPr>
          <w:sz w:val="20"/>
          <w:szCs w:val="20"/>
          <w:color w:val="auto"/>
        </w:rPr>
      </w:pPr>
    </w:p>
    <w:p>
      <w:pPr>
        <w:spacing w:after="0"/>
        <w:tabs>
          <w:tab w:leader="none" w:pos="3820" w:val="left"/>
        </w:tabs>
        <w:rPr>
          <w:sz w:val="20"/>
          <w:szCs w:val="20"/>
          <w:color w:val="auto"/>
        </w:rPr>
      </w:pPr>
      <w:r>
        <w:rPr>
          <w:rFonts w:ascii="Arial" w:cs="Arial" w:eastAsia="Arial" w:hAnsi="Arial"/>
          <w:sz w:val="16"/>
          <w:szCs w:val="16"/>
          <w:color w:val="auto"/>
        </w:rPr>
        <w:t>To the extent the underwriters sell more than</w:t>
      </w:r>
      <w:r>
        <w:rPr>
          <w:sz w:val="20"/>
          <w:szCs w:val="20"/>
          <w:color w:val="auto"/>
        </w:rPr>
        <w:tab/>
      </w:r>
      <w:r>
        <w:rPr>
          <w:rFonts w:ascii="Arial" w:cs="Arial" w:eastAsia="Arial" w:hAnsi="Arial"/>
          <w:sz w:val="16"/>
          <w:szCs w:val="16"/>
          <w:color w:val="auto"/>
        </w:rPr>
        <w:t>shares of common stock, the underwriters have the option for a 30-day period to purchase up to an</w:t>
      </w:r>
    </w:p>
    <w:p>
      <w:pPr>
        <w:spacing w:after="0" w:line="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additional</w:t>
      </w:r>
      <w:r>
        <w:rPr>
          <w:sz w:val="20"/>
          <w:szCs w:val="20"/>
          <w:color w:val="auto"/>
        </w:rPr>
        <w:tab/>
      </w:r>
      <w:r>
        <w:rPr>
          <w:rFonts w:ascii="Arial" w:cs="Arial" w:eastAsia="Arial" w:hAnsi="Arial"/>
          <w:sz w:val="16"/>
          <w:szCs w:val="16"/>
          <w:color w:val="auto"/>
        </w:rPr>
        <w:t>shares from us at the initial public offering price less the underwriting discount.</w:t>
      </w:r>
    </w:p>
    <w:p>
      <w:pPr>
        <w:spacing w:after="0" w:line="201" w:lineRule="exact"/>
        <w:rPr>
          <w:sz w:val="20"/>
          <w:szCs w:val="20"/>
          <w:color w:val="auto"/>
        </w:rPr>
      </w:pPr>
    </w:p>
    <w:p>
      <w:pPr>
        <w:jc w:val="both"/>
        <w:ind w:right="74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20"/>
                <w:szCs w:val="20"/>
                <w:color w:val="auto"/>
              </w:rPr>
            </w:pPr>
            <w:r>
              <w:rPr>
                <w:rFonts w:ascii="Arial" w:cs="Arial" w:eastAsia="Arial" w:hAnsi="Arial"/>
                <w:sz w:val="16"/>
                <w:szCs w:val="16"/>
                <w:color w:val="auto"/>
              </w:rPr>
              <w:t>The underwriters expect to deliver the shares of common stock to the purchasers on or about</w:t>
            </w:r>
          </w:p>
        </w:tc>
        <w:tc>
          <w:tcPr>
            <w:tcW w:w="4140" w:type="dxa"/>
            <w:vAlign w:val="bottom"/>
          </w:tcPr>
          <w:p>
            <w:pPr>
              <w:jc w:val="right"/>
              <w:ind w:right="3183"/>
              <w:spacing w:after="0"/>
              <w:rPr>
                <w:sz w:val="20"/>
                <w:szCs w:val="20"/>
                <w:color w:val="auto"/>
              </w:rPr>
            </w:pPr>
            <w:r>
              <w:rPr>
                <w:rFonts w:ascii="Arial" w:cs="Arial" w:eastAsia="Arial" w:hAnsi="Arial"/>
                <w:sz w:val="16"/>
                <w:szCs w:val="16"/>
                <w:color w:val="auto"/>
              </w:rPr>
              <w:t>, 2015.</w:t>
            </w:r>
          </w:p>
        </w:tc>
      </w:tr>
      <w:tr>
        <w:trPr>
          <w:trHeight w:val="384"/>
        </w:trPr>
        <w:tc>
          <w:tcPr>
            <w:tcW w:w="7280" w:type="dxa"/>
            <w:vAlign w:val="bottom"/>
            <w:tcBorders>
              <w:bottom w:val="single" w:sz="8" w:color="0079C1"/>
            </w:tcBorders>
          </w:tcPr>
          <w:p>
            <w:pPr>
              <w:spacing w:after="0"/>
              <w:rPr>
                <w:sz w:val="24"/>
                <w:szCs w:val="24"/>
                <w:color w:val="auto"/>
              </w:rPr>
            </w:pPr>
          </w:p>
        </w:tc>
        <w:tc>
          <w:tcPr>
            <w:tcW w:w="4140" w:type="dxa"/>
            <w:vAlign w:val="bottom"/>
            <w:tcBorders>
              <w:bottom w:val="single" w:sz="8" w:color="0079C1"/>
            </w:tcBorders>
          </w:tcPr>
          <w:p>
            <w:pPr>
              <w:spacing w:after="0"/>
              <w:rPr>
                <w:sz w:val="24"/>
                <w:szCs w:val="24"/>
                <w:color w:val="auto"/>
              </w:rPr>
            </w:pPr>
          </w:p>
        </w:tc>
      </w:tr>
      <w:tr>
        <w:trPr>
          <w:trHeight w:val="237"/>
        </w:trPr>
        <w:tc>
          <w:tcPr>
            <w:tcW w:w="7280" w:type="dxa"/>
            <w:vAlign w:val="bottom"/>
          </w:tcPr>
          <w:p>
            <w:pPr>
              <w:jc w:val="center"/>
              <w:ind w:left="4034"/>
              <w:spacing w:after="0"/>
              <w:rPr>
                <w:sz w:val="20"/>
                <w:szCs w:val="20"/>
                <w:color w:val="auto"/>
              </w:rPr>
            </w:pPr>
            <w:r>
              <w:rPr>
                <w:rFonts w:ascii="Arial" w:cs="Arial" w:eastAsia="Arial" w:hAnsi="Arial"/>
                <w:sz w:val="18"/>
                <w:szCs w:val="18"/>
                <w:i w:val="1"/>
                <w:iCs w:val="1"/>
                <w:color w:val="auto"/>
                <w:w w:val="99"/>
              </w:rPr>
              <w:t>Joint Book-Running Managers</w:t>
            </w:r>
          </w:p>
        </w:tc>
        <w:tc>
          <w:tcPr>
            <w:tcW w:w="4140" w:type="dxa"/>
            <w:vAlign w:val="bottom"/>
          </w:tcPr>
          <w:p>
            <w:pPr>
              <w:spacing w:after="0"/>
              <w:rPr>
                <w:sz w:val="20"/>
                <w:szCs w:val="20"/>
                <w:color w:val="auto"/>
              </w:rPr>
            </w:pPr>
          </w:p>
        </w:tc>
      </w:tr>
      <w:tr>
        <w:trPr>
          <w:trHeight w:val="461"/>
        </w:trPr>
        <w:tc>
          <w:tcPr>
            <w:tcW w:w="7280" w:type="dxa"/>
            <w:vAlign w:val="bottom"/>
          </w:tcPr>
          <w:p>
            <w:pPr>
              <w:spacing w:after="0"/>
              <w:rPr>
                <w:sz w:val="20"/>
                <w:szCs w:val="20"/>
                <w:color w:val="auto"/>
              </w:rPr>
            </w:pPr>
            <w:r>
              <w:rPr>
                <w:rFonts w:ascii="Arial" w:cs="Arial" w:eastAsia="Arial" w:hAnsi="Arial"/>
                <w:sz w:val="32"/>
                <w:szCs w:val="32"/>
                <w:b w:val="1"/>
                <w:bCs w:val="1"/>
                <w:color w:val="auto"/>
              </w:rPr>
              <w:t>BMO Capital Markets</w:t>
            </w:r>
          </w:p>
        </w:tc>
        <w:tc>
          <w:tcPr>
            <w:tcW w:w="4140" w:type="dxa"/>
            <w:vAlign w:val="bottom"/>
          </w:tcPr>
          <w:p>
            <w:pPr>
              <w:jc w:val="right"/>
              <w:spacing w:after="0"/>
              <w:rPr>
                <w:sz w:val="20"/>
                <w:szCs w:val="20"/>
                <w:color w:val="auto"/>
              </w:rPr>
            </w:pPr>
            <w:r>
              <w:rPr>
                <w:rFonts w:ascii="Arial" w:cs="Arial" w:eastAsia="Arial" w:hAnsi="Arial"/>
                <w:sz w:val="32"/>
                <w:szCs w:val="32"/>
                <w:b w:val="1"/>
                <w:bCs w:val="1"/>
                <w:color w:val="auto"/>
              </w:rPr>
              <w:t>Stifel</w:t>
            </w:r>
          </w:p>
        </w:tc>
      </w:tr>
      <w:tr>
        <w:trPr>
          <w:trHeight w:val="417"/>
        </w:trPr>
        <w:tc>
          <w:tcPr>
            <w:tcW w:w="7280" w:type="dxa"/>
            <w:vAlign w:val="bottom"/>
          </w:tcPr>
          <w:p>
            <w:pPr>
              <w:jc w:val="center"/>
              <w:ind w:left="4034"/>
              <w:spacing w:after="0"/>
              <w:rPr>
                <w:sz w:val="20"/>
                <w:szCs w:val="20"/>
                <w:color w:val="auto"/>
              </w:rPr>
            </w:pPr>
            <w:r>
              <w:rPr>
                <w:rFonts w:ascii="Arial" w:cs="Arial" w:eastAsia="Arial" w:hAnsi="Arial"/>
                <w:sz w:val="18"/>
                <w:szCs w:val="18"/>
                <w:i w:val="1"/>
                <w:iCs w:val="1"/>
                <w:color w:val="auto"/>
              </w:rPr>
              <w:t>Co-Managers</w:t>
            </w:r>
          </w:p>
        </w:tc>
        <w:tc>
          <w:tcPr>
            <w:tcW w:w="4140" w:type="dxa"/>
            <w:vAlign w:val="bottom"/>
          </w:tcPr>
          <w:p>
            <w:pPr>
              <w:spacing w:after="0"/>
              <w:rPr>
                <w:sz w:val="24"/>
                <w:szCs w:val="24"/>
                <w:color w:val="auto"/>
              </w:rPr>
            </w:pPr>
          </w:p>
        </w:tc>
      </w:tr>
      <w:tr>
        <w:trPr>
          <w:trHeight w:val="321"/>
        </w:trPr>
        <w:tc>
          <w:tcPr>
            <w:tcW w:w="7280" w:type="dxa"/>
            <w:vAlign w:val="bottom"/>
          </w:tcPr>
          <w:p>
            <w:pPr>
              <w:spacing w:after="0"/>
              <w:rPr>
                <w:sz w:val="20"/>
                <w:szCs w:val="20"/>
                <w:color w:val="auto"/>
              </w:rPr>
            </w:pPr>
            <w:r>
              <w:rPr>
                <w:rFonts w:ascii="Arial" w:cs="Arial" w:eastAsia="Arial" w:hAnsi="Arial"/>
                <w:sz w:val="22"/>
                <w:szCs w:val="22"/>
                <w:b w:val="1"/>
                <w:bCs w:val="1"/>
                <w:color w:val="auto"/>
              </w:rPr>
              <w:t>JMP Securities</w:t>
            </w:r>
          </w:p>
        </w:tc>
        <w:tc>
          <w:tcPr>
            <w:tcW w:w="4140" w:type="dxa"/>
            <w:vAlign w:val="bottom"/>
          </w:tcPr>
          <w:p>
            <w:pPr>
              <w:jc w:val="right"/>
              <w:spacing w:after="0"/>
              <w:rPr>
                <w:sz w:val="20"/>
                <w:szCs w:val="20"/>
                <w:color w:val="auto"/>
              </w:rPr>
            </w:pPr>
            <w:r>
              <w:rPr>
                <w:rFonts w:ascii="Arial" w:cs="Arial" w:eastAsia="Arial" w:hAnsi="Arial"/>
                <w:sz w:val="22"/>
                <w:szCs w:val="22"/>
                <w:b w:val="1"/>
                <w:bCs w:val="1"/>
                <w:color w:val="auto"/>
              </w:rPr>
              <w:t>Wedbush PacGrow</w:t>
            </w:r>
          </w:p>
        </w:tc>
      </w:tr>
      <w:tr>
        <w:trPr>
          <w:trHeight w:val="85"/>
        </w:trPr>
        <w:tc>
          <w:tcPr>
            <w:tcW w:w="7280" w:type="dxa"/>
            <w:vAlign w:val="bottom"/>
            <w:tcBorders>
              <w:bottom w:val="single" w:sz="8" w:color="0079C1"/>
            </w:tcBorders>
          </w:tcPr>
          <w:p>
            <w:pPr>
              <w:spacing w:after="0"/>
              <w:rPr>
                <w:sz w:val="7"/>
                <w:szCs w:val="7"/>
                <w:color w:val="auto"/>
              </w:rPr>
            </w:pPr>
          </w:p>
        </w:tc>
        <w:tc>
          <w:tcPr>
            <w:tcW w:w="4140" w:type="dxa"/>
            <w:vAlign w:val="bottom"/>
            <w:tcBorders>
              <w:bottom w:val="single" w:sz="8" w:color="0079C1"/>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ind w:left="4360"/>
        <w:spacing w:after="0"/>
        <w:tabs>
          <w:tab w:leader="none" w:pos="65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5"/>
          <w:szCs w:val="15"/>
          <w:color w:val="auto"/>
        </w:rPr>
        <w:t>, 2015.</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20" w:type="dxa"/>
            <w:vAlign w:val="bottom"/>
            <w:gridSpan w:val="3"/>
          </w:tcPr>
          <w:p>
            <w:pPr>
              <w:ind w:left="8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40" w:type="dxa"/>
            <w:vAlign w:val="bottom"/>
            <w:gridSpan w:val="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Summary</w:t>
              </w:r>
            </w:hyperlink>
          </w:p>
        </w:tc>
        <w:tc>
          <w:tcPr>
            <w:tcW w:w="9460" w:type="dxa"/>
            <w:vAlign w:val="bottom"/>
            <w:gridSpan w:val="13"/>
            <w:vMerge w:val="restart"/>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0000EE"/>
            </w:tcBorders>
            <w:gridSpan w:val="9"/>
            <w:vMerge w:val="continue"/>
          </w:tcPr>
          <w:p>
            <w:pPr>
              <w:spacing w:after="0"/>
              <w:rPr>
                <w:sz w:val="13"/>
                <w:szCs w:val="13"/>
                <w:color w:val="auto"/>
              </w:rPr>
            </w:pPr>
          </w:p>
        </w:tc>
        <w:tc>
          <w:tcPr>
            <w:tcW w:w="946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The Offering</w:t>
              </w:r>
            </w:hyperlink>
          </w:p>
        </w:tc>
        <w:tc>
          <w:tcPr>
            <w:tcW w:w="10040" w:type="dxa"/>
            <w:vAlign w:val="bottom"/>
            <w:gridSpan w:val="18"/>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1008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Special Note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Market and Industry Data</w:t>
              </w:r>
            </w:hyperlink>
          </w:p>
        </w:tc>
        <w:tc>
          <w:tcPr>
            <w:tcW w:w="71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5"/>
          </w:tcPr>
          <w:p>
            <w:pPr>
              <w:spacing w:after="0"/>
              <w:rPr>
                <w:sz w:val="17"/>
                <w:szCs w:val="17"/>
                <w:color w:val="auto"/>
              </w:rPr>
            </w:pPr>
          </w:p>
        </w:tc>
        <w:tc>
          <w:tcPr>
            <w:tcW w:w="91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98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Dilution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Selected Consolidated Financial Data</w:t>
              </w:r>
            </w:hyperlink>
          </w:p>
        </w:tc>
        <w:tc>
          <w:tcPr>
            <w:tcW w:w="8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Business</w:t>
              </w:r>
            </w:hyperlink>
          </w:p>
        </w:tc>
        <w:tc>
          <w:tcPr>
            <w:tcW w:w="45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Executive Compensation</w:t>
              </w:r>
            </w:hyperlink>
          </w:p>
        </w:tc>
        <w:tc>
          <w:tcPr>
            <w:tcW w:w="91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38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Principal Stockholders</w:t>
              </w:r>
            </w:hyperlink>
          </w:p>
        </w:tc>
        <w:tc>
          <w:tcPr>
            <w:tcW w:w="71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48">
              <w:r>
                <w:rPr>
                  <w:rFonts w:ascii="Arial" w:cs="Arial" w:eastAsia="Arial" w:hAnsi="Arial"/>
                  <w:sz w:val="18"/>
                  <w:szCs w:val="18"/>
                  <w:color w:val="0000EE"/>
                  <w:w w:val="91"/>
                </w:rPr>
                <w:t>Material U.S. Federal Income Tax Considerations for Non-U.S. Holders</w:t>
              </w:r>
            </w:hyperlink>
          </w:p>
        </w:tc>
        <w:tc>
          <w:tcPr>
            <w:tcW w:w="58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Underwriting</w:t>
              </w:r>
            </w:hyperlink>
          </w:p>
        </w:tc>
        <w:tc>
          <w:tcPr>
            <w:tcW w:w="100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64">
              <w:r>
                <w:rPr>
                  <w:rFonts w:ascii="Arial" w:cs="Arial" w:eastAsia="Arial" w:hAnsi="Arial"/>
                  <w:sz w:val="18"/>
                  <w:szCs w:val="18"/>
                  <w:color w:val="0000EE"/>
                  <w:w w:val="91"/>
                </w:rPr>
                <w:t>Legal Matters</w:t>
              </w:r>
            </w:hyperlink>
          </w:p>
        </w:tc>
        <w:tc>
          <w:tcPr>
            <w:tcW w:w="998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64">
              <w:r>
                <w:rPr>
                  <w:rFonts w:ascii="Arial" w:cs="Arial" w:eastAsia="Arial" w:hAnsi="Arial"/>
                  <w:sz w:val="18"/>
                  <w:szCs w:val="18"/>
                  <w:color w:val="0000EE"/>
                  <w:w w:val="91"/>
                </w:rPr>
                <w:t>Experts</w:t>
              </w:r>
            </w:hyperlink>
          </w:p>
        </w:tc>
        <w:tc>
          <w:tcPr>
            <w:tcW w:w="1040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1680" w:type="dxa"/>
            <w:vAlign w:val="bottom"/>
            <w:gridSpan w:val="11"/>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5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9573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340"/>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(GPP) and palmo-plantar pustular psoriasis (PPP).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8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by the end of 2016. Our collaborations include an immuno-oncology-focused collaboration with TESARO, Inc. and TESARO Development, Ltd., or collectively, TESARO, and an inflammation-focused collaboration with Celgene Corporation, or Celgene. Through August 31, 2015, we have received non-dilutive funding of $48.7 million from our collaborators.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2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60" w:hanging="323"/>
        <w:spacing w:after="0" w:line="28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w:t>
      </w:r>
      <w:r>
        <w:rPr>
          <w:rFonts w:ascii="Arial" w:cs="Arial" w:eastAsia="Arial" w:hAnsi="Arial"/>
          <w:sz w:val="16"/>
          <w:szCs w:val="16"/>
          <w:b w:val="1"/>
          <w:bCs w:val="1"/>
          <w:color w:val="auto"/>
        </w:rPr>
        <w:t xml:space="preserve"> </w:t>
      </w:r>
      <w:r>
        <w:rPr>
          <w:rFonts w:ascii="Arial" w:cs="Arial" w:eastAsia="Arial" w:hAnsi="Arial"/>
          <w:sz w:val="16"/>
          <w:szCs w:val="16"/>
          <w:color w:val="auto"/>
        </w:rPr>
        <w:t>is a 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We believe ANB020 is potentially the first-in-class therapy targeting IL-33. We anticipate filing an Australian Clinical Trial Notification, or CTN, for ANB020 during the fourth quarter of 2015, the approval of which would allow us to commence clinical trials in Australia. We plan to commence a Phase 1 healthy volunteer trial in Australia in early 2016, followed by patient trials in severe adult asthma and severe adult peanut allergy in other countries, including the United States after submitting an Investigational New Drug application, or IND, to the U.S. Food and Drug Administration, or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 States. Based on our analysis, we estimate approximately 1.7 million adults are affected by peanut allergy, of which approximately 600,000 are treated by allergists and approximately 400,000 are at risk for severe reactions and therefore we believe are suitable for treatment with systemic biological therapies.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right="80" w:hanging="323"/>
        <w:spacing w:after="0" w:line="270"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the interleukin-36-receptor, or IL-36R, which we are initially developing as a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during the second half of 2016, the approval of which would allow us to initiate Phase 1 trials in Australia during the second half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SHM-XEL Platform</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 xml:space="preserve">Our approach to developing novel therapeutic antibody product candidates relies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74" w:lineRule="exact"/>
        <w:rPr>
          <w:sz w:val="20"/>
          <w:szCs w:val="20"/>
          <w:color w:val="auto"/>
        </w:rPr>
      </w:pPr>
    </w:p>
    <w:p>
      <w:pPr>
        <w:ind w:left="1060" w:right="18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60" w:right="560" w:hanging="323"/>
        <w:spacing w:after="0" w:line="347"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1060" w:right="26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1060" w:right="24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1060" w:right="10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1060" w:right="88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27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42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$48.7 million in payments through August 31, 2015. In addition to our wholly-owned antibody programs, we are developing antibody product candidates for immuno-oncology and inflammation targets through strategic collaborations. Our collaborations with TESARO and Celgene are described below:</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1060" w:right="3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currently in preclinical development with an IND submission anticipated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of 2015 and first-in-human dosing in early 2016;</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1060" w:right="200" w:hanging="323"/>
        <w:spacing w:after="0" w:line="25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lead product candidates into the clinic. </w:t>
      </w:r>
      <w:r>
        <w:rPr>
          <w:rFonts w:ascii="Arial" w:cs="Arial" w:eastAsia="Arial" w:hAnsi="Arial"/>
          <w:sz w:val="18"/>
          <w:szCs w:val="18"/>
          <w:color w:val="auto"/>
        </w:rPr>
        <w:t>We plan to initiate a Phase 1 healthy volunteer trial for ANB020 in early 2016,</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trials in severe adult asthma and severe adult peanut allergy patients. We plan to initiate a Phase 1 healthy volunteer trial for ANB019 during the second half of 2016,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its foreign equivalents outside of Australia.</w:t>
      </w:r>
    </w:p>
    <w:p>
      <w:pPr>
        <w:spacing w:after="0" w:line="90" w:lineRule="exact"/>
        <w:rPr>
          <w:rFonts w:ascii="Arial" w:cs="Arial" w:eastAsia="Arial" w:hAnsi="Arial"/>
          <w:sz w:val="18"/>
          <w:szCs w:val="18"/>
          <w:color w:val="auto"/>
        </w:rPr>
      </w:pPr>
    </w:p>
    <w:p>
      <w:pPr>
        <w:ind w:left="1060" w:hanging="323"/>
        <w:spacing w:after="0" w:line="26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Identifying emerging opportunities in key therapeutic areas. </w:t>
      </w:r>
      <w:r>
        <w:rPr>
          <w:rFonts w:ascii="Arial" w:cs="Arial" w:eastAsia="Arial" w:hAnsi="Arial"/>
          <w:sz w:val="18"/>
          <w:szCs w:val="18"/>
          <w:color w:val="auto"/>
        </w:rPr>
        <w:t>We intend to remain at the forefront of discovery and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opportunities in inflammation and immuno-oncology by understanding and translating biological breakthroughs into first-in-class therapeutic antibodies. Our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approach includes assessment of human genetics and tissue pathology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83" w:lineRule="exact"/>
        <w:rPr>
          <w:sz w:val="20"/>
          <w:szCs w:val="20"/>
          <w:color w:val="auto"/>
        </w:rPr>
      </w:pPr>
    </w:p>
    <w:p>
      <w:pPr>
        <w:ind w:left="1060" w:right="20" w:hanging="323"/>
        <w:spacing w:after="0" w:line="314"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47" w:lineRule="exact"/>
        <w:rPr>
          <w:rFonts w:ascii="Arial" w:cs="Arial" w:eastAsia="Arial" w:hAnsi="Arial"/>
          <w:sz w:val="16"/>
          <w:szCs w:val="16"/>
          <w:color w:val="auto"/>
        </w:rPr>
      </w:pPr>
    </w:p>
    <w:p>
      <w:pPr>
        <w:ind w:left="1060" w:right="60" w:hanging="323"/>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1060" w:right="74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1060" w:right="2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1060" w:right="3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1060" w:right="4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never dosed any of our product candidates in humans. Our planned clinical trials or those of our collaborators may reveal significant adverse events, toxicities or other side effects not seen in our preclinical studies and may result in a safety profile that could inhibit regulatory approval or market acceptance of any of our product candidates.</w:t>
      </w:r>
    </w:p>
    <w:p>
      <w:pPr>
        <w:spacing w:after="0" w:line="86"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41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341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0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1060" w:right="20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ectPr>
          <w:pgSz w:w="11900" w:h="16838" w:orient="portrait"/>
          <w:cols w:equalWidth="0" w:num="1">
            <w:col w:w="11240"/>
          </w:cols>
          <w:pgMar w:left="240" w:top="459" w:right="419" w:bottom="1440" w:gutter="0" w:footer="0" w:header="0"/>
        </w:sectPr>
      </w:pPr>
    </w:p>
    <w:p>
      <w:pPr>
        <w:spacing w:after="0" w:line="5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executive officers, directors, current 5% or greater stockholders and entities affiliated with any of them, together will own % of our common stock based on the number of shares outstanding as of June 30, 2015, after giving effect to the sale and issuance of 38,436,851 shares of Series D convertible preferred stock in July 2015; the concentration of our capital stock ownership will likely limit your ability to influence corporate matters.</w:t>
      </w:r>
    </w:p>
    <w:p>
      <w:pPr>
        <w:spacing w:after="0" w:line="200" w:lineRule="exact"/>
        <w:rPr>
          <w:sz w:val="20"/>
          <w:szCs w:val="20"/>
          <w:color w:val="auto"/>
        </w:rPr>
      </w:pPr>
    </w:p>
    <w:p>
      <w:pPr>
        <w:sectPr>
          <w:pgSz w:w="11900" w:h="16838" w:orient="portrait"/>
          <w:cols w:equalWidth="0" w:num="2">
            <w:col w:w="800" w:space="260"/>
            <w:col w:w="10180"/>
          </w:cols>
          <w:pgMar w:left="240" w:top="459" w:right="419" w:bottom="1440" w:gutter="0" w:footer="0" w:header="0"/>
          <w:type w:val="continuous"/>
        </w:sectPr>
      </w:pP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87"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56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801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8013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5040" w:type="dxa"/>
            <w:vAlign w:val="bottom"/>
            <w:gridSpan w:val="2"/>
          </w:tcPr>
          <w:p>
            <w:pPr>
              <w:ind w:left="92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1840" w:type="dxa"/>
            <w:vAlign w:val="bottom"/>
          </w:tcPr>
          <w:p>
            <w:pPr>
              <w:ind w:left="680"/>
              <w:spacing w:after="0"/>
              <w:rPr>
                <w:sz w:val="20"/>
                <w:szCs w:val="20"/>
                <w:color w:val="auto"/>
              </w:rPr>
            </w:pPr>
            <w:r>
              <w:rPr>
                <w:rFonts w:ascii="Arial" w:cs="Arial" w:eastAsia="Arial" w:hAnsi="Arial"/>
                <w:sz w:val="18"/>
                <w:szCs w:val="18"/>
                <w:color w:val="auto"/>
              </w:rPr>
              <w:t>shares.</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3"/>
        </w:trPr>
        <w:tc>
          <w:tcPr>
            <w:tcW w:w="4100" w:type="dxa"/>
            <w:vAlign w:val="bottom"/>
          </w:tcPr>
          <w:p>
            <w:pPr>
              <w:spacing w:after="0"/>
              <w:rPr>
                <w:sz w:val="20"/>
                <w:szCs w:val="20"/>
                <w:color w:val="auto"/>
              </w:rPr>
            </w:pPr>
            <w:r>
              <w:rPr>
                <w:rFonts w:ascii="Arial" w:cs="Arial" w:eastAsia="Arial" w:hAnsi="Arial"/>
                <w:sz w:val="18"/>
                <w:szCs w:val="18"/>
                <w:color w:val="auto"/>
                <w:w w:val="91"/>
              </w:rPr>
              <w:t>Option to purchase additional shares to be offered by us</w:t>
            </w:r>
          </w:p>
        </w:tc>
        <w:tc>
          <w:tcPr>
            <w:tcW w:w="1840" w:type="dxa"/>
            <w:vAlign w:val="bottom"/>
          </w:tcPr>
          <w:p>
            <w:pPr>
              <w:ind w:left="680"/>
              <w:spacing w:after="0"/>
              <w:rPr>
                <w:sz w:val="20"/>
                <w:szCs w:val="20"/>
                <w:color w:val="auto"/>
              </w:rPr>
            </w:pPr>
            <w:r>
              <w:rPr>
                <w:rFonts w:ascii="Arial" w:cs="Arial" w:eastAsia="Arial" w:hAnsi="Arial"/>
                <w:sz w:val="18"/>
                <w:szCs w:val="18"/>
                <w:color w:val="auto"/>
              </w:rPr>
              <w:t>shares.</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w w:val="92"/>
              </w:rPr>
              <w:t>Shares of common stock to be outstanding immediately</w:t>
            </w:r>
          </w:p>
        </w:tc>
        <w:tc>
          <w:tcPr>
            <w:tcW w:w="1840" w:type="dxa"/>
            <w:vAlign w:val="bottom"/>
          </w:tcPr>
          <w:p>
            <w:pPr>
              <w:ind w:left="680"/>
              <w:spacing w:after="0"/>
              <w:rPr>
                <w:sz w:val="20"/>
                <w:szCs w:val="20"/>
                <w:color w:val="auto"/>
              </w:rPr>
            </w:pPr>
            <w:r>
              <w:rPr>
                <w:rFonts w:ascii="Arial" w:cs="Arial" w:eastAsia="Arial" w:hAnsi="Arial"/>
                <w:sz w:val="18"/>
                <w:szCs w:val="18"/>
                <w:color w:val="auto"/>
              </w:rPr>
              <w:t>shares (</w:t>
            </w:r>
          </w:p>
        </w:tc>
        <w:tc>
          <w:tcPr>
            <w:tcW w:w="5120" w:type="dxa"/>
            <w:vAlign w:val="bottom"/>
            <w:gridSpan w:val="3"/>
          </w:tcPr>
          <w:p>
            <w:pPr>
              <w:jc w:val="right"/>
              <w:ind w:right="650"/>
              <w:spacing w:after="0"/>
              <w:rPr>
                <w:sz w:val="20"/>
                <w:szCs w:val="20"/>
                <w:color w:val="auto"/>
              </w:rPr>
            </w:pPr>
            <w:r>
              <w:rPr>
                <w:rFonts w:ascii="Arial" w:cs="Arial" w:eastAsia="Arial" w:hAnsi="Arial"/>
                <w:sz w:val="18"/>
                <w:szCs w:val="18"/>
                <w:color w:val="auto"/>
                <w:w w:val="93"/>
              </w:rPr>
              <w:t>shares if the underwriters exercise their option to purchase</w:t>
            </w:r>
          </w:p>
        </w:tc>
      </w:tr>
      <w:tr>
        <w:trPr>
          <w:trHeight w:val="230"/>
        </w:trPr>
        <w:tc>
          <w:tcPr>
            <w:tcW w:w="4100" w:type="dxa"/>
            <w:vAlign w:val="bottom"/>
          </w:tcPr>
          <w:p>
            <w:pPr>
              <w:ind w:left="80"/>
              <w:spacing w:after="0"/>
              <w:rPr>
                <w:sz w:val="20"/>
                <w:szCs w:val="20"/>
                <w:color w:val="auto"/>
              </w:rPr>
            </w:pPr>
            <w:r>
              <w:rPr>
                <w:rFonts w:ascii="Arial" w:cs="Arial" w:eastAsia="Arial" w:hAnsi="Arial"/>
                <w:sz w:val="18"/>
                <w:szCs w:val="18"/>
                <w:color w:val="auto"/>
              </w:rPr>
              <w:t>after this offering</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additional shares in full).</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rPr>
              <w:t>Voting rights</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5"/>
              </w:rPr>
              <w:t>Upon the closing of this offering, each outstanding share of our convertible preferred stock</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1"/>
              </w:rPr>
              <w:t>will automatically convert into one share of common stock. Each share of our common stock is</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1"/>
              </w:rPr>
              <w:t>entitled to one vote on all matters submitted to a vote of stockholders, including the election of</w:t>
            </w:r>
          </w:p>
        </w:tc>
      </w:tr>
      <w:tr>
        <w:trPr>
          <w:trHeight w:val="230"/>
        </w:trPr>
        <w:tc>
          <w:tcPr>
            <w:tcW w:w="410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directors. See “Description of Capital Stock.”</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Use of proceeds</w:t>
            </w: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5"/>
              </w:rPr>
              <w:t>We estimate that the net proceeds from this offering will be approximately $</w:t>
            </w:r>
          </w:p>
        </w:tc>
        <w:tc>
          <w:tcPr>
            <w:tcW w:w="108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4100" w:type="dxa"/>
            <w:vAlign w:val="bottom"/>
          </w:tcPr>
          <w:p>
            <w:pPr>
              <w:spacing w:after="0"/>
              <w:rPr>
                <w:sz w:val="18"/>
                <w:szCs w:val="18"/>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approximately $</w:t>
            </w: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w w:val="92"/>
              </w:rPr>
              <w:t>million if the underwriters exercise their option to purchase additional</w:t>
            </w:r>
          </w:p>
        </w:tc>
      </w:tr>
      <w:tr>
        <w:trPr>
          <w:trHeight w:val="216"/>
        </w:trPr>
        <w:tc>
          <w:tcPr>
            <w:tcW w:w="410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shares in full), based upon the assumed initial offering price of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per share, which is the</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3"/>
              </w:rPr>
              <w:t>midpoint of the estimated offering price range set forth on the cover page of this prospectus,</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5"/>
              </w:rPr>
              <w:t>after deducting estimated underwriting discounts and commissions and estimated offering</w:t>
            </w:r>
          </w:p>
        </w:tc>
      </w:tr>
      <w:tr>
        <w:trPr>
          <w:trHeight w:val="230"/>
        </w:trPr>
        <w:tc>
          <w:tcPr>
            <w:tcW w:w="410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w w:val="86"/>
              </w:rPr>
              <w:t>expenses payable by us.</w:t>
            </w:r>
          </w:p>
        </w:tc>
        <w:tc>
          <w:tcPr>
            <w:tcW w:w="3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100" w:type="dxa"/>
            <w:vAlign w:val="bottom"/>
          </w:tcPr>
          <w:p>
            <w:pPr>
              <w:spacing w:after="0"/>
              <w:rPr>
                <w:sz w:val="24"/>
                <w:szCs w:val="24"/>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4"/>
              </w:rPr>
              <w:t>We intend to use the net proceeds that we receive in this offering for product discovery and</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89"/>
              </w:rPr>
              <w:t>development and general corporate purposes. We may use a portion of the proceeds to acquire</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1"/>
              </w:rPr>
              <w:t>other complementary businesses or technologies. See “Use of Proceeds” for a more complete</w:t>
            </w:r>
          </w:p>
        </w:tc>
      </w:tr>
      <w:tr>
        <w:trPr>
          <w:trHeight w:val="230"/>
        </w:trPr>
        <w:tc>
          <w:tcPr>
            <w:tcW w:w="410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description of the intended use of proceeds from this offering.</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Risk factors</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5"/>
              </w:rPr>
              <w:t>You should read the “Risk Factors” section of this prospectus for a discussion of factors to</w:t>
            </w:r>
          </w:p>
        </w:tc>
      </w:tr>
      <w:tr>
        <w:trPr>
          <w:trHeight w:val="230"/>
        </w:trPr>
        <w:tc>
          <w:tcPr>
            <w:tcW w:w="4100" w:type="dxa"/>
            <w:vAlign w:val="bottom"/>
          </w:tcPr>
          <w:p>
            <w:pPr>
              <w:spacing w:after="0"/>
              <w:rPr>
                <w:sz w:val="20"/>
                <w:szCs w:val="20"/>
                <w:color w:val="auto"/>
              </w:rPr>
            </w:pP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6"/>
              </w:rPr>
              <w:t>consider carefully before deciding to invest in shares of our common stock.</w:t>
            </w:r>
          </w:p>
        </w:tc>
        <w:tc>
          <w:tcPr>
            <w:tcW w:w="1080" w:type="dxa"/>
            <w:vAlign w:val="bottom"/>
          </w:tcPr>
          <w:p>
            <w:pPr>
              <w:spacing w:after="0"/>
              <w:rPr>
                <w:sz w:val="20"/>
                <w:szCs w:val="20"/>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840" w:type="dxa"/>
            <w:vAlign w:val="bottom"/>
          </w:tcPr>
          <w:p>
            <w:pPr>
              <w:ind w:left="100"/>
              <w:spacing w:after="0"/>
              <w:rPr>
                <w:sz w:val="20"/>
                <w:szCs w:val="20"/>
                <w:color w:val="auto"/>
              </w:rPr>
            </w:pPr>
            <w:r>
              <w:rPr>
                <w:rFonts w:ascii="Arial" w:cs="Arial" w:eastAsia="Arial" w:hAnsi="Arial"/>
                <w:sz w:val="18"/>
                <w:szCs w:val="18"/>
                <w:color w:val="auto"/>
              </w:rPr>
              <w:t>“ANAB”</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15"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98,456,544 shares of our common stock outstanding as of June 30, 2015, and gives effect to the sale and issuance of 38,436,851 shares of Series D convertible preferred stock at a price of $1.06 per share in a private placement by us in July 2015.</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1060" w:right="18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8,657,422 shares of common stock issuable upon the exercise of options outstanding as of June 30, 2015, with a weighted-average exercise price of $0.1870 per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52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4652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52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5,496,050 shares of common stock issuable upon the exercise of options granted between June 30, 2015 and August 31, 2015, with an exercise price of $0.99 per share;</w:t>
      </w:r>
    </w:p>
    <w:p>
      <w:pPr>
        <w:spacing w:after="0" w:line="75" w:lineRule="exact"/>
        <w:rPr>
          <w:rFonts w:ascii="Arial" w:cs="Arial" w:eastAsia="Arial" w:hAnsi="Arial"/>
          <w:sz w:val="18"/>
          <w:szCs w:val="18"/>
          <w:color w:val="auto"/>
        </w:rPr>
      </w:pPr>
    </w:p>
    <w:p>
      <w:pPr>
        <w:ind w:left="1600" w:hanging="863"/>
        <w:spacing w:after="0"/>
        <w:tabs>
          <w:tab w:leader="none" w:pos="1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3,178,857 shares of</w:t>
      </w:r>
    </w:p>
    <w:p>
      <w:pPr>
        <w:spacing w:after="0" w:line="46" w:lineRule="exact"/>
        <w:rPr>
          <w:sz w:val="20"/>
          <w:szCs w:val="20"/>
          <w:color w:val="auto"/>
        </w:rPr>
      </w:pPr>
    </w:p>
    <w:p>
      <w:pPr>
        <w:ind w:left="1060" w:right="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August 31, 2015, (b) shares of common stock reserved for future issuance under our 2015 Equity Incentive Plan, which will become effective on the date immediately prior to the date of</w:t>
      </w:r>
    </w:p>
    <w:p>
      <w:pPr>
        <w:spacing w:after="0" w:line="1" w:lineRule="exact"/>
        <w:rPr>
          <w:sz w:val="20"/>
          <w:szCs w:val="20"/>
          <w:color w:val="auto"/>
        </w:rPr>
      </w:pPr>
    </w:p>
    <w:p>
      <w:pPr>
        <w:ind w:left="1060"/>
        <w:spacing w:after="0" w:line="252" w:lineRule="auto"/>
        <w:rPr>
          <w:sz w:val="20"/>
          <w:szCs w:val="20"/>
          <w:color w:val="auto"/>
        </w:rPr>
      </w:pPr>
      <w:r>
        <w:rPr>
          <w:rFonts w:ascii="Arial" w:cs="Arial" w:eastAsia="Arial" w:hAnsi="Arial"/>
          <w:sz w:val="18"/>
          <w:szCs w:val="18"/>
          <w:color w:val="auto"/>
        </w:rPr>
        <w:t>this prospectus and (c) shares of common stock reserved for future issuance under our 2015 Employee Stock Purchase Plan, which will become effective on the date of this prospectus. Upon closing of this offering, any remaining shares available for issuance under our 2006 Equity Incentive Plan will be added to the shares reserved under our 2015 Equity Incentive Plan and we will cease granting awards under our 2006 Equity Incentive Plan. Our 2015 Equity Incentive Plan and 2015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1060" w:right="420" w:hanging="323"/>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1060" w:right="80" w:hanging="323"/>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June 30, 2015, with an exercise price of $0.65 per share, that do not expire upon the closing of this offering.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right="340" w:hanging="323"/>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June 30, 2015 into an aggregate of 42,208,202 shares of common stock immediately prior to the closing of this offering;</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38,436,851 shares of Series D convertible preferred stock into 38,436,851 shares of common stock immediately prior to the closing of this offering;</w:t>
      </w:r>
    </w:p>
    <w:p>
      <w:pPr>
        <w:spacing w:after="0" w:line="76" w:lineRule="exact"/>
        <w:rPr>
          <w:sz w:val="20"/>
          <w:szCs w:val="20"/>
          <w:color w:val="auto"/>
        </w:rPr>
      </w:pPr>
    </w:p>
    <w:p>
      <w:pPr>
        <w:ind w:left="1060" w:right="820" w:hanging="319"/>
        <w:spacing w:after="0" w:line="277" w:lineRule="auto"/>
        <w:tabs>
          <w:tab w:leader="none" w:pos="1040" w:val="left"/>
        </w:tabs>
        <w:rPr>
          <w:sz w:val="20"/>
          <w:szCs w:val="20"/>
          <w:color w:val="auto"/>
        </w:rPr>
      </w:pPr>
      <w:r>
        <w:rPr>
          <w:rFonts w:ascii="Arial" w:cs="Arial" w:eastAsia="Arial" w:hAnsi="Arial"/>
          <w:sz w:val="18"/>
          <w:szCs w:val="18"/>
          <w:color w:val="auto"/>
        </w:rPr>
        <w:t>•</w:t>
        <w:tab/>
        <w:t>a -for- reverse stock split of our common stock and convertible preferred stock, which will become effective prior to the completion of this offering;</w:t>
      </w:r>
    </w:p>
    <w:p>
      <w:pPr>
        <w:spacing w:after="0" w:line="76" w:lineRule="exact"/>
        <w:rPr>
          <w:sz w:val="20"/>
          <w:szCs w:val="20"/>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June 30, 2015;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336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7336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summary statements of operations data presented below for the years ended December 31, 2013 and 2014 are derived from our audited financial statements included elsewhere in this prospectus. The summary consolidated statements of operations data for the six months ended June 30, 2014 and 2015 and our consolidated balance sheet data as of June 30, 2015 are derived from our unaudited consolidated financial statements included elsewhere in this prospectus. The unaudited consolidated financial statements were prepared on a basis consistent with our audited financial statements and reflect, in the opinion of management, all adjustments of a normal recurring nature that are necessary for the fair presentation of the financial statements.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six months ended June 30, 2015 are not necessarily indicative of results to be expected for the full year. The summary financial data in this section are not intended to replace the financial statements and are qualified in their entirety by the financial statements and related notes included elsewhere in this prospectus.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1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2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5,483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15,838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5,979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32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10,770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10,968</w:t>
            </w:r>
          </w:p>
        </w:tc>
        <w:tc>
          <w:tcPr>
            <w:tcW w:w="10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91"/>
        </w:trPr>
        <w:tc>
          <w:tcPr>
            <w:tcW w:w="7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320" w:type="dxa"/>
            <w:vAlign w:val="bottom"/>
          </w:tcPr>
          <w:p>
            <w:pPr>
              <w:ind w:left="90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(1,338)</w:t>
            </w: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(1,299)</w:t>
            </w: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(1,395)</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7,787</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17,368</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17,368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18,627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17,368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number of shares outstanding (unaudited):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58,473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59,732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9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09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060" w:right="200" w:hanging="431"/>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center"/>
              <w:ind w:left="38"/>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6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2"/>
              </w:rPr>
              <w:t>June 30, 2015</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4"/>
              </w:rPr>
              <w:t>(unaudited)</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Actual</w:t>
            </w:r>
          </w:p>
        </w:tc>
        <w:tc>
          <w:tcPr>
            <w:tcW w:w="15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16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0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w w:val="95"/>
              </w:rPr>
              <w:t>$16,894</w:t>
            </w:r>
          </w:p>
        </w:tc>
        <w:tc>
          <w:tcPr>
            <w:tcW w:w="1560" w:type="dxa"/>
            <w:vAlign w:val="bottom"/>
          </w:tcPr>
          <w:p>
            <w:pPr>
              <w:ind w:left="300"/>
              <w:spacing w:after="0"/>
              <w:rPr>
                <w:sz w:val="20"/>
                <w:szCs w:val="20"/>
                <w:color w:val="auto"/>
              </w:rPr>
            </w:pPr>
            <w:r>
              <w:rPr>
                <w:rFonts w:ascii="Arial" w:cs="Arial" w:eastAsia="Arial" w:hAnsi="Arial"/>
                <w:sz w:val="18"/>
                <w:szCs w:val="18"/>
                <w:color w:val="auto"/>
              </w:rPr>
              <w:t>$</w:t>
            </w:r>
          </w:p>
        </w:tc>
        <w:tc>
          <w:tcPr>
            <w:tcW w:w="1160" w:type="dxa"/>
            <w:vAlign w:val="bottom"/>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22,291</w:t>
            </w: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Notes payable, current portion</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634</w:t>
            </w:r>
          </w:p>
        </w:tc>
        <w:tc>
          <w:tcPr>
            <w:tcW w:w="1560" w:type="dxa"/>
            <w:vAlign w:val="bottom"/>
          </w:tcPr>
          <w:p>
            <w:pPr>
              <w:ind w:left="840"/>
              <w:spacing w:after="0"/>
              <w:rPr>
                <w:sz w:val="20"/>
                <w:szCs w:val="20"/>
                <w:color w:val="auto"/>
              </w:rPr>
            </w:pPr>
            <w:r>
              <w:rPr>
                <w:rFonts w:ascii="Arial" w:cs="Arial" w:eastAsia="Arial" w:hAnsi="Arial"/>
                <w:sz w:val="18"/>
                <w:szCs w:val="18"/>
                <w:color w:val="auto"/>
              </w:rPr>
              <w:t>634</w:t>
            </w:r>
          </w:p>
        </w:tc>
        <w:tc>
          <w:tcPr>
            <w:tcW w:w="1160" w:type="dxa"/>
            <w:vAlign w:val="bottom"/>
          </w:tcPr>
          <w:p>
            <w:pPr>
              <w:ind w:left="880"/>
              <w:spacing w:after="0"/>
              <w:rPr>
                <w:sz w:val="20"/>
                <w:szCs w:val="20"/>
                <w:color w:val="auto"/>
              </w:rPr>
            </w:pPr>
            <w:r>
              <w:rPr>
                <w:rFonts w:ascii="Arial" w:cs="Arial" w:eastAsia="Arial" w:hAnsi="Arial"/>
                <w:sz w:val="18"/>
                <w:szCs w:val="18"/>
                <w:color w:val="auto"/>
                <w:w w:val="86"/>
              </w:rPr>
              <w:t>634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noncurrent portion</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4,214</w:t>
            </w:r>
          </w:p>
        </w:tc>
        <w:tc>
          <w:tcPr>
            <w:tcW w:w="1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4,214</w:t>
            </w: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4,214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1,720</w:t>
            </w:r>
          </w:p>
        </w:tc>
        <w:tc>
          <w:tcPr>
            <w:tcW w:w="1560" w:type="dxa"/>
            <w:vAlign w:val="bottom"/>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36,828</w:t>
            </w:r>
          </w:p>
        </w:tc>
        <w:tc>
          <w:tcPr>
            <w:tcW w:w="15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(30,975)</w:t>
            </w: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60" w:right="20" w:hanging="431"/>
        <w:spacing w:after="0" w:line="288"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 effect to: (i) the automatic conversion of all outstanding shares of our convertible preferred stock as of June 30, 2015 into 42,208,202 shares of common stock immediately prior to the closing of this offering; (ii) the sale and issuance of 38,436,851 shares of our Series D convertible preferred stock in a private placement by us in July 2015; (iii) the automatic</w:t>
      </w:r>
    </w:p>
    <w:tbl>
      <w:tblPr>
        <w:tblLayout w:type="fixed"/>
        <w:tblInd w:w="620" w:type="dxa"/>
        <w:tblCellMar>
          <w:top w:w="0" w:type="dxa"/>
          <w:left w:w="0" w:type="dxa"/>
          <w:bottom w:w="0" w:type="dxa"/>
          <w:right w:w="0" w:type="dxa"/>
        </w:tblCellMar>
      </w:tblPr>
      <w:tr>
        <w:trPr>
          <w:trHeight w:val="202"/>
        </w:trPr>
        <w:tc>
          <w:tcPr>
            <w:tcW w:w="340" w:type="dxa"/>
            <w:vAlign w:val="bottom"/>
          </w:tcPr>
          <w:p>
            <w:pPr>
              <w:spacing w:after="0"/>
              <w:rPr>
                <w:sz w:val="17"/>
                <w:szCs w:val="17"/>
                <w:color w:val="auto"/>
              </w:rPr>
            </w:pPr>
          </w:p>
        </w:tc>
        <w:tc>
          <w:tcPr>
            <w:tcW w:w="10300" w:type="dxa"/>
            <w:vAlign w:val="bottom"/>
            <w:gridSpan w:val="5"/>
          </w:tcPr>
          <w:p>
            <w:pPr>
              <w:ind w:left="100"/>
              <w:spacing w:after="0" w:line="202" w:lineRule="exact"/>
              <w:rPr>
                <w:sz w:val="20"/>
                <w:szCs w:val="20"/>
                <w:color w:val="auto"/>
              </w:rPr>
            </w:pPr>
            <w:r>
              <w:rPr>
                <w:rFonts w:ascii="Arial" w:cs="Arial" w:eastAsia="Arial" w:hAnsi="Arial"/>
                <w:sz w:val="18"/>
                <w:szCs w:val="18"/>
                <w:color w:val="auto"/>
                <w:w w:val="93"/>
              </w:rPr>
              <w:t>conversion of 38,436,851 shares of Series D convertible preferred stock into 38,436,851 shares of common stock immediately prior to the</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1"/>
              </w:rPr>
              <w:t>closing of this offering; and (iv) the conversion of the preferred stock warrants into common stock warrants and the related reclassification of</w:t>
            </w:r>
          </w:p>
        </w:tc>
      </w:tr>
      <w:tr>
        <w:trPr>
          <w:trHeight w:val="216"/>
        </w:trPr>
        <w:tc>
          <w:tcPr>
            <w:tcW w:w="34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the preferred stock warrant liability to additional paid-in capital.</w:t>
            </w: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7640" w:type="dxa"/>
            <w:vAlign w:val="bottom"/>
            <w:gridSpan w:val="4"/>
          </w:tcPr>
          <w:p>
            <w:pPr>
              <w:ind w:left="100"/>
              <w:spacing w:after="0"/>
              <w:rPr>
                <w:sz w:val="20"/>
                <w:szCs w:val="20"/>
                <w:color w:val="auto"/>
              </w:rPr>
            </w:pPr>
            <w:r>
              <w:rPr>
                <w:rFonts w:ascii="Arial" w:cs="Arial" w:eastAsia="Arial" w:hAnsi="Arial"/>
                <w:sz w:val="18"/>
                <w:szCs w:val="18"/>
                <w:color w:val="auto"/>
                <w:w w:val="92"/>
              </w:rPr>
              <w:t>The pro forma as adjusted balance sheet data give effect to the pro forma adjustments and the sale of</w:t>
            </w:r>
          </w:p>
        </w:tc>
        <w:tc>
          <w:tcPr>
            <w:tcW w:w="2660" w:type="dxa"/>
            <w:vAlign w:val="bottom"/>
          </w:tcPr>
          <w:p>
            <w:pPr>
              <w:ind w:left="300"/>
              <w:spacing w:after="0"/>
              <w:rPr>
                <w:sz w:val="20"/>
                <w:szCs w:val="20"/>
                <w:color w:val="auto"/>
              </w:rPr>
            </w:pPr>
            <w:r>
              <w:rPr>
                <w:rFonts w:ascii="Arial" w:cs="Arial" w:eastAsia="Arial" w:hAnsi="Arial"/>
                <w:sz w:val="18"/>
                <w:szCs w:val="18"/>
                <w:color w:val="auto"/>
                <w:w w:val="89"/>
              </w:rPr>
              <w:t>shares of common stock by us in</w:t>
            </w:r>
          </w:p>
        </w:tc>
      </w:tr>
      <w:tr>
        <w:trPr>
          <w:trHeight w:val="216"/>
        </w:trPr>
        <w:tc>
          <w:tcPr>
            <w:tcW w:w="34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7"/>
              </w:rPr>
              <w:t>this offering, based on an assumed initial public offering price of $</w:t>
            </w:r>
          </w:p>
        </w:tc>
        <w:tc>
          <w:tcPr>
            <w:tcW w:w="5100" w:type="dxa"/>
            <w:vAlign w:val="bottom"/>
            <w:gridSpan w:val="3"/>
          </w:tcPr>
          <w:p>
            <w:pPr>
              <w:ind w:left="280"/>
              <w:spacing w:after="0"/>
              <w:rPr>
                <w:sz w:val="20"/>
                <w:szCs w:val="20"/>
                <w:color w:val="auto"/>
              </w:rPr>
            </w:pPr>
            <w:r>
              <w:rPr>
                <w:rFonts w:ascii="Arial" w:cs="Arial" w:eastAsia="Arial" w:hAnsi="Arial"/>
                <w:sz w:val="18"/>
                <w:szCs w:val="18"/>
                <w:color w:val="auto"/>
                <w:w w:val="94"/>
              </w:rPr>
              <w:t>per share, the midpoint of the estimated price range set forth on</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5"/>
              </w:rPr>
              <w:t>the cover page of this prospectus, after deducting estimated underwriting discounts and commissions and estimated offering expenses</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payable by us.</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(3)</w:t>
            </w:r>
          </w:p>
        </w:tc>
        <w:tc>
          <w:tcPr>
            <w:tcW w:w="6060" w:type="dxa"/>
            <w:vAlign w:val="bottom"/>
            <w:gridSpan w:val="3"/>
          </w:tcPr>
          <w:p>
            <w:pPr>
              <w:ind w:left="10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2"/>
              </w:rPr>
              <w:t>per share, the midpoint of the price range set forth on</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1"/>
              </w:rPr>
              <w:t>the cover page of this prospectus, would increase (decrease) each of our pro forma as adjusted cash and cash equivalents, total assets and</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w w:val="95"/>
              </w:rPr>
              <w:t>total stockholders’ equity (deficit) by approximately $</w:t>
            </w:r>
          </w:p>
        </w:tc>
        <w:tc>
          <w:tcPr>
            <w:tcW w:w="6180" w:type="dxa"/>
            <w:vAlign w:val="bottom"/>
            <w:gridSpan w:val="4"/>
          </w:tcPr>
          <w:p>
            <w:pPr>
              <w:ind w:left="460"/>
              <w:spacing w:after="0"/>
              <w:rPr>
                <w:sz w:val="20"/>
                <w:szCs w:val="20"/>
                <w:color w:val="auto"/>
              </w:rPr>
            </w:pPr>
            <w:r>
              <w:rPr>
                <w:rFonts w:ascii="Arial" w:cs="Arial" w:eastAsia="Arial" w:hAnsi="Arial"/>
                <w:sz w:val="18"/>
                <w:szCs w:val="18"/>
                <w:color w:val="auto"/>
                <w:w w:val="93"/>
              </w:rPr>
              <w:t>million, assuming that the number of shares offered by us, remains the same</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4"/>
              </w:rPr>
              <w:t>and after deducting estimated underwriting discounts and commissions. Similarly, each increase (decrease) of one million shares in the</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89"/>
              </w:rPr>
              <w:t>number of shares offered by us would increase (decrease) each of our pro forma as adjusted cash and cash equivalents, total assets and total</w:t>
            </w:r>
          </w:p>
        </w:tc>
      </w:tr>
      <w:tr>
        <w:trPr>
          <w:trHeight w:val="230"/>
        </w:trPr>
        <w:tc>
          <w:tcPr>
            <w:tcW w:w="340" w:type="dxa"/>
            <w:vAlign w:val="bottom"/>
          </w:tcPr>
          <w:p>
            <w:pPr>
              <w:spacing w:after="0"/>
              <w:rPr>
                <w:sz w:val="20"/>
                <w:szCs w:val="20"/>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stockholders’ equity (deficit) by approximately $</w:t>
            </w:r>
          </w:p>
        </w:tc>
        <w:tc>
          <w:tcPr>
            <w:tcW w:w="6180" w:type="dxa"/>
            <w:vAlign w:val="bottom"/>
            <w:gridSpan w:val="4"/>
          </w:tcPr>
          <w:p>
            <w:pPr>
              <w:ind w:left="100"/>
              <w:spacing w:after="0"/>
              <w:rPr>
                <w:sz w:val="20"/>
                <w:szCs w:val="20"/>
                <w:color w:val="auto"/>
              </w:rPr>
            </w:pPr>
            <w:r>
              <w:rPr>
                <w:rFonts w:ascii="Arial" w:cs="Arial" w:eastAsia="Arial" w:hAnsi="Arial"/>
                <w:sz w:val="18"/>
                <w:szCs w:val="18"/>
                <w:color w:val="auto"/>
                <w:w w:val="95"/>
              </w:rPr>
              <w:t>million, assuming the assumed initial public offering price remains the same and</w:t>
            </w:r>
          </w:p>
        </w:tc>
      </w:tr>
    </w:tbl>
    <w:p>
      <w:pPr>
        <w:ind w:left="1060"/>
        <w:spacing w:after="0"/>
        <w:rPr>
          <w:sz w:val="20"/>
          <w:szCs w:val="20"/>
          <w:color w:val="auto"/>
        </w:rPr>
      </w:pPr>
      <w:r>
        <w:rPr>
          <w:rFonts w:ascii="Arial" w:cs="Arial" w:eastAsia="Arial" w:hAnsi="Arial"/>
          <w:sz w:val="18"/>
          <w:szCs w:val="18"/>
          <w:color w:val="auto"/>
        </w:rPr>
        <w:t>after deducting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we have not yet completed preclinical toxicology studies for our product candidates, and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6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preliminary comments from the FDA for a pre-IND meeting for ANB020 that focused on preclinical data necessary to initiate studies in humans and potential design for Phase 1 study in healthy volunteers, we have not yet discussed with the FDA or foreign regulatory authorities the development plans for any of our product candidates or the designs of any of our later-stage clinical studies. We thus do not have the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900" w:right="2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no history of conducting clinical trials or commercializing biotechnology products, which may make it difficult to evaluate the prospects for our future viability.</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and, as a company, we have no experience conducting clinical trials in any jurisdiction and have not had previous experience commercializing product candidates, including submitting an IND or a BLA to the FDA, or similar submissions to initiate clinical trials or obtain marketing authorization to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78"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900" w:right="1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have never dosed any of our product candidates in humans. Our planned clinical trials or those of our collaborators may reveal significant adverse events, toxicities or other side effects not seen in our preclinical studies and may result in a safety profile that could inhibit regulatory approval or market acceptance of any of our product candidates.</w:t>
      </w:r>
    </w:p>
    <w:p>
      <w:pPr>
        <w:spacing w:after="0" w:line="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yet initiated any clinical trials or dosed any of our product candidates, including ANB019 and ANB020,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Subjects in our planned clinical trials may suffer significant adverse events or other side effects not observed in our preclinical studies, including, but not limited to, immunogenic responses, organ toxicities such as liver, heart or kidney or other tolerability issues.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significant adverse events or other side effects are observed in any of our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a federal Advisory Committee has recently recommended that the FDA approve for the add-on maintenance treatment in patients aged 18 years or older with severe eosinophilic asthma, and reslizumab (Teva), the BLA for which has been submitted to the FDA for approval;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AMG317 (Amgen) each in clinical testing and antibodies that bind the ST2 receptor including AMG282 (Amgen), which is in clinical testing. 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technological change, we may be unable to compete effectively. Technological advances or products developed by our competitors may render our technologies or product candidates obsolete, less competitive or not economical.</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as is currently planned,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900" w:right="5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3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and we do not expect to be profitable in 2015. Our collaboration revenue was $9.0 million and net loss was $0.4 million for the six months ended June 30, 2015 and our collaboration revenue was $15.8 million and our net income was $3.5 million for the year ended December 31, 2014. As of June 30, 2015, we had an accumulated deficit of $45.7 million.</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move our lead product candidates through preclinical studies and submit INDs or foreign equivalents, which may occur as early as at the end of 2015,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53"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53" w:lineRule="exact"/>
        <w:rPr>
          <w:rFonts w:ascii="Arial" w:cs="Arial" w:eastAsia="Arial" w:hAnsi="Arial"/>
          <w:sz w:val="16"/>
          <w:szCs w:val="16"/>
          <w:color w:val="auto"/>
        </w:rPr>
      </w:pPr>
    </w:p>
    <w:p>
      <w:pPr>
        <w:ind w:left="900" w:right="48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900" w:right="58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 xml:space="preserve">Risks Related to Managing Growth, Operations and Macroeconomic Conditions </w:t>
      </w:r>
      <w:r>
        <w:rPr>
          <w:rFonts w:ascii="Arial" w:cs="Arial" w:eastAsia="Arial" w:hAnsi="Arial"/>
          <w:sz w:val="16"/>
          <w:szCs w:val="16"/>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 as a result of system failures.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$48.7 million in non-dilutive funding through August 31, 2015.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ind w:right="40" w:firstLine="456"/>
        <w:spacing w:after="0" w:line="252"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5620" w:right="2020" w:hanging="5045"/>
        <w:spacing w:after="0" w:line="449" w:lineRule="auto"/>
        <w:tabs>
          <w:tab w:leader="none" w:pos="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 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1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plan to conduct our initial clinical trials for ANB020 and ANB019 in Australia.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the need for us to repeat our Phase 1 trials in the United States. However, there can be no assurance the FDA or other foreign equivalents will accept data from the clinical trials we plan to conduct in Australia. If the FDA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the FDA and other foreign equivalents may accept data from clinical trials conducted outside the United States,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plan to seek Orphan Drug Designation for ANB019 or certain of our other product candidates and we may not be able to obtain or maintain orphan designation or obtain the benefits associated with Orphan Drug status, including market exclusivity.</w:t>
      </w:r>
    </w:p>
    <w:p>
      <w:pPr>
        <w:spacing w:after="0" w:line="62"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5"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drugs we develop may become subject to unfavorable third-party reimbursement practices and pricing regulations.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2024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900" w:right="8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87" w:lineRule="exact"/>
        <w:rPr>
          <w:sz w:val="20"/>
          <w:szCs w:val="20"/>
          <w:color w:val="auto"/>
        </w:rPr>
      </w:pPr>
    </w:p>
    <w:p>
      <w:pPr>
        <w:ind w:left="900" w:right="20" w:hanging="325"/>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Because patent applications in the United States and most other countries are confidential for a period of time after filing, and some remain so until issued, we cannot be certain that we or our licensors were the first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6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6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approximately 84.6% of our voting stock and, upon the closing of this offering, that same group will hold approximately % of our outstanding voting stock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ind w:left="360" w:hanging="359"/>
        <w:spacing w:after="0" w:line="250" w:lineRule="auto"/>
        <w:rPr>
          <w:sz w:val="20"/>
          <w:szCs w:val="20"/>
          <w:color w:val="auto"/>
        </w:rPr>
      </w:pPr>
      <w:r>
        <w:rPr>
          <w:rFonts w:ascii="Arial" w:cs="Arial" w:eastAsia="Arial" w:hAnsi="Arial"/>
          <w:sz w:val="18"/>
          <w:szCs w:val="18"/>
          <w:color w:val="auto"/>
        </w:rPr>
        <w:t>investors purchasing common stock in this offering will incur immediate dilution of $</w:t>
      </w:r>
      <w:r>
        <w:rPr>
          <w:sz w:val="20"/>
          <w:szCs w:val="20"/>
          <w:color w:val="auto"/>
        </w:rPr>
        <w:t xml:space="preserve"> </w:t>
      </w:r>
      <w:r>
        <w:rPr>
          <w:rFonts w:ascii="Arial" w:cs="Arial" w:eastAsia="Arial" w:hAnsi="Arial"/>
          <w:sz w:val="18"/>
          <w:szCs w:val="18"/>
          <w:color w:val="auto"/>
        </w:rPr>
        <w:t>per share, based upon an assumed initial public offering price of $ per share (the midpoint of the price range set forth on the cover page of this prospectus). Further, investors purchasing common stock in this offering will</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contribute approximately % of the total amount invested by stockholders since our inception, but will own only approximately % of the shares of common stock outstanding after giving effect to this offering.</w:t>
      </w:r>
    </w:p>
    <w:p>
      <w:pPr>
        <w:spacing w:after="0" w:line="1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June 30, 2015, options to purchase 8,657,422 shares of our common stock at a weighted-average exercise price of $0.1870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Additional options to purchase 5,496,050 shares of our common stock at an exercise price of $0.99 per share were granted between June 30, 2015 and August 31, 2015.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June 30th, and (ii) the date on which we have issued more than $1 billion in non-convertible debt during the prior three-year period.</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jc w:val="both"/>
        <w:ind w:right="320"/>
        <w:spacing w:after="0" w:line="281" w:lineRule="auto"/>
        <w:rPr>
          <w:sz w:val="20"/>
          <w:szCs w:val="20"/>
          <w:color w:val="auto"/>
        </w:rPr>
      </w:pPr>
      <w:r>
        <w:rPr>
          <w:rFonts w:ascii="Arial" w:cs="Arial" w:eastAsia="Arial" w:hAnsi="Arial"/>
          <w:sz w:val="16"/>
          <w:szCs w:val="16"/>
          <w:color w:val="auto"/>
        </w:rPr>
        <w:t>outstanding shares of common stock based on the number of shares outstanding as of June 30, 2015, assuming: (i) no exercise of the underwriters’ option to purchase additional shares and (ii) the conversion of all outstanding shares of our convertible preferred stock into 80,645,053 shares of common stock immediately prior to the closing of this offering. This includes the shares that we sell in this offering, which may be resold in the public market</w:t>
      </w:r>
    </w:p>
    <w:p>
      <w:pPr>
        <w:spacing w:after="0" w:line="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immediately without 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5620" w:right="1840" w:hanging="5045"/>
        <w:spacing w:after="0" w:line="449" w:lineRule="auto"/>
        <w:tabs>
          <w:tab w:leader="none" w:pos="8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 48</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issuance of equity securities.</w:t>
      </w:r>
    </w:p>
    <w:p>
      <w:pPr>
        <w:spacing w:after="0" w:line="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that our taxable income exceeds any current year operating losses, we plan to use our NOL carryforwards to offset income that would otherwise be taxable. However, under the Tax Reform Act of 1986, the amount of benefits from our NOL carryforwards may be impaired or limited if we incur a cumulative ownership change of more than 50%, as interpreted by the U.S. Internal Revenue Service, over a three-year period. As a result, our use of federal NOL carryforwards could be limited by the provisions of Section 382 of the U.S. Internal Revenue Code of 1986, as amended,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planned clinical trials;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likelihood that the clinical data generated in Australia will be subsequently accepted by the FDA and its foreign equivalents outside of Australia;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and elsewhere in this prospectus. Moreover, we operate in a competitive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2"/>
          <w:szCs w:val="2"/>
          <w:color w:val="auto"/>
        </w:rPr>
      </w:pPr>
      <w:r>
        <w:rPr>
          <w:rFonts w:ascii="Arial" w:cs="Arial" w:eastAsia="Arial" w:hAnsi="Arial"/>
          <w:sz w:val="2"/>
          <w:szCs w:val="2"/>
          <w:color w:val="auto"/>
        </w:rPr>
        <w:t>per share, the midpoint of the price range set forth on the cover page of this prospectus, after deducting estimated underwriting discounts and</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commissions and estimated offering expenses payable by us, will be approximately $ million, or $ million if the underwriters exercise their option to purchase additional shares in full.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w:t>
      </w:r>
    </w:p>
    <w:p>
      <w:pPr>
        <w:spacing w:after="0" w:line="35" w:lineRule="exact"/>
        <w:rPr>
          <w:sz w:val="20"/>
          <w:szCs w:val="20"/>
          <w:color w:val="auto"/>
        </w:rPr>
      </w:pPr>
    </w:p>
    <w:p>
      <w:pPr>
        <w:ind w:right="200" w:firstLine="8"/>
        <w:spacing w:after="0" w:line="281" w:lineRule="auto"/>
        <w:tabs>
          <w:tab w:leader="none" w:pos="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spacing w:after="0" w:line="1" w:lineRule="exact"/>
        <w:rPr>
          <w:rFonts w:ascii="Arial" w:cs="Arial" w:eastAsia="Arial" w:hAnsi="Arial"/>
          <w:sz w:val="16"/>
          <w:szCs w:val="16"/>
          <w:color w:val="auto"/>
        </w:rPr>
      </w:pPr>
    </w:p>
    <w:p>
      <w:pPr>
        <w:ind w:right="520"/>
        <w:spacing w:after="0" w:line="261" w:lineRule="auto"/>
        <w:rPr>
          <w:rFonts w:ascii="Arial" w:cs="Arial" w:eastAsia="Arial" w:hAnsi="Arial"/>
          <w:sz w:val="16"/>
          <w:szCs w:val="16"/>
          <w:color w:val="auto"/>
        </w:rPr>
      </w:pPr>
      <w:r>
        <w:rPr>
          <w:rFonts w:ascii="Arial" w:cs="Arial" w:eastAsia="Arial" w:hAnsi="Arial"/>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intend to use the net proceeds we receive from this offering as follows:</w:t>
      </w:r>
    </w:p>
    <w:p>
      <w:pPr>
        <w:spacing w:after="0" w:line="131" w:lineRule="exact"/>
        <w:rPr>
          <w:sz w:val="20"/>
          <w:szCs w:val="20"/>
          <w:color w:val="auto"/>
        </w:rPr>
      </w:pPr>
    </w:p>
    <w:p>
      <w:pPr>
        <w:ind w:left="900" w:right="3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 million to fund development of ANB019 and ANB020 through initial clinical trials intended to demonstrate efficacy in multiple indications;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 million to fund continued development of other wholly-owned product candidates and discovery of new product candidates to further expand our proprietary pipeline;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459" w:right="3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2015 on:</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140" w:hanging="325"/>
        <w:spacing w:after="0" w:line="293"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pro forma basis, giving effect to (i) the automatic conversion of all outstanding shares of our convertible preferred stock as of June 30, 2015 into 42,208,202 shares of common stock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 shares of common stock immediately prior to the closing of this offering, (iv) the conversion of the preferred stock warrants into common stock warrants and the related reclassification of the preferred stock warrant liability to additional paid-in capital, and (v) the effectiveness of our restated certificate of incorporation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left="6"/>
              <w:spacing w:after="0"/>
              <w:rPr>
                <w:sz w:val="20"/>
                <w:szCs w:val="20"/>
                <w:color w:val="auto"/>
              </w:rPr>
            </w:pPr>
            <w:r>
              <w:rPr>
                <w:rFonts w:ascii="Arial" w:cs="Arial" w:eastAsia="Arial" w:hAnsi="Arial"/>
                <w:sz w:val="14"/>
                <w:szCs w:val="14"/>
                <w:b w:val="1"/>
                <w:bCs w:val="1"/>
                <w:color w:val="auto"/>
                <w:w w:val="92"/>
              </w:rPr>
              <w:t>As of June 30, 2015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0"/>
                <w:szCs w:val="10"/>
                <w:color w:val="auto"/>
              </w:rPr>
            </w:pPr>
          </w:p>
        </w:tc>
        <w:tc>
          <w:tcPr>
            <w:tcW w:w="7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23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w:t>
            </w:r>
          </w:p>
        </w:tc>
        <w:tc>
          <w:tcPr>
            <w:tcW w:w="29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16,894</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5"/>
                <w:szCs w:val="15"/>
                <w:color w:val="auto"/>
              </w:rPr>
              <w:t>Notes payable</w:t>
            </w: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4,848</w:t>
            </w:r>
          </w:p>
        </w:tc>
        <w:tc>
          <w:tcPr>
            <w:tcW w:w="18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Preferred stock warrant liabilities</w:t>
            </w:r>
          </w:p>
        </w:tc>
        <w:tc>
          <w:tcPr>
            <w:tcW w:w="2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1,720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spacing w:after="0" w:line="149" w:lineRule="exact"/>
              <w:rPr>
                <w:sz w:val="20"/>
                <w:szCs w:val="20"/>
                <w:color w:val="auto"/>
              </w:rPr>
            </w:pPr>
            <w:r>
              <w:rPr>
                <w:rFonts w:ascii="Arial" w:cs="Arial" w:eastAsia="Arial" w:hAnsi="Arial"/>
                <w:sz w:val="15"/>
                <w:szCs w:val="15"/>
                <w:color w:val="auto"/>
                <w:w w:val="97"/>
              </w:rPr>
              <w:t>Series B convertible preferred stock, $0.001 par value; 27,742,879 shares authorized, 27,742,879 shares issued and outstanding,</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28,220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shd w:val="clear" w:color="auto" w:fill="CCEEFF"/>
          </w:tcPr>
          <w:p>
            <w:pPr>
              <w:spacing w:after="0" w:line="149" w:lineRule="exact"/>
              <w:rPr>
                <w:sz w:val="20"/>
                <w:szCs w:val="20"/>
                <w:color w:val="auto"/>
              </w:rPr>
            </w:pPr>
            <w:r>
              <w:rPr>
                <w:rFonts w:ascii="Arial" w:cs="Arial" w:eastAsia="Arial" w:hAnsi="Arial"/>
                <w:sz w:val="15"/>
                <w:szCs w:val="15"/>
                <w:color w:val="auto"/>
                <w:w w:val="97"/>
              </w:rPr>
              <w:t>Series C convertible preferred stock, $0.001 par value; 17,982,024 shares authorized, 11,147,269 shares issued and outstanding,</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6,452</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spacing w:after="0" w:line="149" w:lineRule="exact"/>
              <w:rPr>
                <w:sz w:val="20"/>
                <w:szCs w:val="20"/>
                <w:color w:val="auto"/>
              </w:rPr>
            </w:pPr>
            <w:r>
              <w:rPr>
                <w:rFonts w:ascii="Arial" w:cs="Arial" w:eastAsia="Arial" w:hAnsi="Arial"/>
                <w:sz w:val="15"/>
                <w:szCs w:val="15"/>
                <w:color w:val="auto"/>
                <w:w w:val="97"/>
              </w:rPr>
              <w:t>Series C-1 convertible preferred stock, $0.001 par value; 10,500,000 shares authorized, 3,318,054 shares issued and outstanding,</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2,156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shd w:val="clear" w:color="auto" w:fill="CCEEFF"/>
          </w:tcPr>
          <w:p>
            <w:pPr>
              <w:spacing w:after="0" w:line="149" w:lineRule="exact"/>
              <w:rPr>
                <w:sz w:val="20"/>
                <w:szCs w:val="20"/>
                <w:color w:val="auto"/>
              </w:rPr>
            </w:pPr>
            <w:r>
              <w:rPr>
                <w:rFonts w:ascii="Arial" w:cs="Arial" w:eastAsia="Arial" w:hAnsi="Arial"/>
                <w:sz w:val="15"/>
                <w:szCs w:val="15"/>
                <w:color w:val="auto"/>
              </w:rPr>
              <w:t>Series D convertible preferred stock, $0.001 par value; no shares designated, issued or outstanding, actual, pro forma and pro</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forma as adjusted</w:t>
            </w:r>
          </w:p>
        </w:tc>
        <w:tc>
          <w:tcPr>
            <w:tcW w:w="2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line="162" w:lineRule="exact"/>
              <w:rPr>
                <w:sz w:val="20"/>
                <w:szCs w:val="20"/>
                <w:color w:val="auto"/>
              </w:rPr>
            </w:pPr>
            <w:r>
              <w:rPr>
                <w:rFonts w:ascii="Arial" w:cs="Arial" w:eastAsia="Arial" w:hAnsi="Arial"/>
                <w:sz w:val="15"/>
                <w:szCs w:val="15"/>
                <w:color w:val="auto"/>
              </w:rPr>
              <w:t>Stockholders’ equity (deficit):</w:t>
            </w: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5"/>
                <w:szCs w:val="15"/>
                <w:color w:val="auto"/>
                <w:w w:val="95"/>
              </w:rPr>
              <w:t>Preferred Stock, $0.001 par value; no shares authorized, issued or outstanding, actual;</w:t>
            </w:r>
          </w:p>
        </w:tc>
        <w:tc>
          <w:tcPr>
            <w:tcW w:w="2600" w:type="dxa"/>
            <w:vAlign w:val="bottom"/>
            <w:gridSpan w:val="3"/>
            <w:shd w:val="clear" w:color="auto" w:fill="CCEEFF"/>
          </w:tcPr>
          <w:p>
            <w:pPr>
              <w:jc w:val="right"/>
              <w:ind w:right="565"/>
              <w:spacing w:after="0" w:line="149" w:lineRule="exact"/>
              <w:rPr>
                <w:sz w:val="20"/>
                <w:szCs w:val="20"/>
                <w:color w:val="auto"/>
              </w:rPr>
            </w:pPr>
            <w:r>
              <w:rPr>
                <w:rFonts w:ascii="Arial" w:cs="Arial" w:eastAsia="Arial" w:hAnsi="Arial"/>
                <w:sz w:val="15"/>
                <w:szCs w:val="15"/>
                <w:color w:val="auto"/>
              </w:rPr>
              <w:t>shares authorized, no shares</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issued or outstanding, pro forma and pro forma as adjusted</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ind w:left="320"/>
              <w:spacing w:after="0" w:line="149" w:lineRule="exact"/>
              <w:rPr>
                <w:sz w:val="20"/>
                <w:szCs w:val="20"/>
                <w:color w:val="auto"/>
              </w:rPr>
            </w:pPr>
            <w:r>
              <w:rPr>
                <w:rFonts w:ascii="Arial" w:cs="Arial" w:eastAsia="Arial" w:hAnsi="Arial"/>
                <w:sz w:val="15"/>
                <w:szCs w:val="15"/>
                <w:color w:val="auto"/>
              </w:rPr>
              <w:t>Common stock, $0.001 par value; 79,000,000 shares authorized, 17,811,491 shares issued and outstanding, actual;</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920"/>
              <w:spacing w:after="0" w:line="162" w:lineRule="exact"/>
              <w:rPr>
                <w:sz w:val="20"/>
                <w:szCs w:val="20"/>
                <w:color w:val="auto"/>
              </w:rPr>
            </w:pPr>
            <w:r>
              <w:rPr>
                <w:rFonts w:ascii="Arial" w:cs="Arial" w:eastAsia="Arial" w:hAnsi="Arial"/>
                <w:sz w:val="15"/>
                <w:szCs w:val="15"/>
                <w:color w:val="auto"/>
              </w:rPr>
              <w:t>shares authorized,</w:t>
            </w:r>
          </w:p>
        </w:tc>
        <w:tc>
          <w:tcPr>
            <w:tcW w:w="2920" w:type="dxa"/>
            <w:vAlign w:val="bottom"/>
          </w:tcPr>
          <w:p>
            <w:pPr>
              <w:ind w:left="200"/>
              <w:spacing w:after="0" w:line="162" w:lineRule="exact"/>
              <w:rPr>
                <w:sz w:val="20"/>
                <w:szCs w:val="20"/>
                <w:color w:val="auto"/>
              </w:rPr>
            </w:pPr>
            <w:r>
              <w:rPr>
                <w:rFonts w:ascii="Arial" w:cs="Arial" w:eastAsia="Arial" w:hAnsi="Arial"/>
                <w:sz w:val="15"/>
                <w:szCs w:val="15"/>
                <w:color w:val="auto"/>
                <w:w w:val="96"/>
              </w:rPr>
              <w:t>shares issued and outstanding, pro forma;</w:t>
            </w:r>
          </w:p>
        </w:tc>
        <w:tc>
          <w:tcPr>
            <w:tcW w:w="15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shares authorized,</w:t>
            </w:r>
          </w:p>
        </w:tc>
        <w:tc>
          <w:tcPr>
            <w:tcW w:w="1660" w:type="dxa"/>
            <w:vAlign w:val="bottom"/>
            <w:gridSpan w:val="2"/>
          </w:tcPr>
          <w:p>
            <w:pPr>
              <w:jc w:val="right"/>
              <w:ind w:right="525"/>
              <w:spacing w:after="0" w:line="162" w:lineRule="exact"/>
              <w:rPr>
                <w:sz w:val="20"/>
                <w:szCs w:val="20"/>
                <w:color w:val="auto"/>
              </w:rPr>
            </w:pPr>
            <w:r>
              <w:rPr>
                <w:rFonts w:ascii="Arial" w:cs="Arial" w:eastAsia="Arial" w:hAnsi="Arial"/>
                <w:sz w:val="15"/>
                <w:szCs w:val="15"/>
                <w:color w:val="auto"/>
              </w:rPr>
              <w:t>shares issued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460"/>
              <w:spacing w:after="0"/>
              <w:rPr>
                <w:sz w:val="20"/>
                <w:szCs w:val="20"/>
                <w:color w:val="auto"/>
              </w:rPr>
            </w:pPr>
            <w:r>
              <w:rPr>
                <w:rFonts w:ascii="Arial" w:cs="Arial" w:eastAsia="Arial" w:hAnsi="Arial"/>
                <w:sz w:val="15"/>
                <w:szCs w:val="15"/>
                <w:color w:val="auto"/>
              </w:rPr>
              <w:t>and outstanding, pro forma as adjusted</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Additional paid in capital</w:t>
            </w:r>
          </w:p>
        </w:tc>
        <w:tc>
          <w:tcPr>
            <w:tcW w:w="2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14,697</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320"/>
              <w:spacing w:after="0" w:line="162" w:lineRule="exact"/>
              <w:rPr>
                <w:sz w:val="20"/>
                <w:szCs w:val="20"/>
                <w:color w:val="auto"/>
              </w:rPr>
            </w:pPr>
            <w:r>
              <w:rPr>
                <w:rFonts w:ascii="Arial" w:cs="Arial" w:eastAsia="Arial" w:hAnsi="Arial"/>
                <w:sz w:val="15"/>
                <w:szCs w:val="15"/>
                <w:color w:val="auto"/>
              </w:rPr>
              <w:t>Accumulated deficit</w:t>
            </w: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w w:val="89"/>
              </w:rPr>
              <w:t>(45,690)</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3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40" w:type="dxa"/>
            <w:vAlign w:val="bottom"/>
            <w:gridSpan w:val="2"/>
            <w:shd w:val="clear" w:color="auto" w:fill="CCEEFF"/>
          </w:tcPr>
          <w:p>
            <w:pPr>
              <w:ind w:left="620"/>
              <w:spacing w:after="0" w:line="162" w:lineRule="exact"/>
              <w:rPr>
                <w:sz w:val="20"/>
                <w:szCs w:val="20"/>
                <w:color w:val="auto"/>
              </w:rPr>
            </w:pPr>
            <w:r>
              <w:rPr>
                <w:rFonts w:ascii="Arial" w:cs="Arial" w:eastAsia="Arial" w:hAnsi="Arial"/>
                <w:sz w:val="15"/>
                <w:szCs w:val="15"/>
                <w:color w:val="auto"/>
              </w:rPr>
              <w:t>Total stockholders’ equity (deficit)</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89"/>
              </w:rPr>
              <w:t>(30,975)</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20" w:type="dxa"/>
            <w:vAlign w:val="bottom"/>
          </w:tcPr>
          <w:p>
            <w:pPr>
              <w:ind w:left="920"/>
              <w:spacing w:after="0"/>
              <w:rPr>
                <w:sz w:val="20"/>
                <w:szCs w:val="20"/>
                <w:color w:val="auto"/>
              </w:rPr>
            </w:pPr>
            <w:r>
              <w:rPr>
                <w:rFonts w:ascii="Arial" w:cs="Arial" w:eastAsia="Arial" w:hAnsi="Arial"/>
                <w:sz w:val="15"/>
                <w:szCs w:val="15"/>
                <w:color w:val="auto"/>
              </w:rPr>
              <w:t>Total capitalization</w:t>
            </w:r>
          </w:p>
        </w:tc>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12,421</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right="160" w:hanging="332"/>
        <w:spacing w:after="0" w:line="25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w:t>
      </w:r>
    </w:p>
    <w:p>
      <w:pPr>
        <w:ind w:left="340"/>
        <w:spacing w:after="0"/>
        <w:rPr>
          <w:rFonts w:ascii="Arial" w:cs="Arial" w:eastAsia="Arial" w:hAnsi="Arial"/>
          <w:sz w:val="14"/>
          <w:szCs w:val="14"/>
          <w:color w:val="auto"/>
        </w:rPr>
      </w:pPr>
      <w:r>
        <w:rPr>
          <w:rFonts w:ascii="Arial" w:cs="Arial" w:eastAsia="Arial" w:hAnsi="Arial"/>
          <w:sz w:val="15"/>
          <w:szCs w:val="15"/>
          <w:color w:val="auto"/>
        </w:rPr>
        <w:t>approximately $</w:t>
      </w:r>
      <w:r>
        <w:rPr>
          <w:rFonts w:ascii="Arial" w:cs="Arial" w:eastAsia="Arial" w:hAnsi="Arial"/>
          <w:sz w:val="13"/>
          <w:szCs w:val="13"/>
          <w:color w:val="auto"/>
        </w:rPr>
        <w:t>million, assuming that the number of shares offered by us remains the same and after deducting estimated underwriting discounts and commissions. Similarly,</w:t>
      </w:r>
    </w:p>
    <w:p>
      <w:pPr>
        <w:ind w:left="340"/>
        <w:spacing w:after="0"/>
        <w:rPr>
          <w:sz w:val="20"/>
          <w:szCs w:val="20"/>
          <w:color w:val="auto"/>
        </w:rPr>
      </w:pPr>
      <w:r>
        <w:rPr>
          <w:rFonts w:ascii="Arial" w:cs="Arial" w:eastAsia="Arial" w:hAnsi="Arial"/>
          <w:sz w:val="14"/>
          <w:szCs w:val="14"/>
          <w:color w:val="auto"/>
        </w:rPr>
        <w:t>each increase (decrease) of one million shares in the number of shares offered by us would increase (decrease) each of our pro forma as adjusted cash and cash equivalents,</w:t>
      </w:r>
    </w:p>
    <w:p>
      <w:pPr>
        <w:spacing w:after="0" w:line="1" w:lineRule="exact"/>
        <w:rPr>
          <w:sz w:val="20"/>
          <w:szCs w:val="20"/>
          <w:color w:val="auto"/>
        </w:rPr>
      </w:pPr>
    </w:p>
    <w:p>
      <w:pPr>
        <w:ind w:left="340" w:right="60"/>
        <w:spacing w:after="0" w:line="239" w:lineRule="auto"/>
        <w:rPr>
          <w:sz w:val="20"/>
          <w:szCs w:val="20"/>
          <w:color w:val="auto"/>
        </w:rPr>
      </w:pPr>
      <w:r>
        <w:rPr>
          <w:rFonts w:ascii="Arial" w:cs="Arial" w:eastAsia="Arial" w:hAnsi="Arial"/>
          <w:sz w:val="15"/>
          <w:szCs w:val="15"/>
          <w:color w:val="auto"/>
        </w:rPr>
        <w:t>additional paid-in capital, total stockholders’ equity (deficit) and total capitalization by approximately $ million, assuming the assumed initial public offering price remains the same and after deducting estimated underwriting discounts and commissions.</w:t>
      </w:r>
    </w:p>
    <w:p>
      <w:pPr>
        <w:spacing w:after="0" w:line="184"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98,456,544 shares of our common stock outstanding as of June 30, 2015, and gives effect to the sale and issuance of 38,436,851 shares of Series D convertible preferred stock at a price of $1.06 per share in a private placement by us in July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900" w:right="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8,657,422 shares of common stock issuable upon the exercise of options outstanding as of June 30, 2015, with a weighted-average exercise price of $0.1870 per share;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5,496,050 shares of common stock issuable upon the exercise of options granted between June 30, 2015 and August 31, 2015, with an exercise price of $0.99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3,178,857 shares of</w:t>
      </w:r>
    </w:p>
    <w:p>
      <w:pPr>
        <w:spacing w:after="0" w:line="46" w:lineRule="exact"/>
        <w:rPr>
          <w:sz w:val="20"/>
          <w:szCs w:val="20"/>
          <w:color w:val="auto"/>
        </w:rPr>
      </w:pPr>
    </w:p>
    <w:p>
      <w:pPr>
        <w:ind w:left="900" w:right="1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August 31, 2015, (b) shares of common stock reserved for future issuance under our 2015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Arial" w:cs="Arial" w:eastAsia="Arial" w:hAnsi="Arial"/>
          <w:sz w:val="18"/>
          <w:szCs w:val="18"/>
          <w:color w:val="auto"/>
        </w:rPr>
        <w:t>prospectus and (c) shares of common stock reserved for future issuance under our 2015 Employee Stock Purchase Plan, which will become effective on the date of this prospectus. Upon the closing of this offering, any remaining shares available for issuance under our 2006 Equity Incentive Plan will be added to the shares reserved under our 2015 Equity Incentive Plan and we will cease granting awards under our 2006 Equity Incentive Plan. Our 2015 Equity Incentive Plan and 2015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900" w:right="2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2,063,484 shares of common stock issuable upon the exercise of warrants to purchase shares of Series C convertible preferred stock that were outstanding as of June 30, 2015, with an exercise price of $0.65 per share, that do not expire upon the closing of this offering.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June 30, 2015, our pro forma net tangible book value was approximately $47.8 million, or $0.49 per share of common stock. Our pro forma net tangible book value per share represents the amount of our total tangible assets reduced by the amount of our total liabilities and divided by the total number of shares of our common stock outstanding as of June 30, 2015, assuming (i) the automatic conversion of all outstanding shares of our convertible preferred stock as of June 30, 2015 into 42,208,202 shares of common stock as of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 shares of common stock immediately prior to the closing of this offering, and (iv) the conversion of the preferred stock warrants into common stock warrants and the related reclassification of the preferred stock warrant liability to additional paid-in capital.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After giving effect to our sale in this offering of</w:t>
            </w:r>
          </w:p>
        </w:tc>
        <w:tc>
          <w:tcPr>
            <w:tcW w:w="5840" w:type="dxa"/>
            <w:vAlign w:val="bottom"/>
            <w:gridSpan w:val="5"/>
          </w:tcPr>
          <w:p>
            <w:pPr>
              <w:ind w:left="280"/>
              <w:spacing w:after="0"/>
              <w:rPr>
                <w:sz w:val="20"/>
                <w:szCs w:val="20"/>
                <w:color w:val="auto"/>
              </w:rPr>
            </w:pPr>
            <w:r>
              <w:rPr>
                <w:rFonts w:ascii="Arial" w:cs="Arial" w:eastAsia="Arial" w:hAnsi="Arial"/>
                <w:sz w:val="18"/>
                <w:szCs w:val="18"/>
                <w:color w:val="auto"/>
                <w:w w:val="93"/>
              </w:rPr>
              <w:t>shares of our common stock at an assumed initial public offering price of $</w:t>
            </w:r>
          </w:p>
        </w:tc>
        <w:tc>
          <w:tcPr>
            <w:tcW w:w="22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color w:val="auto"/>
                <w:w w:val="99"/>
              </w:rPr>
              <w:t>per share, the</w:t>
            </w:r>
          </w:p>
        </w:tc>
        <w:tc>
          <w:tcPr>
            <w:tcW w:w="0" w:type="dxa"/>
            <w:vAlign w:val="bottom"/>
          </w:tcPr>
          <w:p>
            <w:pPr>
              <w:spacing w:after="0"/>
              <w:rPr>
                <w:sz w:val="1"/>
                <w:szCs w:val="1"/>
                <w:color w:val="auto"/>
              </w:rPr>
            </w:pPr>
          </w:p>
        </w:tc>
      </w:tr>
      <w:tr>
        <w:trPr>
          <w:trHeight w:val="216"/>
        </w:trPr>
        <w:tc>
          <w:tcPr>
            <w:tcW w:w="11420" w:type="dxa"/>
            <w:vAlign w:val="bottom"/>
            <w:gridSpan w:val="14"/>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estimated underwriting discounts and commissions and</w:t>
            </w:r>
          </w:p>
        </w:tc>
        <w:tc>
          <w:tcPr>
            <w:tcW w:w="0" w:type="dxa"/>
            <w:vAlign w:val="bottom"/>
          </w:tcPr>
          <w:p>
            <w:pPr>
              <w:spacing w:after="0"/>
              <w:rPr>
                <w:sz w:val="1"/>
                <w:szCs w:val="1"/>
                <w:color w:val="auto"/>
              </w:rPr>
            </w:pPr>
          </w:p>
        </w:tc>
      </w:tr>
      <w:tr>
        <w:trPr>
          <w:trHeight w:val="216"/>
        </w:trPr>
        <w:tc>
          <w:tcPr>
            <w:tcW w:w="9800" w:type="dxa"/>
            <w:vAlign w:val="bottom"/>
            <w:gridSpan w:val="8"/>
          </w:tcPr>
          <w:p>
            <w:pPr>
              <w:spacing w:after="0"/>
              <w:rPr>
                <w:sz w:val="20"/>
                <w:szCs w:val="20"/>
                <w:color w:val="auto"/>
              </w:rPr>
            </w:pPr>
            <w:r>
              <w:rPr>
                <w:rFonts w:ascii="Arial" w:cs="Arial" w:eastAsia="Arial" w:hAnsi="Arial"/>
                <w:sz w:val="18"/>
                <w:szCs w:val="18"/>
                <w:color w:val="auto"/>
                <w:w w:val="90"/>
              </w:rPr>
              <w:t>estimated offering expenses payable by us, our pro forma net tangible book value as of June 30, 2015 would have been approximately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ind w:left="160"/>
              <w:spacing w:after="0"/>
              <w:rPr>
                <w:sz w:val="20"/>
                <w:szCs w:val="20"/>
                <w:color w:val="auto"/>
              </w:rPr>
            </w:pPr>
            <w:r>
              <w:rPr>
                <w:rFonts w:ascii="Arial" w:cs="Arial" w:eastAsia="Arial" w:hAnsi="Arial"/>
                <w:sz w:val="18"/>
                <w:szCs w:val="18"/>
                <w:color w:val="auto"/>
              </w:rPr>
              <w:t>million, or</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540" w:type="dxa"/>
            <w:vAlign w:val="bottom"/>
            <w:gridSpan w:val="5"/>
          </w:tcPr>
          <w:p>
            <w:pPr>
              <w:ind w:left="260"/>
              <w:spacing w:after="0"/>
              <w:rPr>
                <w:sz w:val="20"/>
                <w:szCs w:val="20"/>
                <w:color w:val="auto"/>
              </w:rPr>
            </w:pPr>
            <w:r>
              <w:rPr>
                <w:rFonts w:ascii="Arial" w:cs="Arial" w:eastAsia="Arial" w:hAnsi="Arial"/>
                <w:sz w:val="18"/>
                <w:szCs w:val="18"/>
                <w:color w:val="auto"/>
                <w:w w:val="92"/>
              </w:rPr>
              <w:t>per share of our common stock. This represents an immediate increase in pro forma net tangible book value of $</w:t>
            </w:r>
          </w:p>
        </w:tc>
        <w:tc>
          <w:tcPr>
            <w:tcW w:w="2640" w:type="dxa"/>
            <w:vAlign w:val="bottom"/>
            <w:gridSpan w:val="7"/>
          </w:tcPr>
          <w:p>
            <w:pPr>
              <w:ind w:left="200"/>
              <w:spacing w:after="0"/>
              <w:rPr>
                <w:sz w:val="20"/>
                <w:szCs w:val="20"/>
                <w:color w:val="auto"/>
              </w:rPr>
            </w:pPr>
            <w:r>
              <w:rPr>
                <w:rFonts w:ascii="Arial" w:cs="Arial" w:eastAsia="Arial" w:hAnsi="Arial"/>
                <w:sz w:val="18"/>
                <w:szCs w:val="18"/>
                <w:color w:val="auto"/>
              </w:rPr>
              <w:t>per share to our existing</w:t>
            </w:r>
          </w:p>
        </w:tc>
        <w:tc>
          <w:tcPr>
            <w:tcW w:w="0" w:type="dxa"/>
            <w:vAlign w:val="bottom"/>
          </w:tcPr>
          <w:p>
            <w:pPr>
              <w:spacing w:after="0"/>
              <w:rPr>
                <w:sz w:val="1"/>
                <w:szCs w:val="1"/>
                <w:color w:val="auto"/>
              </w:rPr>
            </w:pPr>
          </w:p>
        </w:tc>
      </w:tr>
      <w:tr>
        <w:trPr>
          <w:trHeight w:val="230"/>
        </w:trPr>
        <w:tc>
          <w:tcPr>
            <w:tcW w:w="3420" w:type="dxa"/>
            <w:vAlign w:val="bottom"/>
            <w:gridSpan w:val="4"/>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w w:val="96"/>
              </w:rPr>
              <w:t>per share to investors purchasing shares in this offering, as follows: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gridSpan w:val="3"/>
          </w:tcPr>
          <w:p>
            <w:pPr>
              <w:spacing w:after="0"/>
              <w:rPr>
                <w:sz w:val="21"/>
                <w:szCs w:val="21"/>
                <w:color w:val="auto"/>
              </w:rPr>
            </w:pPr>
          </w:p>
        </w:tc>
        <w:tc>
          <w:tcPr>
            <w:tcW w:w="7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Assumed initial public offering price per share</w:t>
            </w:r>
          </w:p>
        </w:tc>
        <w:tc>
          <w:tcPr>
            <w:tcW w:w="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60" w:type="dxa"/>
            <w:vAlign w:val="bottom"/>
            <w:gridSpan w:val="4"/>
          </w:tcPr>
          <w:p>
            <w:pPr>
              <w:ind w:left="120"/>
              <w:spacing w:after="0"/>
              <w:rPr>
                <w:sz w:val="20"/>
                <w:szCs w:val="20"/>
                <w:color w:val="auto"/>
              </w:rPr>
            </w:pPr>
            <w:r>
              <w:rPr>
                <w:rFonts w:ascii="Arial" w:cs="Arial" w:eastAsia="Arial" w:hAnsi="Arial"/>
                <w:sz w:val="18"/>
                <w:szCs w:val="18"/>
                <w:color w:val="auto"/>
              </w:rPr>
              <w:t>Pro forma net tangible book value per share as of June 30, 2015</w:t>
            </w: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4"/>
          </w:tcPr>
          <w:p>
            <w:pPr>
              <w:jc w:val="right"/>
              <w:ind w:right="350"/>
              <w:spacing w:after="0"/>
              <w:rPr>
                <w:sz w:val="20"/>
                <w:szCs w:val="20"/>
                <w:color w:val="auto"/>
              </w:rPr>
            </w:pPr>
            <w:r>
              <w:rPr>
                <w:rFonts w:ascii="Arial" w:cs="Arial" w:eastAsia="Arial" w:hAnsi="Arial"/>
                <w:sz w:val="18"/>
                <w:szCs w:val="18"/>
                <w:color w:val="auto"/>
                <w:w w:val="97"/>
              </w:rPr>
              <w:t>$0.49</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5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100" w:type="dxa"/>
            <w:vAlign w:val="bottom"/>
            <w:gridSpan w:val="6"/>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Dilution per share to investors in this offering</w:t>
            </w:r>
          </w:p>
        </w:tc>
        <w:tc>
          <w:tcPr>
            <w:tcW w:w="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gridSpan w:val="4"/>
          </w:tcPr>
          <w:p>
            <w:pPr>
              <w:ind w:left="2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320" w:type="dxa"/>
            <w:vAlign w:val="bottom"/>
            <w:gridSpan w:val="8"/>
          </w:tcPr>
          <w:p>
            <w:pPr>
              <w:ind w:left="200"/>
              <w:spacing w:after="0"/>
              <w:rPr>
                <w:sz w:val="20"/>
                <w:szCs w:val="20"/>
                <w:color w:val="auto"/>
              </w:rPr>
            </w:pPr>
            <w:r>
              <w:rPr>
                <w:rFonts w:ascii="Arial" w:cs="Arial" w:eastAsia="Arial" w:hAnsi="Arial"/>
                <w:sz w:val="18"/>
                <w:szCs w:val="18"/>
                <w:color w:val="auto"/>
                <w:w w:val="93"/>
              </w:rPr>
              <w:t>per share, the midpoint of the price range set forth on the cover page</w:t>
            </w:r>
          </w:p>
        </w:tc>
        <w:tc>
          <w:tcPr>
            <w:tcW w:w="0" w:type="dxa"/>
            <w:vAlign w:val="bottom"/>
          </w:tcPr>
          <w:p>
            <w:pPr>
              <w:spacing w:after="0"/>
              <w:rPr>
                <w:sz w:val="1"/>
                <w:szCs w:val="1"/>
                <w:color w:val="auto"/>
              </w:rPr>
            </w:pPr>
          </w:p>
        </w:tc>
      </w:tr>
      <w:tr>
        <w:trPr>
          <w:trHeight w:val="216"/>
        </w:trPr>
        <w:tc>
          <w:tcPr>
            <w:tcW w:w="9800" w:type="dxa"/>
            <w:vAlign w:val="bottom"/>
            <w:gridSpan w:val="8"/>
          </w:tcPr>
          <w:p>
            <w:pPr>
              <w:spacing w:after="0"/>
              <w:rPr>
                <w:sz w:val="20"/>
                <w:szCs w:val="20"/>
                <w:color w:val="auto"/>
              </w:rPr>
            </w:pPr>
            <w:r>
              <w:rPr>
                <w:rFonts w:ascii="Arial" w:cs="Arial" w:eastAsia="Arial" w:hAnsi="Arial"/>
                <w:sz w:val="18"/>
                <w:szCs w:val="18"/>
                <w:color w:val="auto"/>
                <w:w w:val="94"/>
              </w:rPr>
              <w:t>of this prospectus, would increase (decrease) our pro forma net tangible book value, as adjusted to give effect to this offering, by $</w:t>
            </w:r>
          </w:p>
        </w:tc>
        <w:tc>
          <w:tcPr>
            <w:tcW w:w="1620" w:type="dxa"/>
            <w:vAlign w:val="bottom"/>
            <w:gridSpan w:val="6"/>
          </w:tcPr>
          <w:p>
            <w:pPr>
              <w:spacing w:after="0"/>
              <w:rPr>
                <w:sz w:val="20"/>
                <w:szCs w:val="20"/>
                <w:color w:val="auto"/>
              </w:rPr>
            </w:pPr>
            <w:r>
              <w:rPr>
                <w:rFonts w:ascii="Arial" w:cs="Arial" w:eastAsia="Arial" w:hAnsi="Arial"/>
                <w:sz w:val="18"/>
                <w:szCs w:val="18"/>
                <w:color w:val="auto"/>
                <w:w w:val="86"/>
              </w:rPr>
              <w:t>per share, the increase</w:t>
            </w:r>
          </w:p>
        </w:tc>
        <w:tc>
          <w:tcPr>
            <w:tcW w:w="0" w:type="dxa"/>
            <w:vAlign w:val="bottom"/>
          </w:tcPr>
          <w:p>
            <w:pPr>
              <w:spacing w:after="0"/>
              <w:rPr>
                <w:sz w:val="1"/>
                <w:szCs w:val="1"/>
                <w:color w:val="auto"/>
              </w:rPr>
            </w:pPr>
          </w:p>
        </w:tc>
      </w:tr>
      <w:tr>
        <w:trPr>
          <w:trHeight w:val="216"/>
        </w:trPr>
        <w:tc>
          <w:tcPr>
            <w:tcW w:w="3420" w:type="dxa"/>
            <w:vAlign w:val="bottom"/>
            <w:gridSpan w:val="4"/>
          </w:tcPr>
          <w:p>
            <w:pPr>
              <w:spacing w:after="0"/>
              <w:rPr>
                <w:sz w:val="20"/>
                <w:szCs w:val="20"/>
                <w:color w:val="auto"/>
              </w:rPr>
            </w:pPr>
            <w:r>
              <w:rPr>
                <w:rFonts w:ascii="Arial" w:cs="Arial" w:eastAsia="Arial" w:hAnsi="Arial"/>
                <w:sz w:val="18"/>
                <w:szCs w:val="18"/>
                <w:color w:val="auto"/>
              </w:rPr>
              <w:t>(decrease) attributable to this offering by $</w:t>
            </w:r>
          </w:p>
        </w:tc>
        <w:tc>
          <w:tcPr>
            <w:tcW w:w="8000" w:type="dxa"/>
            <w:vAlign w:val="bottom"/>
            <w:gridSpan w:val="10"/>
          </w:tcPr>
          <w:p>
            <w:pPr>
              <w:ind w:left="60"/>
              <w:spacing w:after="0"/>
              <w:rPr>
                <w:sz w:val="20"/>
                <w:szCs w:val="20"/>
                <w:color w:val="auto"/>
              </w:rPr>
            </w:pPr>
            <w:r>
              <w:rPr>
                <w:rFonts w:ascii="Arial" w:cs="Arial" w:eastAsia="Arial" w:hAnsi="Arial"/>
                <w:sz w:val="18"/>
                <w:szCs w:val="18"/>
                <w:color w:val="auto"/>
                <w:w w:val="91"/>
              </w:rPr>
              <w:t>per share, and the dilution in pro forma as adjusted net tangible book value per share to new investors in this</w:t>
            </w:r>
          </w:p>
        </w:tc>
        <w:tc>
          <w:tcPr>
            <w:tcW w:w="0" w:type="dxa"/>
            <w:vAlign w:val="bottom"/>
          </w:tcPr>
          <w:p>
            <w:pPr>
              <w:spacing w:after="0"/>
              <w:rPr>
                <w:sz w:val="1"/>
                <w:szCs w:val="1"/>
                <w:color w:val="auto"/>
              </w:rPr>
            </w:pP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offering by $</w:t>
            </w:r>
          </w:p>
        </w:tc>
        <w:tc>
          <w:tcPr>
            <w:tcW w:w="10280" w:type="dxa"/>
            <w:vAlign w:val="bottom"/>
            <w:gridSpan w:val="11"/>
          </w:tcPr>
          <w:p>
            <w:pPr>
              <w:ind w:left="200"/>
              <w:spacing w:after="0"/>
              <w:rPr>
                <w:sz w:val="20"/>
                <w:szCs w:val="20"/>
                <w:color w:val="auto"/>
              </w:rPr>
            </w:pPr>
            <w:r>
              <w:rPr>
                <w:rFonts w:ascii="Arial" w:cs="Arial" w:eastAsia="Arial" w:hAnsi="Arial"/>
                <w:sz w:val="18"/>
                <w:szCs w:val="18"/>
                <w:color w:val="auto"/>
                <w:w w:val="93"/>
              </w:rPr>
              <w:t>per share, assuming the number of shares offered by us, as set forth on the cover page of this prospectus, remains the same, and after</w:t>
            </w:r>
          </w:p>
        </w:tc>
        <w:tc>
          <w:tcPr>
            <w:tcW w:w="0" w:type="dxa"/>
            <w:vAlign w:val="bottom"/>
          </w:tcPr>
          <w:p>
            <w:pPr>
              <w:spacing w:after="0"/>
              <w:rPr>
                <w:sz w:val="1"/>
                <w:szCs w:val="1"/>
                <w:color w:val="auto"/>
              </w:rPr>
            </w:pPr>
          </w:p>
        </w:tc>
      </w:tr>
    </w:tbl>
    <w:p>
      <w:pPr>
        <w:ind w:right="40"/>
        <w:spacing w:after="0" w:line="562" w:lineRule="auto"/>
        <w:rPr>
          <w:sz w:val="20"/>
          <w:szCs w:val="20"/>
          <w:color w:val="auto"/>
        </w:rPr>
      </w:pPr>
      <w:r>
        <w:rPr>
          <w:rFonts w:ascii="Arial" w:cs="Arial" w:eastAsia="Arial" w:hAnsi="Arial"/>
          <w:sz w:val="16"/>
          <w:szCs w:val="16"/>
          <w:color w:val="auto"/>
        </w:rPr>
        <w:t>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 the dilution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giving effect to this offering would be $ per share, and the dilution in net tangible book value per share to investors in this offering would be $ per share.</w:t>
      </w:r>
    </w:p>
    <w:p>
      <w:pPr>
        <w:spacing w:after="0" w:line="184"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table summarizes, on a pro forma as adjusted basis as of June 30, 2015 after giving effect to (i) the automatic conversion of all outstanding shares of our convertible preferred stock into 42,208,202 shares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common stock as of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w:t>
      </w:r>
    </w:p>
    <w:p>
      <w:pPr>
        <w:spacing w:after="0"/>
        <w:tabs>
          <w:tab w:leader="none" w:pos="7560" w:val="left"/>
        </w:tabs>
        <w:rPr>
          <w:sz w:val="20"/>
          <w:szCs w:val="20"/>
          <w:color w:val="auto"/>
        </w:rPr>
      </w:pPr>
      <w:r>
        <w:rPr>
          <w:rFonts w:ascii="Arial" w:cs="Arial" w:eastAsia="Arial" w:hAnsi="Arial"/>
          <w:sz w:val="18"/>
          <w:szCs w:val="18"/>
          <w:color w:val="auto"/>
        </w:rPr>
        <w:t>shares of common stock immediately prior to the closing of this offering, and (iv) the issuance of</w:t>
      </w:r>
      <w:r>
        <w:rPr>
          <w:sz w:val="20"/>
          <w:szCs w:val="20"/>
          <w:color w:val="auto"/>
        </w:rPr>
        <w:tab/>
      </w:r>
      <w:r>
        <w:rPr>
          <w:rFonts w:ascii="Arial" w:cs="Arial" w:eastAsia="Arial" w:hAnsi="Arial"/>
          <w:sz w:val="16"/>
          <w:szCs w:val="16"/>
          <w:color w:val="auto"/>
        </w:rPr>
        <w:t>shares of common stock in this offering at an</w:t>
      </w:r>
    </w:p>
    <w:p>
      <w:pPr>
        <w:spacing w:after="0" w:line="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assumed initial public offering price of $ per share, 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w w:val="98"/>
              </w:rPr>
              <w:t>Shares Purchased</w:t>
            </w:r>
          </w:p>
        </w:tc>
        <w:tc>
          <w:tcPr>
            <w:tcW w:w="520" w:type="dxa"/>
            <w:vAlign w:val="bottom"/>
            <w:vMerge w:val="restart"/>
          </w:tcPr>
          <w:p>
            <w:pPr>
              <w:spacing w:after="0"/>
              <w:rPr>
                <w:sz w:val="14"/>
                <w:szCs w:val="14"/>
                <w:color w:val="auto"/>
              </w:rPr>
            </w:pPr>
          </w:p>
        </w:tc>
        <w:tc>
          <w:tcPr>
            <w:tcW w:w="15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92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20" w:type="dxa"/>
            <w:vAlign w:val="bottom"/>
            <w:gridSpan w:val="2"/>
            <w:vMerge w:val="restart"/>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4"/>
                <w:szCs w:val="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Percent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4"/>
                <w:szCs w:val="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Percent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gridSpan w:val="8"/>
          </w:tcPr>
          <w:p>
            <w:pPr>
              <w:jc w:val="right"/>
              <w:ind w:right="541"/>
              <w:spacing w:after="0" w:line="142" w:lineRule="exact"/>
              <w:rPr>
                <w:sz w:val="20"/>
                <w:szCs w:val="20"/>
                <w:color w:val="auto"/>
              </w:rPr>
            </w:pPr>
            <w:r>
              <w:rPr>
                <w:rFonts w:ascii="Arial" w:cs="Arial" w:eastAsia="Arial" w:hAnsi="Arial"/>
                <w:sz w:val="14"/>
                <w:szCs w:val="14"/>
                <w:b w:val="1"/>
                <w:bCs w:val="1"/>
                <w:color w:val="auto"/>
                <w:w w:val="93"/>
              </w:rPr>
              <w:t>(in thousands, except percentage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New public investors</w:t>
            </w:r>
          </w:p>
        </w:tc>
        <w:tc>
          <w:tcPr>
            <w:tcW w:w="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100" w:type="dxa"/>
            <w:vAlign w:val="bottom"/>
          </w:tcPr>
          <w:p>
            <w:pPr>
              <w:ind w:left="46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320" w:type="dxa"/>
            <w:vAlign w:val="bottom"/>
            <w:gridSpan w:val="11"/>
          </w:tcPr>
          <w:p>
            <w:pPr>
              <w:ind w:left="200"/>
              <w:spacing w:after="0"/>
              <w:rPr>
                <w:sz w:val="20"/>
                <w:szCs w:val="20"/>
                <w:color w:val="auto"/>
              </w:rPr>
            </w:pPr>
            <w:r>
              <w:rPr>
                <w:rFonts w:ascii="Arial" w:cs="Arial" w:eastAsia="Arial" w:hAnsi="Arial"/>
                <w:sz w:val="18"/>
                <w:szCs w:val="18"/>
                <w:color w:val="auto"/>
                <w:w w:val="93"/>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this prospectus, would increase (decrease) total consideration paid by new investors and total consideration paid by all stockholders by approximately</w:t>
      </w:r>
    </w:p>
    <w:p>
      <w:pPr>
        <w:spacing w:after="0" w:line="32" w:lineRule="exact"/>
        <w:rPr>
          <w:sz w:val="20"/>
          <w:szCs w:val="20"/>
          <w:color w:val="auto"/>
        </w:rPr>
      </w:pPr>
    </w:p>
    <w:p>
      <w:pPr>
        <w:ind w:right="440" w:firstLine="8"/>
        <w:spacing w:after="0" w:line="261"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exercise their option to purchase additional shares in full, our existing stockholders would own % and our new investors would own % of the total number of shares of our common stock outstanding upon the closing of this offering.</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98,456,544 shares of our common stock outstanding as of June 30, 2015, and gives effect to the sale and issuance of 38,436,851 shares of Series D convertible preferred stock at a price of $1.06 per share in a private placement by us in July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900" w:right="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8,657,422 shares of common stock issuable upon the exercise of options outstanding as of June 30, 2015, with a weighted-average exercise price of $0.1870 per share;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5,496,050 shares of common stock issuable upon the exercise of options granted between June 30, 2015 and August 31, 2015, with an exercise price of $0.99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3,178,857 shares of</w:t>
      </w:r>
    </w:p>
    <w:p>
      <w:pPr>
        <w:spacing w:after="0" w:line="46" w:lineRule="exact"/>
        <w:rPr>
          <w:sz w:val="20"/>
          <w:szCs w:val="20"/>
          <w:color w:val="auto"/>
        </w:rPr>
      </w:pPr>
    </w:p>
    <w:p>
      <w:pPr>
        <w:ind w:left="900" w:right="1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August 31, 2015, (b) shares of common stock reserved for future issuance under our 2015 Equity Incentive Plan, which will become effective on the date immediately prior to the date of this</w:t>
      </w:r>
    </w:p>
    <w:p>
      <w:pPr>
        <w:spacing w:after="0" w:line="1" w:lineRule="exact"/>
        <w:rPr>
          <w:sz w:val="20"/>
          <w:szCs w:val="20"/>
          <w:color w:val="auto"/>
        </w:rPr>
      </w:pPr>
    </w:p>
    <w:p>
      <w:pPr>
        <w:ind w:left="900" w:right="340"/>
        <w:spacing w:after="0" w:line="254" w:lineRule="auto"/>
        <w:rPr>
          <w:sz w:val="20"/>
          <w:szCs w:val="20"/>
          <w:color w:val="auto"/>
        </w:rPr>
      </w:pPr>
      <w:r>
        <w:rPr>
          <w:rFonts w:ascii="Arial" w:cs="Arial" w:eastAsia="Arial" w:hAnsi="Arial"/>
          <w:sz w:val="18"/>
          <w:szCs w:val="18"/>
          <w:color w:val="auto"/>
        </w:rPr>
        <w:t>prospectus and (c) shares of common stock reserved for future issuance under our 2015 Employee Stock Purchase Plan, which will become effective on the date of this prospectus. Upon the closing of this offering, any remaining shares available for issuance under our 2006 Equity Incentive Plan will be added to the shares reserved under our 2015 Equity Incentive Plan and we will cease granting awards under our 2015 Equity Incentive Plan. Our 2015 Equity Incentive Plan and 2015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Employee Stock Purchase Plan also provide for automatic annual increases in the number of shares reserved under the plans each year, as more fully described in “Executive Compensation—Employee Benefit and Stock Plans”;</w:t>
      </w:r>
    </w:p>
    <w:p>
      <w:pPr>
        <w:spacing w:after="0" w:line="76" w:lineRule="exact"/>
        <w:rPr>
          <w:sz w:val="20"/>
          <w:szCs w:val="20"/>
          <w:color w:val="auto"/>
        </w:rPr>
      </w:pPr>
    </w:p>
    <w:p>
      <w:pPr>
        <w:ind w:left="900" w:right="1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2,063,484 shares of common stock issuable upon the exercise of warrants to purchase shares of Series C convertible preferred stock that were outstanding as of June 30, 2015, with an exercise price of $0.65 per share, that do not expire upon the closing of this offering.</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selected statements of operations data for the years ended December 31, 2013 and 2014 and the balance sheet data as of December 31, 2013 and 2014 are derived from our audited financial statements included elsewhere in this prospectus. The selected consolidated statement of operations data for the six months ended June 30, 2014 and 2015 and the consolidated balance sheet data as of June 30, 2015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six months ended June 30, 2015 are not necessarily indicative of results to be expected for the full year. The selected financial data in this section are not intended to replace the financial statements and are qualified in their entirety by the financial statements and related notes included elsewhere in this prospectus.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left="314"/>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80" w:type="dxa"/>
            <w:vAlign w:val="bottom"/>
            <w:gridSpan w:val="2"/>
            <w:vMerge w:val="continue"/>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15,838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91"/>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Income (loss) from operations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Change in fair value of liability for preferred stock warrants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expense,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(5,545)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attributed to participating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(loss) attributed to common stockholders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(5,545)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Basic</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7,787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18,627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17,368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weighted-average number of shares outstanding (unaudited):</w:t>
            </w:r>
            <w:r>
              <w:rPr>
                <w:rFonts w:ascii="Arial" w:cs="Arial" w:eastAsia="Arial" w:hAnsi="Arial"/>
                <w:sz w:val="15"/>
                <w:szCs w:val="15"/>
                <w:color w:val="auto"/>
                <w:w w:val="92"/>
              </w:rPr>
              <w:t>(1)</w:t>
            </w: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58,473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59,732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vMerge w:val="restart"/>
          </w:tcPr>
          <w:p>
            <w:pPr>
              <w:jc w:val="right"/>
              <w:ind w:right="17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291465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62"/>
        </w:trPr>
        <w:tc>
          <w:tcPr>
            <w:tcW w:w="4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2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000" w:type="dxa"/>
            <w:vAlign w:val="bottom"/>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  2,810</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$ 22,188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16,894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25,065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22,291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Convertible promissory notes, current portion</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818</w:t>
            </w:r>
          </w:p>
        </w:tc>
        <w:tc>
          <w:tcPr>
            <w:tcW w:w="4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2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2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4,793</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4,214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34,672</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36,828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36,828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(34,527)</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(30,835)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(30,975)</w:t>
            </w:r>
          </w:p>
        </w:tc>
      </w:tr>
      <w:tr>
        <w:trPr>
          <w:trHeight w:val="365"/>
        </w:trPr>
        <w:tc>
          <w:tcPr>
            <w:tcW w:w="4240" w:type="dxa"/>
            <w:vAlign w:val="bottom"/>
          </w:tcPr>
          <w:p>
            <w:pPr>
              <w:spacing w:after="0"/>
              <w:rPr>
                <w:sz w:val="24"/>
                <w:szCs w:val="24"/>
                <w:color w:val="auto"/>
              </w:rPr>
            </w:pPr>
          </w:p>
        </w:tc>
        <w:tc>
          <w:tcPr>
            <w:tcW w:w="2920" w:type="dxa"/>
            <w:vAlign w:val="bottom"/>
          </w:tcPr>
          <w:p>
            <w:pPr>
              <w:jc w:val="right"/>
              <w:ind w:right="173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6"/>
          <w:szCs w:val="16"/>
          <w:i w:val="1"/>
          <w:iCs w:val="1"/>
          <w:color w:val="auto"/>
        </w:rPr>
        <w:t>in vitro</w:t>
      </w:r>
      <w:r>
        <w:rPr>
          <w:rFonts w:ascii="Arial" w:cs="Arial" w:eastAsia="Arial" w:hAnsi="Arial"/>
          <w:sz w:val="16"/>
          <w:szCs w:val="16"/>
          <w:color w:val="auto"/>
        </w:rPr>
        <w:t>,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and palmo-plantar pustular psoriasis.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6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in the next 18 months. Our collaborations include an immuno-oncology-focused collaboration with TESARO and an inflammation-focused collaboration with Celgene. Through August 31, 2015, we have received non-dilutive funding of $48.7 million from our collaborators.</w:t>
      </w:r>
    </w:p>
    <w:p>
      <w:pPr>
        <w:spacing w:after="0" w:line="18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generated multiple antibodies by using our SHM-XEL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incurred losses in each period since our inception in 2005, except for 2014 in which we received $19.0 million from two upfront payments and recognized revenue of $11.5 million during 2014 following the execution of our strategic collaboration with TESARO. Accordingly, for the year ended December 31, 2014 we reported net income of $3.5 million. As of June 30, 2015, we had an accumulated deficit of $45.7 million.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4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Exclusive License Agreement with TESARO</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and/or LAG-3.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as revenue through March 2016, which is the same period that our research and development services, for which we are reimbursed, are performed. From inception of the agreement through June 30, 2015, we have recognized $20.5 million in total revenue from TESARO.</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 In June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for the anti-PD-1 antagonist antibody mentioned above, which resulted in us receiving a $1.0 million milestone in July 2015. We expect to receive an additional aggregate of $14.0 million in preclinical and IND-related payments by the end of 2016 based upon further development of the anti-PD-1 antagonist and two of the other targets mentioned above.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Antibody Generation Agreement with Celgene Corporation</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June 30, 2015, we have recognized $8.5 million in total revenue from Celgene. For one of the two programs being advanced by Celgene, we expect to receive up to an aggregate of $1.5 million in preclinical and IND-related milestone payments by the end of 2016.</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Collaborative Agreements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are party to other collaboration agreements for which in 2013 and 2014 we recognized $1.7 million and $3.7 million, respectively, in collaboration revenue. We have completed our obligations under these agreements and do not anticipate any additional revenue from them.</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900" w:right="6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are planning to conduct initial clinical trials in Australia to rapidly enter into first-in-human studies for ANB020 and ANB019 and benefit from research and development-related financial incentives related to the development of ANB020 and ANB019. Taking into account any financial incentives, we expect our research and development expenses to be higher in 2015 and 2016 as we advance our product candidates into clinical development.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which we refer to as the Loan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convert into warrants to purchase shares of common stock, the preferred stock warrant liabilities will be reclassified to additional paid-in capital and periodic fair value adjustments will no longer be recorded.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Research and Development Tax Credit Carryforwards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our inception to December 31, 2013, we accumulated net operating losses, or NOLs. For the year ended December 31, 2014, we generated net income of $3.5 million primarily as a result of our collaboration agreement with TESARO. While we utilized NOLs in 2014, we continue to have a valuation allowance against our net deferred tax assets due to the uncertainty surrounding the realization of such assets.</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At December 31, 2014, we had federal and state NOL carryforwards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 forward indefinitely.</w:t>
      </w:r>
    </w:p>
    <w:p>
      <w:pPr>
        <w:spacing w:after="0" w:line="14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have not completed an IRC Section 382/383 analysis. If a change in ownership were to have occurred or occurs as a result of this offering,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900" w:right="120" w:hanging="325"/>
        <w:spacing w:after="0" w:line="25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900" w:right="260" w:hanging="325"/>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in periods through December 31, 2014, and the probability-weighted expected return method, or PWERM, beginning March 31, 2015;</w:t>
      </w:r>
    </w:p>
    <w:p>
      <w:pPr>
        <w:spacing w:after="0" w:line="29"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vesting period for all option tranches, as we have insufficient historical information regarding our stock options to provide a basis for an estimate.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assumptions: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9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1.5%-1.6%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w w:val="96"/>
              </w:rPr>
              <w:t>71.0%-72.5%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6.1-9.9</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June 30, 2015 was $0.5 million and the weighted average period over which these grants are expected to vest is 3.3 years. We expect to continue to grant stock options in the future, and to the extent we do, our actual stock-based compensation expense recognized in future periods will likely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Market.</w:t>
      </w:r>
    </w:p>
    <w:p>
      <w:pPr>
        <w:spacing w:after="0" w:line="193"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900" w:right="60" w:hanging="325"/>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93" w:lineRule="exact"/>
        <w:rPr>
          <w:rFonts w:ascii="Arial" w:cs="Arial" w:eastAsia="Arial" w:hAnsi="Arial"/>
          <w:sz w:val="18"/>
          <w:szCs w:val="18"/>
          <w:color w:val="auto"/>
        </w:rPr>
      </w:pPr>
    </w:p>
    <w:p>
      <w:pPr>
        <w:ind w:left="900" w:right="100" w:hanging="325"/>
        <w:spacing w:after="0" w:line="281"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Similar Transaction Method. </w:t>
      </w:r>
      <w:r>
        <w:rPr>
          <w:rFonts w:ascii="Arial" w:cs="Arial" w:eastAsia="Arial" w:hAnsi="Arial"/>
          <w:sz w:val="17"/>
          <w:szCs w:val="17"/>
          <w:color w:val="auto"/>
        </w:rPr>
        <w:t>The similar transaction method, or ST method, relies on data of actual transactions, such as mergers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900" w:right="320" w:hanging="325"/>
        <w:spacing w:after="0" w:line="347"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ind w:left="900" w:hanging="325"/>
        <w:spacing w:after="0" w:line="26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In June 2014, the Financial Accounting Standards Board, or FASB, issued Accounting Standards Update, or ASU, No. 2014-10, </w:t>
      </w:r>
      <w:r>
        <w:rPr>
          <w:rFonts w:ascii="Arial" w:cs="Arial" w:eastAsia="Arial" w:hAnsi="Arial"/>
          <w:sz w:val="16"/>
          <w:szCs w:val="16"/>
          <w:i w:val="1"/>
          <w:iCs w:val="1"/>
          <w:color w:val="auto"/>
        </w:rPr>
        <w:t>Development Stage</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 (Topic 915)</w:t>
      </w:r>
      <w:r>
        <w:rPr>
          <w:rFonts w:ascii="Arial" w:cs="Arial" w:eastAsia="Arial" w:hAnsi="Arial"/>
          <w:sz w:val="16"/>
          <w:szCs w:val="16"/>
          <w:color w:val="auto"/>
        </w:rPr>
        <w:t>, which eliminated the distinction of a Development Stage Entity along with the inception to date reporting requirements. As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we elected to early adopt the amendment beginning with our annual reporting period ended December 31, 2014, with retrospective application of the amended guidance. Upon adoption, there was no effect to our consolidated financial statements, other than the elimination of inception to date disclosures.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This update requires the presentation of debt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in financial statements as a direct reduction of related debt liabilities rather than as an asset. Amortization of debt issuance costs continue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reported as interest expense. As permitted by the ASU, we elected to early adopt the amendment beginning with its annual reporting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with retrospective application of the amended guidance. The adoption of this ASU resulted in the reclassification $37,000 and $85,000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debt issuance costs from prepaid expenses and other current assets to a direct reduction to the carrying values of notes payable and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reported in the balance sheets at December 31, 2013 and 2014, respectively. The adoption of this guidance did not have any effect on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during the years ended December 31, 2013 or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66"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 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9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2014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Collaboration revenue was $6.0 million and $9.0 million during the six months ended June 30, 2014 and 2015, respectively, an increase of $3.0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 by collaborator is 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93"/>
              </w:rPr>
              <w:t>Six Months</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1"/>
              </w:rPr>
              <w:t>Ended June 30,</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6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$2,605</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1,450</w:t>
            </w:r>
          </w:p>
        </w:tc>
        <w:tc>
          <w:tcPr>
            <w:tcW w:w="6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6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(1,332)</w:t>
            </w:r>
          </w:p>
        </w:tc>
      </w:tr>
      <w:tr>
        <w:trPr>
          <w:trHeight w:val="20"/>
        </w:trPr>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4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5,979</w:t>
            </w:r>
          </w:p>
        </w:tc>
        <w:tc>
          <w:tcPr>
            <w:tcW w:w="620" w:type="dxa"/>
            <w:vAlign w:val="bottom"/>
          </w:tcPr>
          <w:p>
            <w:pPr>
              <w:spacing w:after="0"/>
              <w:rPr>
                <w:sz w:val="24"/>
                <w:szCs w:val="2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8,979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During the first and fourth quarter of 2014 we received $17.0 million and $2.0 million, respectively, in upfront fees under our collaboration and exclusive license agreement with TESARO. For the six months ended June 30, 2014 and 2015, we recognized the amortized portion of these upfront fees in the amounts of $2.6 million and $5.0 million, respectively. The upfront fees will continue to be recognized ratably through March 2016. We also recognized revenue of $1.5 million and $3.4 million during the six months ended June 30, 2014 and 2015, respectively, for research and development services performed under the agreement. We recognized revenue of $0.6 million during the six months ended June 30, 2015, for the achievement of a $1.0 million milestone upon initiation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under the principles of good laboratory practice, using our anti-PD-1 antagonist antibody (TSR-042) by TESARO. The remaining $0.4 million of the milestone will be recognized ratably through March 2016.</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six months ended June 30,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party to other collaboration agreements for which in the six months ended June 30, 2014 we recognized $1.3 million in collaboration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completed our obligations under these agreements in 2014 and do not anticipate any additional revenue from them beyond 2014.</w:t>
      </w:r>
    </w:p>
    <w:p>
      <w:pPr>
        <w:spacing w:after="0" w:line="21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Research and development expenses were $3.9 million during the six months ended June 30, 2014 and $6.4 million for the six months ended June 30, 2015. The increase of $2.5 million is primarily related to a $1.5 million increase in external services and preclinical manufacturing consultation cost relating to our ANB020 and ANB019 programs, a $0.6 million increase in payroll and related expenses, including stock-based compensation, and a $0.3 million increase in laboratory supplies.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General and administrative expenses were $1.2 million during the six months ended June 30, 2014 and $1.6 million for the six months ended June 30, 2015. The $0.4 million increase is due primarily to a $0.2 million increase in audit and tax fees and a $0.1 million increase in recruiting expenses incurred for key senior positions.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during the six months ended June 30, 2014 was $1.3 million and represents stated interest of 10.0% on our convertible promissory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principal of $2.0 million and amortization of the related beneficial conversion feature. All outstanding principal and accrued interest on the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were converted in April 2014 into shares of Series C-1 preferred stock. Interest expense during the six months ended June 30, 2015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and represents effective interest of 9.25% on our outstanding Term A Loans, which have an outstanding principal of $5.0 million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expense from the change in fair value of the liabilities for stock warrants increased by $1.1 million during the six months ended June 30, 2015 when compared to the three months ended June 30, 2014, and primarily reflects an increase in the valuation of our Series C convertible preferred stock at June 30, 2015 which had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4,568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1,961</w:t>
            </w:r>
          </w:p>
        </w:tc>
      </w:tr>
      <w:tr>
        <w:trPr>
          <w:trHeight w:val="75"/>
        </w:trPr>
        <w:tc>
          <w:tcPr>
            <w:tcW w:w="6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15,838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10,355</w:t>
            </w: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$3.7 million, respectively from other collaborative agreements for which our obligations were completed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Stock Warrants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our inception through June 30, 2015, we have received an aggregate of $99.5 million to fund our operations including $44.1 million from the sale of equity securities, $46.0 million from our collaboration agreements and $9.4 million from venture debt. As of June 30, 2015, we had $16.9 million in cash and cash equivalents. In July, 2015, we issued an aggregate of 38,436,851 shares of Series D Preferred Stock at a purchase price of $1.06 per share, for aggregate net proceeds of $40.7 million.</w:t>
      </w:r>
    </w:p>
    <w:p>
      <w:pPr>
        <w:spacing w:after="0" w:line="18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of which $5.0 million of the Term A Loans were outstanding at June 30, 2015.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Final maturity of the loans pursuant to the Loan Agreement is in January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Net cash provided by operating activities during the six months ended June 30, 2014 of $13.4 million was primarily due to cash received pursuant to our collaboration agreement with TESARO that resulted in an increase in deferred revenue of $13.5 million. Net cash used in operating activities during the six months ended June 30, 2015 of $5.2 million, was primarily due to the use of cash for research and development activities and consisted of $0.4 million of net loss in addition to a reduction of deferred revenue of $4.6 million related to the amortization of our upfront payment received from TESARO.</w:t>
      </w:r>
    </w:p>
    <w:p>
      <w:pPr>
        <w:spacing w:after="0" w:line="15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our net loss for the period. Net cash provided by operating activities of $14.6 million during the year ended December 31, 2014 was primarily due to cash received pursuant to our collaboration agreement with TESARO and consisted of net income of $3.5 million in addition to an increase of $10.7 million in deferred revenues and non-cash interest expense of $1.3 million, partially offset by an increase in receivables from our collaborative partner of $1.5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Cash used in investing activities during the six months ended June 30, 2014 and 2015 and years ended December 31, 2013 and 2014, were due to our purchases of property and equipment. As of this time, we plan to focus on our growth strategies and do not plan on using a significant amount of our cash resources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Cash provided by financing activities during the six months ended June 30, 2014 and 2015 was zero and $29,000, respectively. The cash proceeds during 2015 are from the exercise of stock options, offset by payments related to deferred offering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20" w:type="dxa"/>
            <w:vAlign w:val="bottom"/>
            <w:vMerge w:val="restart"/>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color w:val="auto"/>
              </w:rPr>
              <w:t>in thousands)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240" w:type="dxa"/>
            <w:vAlign w:val="bottom"/>
          </w:tcPr>
          <w:p>
            <w:pPr>
              <w:spacing w:after="0"/>
              <w:rPr>
                <w:sz w:val="10"/>
                <w:szCs w:val="10"/>
                <w:color w:val="auto"/>
              </w:rPr>
            </w:pPr>
          </w:p>
        </w:tc>
        <w:tc>
          <w:tcPr>
            <w:tcW w:w="1120" w:type="dxa"/>
            <w:vAlign w:val="bottom"/>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Less Than</w:t>
            </w:r>
          </w:p>
        </w:tc>
        <w:tc>
          <w:tcPr>
            <w:tcW w:w="50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1-3</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3-5</w:t>
            </w:r>
          </w:p>
        </w:tc>
        <w:tc>
          <w:tcPr>
            <w:tcW w:w="50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including interest and final payment fee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$3,578</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$2,257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lease obligation</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496</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346</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822</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3,924</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100" w:hanging="452"/>
        <w:spacing w:after="0" w:line="286"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Future minimum guaranteed payment obligations for annual royalty payments under all collaborative in-license agreements at December 31, 2014 aggregated $0.2 million.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We do not expect the effects of changes in exchange rates to have a material impact on our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and palmo-plantar pustular psoriasis.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6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in the next 18 months. Our collaborations include an immuno-oncology-focused collaboration with TESARO and an inflammation-focused collaboration with Celgene. Through August 31, 2015, we have received significant, non-dilutive funding of $48.7 million from our collaborators.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104775</wp:posOffset>
            </wp:positionV>
            <wp:extent cx="5205730" cy="26244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0573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900" w:hanging="325"/>
        <w:spacing w:after="0" w:line="268"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ANB020 </w:t>
      </w:r>
      <w:r>
        <w:rPr>
          <w:rFonts w:ascii="Arial" w:cs="Arial" w:eastAsia="Arial" w:hAnsi="Arial"/>
          <w:sz w:val="17"/>
          <w:szCs w:val="17"/>
          <w:color w:val="auto"/>
        </w:rPr>
        <w:t>is an antibody that inhibits the activity of interleukin-33, or IL-33, a pro-inflammatory cytokine that multiple studies have indicated is a</w:t>
      </w:r>
      <w:r>
        <w:rPr>
          <w:rFonts w:ascii="Arial" w:cs="Arial" w:eastAsia="Arial" w:hAnsi="Arial"/>
          <w:sz w:val="17"/>
          <w:szCs w:val="17"/>
          <w:b w:val="1"/>
          <w:bCs w:val="1"/>
          <w:color w:val="auto"/>
        </w:rPr>
        <w:t xml:space="preserve"> </w:t>
      </w:r>
      <w:r>
        <w:rPr>
          <w:rFonts w:ascii="Arial" w:cs="Arial" w:eastAsia="Arial" w:hAnsi="Arial"/>
          <w:sz w:val="17"/>
          <w:szCs w:val="17"/>
          <w:color w:val="auto"/>
        </w:rPr>
        <w:t>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We believe ANB020 is potentially the first-in-class therapy targeting IL-33. We anticipate filing an Australian Clinical Trial Notification, or CTN, for ANB020 during the fourth quarter of 2015, the approval of which would allow us to commence clinical trials in Australia. We plan to commence a Phase 1 healthy volunteer trial in Australia in early 2016, followed by patient trials in severe adult asthma and severe adult peanut allergy in other countries, including the United States after submitting an IND to the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 States. Based on our analysis, we estimate approximately 1.7 million adults are affected by peanut allergy, of which approximately 600,000 are regularly treated by allergists and approximately 400,000 are at risk for severe reactions and therefore we believe are suitable for treatment with systemic biological therapies.</w:t>
      </w:r>
    </w:p>
    <w:p>
      <w:pPr>
        <w:spacing w:after="0" w:line="88" w:lineRule="exact"/>
        <w:rPr>
          <w:rFonts w:ascii="Arial" w:cs="Arial" w:eastAsia="Arial" w:hAnsi="Arial"/>
          <w:sz w:val="17"/>
          <w:szCs w:val="17"/>
          <w:color w:val="auto"/>
        </w:rPr>
      </w:pPr>
    </w:p>
    <w:p>
      <w:pPr>
        <w:ind w:left="900" w:hanging="325"/>
        <w:spacing w:after="0" w:line="290"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the interleukin-36-receptor, or IL-36R, which we are initially developing as a potential 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during the second half of 2016, the approval of which would allow us to initiate Phase 1 trials in Australia during the second half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Platform</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relies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90" w:lineRule="exact"/>
        <w:rPr>
          <w:sz w:val="20"/>
          <w:szCs w:val="20"/>
          <w:color w:val="auto"/>
        </w:rPr>
      </w:pPr>
    </w:p>
    <w:p>
      <w:pPr>
        <w:ind w:left="900" w:right="460" w:hanging="325"/>
        <w:spacing w:after="0" w:line="26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900" w:right="60" w:hanging="325"/>
        <w:spacing w:after="0" w:line="313"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4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900" w:right="20" w:hanging="325"/>
        <w:spacing w:after="0" w:line="29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lead product candidates into the clinic. </w:t>
      </w:r>
      <w:r>
        <w:rPr>
          <w:rFonts w:ascii="Arial" w:cs="Arial" w:eastAsia="Arial" w:hAnsi="Arial"/>
          <w:sz w:val="16"/>
          <w:szCs w:val="16"/>
          <w:color w:val="auto"/>
        </w:rPr>
        <w:t>We plan to initiate a Phase 1 healthy volunteer trial for ANB020 in early 2016,</w:t>
      </w:r>
      <w:r>
        <w:rPr>
          <w:rFonts w:ascii="Arial" w:cs="Arial" w:eastAsia="Arial" w:hAnsi="Arial"/>
          <w:sz w:val="16"/>
          <w:szCs w:val="16"/>
          <w:b w:val="1"/>
          <w:bCs w:val="1"/>
          <w:color w:val="auto"/>
        </w:rPr>
        <w:t xml:space="preserve"> </w:t>
      </w:r>
      <w:r>
        <w:rPr>
          <w:rFonts w:ascii="Arial" w:cs="Arial" w:eastAsia="Arial" w:hAnsi="Arial"/>
          <w:sz w:val="16"/>
          <w:szCs w:val="16"/>
          <w:color w:val="auto"/>
        </w:rPr>
        <w:t>followed by trials in severe adult asthma and severe adult peanut allergy patients. We plan to initiate a Phase 1 healthy volunteer trial for ANB019 during the second half of 2016,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its foreign equivalents outside of Australia.</w:t>
      </w:r>
    </w:p>
    <w:p>
      <w:pPr>
        <w:spacing w:after="0" w:line="67" w:lineRule="exact"/>
        <w:rPr>
          <w:rFonts w:ascii="Arial" w:cs="Arial" w:eastAsia="Arial" w:hAnsi="Arial"/>
          <w:sz w:val="16"/>
          <w:szCs w:val="16"/>
          <w:color w:val="auto"/>
        </w:rPr>
      </w:pPr>
    </w:p>
    <w:p>
      <w:pPr>
        <w:ind w:left="900" w:right="2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Identifying emerging opportunities in key therapeutic areas. </w:t>
      </w:r>
      <w:r>
        <w:rPr>
          <w:rFonts w:ascii="Arial" w:cs="Arial" w:eastAsia="Arial" w:hAnsi="Arial"/>
          <w:sz w:val="18"/>
          <w:szCs w:val="18"/>
          <w:color w:val="auto"/>
        </w:rPr>
        <w:t>We intend to remain at the forefront of discovery and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opportunities in inflammation and immuno-oncology by understanding and translating biological breakthroughs into first-in-class therapeutic antibodies. Our approach includes assessment of human genetics and tissue pathology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89" w:lineRule="exact"/>
        <w:rPr>
          <w:rFonts w:ascii="Arial" w:cs="Arial" w:eastAsia="Arial" w:hAnsi="Arial"/>
          <w:sz w:val="18"/>
          <w:szCs w:val="18"/>
          <w:color w:val="auto"/>
        </w:rPr>
      </w:pPr>
    </w:p>
    <w:p>
      <w:pPr>
        <w:ind w:left="900" w:right="360" w:hanging="325"/>
        <w:spacing w:after="0" w:line="314"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60" w:hanging="325"/>
        <w:spacing w:after="0" w:line="261"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$48.7 million in payments through August 31, 2015. In addition to our wholly-owned antibody programs, we are developing antibody product candidates for immuno-oncology and inflammation targets through strategic collaborations. Our collaborations with TESARO and Celgene are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900" w:right="12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currently in preclinical development with an IND submission anticipated in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2015 and first-in-human dosing in early 2016;</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Anti-IL-33 Antibody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ANB020 is an antibody that inhibits the activity of IL-33 and is being developed to treat atopic diseases, including severe adult asthma and severe adult peanut allergy.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anticipate filing an Australian CTN for ANB020 by the fourth quarter of 2015 and plan to commence a Phase 1 trial in Australia in early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IL-33 Target Biology</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asthma, food allergies, atopic dermatitis and other atopic diseases. In response to pathogens, viruses, toxins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associated with atopic diseases. IL-33 also acts on T helper 2, or Th2, effector cells and Innate Lymphoid Cell Type 2, or ILC2, two types of white blood cells that initiate and orchestrate atopic responses.</w:t>
      </w:r>
    </w:p>
    <w:p>
      <w:pPr>
        <w:spacing w:after="0" w:line="18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2002155</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-12065</wp:posOffset>
            </wp:positionV>
            <wp:extent cx="2744470" cy="1929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444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rPr>
          <w:sz w:val="20"/>
          <w:szCs w:val="20"/>
          <w:color w:val="auto"/>
        </w:rPr>
      </w:pPr>
      <w:r>
        <w:rPr>
          <w:rFonts w:ascii="Arial" w:cs="Arial" w:eastAsia="Arial" w:hAnsi="Arial"/>
          <w:sz w:val="13"/>
          <w:szCs w:val="13"/>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2574290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147955</wp:posOffset>
            </wp:positionV>
            <wp:extent cx="1981200" cy="2341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812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80" w:lineRule="auto"/>
        <w:rPr>
          <w:sz w:val="20"/>
          <w:szCs w:val="20"/>
          <w:color w:val="auto"/>
        </w:rPr>
      </w:pPr>
      <w:r>
        <w:rPr>
          <w:rFonts w:ascii="Arial" w:cs="Arial" w:eastAsia="Arial" w:hAnsi="Arial"/>
          <w:sz w:val="12"/>
          <w:szCs w:val="12"/>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Description</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ANB020, which is potentially a first-in-class therapeutic antibody, is our wholly-owned anti-IL-33 antibody product candidate generated using our SHM-XEL technology platform.</w:t>
      </w:r>
    </w:p>
    <w:p>
      <w:pPr>
        <w:spacing w:after="0" w:line="170" w:lineRule="exact"/>
        <w:rPr>
          <w:sz w:val="20"/>
          <w:szCs w:val="20"/>
          <w:color w:val="auto"/>
        </w:rPr>
      </w:pPr>
    </w:p>
    <w:p>
      <w:pPr>
        <w:ind w:right="100" w:firstLine="456"/>
        <w:spacing w:after="0" w:line="278"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w:t>
      </w:r>
      <w:r>
        <w:rPr>
          <w:rFonts w:ascii="Arial" w:cs="Arial" w:eastAsia="Arial" w:hAnsi="Arial"/>
          <w:sz w:val="14"/>
          <w:szCs w:val="14"/>
          <w:color w:val="auto"/>
        </w:rPr>
        <w:t>D</w:t>
      </w:r>
      <w:r>
        <w:rPr>
          <w:rFonts w:ascii="Arial" w:cs="Arial" w:eastAsia="Arial" w:hAnsi="Arial"/>
          <w:sz w:val="17"/>
          <w:szCs w:val="17"/>
          <w:color w:val="auto"/>
        </w:rPr>
        <w:t>, and half-maximal inhibitory concentration values, or IC</w:t>
      </w:r>
      <w:r>
        <w:rPr>
          <w:rFonts w:ascii="Arial" w:cs="Arial" w:eastAsia="Arial" w:hAnsi="Arial"/>
          <w:sz w:val="14"/>
          <w:szCs w:val="14"/>
          <w:color w:val="auto"/>
        </w:rPr>
        <w:t>50</w:t>
      </w:r>
      <w:r>
        <w:rPr>
          <w:rFonts w:ascii="Arial" w:cs="Arial" w:eastAsia="Arial" w:hAnsi="Arial"/>
          <w:sz w:val="17"/>
          <w:szCs w:val="17"/>
          <w:color w:val="auto"/>
        </w:rPr>
        <w:t>. ANB020 demonstrated highly potent K</w:t>
      </w:r>
      <w:r>
        <w:rPr>
          <w:rFonts w:ascii="Arial" w:cs="Arial" w:eastAsia="Arial" w:hAnsi="Arial"/>
          <w:sz w:val="14"/>
          <w:szCs w:val="14"/>
          <w:color w:val="auto"/>
        </w:rPr>
        <w:t>D</w:t>
      </w:r>
      <w:r>
        <w:rPr>
          <w:rFonts w:ascii="Arial" w:cs="Arial" w:eastAsia="Arial" w:hAnsi="Arial"/>
          <w:sz w:val="17"/>
          <w:szCs w:val="17"/>
          <w:color w:val="auto"/>
        </w:rPr>
        <w:t xml:space="preserve"> values of approximately 1 pM and 37 pM for human and cynomolgus monkey IL-33, respectively. ANB020 inhibits secretion of IL-5 from primary basophils purified from peripheral blood of healthy subjects with an IC</w:t>
      </w:r>
      <w:r>
        <w:rPr>
          <w:rFonts w:ascii="Arial" w:cs="Arial" w:eastAsia="Arial" w:hAnsi="Arial"/>
          <w:sz w:val="14"/>
          <w:szCs w:val="14"/>
          <w:color w:val="auto"/>
        </w:rPr>
        <w:t>50</w:t>
      </w:r>
      <w:r>
        <w:rPr>
          <w:rFonts w:ascii="Arial" w:cs="Arial" w:eastAsia="Arial" w:hAnsi="Arial"/>
          <w:sz w:val="17"/>
          <w:szCs w:val="17"/>
          <w:color w:val="auto"/>
        </w:rPr>
        <w:t xml:space="preserve"> of approximately 1.5 nM, which is approximately 15-fold greater than that of the soluble ST2 antagonist, as shown in Figure 3 below. Lower K</w:t>
      </w:r>
      <w:r>
        <w:rPr>
          <w:rFonts w:ascii="Arial" w:cs="Arial" w:eastAsia="Arial" w:hAnsi="Arial"/>
          <w:sz w:val="14"/>
          <w:szCs w:val="14"/>
          <w:color w:val="auto"/>
        </w:rPr>
        <w:t>D</w:t>
      </w:r>
      <w:r>
        <w:rPr>
          <w:rFonts w:ascii="Arial" w:cs="Arial" w:eastAsia="Arial" w:hAnsi="Arial"/>
          <w:sz w:val="17"/>
          <w:szCs w:val="17"/>
          <w:color w:val="auto"/>
        </w:rPr>
        <w:t xml:space="preserve"> and IC</w:t>
      </w:r>
      <w:r>
        <w:rPr>
          <w:rFonts w:ascii="Arial" w:cs="Arial" w:eastAsia="Arial" w:hAnsi="Arial"/>
          <w:sz w:val="14"/>
          <w:szCs w:val="14"/>
          <w:color w:val="auto"/>
        </w:rPr>
        <w:t>50</w:t>
      </w:r>
      <w:r>
        <w:rPr>
          <w:rFonts w:ascii="Arial" w:cs="Arial" w:eastAsia="Arial" w:hAnsi="Arial"/>
          <w:sz w:val="17"/>
          <w:szCs w:val="17"/>
          <w:color w:val="auto"/>
        </w:rPr>
        <w:t xml:space="preserve">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131560" cy="19894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3156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Figure 3. Results from </w:t>
      </w:r>
      <w:r>
        <w:rPr>
          <w:rFonts w:ascii="Arial" w:cs="Arial" w:eastAsia="Arial" w:hAnsi="Arial"/>
          <w:sz w:val="13"/>
          <w:szCs w:val="13"/>
          <w:b w:val="1"/>
          <w:bCs w:val="1"/>
          <w:i w:val="1"/>
          <w:iCs w:val="1"/>
          <w:color w:val="auto"/>
        </w:rPr>
        <w:t>in vitro</w:t>
      </w:r>
      <w:r>
        <w:rPr>
          <w:rFonts w:ascii="Arial" w:cs="Arial" w:eastAsia="Arial" w:hAnsi="Arial"/>
          <w:sz w:val="13"/>
          <w:szCs w:val="13"/>
          <w:b w:val="1"/>
          <w:bCs w:val="1"/>
          <w:color w:val="auto"/>
        </w:rPr>
        <w:t xml:space="preserve"> assay comparing effectiveness of ANB020 and soluble ST2 in inhibiting IL-5 release.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Using peripheral blood mononuclear cells, or PBMC, ANB020 inhibited human and cynomolgus monkey interferon-gamma release with an IC</w:t>
      </w:r>
      <w:r>
        <w:rPr>
          <w:rFonts w:ascii="Arial" w:cs="Arial" w:eastAsia="Arial" w:hAnsi="Arial"/>
          <w:sz w:val="15"/>
          <w:szCs w:val="15"/>
          <w:color w:val="auto"/>
        </w:rPr>
        <w:t>50</w:t>
      </w:r>
      <w:r>
        <w:rPr>
          <w:rFonts w:ascii="Arial" w:cs="Arial" w:eastAsia="Arial" w:hAnsi="Arial"/>
          <w:sz w:val="18"/>
          <w:szCs w:val="18"/>
          <w:color w:val="auto"/>
        </w:rPr>
        <w:t xml:space="preserve"> of approximately 1.1 nM and approximately 20.4 nM, respectively as shown in Figure 4 below. We have developed a whole blood version of the PBMC assay, which we plan to utilize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131560" cy="17240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3156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4. Activity read out of interferon-gamma release for PBMCs pretreated overnight with 100mg/ml IL-12, challenged with ten (human) or five (cynomolgus) nM IL-33 for 48 hours.</w:t>
      </w:r>
    </w:p>
    <w:p>
      <w:pPr>
        <w:spacing w:after="0" w:line="206"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 proved to be fully active in cynomolgus monkey sera two weeks after dosing.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plan to submit a CTN filing for ANB020 in the fourth quarter of 2015 to obtain approval for initial clinical testing of ANB020 in Australia. Conducting early clinical trials in Australia permits us to benefit from Australia’s streamlined approval processes for the initiation of first-in-human studies. We subsequently plan to initiate a healthy volunteer Phase 1 trial, intended to assess, in single and multiple ascending doses, safety, tolerability and pharmacokinetic characteristics of ANB020. We will concurrently utilize a whole blood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 to identify its pharmacodynamic activity range. These tests are also expected to take place in Australia, and following completion of these tests we plan to submit a U.S. IND and conduct further clinical trials in the United States.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Once pharmacodynamic activity has been established in healthy volunteers, we plan to test the clinical activity of ANB020 in atopic dermatitis patients challenged with an allergen, after dosing with ANB020 or a placebo.</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submitting a U.S. IND, we plan to test ANB020 in Phase 2 trials in patients with severe adult asthma and severe adult peanut allergy. Upon demonstrating proof-of-concept in Phase 2 trials, we intend to conduct Phase 3 registration trials for ANB020 in these indications. These later-stage trials may be conducted through collaboration with a leading pharmaceutical company with strong commercial infrastructure in respiratory and allergic therapeutic areas.</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we are exploring the potential to develop ANB020 as a treatment for myeloproliferative neoplasms where the survival, expansion or transformation of pathogenic precursor cells may be dependent upon IL-33.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191885" cy="32327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9188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5. Anticipated ANB020 clinical development strategy.</w:t>
      </w:r>
    </w:p>
    <w:p>
      <w:pPr>
        <w:spacing w:after="0" w:line="2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a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national regulatory agency in Australia, the Therapeutic Goods Administration, or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6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addition, we believe that clinical data generated in Australia will subsequently be accepted by the FDA and its foreign equivalents outside of Australia, and therefore may enable us to commence Phase 2 clinical trials in the United States immediately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good clinical practice, or GCP, where the FDA is able to validate data through onsite inspection, if the FDA deems such inspection necessary. We expect that our Phase 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clinical trials for ANB020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Market Opportunity</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two indications: severe adult asthma and severe adult peanut allergy.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 asthma</w:t>
      </w:r>
      <w:r>
        <w:rPr>
          <w:rFonts w:ascii="Arial" w:cs="Arial" w:eastAsia="Arial" w:hAnsi="Arial"/>
          <w:sz w:val="18"/>
          <w:szCs w:val="18"/>
          <w:i w:val="1"/>
          <w:iCs w:val="1"/>
          <w:color w:val="auto"/>
        </w:rPr>
        <w:t xml:space="preserve"> </w:t>
      </w:r>
      <w:r>
        <w:rPr>
          <w:rFonts w:ascii="Arial" w:cs="Arial" w:eastAsia="Arial" w:hAnsi="Arial"/>
          <w:sz w:val="18"/>
          <w:szCs w:val="18"/>
          <w:color w:val="auto"/>
        </w:rPr>
        <w:t>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Other emerging therapies currently in development, such as lebrikizumab, have yet to be approved by the FDA for treatment of asthma while a federal Advisory Committee has recently recommended that the FDA approve mepolizumab for add-on maintenance treatment in patients aged 18 years or older with severe eosinophilic asthma. Xolair is a difficult drug to prescribe due to complex dosing algorithms, frequent administration and risk of anaphylaxis, and we expect the indications for mepolizumab and lebrikizumab will be limited to subsets of the asthma market defined by biomarkers. We believe that ANB020 may have therapeutic benefit across a broad range of ICS-refractory severe adult asthma patients, and plan to utilize biomarkers during development to differentiate ANB020 relative to competitors.</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Peanut Allergy. </w:t>
      </w:r>
      <w:r>
        <w:rPr>
          <w:rFonts w:ascii="Arial" w:cs="Arial" w:eastAsia="Arial" w:hAnsi="Arial"/>
          <w:sz w:val="18"/>
          <w:szCs w:val="18"/>
          <w:color w:val="auto"/>
        </w:rPr>
        <w:t>Peanuts are the most common cause of food-induced allergy in the United States. We estimate, based on our analysis of publicly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Existing therapies have failed to prevent the occurrence of severe reactions due to accidental peanut exposure, which often results in systemic anaphylaxis and can lead to death. Immunotherapy approaches, such as oral desensitization, currently being developed for this indication require patients to be dosed with increasing quantities of peanut antigens over time. If patients are able to overcome the toxicities of this allergen-based approach, therapeutic benefit may be observed after 12-24 months of oral or skin patch based delivery of peanut allergens. The long-term safety and efficacy of immunotherapy is still uncertain, and these desensitization treatments have not yet been approved by the FDA.</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ANB020 has the potential to rapidly suppress severe adult peanut allergy through its cytokine targeting mechanism, which is allergen non-specific, allowing patients with multiple allergic responses to benefit from 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single therapy, and avoids tolerability issues by acting without allergen dosing. If approved, we anticipate that ANB020 could become the standard-of-care for the treatment of severe adult peanut allergy patients.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ANB019 is an antibody that inhibits the function of IL-36R, which we are initially developing as a potential first-in-class therapy for GPP patients. GPP is a life-threatening, rare systemic inflammatory disorder reported to affect approximately 3,000 patients in the United States alone, with no currently approved therapies. Studies have shown that GPP is associated with mutations in the gene encoding the IL-36R antagonist, or IL-36RA, that lead to abnormally high signaling through the IL-36R and thereby cause the systemic inflammatory condition, GPP. We believe ANB019 is the most advanced antibody targeting the IL-36R in development.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filing an Australian CTN for ANB019 during the second half of 2016 and initiating a Phase 1 trial in Australia during the second half of</w:t>
      </w:r>
    </w:p>
    <w:p>
      <w:pPr>
        <w:spacing w:after="0" w:line="4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2016.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IL-36R Target Biology</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IL-36 alpha, IL-36 beta and IL-36 gamma, all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2223770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131445</wp:posOffset>
            </wp:positionV>
            <wp:extent cx="2727325" cy="2006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2732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rPr>
          <w:sz w:val="20"/>
          <w:szCs w:val="20"/>
          <w:color w:val="auto"/>
        </w:rPr>
      </w:pPr>
      <w:r>
        <w:rPr>
          <w:rFonts w:ascii="Arial" w:cs="Arial" w:eastAsia="Arial" w:hAnsi="Arial"/>
          <w:sz w:val="13"/>
          <w:szCs w:val="13"/>
          <w:b w:val="1"/>
          <w:bCs w:val="1"/>
          <w:color w:val="auto"/>
        </w:rPr>
        <w:t>Figure 6. IL-36 Receptor Signaling. Signaling is maintained in balance by the receptor antagonist. Mutations render the receptor antagonist dysfunctional and lead to uncontrolled signaling causing GPP. PPP is caused by excess cytokine signaling that overcomes a normal receptor antagonist.</w:t>
      </w:r>
    </w:p>
    <w:p>
      <w:pPr>
        <w:spacing w:after="0" w:line="19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These findings support our hypothesis that IL-36 signaling plays a significant role in GPP.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Description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ANB019 was generated using our SHM-XEL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K</w:t>
      </w:r>
      <w:r>
        <w:rPr>
          <w:rFonts w:ascii="Arial" w:cs="Arial" w:eastAsia="Arial" w:hAnsi="Arial"/>
          <w:sz w:val="13"/>
          <w:szCs w:val="13"/>
          <w:color w:val="auto"/>
        </w:rPr>
        <w:t>D</w:t>
      </w:r>
      <w:r>
        <w:rPr>
          <w:rFonts w:ascii="Arial" w:cs="Arial" w:eastAsia="Arial" w:hAnsi="Arial"/>
          <w:sz w:val="16"/>
          <w:szCs w:val="16"/>
          <w:color w:val="auto"/>
        </w:rPr>
        <w:t>, and IC</w:t>
      </w:r>
      <w:r>
        <w:rPr>
          <w:rFonts w:ascii="Arial" w:cs="Arial" w:eastAsia="Arial" w:hAnsi="Arial"/>
          <w:sz w:val="13"/>
          <w:szCs w:val="13"/>
          <w:color w:val="auto"/>
        </w:rPr>
        <w:t>50</w:t>
      </w:r>
      <w:r>
        <w:rPr>
          <w:rFonts w:ascii="Arial" w:cs="Arial" w:eastAsia="Arial" w:hAnsi="Arial"/>
          <w:sz w:val="16"/>
          <w:szCs w:val="16"/>
          <w:color w:val="auto"/>
        </w:rPr>
        <w:t xml:space="preserve"> values. ANB019 has demonstrated potent K</w:t>
      </w:r>
      <w:r>
        <w:rPr>
          <w:rFonts w:ascii="Arial" w:cs="Arial" w:eastAsia="Arial" w:hAnsi="Arial"/>
          <w:sz w:val="13"/>
          <w:szCs w:val="13"/>
          <w:color w:val="auto"/>
        </w:rPr>
        <w:t>D</w:t>
      </w:r>
      <w:r>
        <w:rPr>
          <w:rFonts w:ascii="Arial" w:cs="Arial" w:eastAsia="Arial" w:hAnsi="Arial"/>
          <w:sz w:val="16"/>
          <w:szCs w:val="16"/>
          <w:color w:val="auto"/>
        </w:rPr>
        <w:t xml:space="preserve">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both human and cynomolgus systems, which is measured as the IC</w:t>
      </w:r>
      <w:r>
        <w:rPr>
          <w:rFonts w:ascii="Arial" w:cs="Arial" w:eastAsia="Arial" w:hAnsi="Arial"/>
          <w:sz w:val="13"/>
          <w:szCs w:val="13"/>
          <w:color w:val="auto"/>
        </w:rPr>
        <w:t>50</w:t>
      </w:r>
      <w:r>
        <w:rPr>
          <w:rFonts w:ascii="Arial" w:cs="Arial" w:eastAsia="Arial" w:hAnsi="Arial"/>
          <w:sz w:val="16"/>
          <w:szCs w:val="16"/>
          <w:color w:val="auto"/>
        </w:rPr>
        <w:t xml:space="preserve">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w:t>
      </w:r>
      <w:r>
        <w:rPr>
          <w:rFonts w:ascii="Arial" w:cs="Arial" w:eastAsia="Arial" w:hAnsi="Arial"/>
          <w:sz w:val="13"/>
          <w:szCs w:val="13"/>
          <w:color w:val="auto"/>
        </w:rPr>
        <w:t>D</w:t>
      </w:r>
      <w:r>
        <w:rPr>
          <w:rFonts w:ascii="Arial" w:cs="Arial" w:eastAsia="Arial" w:hAnsi="Arial"/>
          <w:sz w:val="16"/>
          <w:szCs w:val="16"/>
          <w:color w:val="auto"/>
        </w:rPr>
        <w:t xml:space="preserve"> and IC</w:t>
      </w:r>
      <w:r>
        <w:rPr>
          <w:rFonts w:ascii="Arial" w:cs="Arial" w:eastAsia="Arial" w:hAnsi="Arial"/>
          <w:sz w:val="13"/>
          <w:szCs w:val="13"/>
          <w:color w:val="auto"/>
        </w:rPr>
        <w:t>50</w:t>
      </w:r>
      <w:r>
        <w:rPr>
          <w:rFonts w:ascii="Arial" w:cs="Arial" w:eastAsia="Arial" w:hAnsi="Arial"/>
          <w:sz w:val="16"/>
          <w:szCs w:val="16"/>
          <w:color w:val="auto"/>
        </w:rPr>
        <w:t xml:space="preserve"> values indicate higher potency and functional activity, respectively. Similar IC</w:t>
      </w:r>
      <w:r>
        <w:rPr>
          <w:rFonts w:ascii="Arial" w:cs="Arial" w:eastAsia="Arial" w:hAnsi="Arial"/>
          <w:sz w:val="13"/>
          <w:szCs w:val="13"/>
          <w:color w:val="auto"/>
        </w:rPr>
        <w:t>50</w:t>
      </w:r>
      <w:r>
        <w:rPr>
          <w:rFonts w:ascii="Arial" w:cs="Arial" w:eastAsia="Arial" w:hAnsi="Arial"/>
          <w:sz w:val="16"/>
          <w:szCs w:val="16"/>
          <w:color w:val="auto"/>
        </w:rPr>
        <w:t xml:space="preserve">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200140" cy="18522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0014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7. ANB019 demonstrated functional inhibition in our preclinical studies and inhibited functional activity of IL-36 cytokines with at least 100-fold greater potency than IL-36RA.</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initiated manufacturing, pharmacokinetic and safety studies with ANB019, and plan to initiate clinical development during the second half of</w:t>
      </w:r>
    </w:p>
    <w:p>
      <w:pPr>
        <w:spacing w:after="0" w:line="46"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2016.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We plan to initiate clinical development of ANB019 in Australia with a healthy volunteer, Phase 1 dose escalation trial involving single and multiple ascending dose protocols, while also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assays to determine the antibody’s pharmacodynamic activity range. Following completion of this initial Phase 1 trial, we plan to submit a U.S. IND and conduct further clinical testing in the United States.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initial clinical testing of ANB019 will focus primarily on GPP patients. We currently plan to conduct a registration program in the United States with ANB019 in GPP patients who have mutations that render their IL-36RA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dysfunctional, starting with an initial signal study with five to ten patients. Based on the therapeutic effect we anticipate ANB019 will have in the treatment of patients with GPP who have the relevant genetic defect, we believe a small trial, potentially with fewer than 100 patients, may be sufficient to demonstrate substantial evidence of efficacy and safety. We intend to obtain input from FDA on clinical trial design before conducting a pivotal clinical trial in patients with GPP.</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Once the aforementioned GPP registration study has been initiated, we intend to develop ANB019 for PPP. We anticipate a dose-ranging placebo-controlled Phase 2 trial for PPP with United States and foreign testing sites,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165850" cy="3395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6585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8. Anticipated ANB019 clinical development strategy.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immediately following submission of an IND, without any need for us to repeat our Phase 1 trials in the United States. As discussed below under “Government Regulation and Product Approval— 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Market Opportunity</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Generalized Pustular Psoraisis. </w:t>
      </w:r>
      <w:r>
        <w:rPr>
          <w:rFonts w:ascii="Arial" w:cs="Arial" w:eastAsia="Arial" w:hAnsi="Arial"/>
          <w:sz w:val="16"/>
          <w:szCs w:val="16"/>
          <w:color w:val="auto"/>
        </w:rPr>
        <w:t>GPP is a chronic, life-threatening, rare disease with no currently approved therapies. GPP is a systemic inflammatory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genotyping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Discovery-Stage Programs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strategy includes the discovery and development of therapeutic antibodies targeting emerging opportunities in inflammation and immuno-oncology. In addition to the programs described above, we are currently developing wholly-owned (i) anti-inflammatory antibodies that agonize checkpoint receptors to suppress T cell function and (ii) potentially first-in-class immuno-oncology antibodies against checkpoint receptors that are primarily expressed in distal stages of T cell activation. Each of these programs is in lead selection stages and we anticipate moving at least one new product to IND-enabling manufacturing and preclinical studies during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Antibody Discovery Platform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Overview</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148590</wp:posOffset>
            </wp:positionV>
            <wp:extent cx="1380490" cy="11404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8049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900" w:right="180" w:hanging="325"/>
        <w:spacing w:after="0" w:line="26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w:t>
      </w:r>
      <w:r>
        <w:rPr>
          <w:rFonts w:ascii="Arial" w:cs="Arial" w:eastAsia="Arial" w:hAnsi="Arial"/>
          <w:sz w:val="18"/>
          <w:szCs w:val="18"/>
          <w:b w:val="1"/>
          <w:bCs w:val="1"/>
          <w:color w:val="auto"/>
        </w:rPr>
        <w:t xml:space="preserve"> </w:t>
      </w:r>
      <w:r>
        <w:rPr>
          <w:rFonts w:ascii="Arial" w:cs="Arial" w:eastAsia="Arial" w:hAnsi="Arial"/>
          <w:sz w:val="18"/>
          <w:szCs w:val="18"/>
          <w:color w:val="auto"/>
        </w:rPr>
        <w:t>Full length antibodies tend to exhibit serum half-lives of seven to 24 days in humans, leading to bi-weekly or monthly dosing as typical practice for therapeutic antibodies.</w:t>
      </w:r>
    </w:p>
    <w:p>
      <w:pPr>
        <w:spacing w:after="0" w:line="81" w:lineRule="exact"/>
        <w:rPr>
          <w:rFonts w:ascii="Arial" w:cs="Arial" w:eastAsia="Arial" w:hAnsi="Arial"/>
          <w:sz w:val="18"/>
          <w:szCs w:val="18"/>
          <w:color w:val="auto"/>
        </w:rPr>
      </w:pPr>
    </w:p>
    <w:p>
      <w:pPr>
        <w:ind w:left="900" w:hanging="325"/>
        <w:spacing w:after="0" w:line="347"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Competing Antibody Technologies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900" w:right="60" w:hanging="325"/>
        <w:spacing w:after="0" w:line="289"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900" w:right="360" w:hanging="325"/>
        <w:spacing w:after="0" w:line="26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static library diversity displayed on a bacterial or yeast microbial cell surface. The static nature of these libraries limits the range of antibody specificities to 10</w:t>
      </w:r>
      <w:r>
        <w:rPr>
          <w:rFonts w:ascii="Arial" w:cs="Arial" w:eastAsia="Arial" w:hAnsi="Arial"/>
          <w:sz w:val="15"/>
          <w:szCs w:val="15"/>
          <w:color w:val="auto"/>
        </w:rPr>
        <w:t>9</w:t>
      </w:r>
      <w:r>
        <w:rPr>
          <w:rFonts w:ascii="Arial" w:cs="Arial" w:eastAsia="Arial" w:hAnsi="Arial"/>
          <w:sz w:val="18"/>
          <w:szCs w:val="18"/>
          <w:color w:val="auto"/>
        </w:rPr>
        <w:t xml:space="preserve"> or 10</w:t>
      </w:r>
      <w:r>
        <w:rPr>
          <w:rFonts w:ascii="Arial" w:cs="Arial" w:eastAsia="Arial" w:hAnsi="Arial"/>
          <w:sz w:val="15"/>
          <w:szCs w:val="15"/>
          <w:color w:val="auto"/>
        </w:rPr>
        <w:t>10</w:t>
      </w:r>
      <w:r>
        <w:rPr>
          <w:rFonts w:ascii="Arial" w:cs="Arial" w:eastAsia="Arial" w:hAnsi="Arial"/>
          <w:sz w:val="18"/>
          <w:szCs w:val="18"/>
          <w:color w:val="auto"/>
        </w:rPr>
        <w:t xml:space="preserve">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Solution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248275" cy="1861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4827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SHM-XEL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SHM-XEL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1672590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146050</wp:posOffset>
            </wp:positionV>
            <wp:extent cx="2864485" cy="14408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6448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59" w:lineRule="auto"/>
        <w:rPr>
          <w:sz w:val="20"/>
          <w:szCs w:val="20"/>
          <w:color w:val="auto"/>
        </w:rPr>
      </w:pPr>
      <w:r>
        <w:rPr>
          <w:rFonts w:ascii="Arial" w:cs="Arial" w:eastAsia="Arial" w:hAnsi="Arial"/>
          <w:sz w:val="14"/>
          <w:szCs w:val="14"/>
          <w:b w:val="1"/>
          <w:bCs w:val="1"/>
          <w:color w:val="auto"/>
        </w:rPr>
        <w:t>Figure 11. SHM-XEL Antibody Generation Process. Our platform initiates antibody selection from starting libraries of human and non-human diversity, which is further optimized through iterative rounds of SHM and selection.</w:t>
      </w:r>
    </w:p>
    <w:p>
      <w:pPr>
        <w:spacing w:after="0" w:line="17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0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00" w:hanging="325"/>
        <w:spacing w:after="0" w:line="313"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LAG-3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terms of this agreement, TESARO made up-front, non-creditable and non-refundable cash payments aggregating $19.0 million to us during 2014. TESARO is also required to reimburse us on a quarterly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and up to an additional $90.0 million of milestone payments if certain U.S. and non-U.S. regulatory submissions and approvals occur in initial and subsequent indications. TESARO will also be required to pay us tiered single-digit royalties, on a product-by-product basis, on worldwide annual net sales, and additional commercial milestone payments if specified levels of annual net sales of a product are attained.</w:t>
      </w:r>
    </w:p>
    <w:p>
      <w:pPr>
        <w:spacing w:after="0" w:line="173"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anti-flammatory antibodies to the clinic.</w:t>
      </w:r>
    </w:p>
    <w:p>
      <w:pPr>
        <w:spacing w:after="0" w:line="17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MRC</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net sales for worldwide sales on a product-by-product at or below $750 million and 1% of net sales of products worldwide above $1 billion, payable on a country-by-country basis until the expiration of the last licensed patent covering such product in such country. Under this license agreement, we have filed 41 patent applications and have obtained issuance of 16 patents worldwide.</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Millipore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43.5%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For the preclinical and clinical activities currently planned in Australia, we anticipate receiving between</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$1.0 million and $2.0 million in Australian refundable tax credits over the next 24 months, assuming our revenues do not exceed $20.0 million Australian dollars in any annual tax period and we comply with the other requirements described above.</w:t>
      </w:r>
    </w:p>
    <w:p>
      <w:pPr>
        <w:spacing w:after="0" w:line="1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current patent portfolio, including patents to our technology platform licensed from MRC, consists of 28 issued patents and 32 pending patent applications as of June 30, 2015.</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June 30, 2015, we own one international patent application, filed under the Patent Cooperation Treaty, or PCT, which is directed to the antibody sequence of ANB020 and its variants, epitopes, methods of use and related matters. We intend to prosecute the pending international application and pursue patent issuance and protection in key commercial markets where significant product sales may occur. Patents that may issue from this pending international application would provide protection until January 2035.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of June 30, 2015, we own one U.S. provisional patent application, which is directed to the antibody sequence of ANB019 and its variants, epitopes, methods of use and related matters. We intend to pursue an international patent application, filed under the PCT in due course, based on the pending U.S. provisional patent application, and pursue patent issuance and protection in key commercial markets where significant product sales may occur. Patents that may issue from the expected international application would provide protection until April 2036.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 owned portfolio, currently under prosecution in various jurisdictions.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wholly 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produced batches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a Federal Advisory Committee has recently recommended that the FDA approve for the add-on maintenance treatment in patients aged 18 years or older with severe eosinophilic asthma, and reslizumab (Teva), the BLA for which has been submitted to the FDA for approval; antibodies, such as benralizumab (AstraZeneca) that bind the IL-5 receptor; antibodies that bind to IL-13 such as lebrikizumab (Roche), tralokinumab (AstraZeneca) and anrukinzumab (Pfizer) which are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clinical testing; antibodies that bind the IL-4 receptor alpha chain such as dupilumab (Regeneron) and AMG317 (Amgen) each in clinical testing; and antibodies that bind the ST2 receptor including AMG282 (Amgen), which is in clinical testing.</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clinical studies to support an IND</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On March 6, 2015, the FDA approved the first biosimilar product under the BPCIA. Complexities associated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 the larger, and often more complex, structures of biological products, as well as the process by which such products are manufactured, pose significant hurdles to implementation, which is still being evaluated by the FDA.</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If use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PMA review, the FDA will typically inspect the manufacturer’s facilities for compliance with the Quality System Regulation, or QSR, which imposes elaborate testing, control, documentation and other quality assurance requirements.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900" w:right="680" w:hanging="325"/>
        <w:spacing w:after="0" w:line="34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2024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CTN process broadly involves: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CTX process: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it is required that:</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evidence is compiled which demonstrates that the manufacture of the therapeutic drug product complies with the principles of cGMP;</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of August 31, 2015, we had 46 full-time employees and one part-time employee. Of these employees, 37 were primarily engaged in research and development activities and 10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that expires on August 31, 2016.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00"/>
          </w:cols>
          <w:pgMar w:left="24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August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2"/>
        </w:trPr>
        <w:tc>
          <w:tcPr>
            <w:tcW w:w="48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Hamza Suria.</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42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3420" w:type="dxa"/>
            <w:vAlign w:val="bottom"/>
            <w:gridSpan w:val="2"/>
          </w:tcPr>
          <w:p>
            <w:pPr>
              <w:spacing w:after="0"/>
              <w:rPr>
                <w:sz w:val="20"/>
                <w:szCs w:val="20"/>
                <w:color w:val="auto"/>
              </w:rPr>
            </w:pPr>
            <w:r>
              <w:rPr>
                <w:rFonts w:ascii="Arial" w:cs="Arial" w:eastAsia="Arial" w:hAnsi="Arial"/>
                <w:sz w:val="18"/>
                <w:szCs w:val="18"/>
                <w:color w:val="auto"/>
              </w:rPr>
              <w:t>Chief Development Officer</w:t>
            </w: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Robert E. Hoffman</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4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(1)(2)(3)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(2)</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(3)(4)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John P. Schmid</w:t>
            </w:r>
            <w:r>
              <w:rPr>
                <w:rFonts w:ascii="Arial" w:cs="Arial" w:eastAsia="Arial" w:hAnsi="Arial"/>
                <w:sz w:val="15"/>
                <w:szCs w:val="15"/>
                <w:color w:val="auto"/>
              </w:rPr>
              <w:t>(1)</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(1)(3)(5)</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Dr. Aynechi has notified us that she will resign from our board of directors contingent upon and effective immediately prior to the effectiveness of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of which this prospectus forms a part.</w:t>
      </w:r>
    </w:p>
    <w:p>
      <w:pPr>
        <w:spacing w:after="0" w:line="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Hamza Suria </w:t>
      </w:r>
      <w:r>
        <w:rPr>
          <w:rFonts w:ascii="Arial" w:cs="Arial" w:eastAsia="Arial" w:hAnsi="Arial"/>
          <w:sz w:val="17"/>
          <w:szCs w:val="17"/>
          <w:color w:val="auto"/>
        </w:rPr>
        <w:t>has served as our President and Chief Executive Officer and a member of our board of directors since July 2011. From January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Marco Londei, M.D. </w:t>
      </w:r>
      <w:r>
        <w:rPr>
          <w:rFonts w:ascii="Arial" w:cs="Arial" w:eastAsia="Arial" w:hAnsi="Arial"/>
          <w:sz w:val="18"/>
          <w:szCs w:val="18"/>
          <w:color w:val="auto"/>
        </w:rPr>
        <w:t>has served as our Chief Development Officer since October 2014. Before joining our company, Dr. Londei worked as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Robert E. Hoffman </w:t>
      </w:r>
      <w:r>
        <w:rPr>
          <w:rFonts w:ascii="Arial" w:cs="Arial" w:eastAsia="Arial" w:hAnsi="Arial"/>
          <w:sz w:val="18"/>
          <w:szCs w:val="18"/>
          <w:color w:val="auto"/>
        </w:rPr>
        <w:t>has served as our Chief Financial Officer since July 2015. Before joining our company, Mr. Hoffman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and Chief Financial Officer of Arena Pharmaceuticals, Inc., a biopharmaceutical company, from June 2012 to July 2015, as Vice President, Finance and Chief Financial Officer from August 2011 to June 2012 and December 2005 to March 2011. From March 2011 to August 2011, Mr. Hoffman served as Chief Financial Officer for Polaris Group, a biopharmaceutical drug company. Mr. Hoffman is a member of the board of directors of CombiMatrix Corporation, a molecular diagnostics company, Kura Oncology, Inc., a biotechnology company, and MabVax Therapeutics Holdings, Inc., a biopharmaceutical company. He also serves as a member of the Financial Accounting Standards Board’s Small Business Advisory Committee and the steering committee of the Association of Bioscience Financial Officers. Mr. Hoffman received his B.B.A. from St. Bonaventure University, and is licensed as a C.P.A. (inactive) in the State of California.</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320" w:firstLine="456"/>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 xml:space="preserve">Nicholas B. Lydon, Ph.D., FRS </w:t>
      </w:r>
      <w:r>
        <w:rPr>
          <w:rFonts w:ascii="Arial" w:cs="Arial" w:eastAsia="Arial" w:hAnsi="Arial"/>
          <w:sz w:val="17"/>
          <w:szCs w:val="17"/>
          <w:color w:val="auto"/>
        </w:rPr>
        <w:t>is a co-founder of our company and has served on our board of directors since our company was founded in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 Amgen in 2000. Prior to joining Kinetix, Dr. Lydon worked at CIBA-GEIGY, AG (Novartis) in</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Basel, Switzerland from 1985 to 1997, where he was responsible for the protein kinase inhibitor program, including 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 xml:space="preserve">Hollings Renton </w:t>
      </w:r>
      <w:r>
        <w:rPr>
          <w:rFonts w:ascii="Arial" w:cs="Arial" w:eastAsia="Arial" w:hAnsi="Arial"/>
          <w:sz w:val="17"/>
          <w:szCs w:val="17"/>
          <w:color w:val="auto"/>
        </w:rPr>
        <w:t>has served as a member of our board of directors since June 2015. Mr. Renton previously served as the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8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James N. Topper, M.D., Ph.D. </w:t>
      </w:r>
      <w:r>
        <w:rPr>
          <w:rFonts w:ascii="Arial" w:cs="Arial" w:eastAsia="Arial" w:hAnsi="Arial"/>
          <w:sz w:val="16"/>
          <w:szCs w:val="16"/>
          <w:color w:val="auto"/>
        </w:rPr>
        <w:t>has served as a member of our board of directors since November 2007. Dr. Topper has been a partner with Frazier</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since 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seven members. Our current certificate of incorporation and a voting agreement by and among us and certain of our investors provide for up to seven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 directors will be Dr. Gallagher and Dr. Topper and their terms will expire at the annual meeting of stockholders to be held in 2016;</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II directors will be Mr. Suria and Dr. Lydon and their terms will expire at the annual meeting of stockholders to be held in 2017; and</w:t>
      </w:r>
    </w:p>
    <w:p>
      <w:pPr>
        <w:spacing w:after="0" w:line="153" w:lineRule="exact"/>
        <w:rPr>
          <w:rFonts w:ascii="Arial" w:cs="Arial" w:eastAsia="Arial" w:hAnsi="Arial"/>
          <w:sz w:val="16"/>
          <w:szCs w:val="16"/>
          <w:color w:val="auto"/>
        </w:rPr>
      </w:pPr>
    </w:p>
    <w:p>
      <w:pPr>
        <w:ind w:left="5580" w:right="260" w:hanging="5005"/>
        <w:spacing w:after="0" w:line="449" w:lineRule="auto"/>
        <w:tabs>
          <w:tab w:leader="none" w:pos="8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Class III directors will be Mr. Renton and Mr. Schmid and their terms will expire at the annual meeting of stockholders to be held in 2018. 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this offering, we have applied to list our common stock on the NASDAQ Global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audit committee is comprised of Dr. Gallagher, Mr. Schmid and Dr. Topper. Mr. Schmid is the chairman of our audit committee. The composition of our audit committee meets the requirements for 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78"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Our compensation committee is comprised of Dr. Gallagher and Dr. Lydon. Dr. Gallagher is the chairperson of our compensation committee. Each member of this committee is a non-employee director, as defined by Rule 16b-3 promulgated under the Exchange Act, and an outside director, as defined pursuant to Section 162(m) of the Internal Revenue Code of 1984, as amended, or the Code, and meets the requirements for independence under the current NASDAQ listing standards and SEC rules and regulations. Our compensation committee is responsible for, among other things:</w:t>
      </w:r>
    </w:p>
    <w:p>
      <w:pPr>
        <w:spacing w:after="0" w:line="60"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nominating and governance committee is comprised of Dr. Gallagher, Mr. Renton and Dr. Topper. Mr. Renton is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7"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80"/>
          </w:cols>
          <w:pgMar w:left="24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2014.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presents the total compensation earned or paid in the year ended December 31, 2014,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2014.</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14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 xml:space="preserve">Total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21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(2)(3)(4)</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(5)</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Carol</w:t>
            </w:r>
          </w:p>
        </w:tc>
        <w:tc>
          <w:tcPr>
            <w:tcW w:w="36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 Gallagher, Pharm.D.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35,454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$85,454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Gallagher was paid a $50,000 annual retainer fee.</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Lydon was granted an early-exercisable stock-option award on July 11, 2014 under our 2006 Equity Incentive Plan to purchase up to 239,000 shares of our common stock at a per-share price of $0.10. 1/4 of the shares underlying the option vest on January 1, 2015, and, thereafter, 1/48 of the underlying shares vest on the first day of each succeeding calendar month, starting February 1, 2015.</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spacing w:after="0" w:line="1"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following table sets forth information on stock options granted to non-employee directors in 2014 and the aggregate number of shares of our common stock subject to outstanding stock options held by our non-employee directors as of December 31, 2014:</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Number of Shares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6080" w:type="dxa"/>
            <w:vAlign w:val="bottom"/>
            <w:vMerge w:val="restart"/>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4"/>
              </w:rPr>
              <w:t>Options Granted</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Options Held as of</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6080" w:type="dxa"/>
            <w:vAlign w:val="bottom"/>
            <w:vMerge w:val="continue"/>
          </w:tcPr>
          <w:p>
            <w:pPr>
              <w:spacing w:after="0"/>
              <w:rPr>
                <w:sz w:val="15"/>
                <w:szCs w:val="15"/>
                <w:color w:val="auto"/>
              </w:rPr>
            </w:pPr>
          </w:p>
        </w:tc>
        <w:tc>
          <w:tcPr>
            <w:tcW w:w="2240" w:type="dxa"/>
            <w:vAlign w:val="bottom"/>
            <w:gridSpan w:val="2"/>
          </w:tcPr>
          <w:p>
            <w:pPr>
              <w:jc w:val="center"/>
              <w:ind w:right="1120"/>
              <w:spacing w:after="0" w:line="158" w:lineRule="exact"/>
              <w:rPr>
                <w:sz w:val="20"/>
                <w:szCs w:val="20"/>
                <w:color w:val="auto"/>
              </w:rPr>
            </w:pPr>
            <w:r>
              <w:rPr>
                <w:rFonts w:ascii="Arial" w:cs="Arial" w:eastAsia="Arial" w:hAnsi="Arial"/>
                <w:sz w:val="14"/>
                <w:szCs w:val="14"/>
                <w:b w:val="1"/>
                <w:bCs w:val="1"/>
                <w:color w:val="auto"/>
                <w:w w:val="92"/>
              </w:rPr>
              <w:t>in 2014</w:t>
            </w:r>
          </w:p>
        </w:tc>
        <w:tc>
          <w:tcPr>
            <w:tcW w:w="12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Carol G. Gallagher, Pharm.D.</w:t>
            </w: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2240" w:type="dxa"/>
            <w:vAlign w:val="bottom"/>
            <w:gridSpan w:val="2"/>
          </w:tcPr>
          <w:p>
            <w:pPr>
              <w:jc w:val="right"/>
              <w:ind w:right="1120"/>
              <w:spacing w:after="0"/>
              <w:rPr>
                <w:sz w:val="20"/>
                <w:szCs w:val="20"/>
                <w:color w:val="auto"/>
              </w:rPr>
            </w:pPr>
            <w:r>
              <w:rPr>
                <w:rFonts w:ascii="Arial" w:cs="Arial" w:eastAsia="Arial" w:hAnsi="Arial"/>
                <w:sz w:val="18"/>
                <w:szCs w:val="18"/>
                <w:color w:val="auto"/>
              </w:rPr>
              <w:t>239,000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478,420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120" w:hanging="452"/>
        <w:spacing w:after="0" w:line="277"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Granite Biopharma, LLC was paid $50,000 pursuant to a Therapeutic Advisory Agreement entered into on April 1, 2014 between Granite Biopharma, LLC and us. Dr. Lydon is the sole member of Granite Biopharma, LLC.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our non-employee directors will also receive an annual option to purchase 100,000 shares of common stock, which will vest in a single installment 12 months after the grant date, subject to the applicable director’s continuous service through such date. Additionally, new non-employee directors will receive upon election to our board of directors, an option to purchase 200,000 shares of common stock, which will vest in 36 equal monthly installments after the grant date, subject to the applicable director’s continuous service through such date. The exercise price of such grants will be the fair market value as of the grant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executive officers during the year ended December 31, 2014. These executive officers, who include our principal executive officer and the two most highly-compensated executive officers (other than our principal executive officer) who were serving as executive officers as of December 31, 2014, the end of our last completed fiscal year, were:</w:t>
      </w:r>
    </w:p>
    <w:p>
      <w:pPr>
        <w:spacing w:after="0" w:line="52"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David King, our former Chief Scientific Officer;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Marco Londei, Chief Development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0"/>
              </w:rPr>
              <w:t>Fiscal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Bonus</w:t>
            </w:r>
            <w:r>
              <w:rPr>
                <w:rFonts w:ascii="Arial" w:cs="Arial" w:eastAsia="Arial" w:hAnsi="Arial"/>
                <w:sz w:val="12"/>
                <w:szCs w:val="12"/>
                <w:b w:val="1"/>
                <w:bCs w:val="1"/>
                <w:color w:val="auto"/>
                <w:w w:val="85"/>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1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12"/>
                <w:szCs w:val="12"/>
                <w:b w:val="1"/>
                <w:bCs w:val="1"/>
                <w:color w:val="auto"/>
                <w:w w:val="98"/>
              </w:rPr>
              <w:t>(2)</w:t>
            </w:r>
          </w:p>
        </w:tc>
        <w:tc>
          <w:tcPr>
            <w:tcW w:w="1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Hamza Suria</w:t>
            </w:r>
          </w:p>
        </w:tc>
        <w:tc>
          <w:tcPr>
            <w:tcW w:w="3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326,759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$ 546,590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140" w:type="dxa"/>
            <w:vAlign w:val="bottom"/>
            <w:gridSpan w:val="3"/>
          </w:tcPr>
          <w:p>
            <w:pPr>
              <w:spacing w:after="0"/>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297,413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$ 357,413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i w:val="1"/>
                <w:iCs w:val="1"/>
                <w:color w:val="auto"/>
              </w:rPr>
              <w:t>Former Chief Scientific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167,147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28,657</w:t>
            </w:r>
            <w:r>
              <w:rPr>
                <w:rFonts w:ascii="Arial" w:cs="Arial" w:eastAsia="Arial" w:hAnsi="Arial"/>
                <w:sz w:val="15"/>
                <w:szCs w:val="15"/>
                <w:color w:val="auto"/>
                <w:w w:val="89"/>
              </w:rPr>
              <w:t>(5)</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$ 278,755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Development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w:t>
      </w:r>
    </w:p>
    <w:p>
      <w:pPr>
        <w:spacing w:after="0" w:line="23"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amounts reported in this column represent the aggregate grant-date fair value of the awards granted under our 2006 Equity Incentive Plan to our named executive officers during the year ended December 31, 2014, as computed in accordance with FASB ASC Topic 718. The assumptions used in calculating the grant date fair value of the awards reported in the Stock Option Awards column are set forth in Note 8 to our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Dr. King’s employment as our Chief Scientific Officer terminated as of April 30,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Dr. Londei’s salary from the commencement of his employment on September 26, 2014, through December 31, 2014.</w:t>
      </w:r>
    </w:p>
    <w:p>
      <w:pPr>
        <w:spacing w:after="0" w:line="9"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Londei during the year ended December 31, 2014, consisting of (a) $28,011 for temporary housing and moving expenses, including tax gross-up with respect to temporary housing payments and (b) $646 for travel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and Drs. Londei and King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Suria’s Employment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Pursuant to an employment agreement effective as of January 1, 2012 and amended October 9, 2012 and September 16, 2014, or collectively the Suria Employment Agreement, Mr. Suria serves as our President and Chief Executive Officer. The Suria Employment Agreement sets forth the principal terms and conditions of his employment, including his initial annual base salary of $285,000 and an annual target cash bonus opportunity of 25% of his base salary, subject to pro rata adjustment for any partial years worked, which bonus is earned based on our achievement of specified milestones and performance objectives, as well as Mr. Suria’s performance relative to one or more performance objectives established by Mr. Suria, our compensation committee and our board of directors, the achievement of which is evaluated by us. The Suria Employment Agreement provided for the grant of a time-based stock option to purchase up to 1,499,684 shares of our common stock under our 2006 Equity Incentive Plan. The Suria Employment Agreement also provided for the grant of a performance-based stock option to purchase up to 684,056 shares of our common stock under our 2006 Equity Incentive Plan, all of which would vest immediately in the event of a change of control or qualified initial public offering. These options were granted with an exercise price equal to the fair value of our common stock on the date of grant and vest over four years as described in more detail in “—Outstanding Equity Awards at Fiscal Year-End Table” below. Mr. Suria’s employment is at will and may be terminated at any time, with or without cause. However, pursuant to the terms of the Suria Employment Agreement, Mr. Suria will be entitled to severance benefits upon a qualifying termination of employment as described in “—Potential Payments upon IPO, Termination or Change in Control”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King’s Employment Agreement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Pursuant to an Employment Agreement effective as of January 1, 2012 and amended October 4, 2012, or collectively the King Employment Agreement, Dr. King served as our Chief Scientific Officer until April 30, 2015. Effective on May 1, 2015, Dr. King joined our Scientific Advisory Board as a consultant pursuant to a consulting agreement dated May 1, 2015, or the King Consulting Agreement. The King Consulting Agreement sets forth the principal terms and conditions of his consulting position and provides that as compensation for his services, all of Dr. King’s options will continue to vest during his term as a consultant.</w:t>
      </w:r>
    </w:p>
    <w:p>
      <w:pPr>
        <w:spacing w:after="0" w:line="188"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Because Dr. King remained an employee as of December 31, 2014, we are including a description of the King Employment Agreement even though it is no longer in effect. The King Employment Agreement set forth the principal terms and conditions of his employment, including his initial annual base salary of $275,000 and an annual target cash bonus opportunity of 20% of his base salary, subject to pro rata adjustment for any partial years worked, which bonus is earned based on our achievement of specified milestones and performance objectives, as well as Dr. King’s performance relative to one or more performance objectives established by Dr. King, our compensation committee and our board of directors, the achievement of which is evaluated by us.</w:t>
      </w:r>
    </w:p>
    <w:p>
      <w:pPr>
        <w:spacing w:after="0" w:line="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Dr. King’s employment was at will and could be terminated at any time, with or without cause. However, pursuant to the terms of the King Employment Agreement, Dr. King was entitled to severance benefits upon a qualifying termination of employment as described in “—Potential Payments upon IPO, Termination or Change in Control” below. Dr. King received 9 months of severance benefits upon his termination under the King Employment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Londei’s Employment Agreement</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Pursuant to an employment agreement effective as of October 20, 2014, or the Londei Employment Agreement, Dr. Londei serves as our Chief Development Officer. The Londei Employment Agreement sets forth the principal terms and conditions of his employment, including his initial annual base salary of $350,000 and an 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Likewise, the Londei Employment Agreement provides for additional discretionary performance-based bonuses. The Londei Employment Agreement provides for the grant of a time-based stock option to purchase 1,126,756 shares of our common stock under our 2006 Equity Incentive Plan.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IPO, Termination or Change in Control”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Option Awards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8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5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Grant Date</w:t>
            </w:r>
            <w:r>
              <w:rPr>
                <w:rFonts w:ascii="Arial" w:cs="Arial" w:eastAsia="Arial" w:hAnsi="Arial"/>
                <w:sz w:val="12"/>
                <w:szCs w:val="12"/>
                <w:b w:val="1"/>
                <w:bCs w:val="1"/>
                <w:color w:val="auto"/>
                <w:w w:val="99"/>
              </w:rPr>
              <w:t>(1)</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65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2/10/2010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2/24/2011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43,457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986,642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684,056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12/17/2012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12/9/2008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175,000</w:t>
            </w:r>
          </w:p>
        </w:tc>
        <w:tc>
          <w:tcPr>
            <w:tcW w:w="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0.37</w:t>
            </w: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12/8/2018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2/10/2010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2/24/2011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25,457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12/9/2011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986,642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12/8/2021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12/17/2012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135,978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12/16/2022</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10/28/2014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1,126,756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These options are early-exercisable, so they are exercisable as to all the underlying shares. (i) All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Mr. Suria is terminated without Cause or resigns for Good Reason (as each is defined in his option agreement) in connection with a Change in Control (as defined in the 2006 Equity Incentive Plan), then all of the shares underlying the option shall vest at that time; (iii) of the 684,056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(iv)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option agreement) in connection with a Change in Control (as defined in the 2006 Equity Incentive Plan), then 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of the shares underlying the option shall vest at that time; (v) of the 135,978 shares underlying the option granted on December 17, 2012, 1/4 vested on December 17, 2013, and thereafter, 1/48 vest on the seventeenth day of each succeeding calendar month, starting January 17, 2014; and (vi) of the 362,880 shares underlying the option granted on September 16, 2014, 1/4 vest on September 16, 2015, and 1/48 vest on the sixteenth day of each succeeding calendar month, starting October 16 2015.</w:t>
      </w:r>
    </w:p>
    <w:p>
      <w:pPr>
        <w:spacing w:after="0" w:line="2"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 granted on December 9, 2008. The options vest as to their underlying shares as follows:</w:t>
      </w:r>
    </w:p>
    <w:p>
      <w:pPr>
        <w:spacing w:after="0" w:line="32" w:lineRule="exact"/>
        <w:rPr>
          <w:rFonts w:ascii="Arial" w:cs="Arial" w:eastAsia="Arial" w:hAnsi="Arial"/>
          <w:sz w:val="16"/>
          <w:szCs w:val="16"/>
          <w:color w:val="auto"/>
        </w:rPr>
      </w:pPr>
    </w:p>
    <w:p>
      <w:pPr>
        <w:ind w:left="460" w:right="160"/>
        <w:spacing w:after="0" w:line="265" w:lineRule="auto"/>
        <w:rPr>
          <w:rFonts w:ascii="Arial" w:cs="Arial" w:eastAsia="Arial" w:hAnsi="Arial"/>
          <w:sz w:val="16"/>
          <w:szCs w:val="16"/>
          <w:color w:val="auto"/>
        </w:rPr>
      </w:pPr>
      <w:r>
        <w:rPr>
          <w:rFonts w:ascii="Arial" w:cs="Arial" w:eastAsia="Arial" w:hAnsi="Arial"/>
          <w:sz w:val="17"/>
          <w:szCs w:val="17"/>
          <w:color w:val="auto"/>
        </w:rPr>
        <w:t>(i)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Dr. King is terminated without Cause or resigns for Good Reason (as each is defined in his option agreement) in connection with a Change in Control (as defined in the 2006 Equity Incentive Plan), then all of the shares underlying the option shall vest at that time; and (iv) of the 135,978 shares underlying the option granted on December 17, 2012, 1/4 vested on December 17, 2013, and, thereafter, 1/48 vest on the seventeenth day of each succeeding calendar month, starting January 17, 2014. Dr. King’s employment was terminated on April 30, 2015, and he joined our Scientific Advisory Board as a consultant on May 1, 2015. Pursuant to the terms of his consulting agreement these options continue to vest according to the schedules detailed above.</w:t>
      </w:r>
    </w:p>
    <w:p>
      <w:pPr>
        <w:spacing w:after="0" w:line="1"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These options are early-exercisable. The options vest as to their underlying shares as follows: 1/4 of the shares vest on October 24, 2015, and 1/48 vest on the 24th day of each succeeding calendar month, starting November 24, 2015, provided that if Dr. Londei is terminated without Cause or resigns for Good Reason (as each is defined in his option agreement) in connection with a Change in Control (as defined in the 2006 Equity Incentive Plan), then all of the shares underlying the option shall vest at that time.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Suria Employment Agreement, the King Employment Agreement and the Londei Employment Agreement, in the event that Mr. Suria, Dr. King or Dr. Londei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 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Dr. King’s employment terminated on April 30, 2015; nine months of severance benefits were paid to him upon his termination, including six months of COBRA premiums, pursuant to a Release and Waiver of Claims between Dr. King and us. Dr. King’s consulting agreement does not provide for severance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control, and provided that Mr. Suria delivers a signed settlement and general release in favor of us and satisfies all conditions to make such release effective,</w:t>
      </w:r>
    </w:p>
    <w:p>
      <w:pPr>
        <w:spacing w:after="0" w:line="46" w:lineRule="exact"/>
        <w:rPr>
          <w:sz w:val="20"/>
          <w:szCs w:val="20"/>
          <w:color w:val="auto"/>
        </w:rPr>
      </w:pPr>
    </w:p>
    <w:p>
      <w:pPr>
        <w:ind w:right="860" w:firstLine="8"/>
        <w:spacing w:after="0" w:line="323" w:lineRule="auto"/>
        <w:tabs>
          <w:tab w:leader="none" w:pos="2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Mr. Suria will receive the continued severance payments and COBRA premiums described above for 12 months and (ii) certain of his currently outstanding stock options will vest in full as described in more detail in “—Outstanding Equity Awards at Fiscal Year-End Table”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Suria’s option granted on February 1, 2012, will vest in full upon a change in control, subject to Mr. Suria’s employment on such date.</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Pursuant to the King Employment Agreement and certain of his outstanding stock option agreements, if we experience a change in control and Dr. King is terminated without “cause” or resigns for “good reason” (each as defined in the employment agreement) upon the occurrence of or within 13 months following such change in control, and provided that Dr. King delivers a signed settlement and general release in favor of us and satisfies all conditions to make such release effective, Dr. King will receive the severance payments and COBRA premiums described above for nine months.</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noted above, Dr. King had his employment terminated on April 30, 2015 and he is being paid nine months of severance pursuant to the King Employment Agreement; however, in connection with his consulting services, his stock options remain outstanding and continue to be eligible for the vesting acceleration provisions described above.</w:t>
      </w:r>
    </w:p>
    <w:p>
      <w:pPr>
        <w:spacing w:after="0" w:line="18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ind w:right="240" w:firstLine="8"/>
        <w:spacing w:after="0" w:line="261" w:lineRule="auto"/>
        <w:tabs>
          <w:tab w:leader="none" w:pos="2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Londei will receive the severance payments and COBRA premiums described above for nine months and (ii) each of his currently outstanding stock options will vest in full.</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employment agreement contains a “better after-tax” provision, which provides that if any of the payments to Mr. Suria, Dr. King or 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2006 Equity Incentive Plan was adopted by our board of directors on April 24, 2006 and approved by our stockholders on May 26, 2006, and was most recently amended by our board of directors on July 11, 2014 and approved by our stockholders on April 29, 2015.</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7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of June 30, 2015, we had reserved 14,104,420 shares of our common stock for issuance under our 2006 Equity Incentive Plan. As of June 30, 2015, options to purchase 1,871,130 of these shares had been exercised, options to purchase 8,657,422 of these shares remained outstanding and 3,825,868 of these shares remained available for grant. Our board of directors approved a plan increase of 4,766,852 shares of common stock under our 2006 Equity Incentive Plan on July 9, 2015. The options outstanding as of June 30, 2015 had a weighted-average exercise price of $0.1870 per share. We will cease issuing awards under our 2006 Equity Incentive Plan upon the effective date of our 2015 Equity Incentive Plan. Our 2015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2015 Equity Incentive Plan that will become effective on the date immediately prior to the date of this prospectus and will serve as</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successor to our 2006 Equity Incentive Plan. We reserved shares of our common stock to be issued under our 2015 Equity Incentive Plan. The number of shares reserved for issuance under our 2015 Equity Incentive Plan will increase automatically on January 1 of each of 2016 through 2025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2015 Equity Incentive Plan:</w:t>
      </w:r>
    </w:p>
    <w:p>
      <w:pPr>
        <w:spacing w:after="0" w:line="97" w:lineRule="exact"/>
        <w:rPr>
          <w:sz w:val="20"/>
          <w:szCs w:val="20"/>
          <w:color w:val="auto"/>
        </w:rPr>
      </w:pPr>
    </w:p>
    <w:p>
      <w:pPr>
        <w:ind w:left="900" w:right="14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2015 Equity Incentive Plan that cease to be subject to the option or stock appreciation right for any reason other than exercise of the option or stock appreciation right;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subject to awards granted under our 2015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subject to awards granted under our 2015 Equity Incentive Plan that otherwise terminate without shares being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2015 Equity Incentive Plan;</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2015 Equity Incentive Plan;</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after the date of this prospectus will be available for grant and issuance under our 2015 Equity Incentive Plan; and</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2015 Equity Incentive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2015 Equity Incentive Plan authorizes the award of stock options, restricted stock awards, or RSAs, stock appreciation rights, or SARs, restricted</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stock units, or RSUs, performance awards and stock bonuses. No person will be eligible to receive more than shares in any calendar year under our 2015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2015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2015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2015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 securities in a capital-raising transaction. The exercise price of stock options must be at least equal to the fair market value of our common stock on the date of grant.</w:t>
      </w:r>
    </w:p>
    <w:p>
      <w:pPr>
        <w:spacing w:after="0" w:line="18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We anticipate that in general, options will vest over a four-year period. Options may vest based on time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2015 Equity Incentive Plan is ten years.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540"/>
        <w:spacing w:after="0" w:line="261" w:lineRule="auto"/>
        <w:rPr>
          <w:sz w:val="20"/>
          <w:szCs w:val="20"/>
          <w:color w:val="auto"/>
        </w:rPr>
      </w:pPr>
      <w:r>
        <w:rPr>
          <w:rFonts w:ascii="Arial" w:cs="Arial" w:eastAsia="Arial" w:hAnsi="Arial"/>
          <w:sz w:val="18"/>
          <w:szCs w:val="18"/>
          <w:color w:val="auto"/>
        </w:rPr>
        <w:t>termination of employment or failure to achieve the performance conditions. No participant will be eligible to receive more than $ in performance awards in any calendar year.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2015 Equity Incentive Plan, the maximum number of shares that can be granted in a calendar year and the number of shares and exercise price, if applicable, of all outstanding awards under our 2015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2015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2015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2015 Equity Incentive Plan will terminate ten years from the date our board of directors adopts the plan, unless it is terminated earlier by our board of directors. Our board of directors may amend or terminate our 2015 Equity Incentive Plan at any time. Our board of directors generally may amend our 2015 Equity Incentive Plan, without stockholder approval unless required by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adopted a 2015 Employee Stock Purchase Plan that will become effective on the date of this prospectus that will enable eligible employees to purchase shares of our common stock at a discount following the date of this offering. Purchases will be accomplished through participation in discrete offering periods. We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519"/>
        </w:trPr>
        <w:tc>
          <w:tcPr>
            <w:tcW w:w="1580" w:type="dxa"/>
            <w:vAlign w:val="bottom"/>
            <w:gridSpan w:val="2"/>
          </w:tcPr>
          <w:p>
            <w:pPr>
              <w:spacing w:after="0"/>
              <w:rPr>
                <w:sz w:val="20"/>
                <w:szCs w:val="20"/>
                <w:color w:val="auto"/>
              </w:rPr>
            </w:pPr>
            <w:r>
              <w:rPr>
                <w:rFonts w:ascii="Arial" w:cs="Arial" w:eastAsia="Arial" w:hAnsi="Arial"/>
                <w:sz w:val="18"/>
                <w:szCs w:val="18"/>
                <w:color w:val="auto"/>
              </w:rPr>
              <w:t>initially reserved</w:t>
            </w:r>
          </w:p>
        </w:tc>
        <w:tc>
          <w:tcPr>
            <w:tcW w:w="9820" w:type="dxa"/>
            <w:vAlign w:val="bottom"/>
            <w:gridSpan w:val="2"/>
          </w:tcPr>
          <w:p>
            <w:pPr>
              <w:ind w:left="220"/>
              <w:spacing w:after="0"/>
              <w:rPr>
                <w:sz w:val="20"/>
                <w:szCs w:val="20"/>
                <w:color w:val="auto"/>
              </w:rPr>
            </w:pPr>
            <w:r>
              <w:rPr>
                <w:rFonts w:ascii="Arial" w:cs="Arial" w:eastAsia="Arial" w:hAnsi="Arial"/>
                <w:sz w:val="18"/>
                <w:szCs w:val="18"/>
                <w:color w:val="auto"/>
                <w:w w:val="89"/>
              </w:rPr>
              <w:t>shares of our common stock for issuance under our 2015 Employee Stock Purchase Plan. The number of shares reserved for issuance</w:t>
            </w: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w w:val="93"/>
              </w:rPr>
              <w:t>under our 2015 Employee Stock Purchase Plan will increase automatically on January 1st of each of the first</w:t>
            </w:r>
          </w:p>
        </w:tc>
        <w:tc>
          <w:tcPr>
            <w:tcW w:w="3280" w:type="dxa"/>
            <w:vAlign w:val="bottom"/>
          </w:tcPr>
          <w:p>
            <w:pPr>
              <w:ind w:left="300"/>
              <w:spacing w:after="0"/>
              <w:rPr>
                <w:sz w:val="20"/>
                <w:szCs w:val="20"/>
                <w:color w:val="auto"/>
              </w:rPr>
            </w:pPr>
            <w:r>
              <w:rPr>
                <w:rFonts w:ascii="Arial" w:cs="Arial" w:eastAsia="Arial" w:hAnsi="Arial"/>
                <w:sz w:val="18"/>
                <w:szCs w:val="18"/>
                <w:color w:val="auto"/>
              </w:rPr>
              <w:t>fiscal years following the first offering</w:t>
            </w:r>
          </w:p>
        </w:tc>
      </w:tr>
    </w:tbl>
    <w:p>
      <w:pPr>
        <w:ind w:righ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by the number of shares equal to the greater of % of the total outstanding shares of our common stock as of the immediately preceding December 31 (rounded to the nearest whole share) or the actual number of shares purchased under the 2015 Employee Stock Purchase Plan in the immediately preceding fiscal year. However, our board of directors or compensation committee may reduce the amount of the increase in any particular year. The aggregate number</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of shares issued over the term of our 2015 Employee Stock Purchase Plan will not exceed shares of our common stock. Our 2015 Employee Stock Purchase Plan is intended to qualify as an employee stock purchase plan under Section 423 of the Code.</w:t>
      </w:r>
    </w:p>
    <w:p>
      <w:pPr>
        <w:spacing w:after="0" w:line="1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compensation committee will administer our 2015 Employee Stock Purchase Plan. While our employees generally are eligible to participate in our 2015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2015 Employee Stock Purchase Plan, are ineligible to participate in our 2015 Employee Stock Purchase Plan. We may impose additional restrictions on eligibility. Under our 2015 Employee Stock Purchase Plan, eligible employees will be able to acquire shares of our common stock by accumulating funds 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92"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When the first purchase period commences, our employees who meet the eligibility requirements for participation in that purchase period will automatically be granted a nontransferable option to purchase shares in that purchase period. For subsequent purchase periods, new participants will be required to enroll in a timely manner. Once an employee is enrolled, participation will be automatic in subsequent purchase periods. Each purchase period</w:t>
      </w:r>
    </w:p>
    <w:p>
      <w:pPr>
        <w:spacing w:after="0"/>
        <w:tabs>
          <w:tab w:leader="none" w:pos="2380" w:val="left"/>
        </w:tabs>
        <w:rPr>
          <w:sz w:val="20"/>
          <w:szCs w:val="20"/>
          <w:color w:val="auto"/>
        </w:rPr>
      </w:pPr>
      <w:r>
        <w:rPr>
          <w:rFonts w:ascii="Arial" w:cs="Arial" w:eastAsia="Arial" w:hAnsi="Arial"/>
          <w:sz w:val="18"/>
          <w:szCs w:val="18"/>
          <w:color w:val="auto"/>
        </w:rPr>
        <w:t>will run for no more than</w:t>
      </w:r>
      <w:r>
        <w:rPr>
          <w:sz w:val="20"/>
          <w:szCs w:val="20"/>
          <w:color w:val="auto"/>
        </w:rPr>
        <w:tab/>
      </w:r>
      <w:r>
        <w:rPr>
          <w:rFonts w:ascii="Arial" w:cs="Arial" w:eastAsia="Arial" w:hAnsi="Arial"/>
          <w:sz w:val="16"/>
          <w:szCs w:val="16"/>
          <w:color w:val="auto"/>
        </w:rPr>
        <w:t>months. An employee’s participation automatically ends upon termination of employment for any reason.</w:t>
      </w:r>
    </w:p>
    <w:p>
      <w:pPr>
        <w:sectPr>
          <w:pgSz w:w="11900" w:h="16838" w:orient="portrait"/>
          <w:cols w:equalWidth="0" w:num="1">
            <w:col w:w="11400"/>
          </w:cols>
          <w:pgMar w:left="240" w:top="446" w:right="25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first purchase period, each purchase period will be for six months (commencing each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The first purchase period will</w:t>
      </w:r>
    </w:p>
    <w:p>
      <w:pPr>
        <w:spacing w:after="0" w:line="46" w:lineRule="exact"/>
        <w:rPr>
          <w:sz w:val="20"/>
          <w:szCs w:val="20"/>
          <w:color w:val="auto"/>
        </w:rPr>
      </w:pPr>
    </w:p>
    <w:p>
      <w:pPr>
        <w:sectPr>
          <w:pgSz w:w="11900" w:h="16838" w:orient="portrait"/>
          <w:cols w:equalWidth="0" w:num="3">
            <w:col w:w="7660" w:space="580"/>
            <w:col w:w="260" w:space="580"/>
            <w:col w:w="2320"/>
          </w:cols>
          <w:pgMar w:left="240" w:top="446" w:right="259" w:bottom="1440" w:gutter="0" w:footer="0" w:header="0"/>
          <w:type w:val="continuous"/>
        </w:sectPr>
      </w:pPr>
    </w:p>
    <w:p>
      <w:pPr>
        <w:spacing w:after="0"/>
        <w:tabs>
          <w:tab w:leader="none" w:pos="5300" w:val="left"/>
        </w:tabs>
        <w:rPr>
          <w:sz w:val="20"/>
          <w:szCs w:val="20"/>
          <w:color w:val="auto"/>
        </w:rPr>
      </w:pPr>
      <w:r>
        <w:rPr>
          <w:rFonts w:ascii="Arial" w:cs="Arial" w:eastAsia="Arial" w:hAnsi="Arial"/>
          <w:sz w:val="18"/>
          <w:szCs w:val="18"/>
          <w:color w:val="auto"/>
        </w:rPr>
        <w:t>begin upon the effective date of this offering and will end on</w:t>
      </w:r>
      <w:r>
        <w:rPr>
          <w:sz w:val="20"/>
          <w:szCs w:val="20"/>
          <w:color w:val="auto"/>
        </w:rPr>
        <w:tab/>
      </w:r>
      <w:r>
        <w:rPr>
          <w:rFonts w:ascii="Arial" w:cs="Arial" w:eastAsia="Arial" w:hAnsi="Arial"/>
          <w:sz w:val="16"/>
          <w:szCs w:val="16"/>
          <w:color w:val="auto"/>
        </w:rPr>
        <w:t>, 2015.</w:t>
      </w:r>
    </w:p>
    <w:p>
      <w:pPr>
        <w:spacing w:after="0" w:line="211" w:lineRule="exact"/>
        <w:rPr>
          <w:sz w:val="20"/>
          <w:szCs w:val="20"/>
          <w:color w:val="auto"/>
        </w:rPr>
      </w:pPr>
    </w:p>
    <w:p>
      <w:pPr>
        <w:ind w:right="240" w:firstLine="456"/>
        <w:spacing w:after="0" w:line="432" w:lineRule="auto"/>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 purchase period, for each calendar year in which that right is outstanding. In addition, no participant will be permitted to purchase more than shares</w:t>
      </w:r>
    </w:p>
    <w:p>
      <w:pPr>
        <w:sectPr>
          <w:pgSz w:w="11900" w:h="16838" w:orient="portrait"/>
          <w:cols w:equalWidth="0" w:num="1">
            <w:col w:w="11400"/>
          </w:cols>
          <w:pgMar w:left="240" w:top="446" w:right="25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during any one purchase period or such lesser amount determined by our compensation committee. The purchase price for shares of our common stock purchased under our 2015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90" w:lineRule="exact"/>
        <w:rPr>
          <w:sz w:val="20"/>
          <w:szCs w:val="20"/>
          <w:color w:val="auto"/>
        </w:rPr>
      </w:pPr>
    </w:p>
    <w:p>
      <w:pPr>
        <w:ind w:right="420" w:firstLine="456"/>
        <w:spacing w:after="0" w:line="276" w:lineRule="auto"/>
        <w:rPr>
          <w:sz w:val="20"/>
          <w:szCs w:val="20"/>
          <w:color w:val="auto"/>
        </w:rPr>
      </w:pPr>
      <w:r>
        <w:rPr>
          <w:rFonts w:ascii="Arial" w:cs="Arial" w:eastAsia="Arial" w:hAnsi="Arial"/>
          <w:sz w:val="17"/>
          <w:szCs w:val="17"/>
          <w:color w:val="auto"/>
        </w:rPr>
        <w:t>If we experience a change in control transaction, each outstanding right to purchase shares under our 2015 Employee Stock Purchase Plan may be assumed or an equivalent option substituted by the successor corporation. 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2015 Employee Stock Purchase Plan will then terminate on the closing of the proposed change in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46" w:right="25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will also have the right to amend or terminate our 2015 Employee Stock Purchase Plan at any time. Our 2015 Employee Stock Purchase Plan will terminate on the tenth anniversary of the last day of the first purchase period, unless it is terminated earlier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80" w:firstLine="456"/>
        <w:spacing w:after="0" w:line="29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40"/>
          </w:cols>
          <w:pgMar w:left="240" w:top="459" w:right="3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2012 to which we were a party or will be a party, in which:</w:t>
      </w:r>
    </w:p>
    <w:p>
      <w:pPr>
        <w:spacing w:after="0" w:line="142"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C-1 Preferred Stock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Series C-1</w:t>
            </w:r>
          </w:p>
        </w:tc>
        <w:tc>
          <w:tcPr>
            <w:tcW w:w="2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460" w:type="dxa"/>
            <w:vAlign w:val="bottom"/>
            <w:gridSpan w:val="2"/>
            <w:vMerge w:val="continue"/>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Frazier Healthcare</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1,370,261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1,370,261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890,670</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541,246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351,810</w:t>
            </w: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5,469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4"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July 2015, we sold an aggregate of 38,436,851 shares of our Series D convertible preferred stock at a purchase price of $1.06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Series 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Frazier Healthcare</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6,599,850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6,999,999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4,714,179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5,000,000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150,075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159,174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Hoffman</w:t>
            </w:r>
            <w:r>
              <w:rPr>
                <w:rFonts w:ascii="Arial" w:cs="Arial" w:eastAsia="Arial" w:hAnsi="Arial"/>
                <w:sz w:val="15"/>
                <w:szCs w:val="15"/>
                <w:color w:val="auto"/>
              </w:rPr>
              <w:t>(5)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14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Hoffman is our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Londei is our Chief Development Officer.</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intend to adopt a written related person transactions policy that our executive officers, directors, nominees for election as a director, beneficial owners of more than 5% of our common stock, and any members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August 31, 2015, and as adjusted to reflect the sale of common stock in this offering, for:</w:t>
      </w:r>
    </w:p>
    <w:p>
      <w:pPr>
        <w:spacing w:after="0" w:line="76"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Applicable percentage ownership is based on 98,469,542 shares of common stock outstanding as of August 31, 2015 and assumes (i) the automatic conversion of all outstanding shares of our convertible preferred stock into 80,645,051 shares of common stock as of immediately prior to the closing of this</w:t>
      </w:r>
    </w:p>
    <w:p>
      <w:pPr>
        <w:ind w:right="100"/>
        <w:spacing w:after="0" w:line="252" w:lineRule="auto"/>
        <w:rPr>
          <w:sz w:val="20"/>
          <w:szCs w:val="20"/>
          <w:color w:val="auto"/>
        </w:rPr>
      </w:pPr>
      <w:r>
        <w:rPr>
          <w:rFonts w:ascii="Arial" w:cs="Arial" w:eastAsia="Arial" w:hAnsi="Arial"/>
          <w:sz w:val="18"/>
          <w:szCs w:val="18"/>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2015.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1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7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Prior to this Offering</w:t>
            </w: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After this Offering</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680" w:type="dxa"/>
            <w:vAlign w:val="bottom"/>
          </w:tcPr>
          <w:p>
            <w:pPr>
              <w:spacing w:after="0"/>
              <w:rPr>
                <w:sz w:val="12"/>
                <w:szCs w:val="12"/>
                <w:color w:val="auto"/>
              </w:rPr>
            </w:pPr>
          </w:p>
        </w:tc>
        <w:tc>
          <w:tcPr>
            <w:tcW w:w="11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i w:val="1"/>
                <w:iCs w:val="1"/>
                <w:color w:val="auto"/>
              </w:rPr>
              <w:t>:</w:t>
            </w:r>
          </w:p>
        </w:tc>
        <w:tc>
          <w:tcPr>
            <w:tcW w:w="346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23,019,148</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21,133,477</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21.3</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Avalon Ventures VII, L.P.</w:t>
            </w:r>
            <w:r>
              <w:rPr>
                <w:rFonts w:ascii="Arial" w:cs="Arial" w:eastAsia="Arial" w:hAnsi="Arial"/>
                <w:sz w:val="15"/>
                <w:szCs w:val="15"/>
                <w:color w:val="auto"/>
              </w:rPr>
              <w:t>(3)</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15,080,916</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8,977,414</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15"/>
                <w:szCs w:val="15"/>
                <w:color w:val="auto"/>
              </w:rPr>
              <w:t>(5)</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7,074,203</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HBM Healthcare Investments (Cayman) Ltd.</w:t>
            </w:r>
            <w:r>
              <w:rPr>
                <w:rFonts w:ascii="Arial" w:cs="Arial" w:eastAsia="Arial" w:hAnsi="Arial"/>
                <w:sz w:val="15"/>
                <w:szCs w:val="15"/>
                <w:color w:val="auto"/>
              </w:rPr>
              <w:t>(6)</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6,599,851</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i w:val="1"/>
                <w:iCs w:val="1"/>
                <w:color w:val="auto"/>
              </w:rPr>
              <w:t>:</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(7)</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2,928,051</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(8)</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1,333,077</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(9)</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1,140,898</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Tiba Aynechi, Ph.D.</w:t>
            </w:r>
          </w:p>
        </w:tc>
        <w:tc>
          <w:tcPr>
            <w:tcW w:w="18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(10)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1,134,132</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(11)</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2,229,189</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(12)</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358,098</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(13)</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151,849</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23,019,148</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(ten persons)</w:t>
            </w:r>
            <w:r>
              <w:rPr>
                <w:rFonts w:ascii="Arial" w:cs="Arial" w:eastAsia="Arial" w:hAnsi="Arial"/>
                <w:sz w:val="15"/>
                <w:szCs w:val="15"/>
                <w:color w:val="auto"/>
              </w:rPr>
              <w:t>(14)</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32,341,583</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30.5</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tcPr>
          <w:p>
            <w:pPr>
              <w:jc w:val="right"/>
              <w:ind w:right="990"/>
              <w:spacing w:after="0"/>
              <w:rPr>
                <w:sz w:val="20"/>
                <w:szCs w:val="20"/>
                <w:color w:val="auto"/>
              </w:rPr>
            </w:pPr>
            <w:r>
              <w:rPr>
                <w:rFonts w:ascii="Arial" w:cs="Arial" w:eastAsia="Arial" w:hAnsi="Arial"/>
                <w:sz w:val="18"/>
                <w:szCs w:val="18"/>
                <w:color w:val="auto"/>
              </w:rPr>
              <w:t>135</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(a) 15,598,651 shares of common stock following conversion of convertible preferred stock held directly by Frazier Healthcare V, L.P.,</w:t>
      </w:r>
    </w:p>
    <w:p>
      <w:pPr>
        <w:spacing w:after="0" w:line="32" w:lineRule="exact"/>
        <w:rPr>
          <w:rFonts w:ascii="Arial" w:cs="Arial" w:eastAsia="Arial" w:hAnsi="Arial"/>
          <w:sz w:val="16"/>
          <w:szCs w:val="16"/>
          <w:color w:val="auto"/>
        </w:rPr>
      </w:pPr>
    </w:p>
    <w:p>
      <w:pPr>
        <w:ind w:left="460" w:right="100" w:hanging="6"/>
        <w:spacing w:after="0" w:line="281" w:lineRule="auto"/>
        <w:tabs>
          <w:tab w:leader="none" w:pos="71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(a) 20,312,830 shares of common stock following conversion of convertible preferred stock held directly by Novo A/S and</w:t>
      </w:r>
    </w:p>
    <w:p>
      <w:pPr>
        <w:spacing w:after="0" w:line="9" w:lineRule="exact"/>
        <w:rPr>
          <w:rFonts w:ascii="Arial" w:cs="Arial" w:eastAsia="Arial" w:hAnsi="Arial"/>
          <w:sz w:val="18"/>
          <w:szCs w:val="18"/>
          <w:color w:val="auto"/>
        </w:rPr>
      </w:pPr>
    </w:p>
    <w:p>
      <w:pPr>
        <w:ind w:left="460" w:hanging="6"/>
        <w:spacing w:after="0" w:line="265" w:lineRule="auto"/>
        <w:tabs>
          <w:tab w:leader="none" w:pos="71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36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w:t>
      </w:r>
    </w:p>
    <w:p>
      <w:pPr>
        <w:spacing w:after="0" w:line="20" w:lineRule="exact"/>
        <w:rPr>
          <w:rFonts w:ascii="Arial" w:cs="Arial" w:eastAsia="Arial" w:hAnsi="Arial"/>
          <w:sz w:val="17"/>
          <w:szCs w:val="17"/>
          <w:color w:val="auto"/>
        </w:rPr>
      </w:pPr>
    </w:p>
    <w:p>
      <w:pPr>
        <w:ind w:left="460" w:right="420" w:hanging="6"/>
        <w:spacing w:after="0" w:line="250" w:lineRule="auto"/>
        <w:tabs>
          <w:tab w:leader="none" w:pos="70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hanging="452"/>
        <w:spacing w:after="0" w:line="265"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ind w:left="460" w:right="6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(a) 34,996 shares of common stock following conversion of convertible preferred stock held directly by Mr. Suria and (b) 2,893,055 shares of common stock issuable to Mr. Suria upon the exercise of stock options that are exercisable within 60 days of August 31, 2015, of which 1,061,494 shares were unvested but were early exercisable, as of 60 days after August 31, 2015.</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1,333,077 shares of common stock issuable to Dr. King upon the exercise of stock options that are exercisable within 60 days of August 31, 2015, of which 80,772 shares were unvested but were early exercisable, as of 60 days after August 31, 2015.</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6"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(a) 14,142 shares of common stock following conversion of convertible preferred stock held directly by Dr. Londei and (b) 1,126,756 shares of common stock issuable to Dr. Londei upon the exercise of stock options that are exercisable within 60 days of August 31, 2015, of which 845,067 shares were unvested but were early exercisable, as of 60 days after August 31, 2015.</w:t>
      </w:r>
    </w:p>
    <w:p>
      <w:pPr>
        <w:ind w:left="460" w:right="340" w:hanging="452"/>
        <w:spacing w:after="0" w:line="281"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(a) 450,075 shares of common stock following conversion of convertible preferred stock held directly by Dr. Gallagher and (b) 684,057 shares of common stock issuable to Dr. Gallagher upon the exercise of stock options that are exercisable within 60 days of August 31, 2015.</w:t>
      </w:r>
    </w:p>
    <w:p>
      <w:pPr>
        <w:spacing w:after="0" w:line="1"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40" w:hanging="6"/>
        <w:spacing w:after="0" w:line="250" w:lineRule="auto"/>
        <w:tabs>
          <w:tab w:leader="none" w:pos="71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217,088 shares of common stock issuable to Dr. Lydon upon the exercise of stock options that are exercisable within 60 days of August 31, 2015, of which 143,998 shares were unvested but were early exercisable, as of 60 days after August 31, 2015.</w:t>
      </w:r>
    </w:p>
    <w:p>
      <w:pPr>
        <w:ind w:left="460" w:right="2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358,098 shares of common stock issuable to Mr. Renton upon the exercise of stock options that are exercisable within 60 days of August 31, 2015, of which 320,300 shares were unvested but were early exercisable, as of 60 days after August 31, 2015.</w:t>
      </w:r>
    </w:p>
    <w:p>
      <w:pPr>
        <w:ind w:left="460" w:right="26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151,849 shares of common stock issuable to Mr. Schmid upon the exercise of stock options that are exercisable within 60 days of August 31, 2015, of which 134,977 shares were unvested but were early exercisable, as of 60 days after August 31, 2015.</w:t>
      </w: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shares beneficially owned by our current executive officers and directors. Consists of (a) 471,332 shares of common stock,</w:t>
      </w:r>
    </w:p>
    <w:p>
      <w:pPr>
        <w:spacing w:after="0" w:line="9" w:lineRule="exact"/>
        <w:rPr>
          <w:rFonts w:ascii="Arial" w:cs="Arial" w:eastAsia="Arial" w:hAnsi="Arial"/>
          <w:sz w:val="18"/>
          <w:szCs w:val="18"/>
          <w:color w:val="auto"/>
        </w:rPr>
      </w:pPr>
    </w:p>
    <w:p>
      <w:pPr>
        <w:ind w:left="460" w:right="340" w:hanging="6"/>
        <w:spacing w:after="0" w:line="277" w:lineRule="auto"/>
        <w:tabs>
          <w:tab w:leader="none" w:pos="71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24,170,240 shares of common stock following conversion of convertible preferred stock, (c) 936,031 shares of common stock issuable upon the exercise of warrants and (d) 6,763,980 shares of common stock issuable upon the exercise of stock options that are exercisable within 60 days of August 31, 2015, of which 2,586,608 shares were unvested but early exercisable, as of 60 days after August 31, 2015.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June 30, 2015, there were 98,456,544 shares of our common stock issued, giving effect to the sale and issuance of 38,436,851 shares of Series D convertible preferred stock, held by approximately 54 stockholders of record, and no shares of our preferred stock outstanding. Our board of directors is authorized, without stockholder approval, to issue additional shares of our capital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we had outstanding the following warrants to purchase shares of our capital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Total Number</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10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Per</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822,386</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5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1,775,022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8"/>
              </w:rPr>
              <w:t>November 2018</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288,462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December 2024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June 30, 2015, we had outstanding options to purchase an aggregate 8,657,422 shares of our common stock, with a weighted-average exercise price of $0.1870. Additional options to purchase 5,496,050 shares of our common stock, with an exercise price of $0.99 were granted between June 30, 2015 and August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98,456,544 shares of our common stock will be entitled to rights with respect to the registration of these shares under the Securities Act, as described below. We refer to these shares collectively as registrable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300" w:hanging="325"/>
        <w:spacing w:after="0" w:line="291"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4" w:lineRule="exact"/>
        <w:rPr>
          <w:rFonts w:ascii="Arial" w:cs="Arial" w:eastAsia="Arial" w:hAnsi="Arial"/>
          <w:sz w:val="16"/>
          <w:szCs w:val="16"/>
          <w:color w:val="auto"/>
        </w:rPr>
      </w:pPr>
    </w:p>
    <w:p>
      <w:pPr>
        <w:jc w:val="both"/>
        <w:ind w:left="900" w:right="14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900" w:hanging="325"/>
        <w:spacing w:after="0" w:line="276"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ind w:left="900" w:right="200" w:hanging="325"/>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92"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0" w:lineRule="exact"/>
        <w:rPr>
          <w:sz w:val="20"/>
          <w:szCs w:val="20"/>
          <w:color w:val="auto"/>
        </w:rPr>
      </w:pPr>
    </w:p>
    <w:p>
      <w:pPr>
        <w:ind w:left="900" w:right="60" w:hanging="325"/>
        <w:spacing w:after="0" w:line="255"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900" w:right="20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900" w:right="20" w:hanging="325"/>
        <w:spacing w:after="0" w:line="279"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900" w:right="80" w:hanging="325"/>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Upon the closing of this offering, we will have a total of shares of our common stock outstanding, based on the 98,456,544 shares of our capital stock outstanding as of June 30, 2015, assuming (i) the automatic conversion of all outstanding shares of our convertible preferred stock into 42,208,202 shares of common stock as of immediately prior to the closing of this offering, (ii) the sale and issuance of 38,436,851 shares of our Series D convertible preferred stock in a private placement by us in July 2015 and (iii) the automatic conversion of 38,436,851 shares of Series D convertible preferred stock into</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38,436,851 shares of common stock immediately prior to the closing of this offering. Of these outstanding shares, all of the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line="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shares will be available for sale in the public market as follows:</w:t>
      </w:r>
    </w:p>
    <w:p>
      <w:pPr>
        <w:spacing w:after="0" w:line="116"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ectPr>
          <w:pgSz w:w="11900" w:h="16838" w:orient="portrait"/>
          <w:cols w:equalWidth="0" w:num="1">
            <w:col w:w="11400"/>
          </w:cols>
          <w:pgMar w:left="240" w:top="459" w:right="259" w:bottom="1440" w:gutter="0" w:footer="0" w:header="0"/>
        </w:sectPr>
      </w:pPr>
    </w:p>
    <w:p>
      <w:pPr>
        <w:spacing w:after="0" w:line="14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Beginning 181 days after the date of this prospectus,</w:t>
      </w:r>
      <w:r>
        <w:rPr>
          <w:sz w:val="20"/>
          <w:szCs w:val="20"/>
          <w:color w:val="auto"/>
        </w:rPr>
        <w:tab/>
      </w:r>
      <w:r>
        <w:rPr>
          <w:rFonts w:ascii="Arial" w:cs="Arial" w:eastAsia="Arial" w:hAnsi="Arial"/>
          <w:sz w:val="16"/>
          <w:szCs w:val="16"/>
          <w:color w:val="auto"/>
        </w:rPr>
        <w:t>additional shares will become eligible for sale in the public market, of which</w:t>
      </w:r>
    </w:p>
    <w:p>
      <w:pPr>
        <w:spacing w:after="0" w:line="23" w:lineRule="exact"/>
        <w:rPr>
          <w:sz w:val="20"/>
          <w:szCs w:val="20"/>
          <w:color w:val="auto"/>
        </w:rPr>
      </w:pPr>
    </w:p>
    <w:p>
      <w:pPr>
        <w:ind w:left="540"/>
        <w:spacing w:after="0"/>
        <w:tabs>
          <w:tab w:leader="none" w:pos="9500" w:val="left"/>
        </w:tabs>
        <w:rPr>
          <w:sz w:val="20"/>
          <w:szCs w:val="20"/>
          <w:color w:val="auto"/>
        </w:rPr>
      </w:pPr>
      <w:r>
        <w:rPr>
          <w:rFonts w:ascii="Arial" w:cs="Arial" w:eastAsia="Arial" w:hAnsi="Arial"/>
          <w:sz w:val="18"/>
          <w:szCs w:val="18"/>
          <w:color w:val="auto"/>
        </w:rPr>
        <w:t>shares will be held by affiliates and subject to the volume and other restrictions of Rule 144, as described below, and</w:t>
      </w:r>
      <w:r>
        <w:rPr>
          <w:sz w:val="20"/>
          <w:szCs w:val="20"/>
          <w:color w:val="auto"/>
        </w:rPr>
        <w:tab/>
      </w:r>
      <w:r>
        <w:rPr>
          <w:rFonts w:ascii="Arial" w:cs="Arial" w:eastAsia="Arial" w:hAnsi="Arial"/>
          <w:sz w:val="16"/>
          <w:szCs w:val="16"/>
          <w:color w:val="auto"/>
        </w:rPr>
        <w:t>shares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unvested and subject to our right of repurchase.</w:t>
      </w:r>
    </w:p>
    <w:p>
      <w:pPr>
        <w:spacing w:after="0" w:line="200" w:lineRule="exact"/>
        <w:rPr>
          <w:sz w:val="20"/>
          <w:szCs w:val="20"/>
          <w:color w:val="auto"/>
        </w:rPr>
      </w:pPr>
    </w:p>
    <w:p>
      <w:pPr>
        <w:sectPr>
          <w:pgSz w:w="11900" w:h="16838" w:orient="portrait"/>
          <w:cols w:equalWidth="0" w:num="2">
            <w:col w:w="640" w:space="260"/>
            <w:col w:w="10500"/>
          </w:cols>
          <w:pgMar w:left="240" w:top="459"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BMO Capital Markets Corp. and Stifel, Nicolaus &amp; Company, Incorporated. See “Underwriting.”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400"/>
          </w:cols>
          <w:pgMar w:left="240" w:top="459" w:right="259" w:bottom="1440" w:gutter="0" w:footer="0" w:header="0"/>
        </w:sectPr>
      </w:pPr>
    </w:p>
    <w:p>
      <w:pPr>
        <w:spacing w:after="0" w:line="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or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 offering;</w:t>
      </w:r>
    </w:p>
    <w:p>
      <w:pPr>
        <w:spacing w:after="0" w:line="369" w:lineRule="exact"/>
        <w:rPr>
          <w:sz w:val="20"/>
          <w:szCs w:val="20"/>
          <w:color w:val="auto"/>
        </w:rPr>
      </w:pPr>
    </w:p>
    <w:p>
      <w:pPr>
        <w:sectPr>
          <w:pgSz w:w="11900" w:h="16838" w:orient="portrait"/>
          <w:cols w:equalWidth="0" w:num="3">
            <w:col w:w="640" w:space="260"/>
            <w:col w:w="7180" w:space="580"/>
            <w:col w:w="2740"/>
          </w:cols>
          <w:pgMar w:left="240" w:top="459" w:right="259" w:bottom="1440" w:gutter="0" w:footer="0" w:header="0"/>
          <w:type w:val="continuous"/>
        </w:sectPr>
      </w:pPr>
    </w:p>
    <w:p>
      <w:pPr>
        <w:ind w:left="900" w:right="52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8,657,422 shares of our common stock that were subject to stock options outstanding as of June 30, 2015, options to purchase 4,794,791 shares of common stock were vested as of June 30, 2015. Shares of our common stock underlying outstanding options will not be eligible for sale until expiration of the 180 day lock-up and market standoff agreements to which they are subject.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ind w:left="900" w:right="480" w:hanging="325"/>
        <w:spacing w:after="0" w:line="286"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900" w:right="28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8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10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880" w:type="dxa"/>
            <w:vAlign w:val="bottom"/>
          </w:tcPr>
          <w:p>
            <w:pPr>
              <w:spacing w:after="0"/>
              <w:rPr>
                <w:sz w:val="24"/>
                <w:szCs w:val="24"/>
                <w:color w:val="auto"/>
              </w:rPr>
            </w:pPr>
          </w:p>
        </w:tc>
      </w:tr>
      <w:tr>
        <w:trPr>
          <w:trHeight w:val="432"/>
        </w:trPr>
        <w:tc>
          <w:tcPr>
            <w:tcW w:w="7460" w:type="dxa"/>
            <w:vAlign w:val="bottom"/>
            <w:gridSpan w:val="2"/>
          </w:tcPr>
          <w:p>
            <w:pPr>
              <w:ind w:left="460"/>
              <w:spacing w:after="0"/>
              <w:rPr>
                <w:sz w:val="20"/>
                <w:szCs w:val="20"/>
                <w:color w:val="auto"/>
              </w:rPr>
            </w:pPr>
            <w:r>
              <w:rPr>
                <w:rFonts w:ascii="Arial" w:cs="Arial" w:eastAsia="Arial" w:hAnsi="Arial"/>
                <w:sz w:val="18"/>
                <w:szCs w:val="18"/>
                <w:color w:val="auto"/>
                <w:w w:val="96"/>
              </w:rPr>
              <w:t>We and the underwriters named below have entered into an underwriting agreement, dated</w:t>
            </w:r>
          </w:p>
        </w:tc>
        <w:tc>
          <w:tcPr>
            <w:tcW w:w="3880" w:type="dxa"/>
            <w:vAlign w:val="bottom"/>
          </w:tcPr>
          <w:p>
            <w:pPr>
              <w:ind w:left="460"/>
              <w:spacing w:after="0"/>
              <w:rPr>
                <w:sz w:val="20"/>
                <w:szCs w:val="20"/>
                <w:color w:val="auto"/>
              </w:rPr>
            </w:pPr>
            <w:r>
              <w:rPr>
                <w:rFonts w:ascii="Arial" w:cs="Arial" w:eastAsia="Arial" w:hAnsi="Arial"/>
                <w:sz w:val="18"/>
                <w:szCs w:val="18"/>
                <w:color w:val="auto"/>
                <w:w w:val="89"/>
              </w:rPr>
              <w:t>, 2015, with respect to the shares being offered.</w:t>
            </w:r>
          </w:p>
        </w:tc>
      </w:tr>
    </w:tbl>
    <w:p>
      <w:pPr>
        <w:ind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certain conditions, each underwriter has severally agreed to purchase the number of shares indicated in the following table. BMO Capital Markets Corp. and Stifel, Nicolaus &amp; Company, Incorporated, are the representatives of the underwriters.</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BMO Capital Markets Corp.</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0" w:type="dxa"/>
            <w:vAlign w:val="bottom"/>
          </w:tcPr>
          <w:p>
            <w:pPr>
              <w:spacing w:after="0"/>
              <w:rPr>
                <w:sz w:val="6"/>
                <w:szCs w:val="6"/>
                <w:color w:val="auto"/>
              </w:rPr>
            </w:pPr>
          </w:p>
        </w:tc>
        <w:tc>
          <w:tcPr>
            <w:tcW w:w="5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540" w:type="dxa"/>
            <w:vAlign w:val="bottom"/>
            <w:gridSpan w:val="2"/>
          </w:tcPr>
          <w:p>
            <w:pPr>
              <w:ind w:left="2800"/>
              <w:spacing w:after="0"/>
              <w:rPr>
                <w:sz w:val="20"/>
                <w:szCs w:val="20"/>
                <w:color w:val="auto"/>
              </w:rPr>
            </w:pPr>
            <w:r>
              <w:rPr>
                <w:rFonts w:ascii="Arial" w:cs="Arial" w:eastAsia="Arial" w:hAnsi="Arial"/>
                <w:sz w:val="14"/>
                <w:szCs w:val="14"/>
                <w:b w:val="1"/>
                <w:bCs w:val="1"/>
                <w:color w:val="auto"/>
                <w:w w:val="89"/>
              </w:rPr>
              <w:t>No Exercise</w:t>
            </w: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46"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46"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BMO Capital Markets Corp. and Stifel, Nicolaus &amp; Company, Incorporated; provided that BMO Capital Markets Corp.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applied to list our common stock on the NASDAQ Global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 counter market or otherwise.</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7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40"/>
          </w:cols>
          <w:pgMar w:left="240" w:top="459" w:right="3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54"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900" w:right="10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firstLine="8"/>
        <w:spacing w:after="0" w:line="270" w:lineRule="auto"/>
        <w:tabs>
          <w:tab w:leader="none" w:pos="2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Warning</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80" w:firstLine="8"/>
        <w:spacing w:after="0" w:line="261" w:lineRule="auto"/>
        <w:tabs>
          <w:tab w:leader="none" w:pos="2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Securities has been or will be registered with the Securities Commission of Malaysia, or the Commission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900" w:right="280" w:hanging="325"/>
        <w:spacing w:after="0" w:line="25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 (such persons being referred to as “relevant persons”). Any investment or investment activity to which this document relates is available only to relevant persons and will be engaged in only with relevant persons.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00"/>
          </w:cols>
          <w:pgMar w:left="240" w:top="460"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2013 and 2014, and for each of the years in the two-year period ended December 31, 2014,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66">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Balance Sheets as of December 31, 2013 and 2014</w:t>
              </w:r>
            </w:hyperlink>
          </w:p>
        </w:tc>
        <w:tc>
          <w:tcPr>
            <w:tcW w:w="67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Statements of Operations for the Years ended December 31, 2013 and 2014</w:t>
              </w:r>
            </w:hyperlink>
          </w:p>
        </w:tc>
        <w:tc>
          <w:tcPr>
            <w:tcW w:w="54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Statements of Convertible Preferred Stock and Stockholders’ Deficit for the Years ended December 31, 2013 and 2014</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Statements of Cash Flows for the Years ended December 31, 2013 and 2014</w:t>
              </w:r>
            </w:hyperlink>
          </w:p>
        </w:tc>
        <w:tc>
          <w:tcPr>
            <w:tcW w:w="3100" w:type="dxa"/>
            <w:vAlign w:val="bottom"/>
            <w:tcBorders>
              <w:top w:val="single" w:sz="8" w:color="0000EE"/>
            </w:tcBorders>
            <w:gridSpan w:val="4"/>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920" w:type="dxa"/>
            <w:vAlign w:val="bottom"/>
            <w:gridSpan w:val="11"/>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18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w:anchor="page189">
              <w:r>
                <w:rPr>
                  <w:rFonts w:ascii="Arial" w:cs="Arial" w:eastAsia="Arial" w:hAnsi="Arial"/>
                  <w:sz w:val="18"/>
                  <w:szCs w:val="18"/>
                  <w:color w:val="0000EE"/>
                  <w:w w:val="88"/>
                </w:rPr>
                <w:t>Consolidated Balance Sheets as of December 31, 2014 and June 30, 2015 (unaudited)</w:t>
              </w:r>
            </w:hyperlink>
          </w:p>
        </w:tc>
        <w:tc>
          <w:tcPr>
            <w:tcW w:w="47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Unaudited Consolidated Statements of Operations for the Six Months Ended June 30,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3"/>
            <w:shd w:val="clear" w:color="auto" w:fill="0000EE"/>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Unaudited Consolidated Statements of Cash Flows for the Six Months Ended June 30, 2014 and 2015</w:t>
              </w:r>
            </w:hyperlink>
          </w:p>
        </w:tc>
        <w:tc>
          <w:tcPr>
            <w:tcW w:w="35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Notes to Unaudited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385"/>
        </w:trPr>
        <w:tc>
          <w:tcPr>
            <w:tcW w:w="21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5"/>
          </w:tcPr>
          <w:p>
            <w:pPr>
              <w:ind w:left="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balance sheets of AnaptysBio, Inc. as of December 31, 2013 and 2014, and the related statements of operations, convertible preferred stock and stockholders’ deficit, and cash flows for each of the years in the two-year period ended December 31, 2014.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AnaptysBio, Inc. as of December 31, 2013 and 2014, and the results of its operations and its cash flows for each of the years in the two-year period ended December 31, 2014,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2015, except for earnings per share information and Note 12, which are dated July 13, 2015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jc w:val="center"/>
              <w:ind w:right="350"/>
              <w:spacing w:after="0" w:line="196" w:lineRule="exact"/>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4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75"/>
        </w:trPr>
        <w:tc>
          <w:tcPr>
            <w:tcW w:w="9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0"/>
        </w:trPr>
        <w:tc>
          <w:tcPr>
            <w:tcW w:w="944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rPr>
              <w:t>LIABILITIES, CONVERTIBLE PREFERRED STOCK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94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9440" w:type="dxa"/>
            <w:vAlign w:val="bottom"/>
          </w:tcPr>
          <w:p>
            <w:pPr>
              <w:jc w:val="center"/>
              <w:ind w:right="350"/>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payable to related parties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75"/>
        </w:trPr>
        <w:tc>
          <w:tcPr>
            <w:tcW w:w="9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$0.001 par value, 3,015 shares authorized, no shares issued or outstanding at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 or 2014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6"/>
              </w:rPr>
              <w:t>Series B convertible preferred stock, $0.001 par value, 27,743 shares authorized, 27,743 shares issued and outstanding at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December 31, 2013 and 2014; aggregate liquidation preference at December 31, 2014 of $24,991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C convertible preferred stock, $0.001 par value, 17,982 shares authorized, 11,147 shares issued and outstanding at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 and 2014; aggregate liquidation preference at December 31, 2014 of $7,246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5"/>
              </w:rPr>
              <w:t>Series C-1 convertible preferred stock, $0.001 par value, 10,500 shares authorized, no shares and 3,318 shares issued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9"/>
              </w:rPr>
              <w:t>outstanding at December 31, 2013 and 2014, respectively; aggregate liquidation preference at December 31, 2014 of</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3"/>
              </w:rPr>
              <w:t>Common stock, $0.001 par value, 79,000 shares authorized, 17,368 shares issued and outstanding at December 31, 2013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14,247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(48,791)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(45,259)</w:t>
            </w:r>
          </w:p>
        </w:tc>
        <w:tc>
          <w:tcPr>
            <w:tcW w:w="0" w:type="dxa"/>
            <w:vAlign w:val="bottom"/>
          </w:tcPr>
          <w:p>
            <w:pPr>
              <w:spacing w:after="0"/>
              <w:rPr>
                <w:sz w:val="1"/>
                <w:szCs w:val="1"/>
                <w:color w:val="auto"/>
              </w:rPr>
            </w:pPr>
          </w:p>
        </w:tc>
      </w:tr>
      <w:tr>
        <w:trPr>
          <w:trHeight w:val="75"/>
        </w:trPr>
        <w:tc>
          <w:tcPr>
            <w:tcW w:w="9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(34,527)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(30,835)</w:t>
            </w:r>
          </w:p>
        </w:tc>
        <w:tc>
          <w:tcPr>
            <w:tcW w:w="0" w:type="dxa"/>
            <w:vAlign w:val="bottom"/>
          </w:tcPr>
          <w:p>
            <w:pPr>
              <w:spacing w:after="0"/>
              <w:rPr>
                <w:sz w:val="1"/>
                <w:szCs w:val="1"/>
                <w:color w:val="auto"/>
              </w:rPr>
            </w:pPr>
          </w:p>
        </w:tc>
      </w:tr>
      <w:tr>
        <w:trPr>
          <w:trHeight w:val="291"/>
        </w:trPr>
        <w:tc>
          <w:tcPr>
            <w:tcW w:w="944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56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Year Ended</w:t>
      </w:r>
    </w:p>
    <w:p>
      <w:pPr>
        <w:jc w:val="center"/>
        <w:ind w:left="95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(5,287)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(1,338)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(3,300)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(5,545)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340"/>
              <w:spacing w:after="0"/>
              <w:rPr>
                <w:sz w:val="20"/>
                <w:szCs w:val="20"/>
                <w:color w:val="auto"/>
              </w:rPr>
            </w:pPr>
            <w:r>
              <w:rPr>
                <w:rFonts w:ascii="Arial" w:cs="Arial" w:eastAsia="Arial" w:hAnsi="Arial"/>
                <w:sz w:val="18"/>
                <w:szCs w:val="18"/>
                <w:color w:val="auto"/>
              </w:rPr>
              <w:t>Pro forma net income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1440" w:type="dxa"/>
            <w:vAlign w:val="bottom"/>
          </w:tcPr>
          <w:p>
            <w:pPr>
              <w:spacing w:after="0"/>
              <w:rPr>
                <w:sz w:val="3"/>
                <w:szCs w:val="3"/>
                <w:color w:val="auto"/>
              </w:rPr>
            </w:pPr>
          </w:p>
        </w:tc>
        <w:tc>
          <w:tcPr>
            <w:tcW w:w="14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4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4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Series C</w:t>
            </w:r>
          </w:p>
        </w:tc>
        <w:tc>
          <w:tcPr>
            <w:tcW w:w="13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Series C-1</w:t>
            </w: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44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142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5"/>
          </w:tcPr>
          <w:p>
            <w:pPr>
              <w:ind w:left="280"/>
              <w:spacing w:after="0" w:line="158" w:lineRule="exact"/>
              <w:rPr>
                <w:sz w:val="20"/>
                <w:szCs w:val="20"/>
                <w:color w:val="auto"/>
              </w:rPr>
            </w:pPr>
            <w:r>
              <w:rPr>
                <w:rFonts w:ascii="Arial" w:cs="Arial" w:eastAsia="Arial" w:hAnsi="Arial"/>
                <w:sz w:val="14"/>
                <w:szCs w:val="14"/>
                <w:b w:val="1"/>
                <w:bCs w:val="1"/>
                <w:color w:val="auto"/>
              </w:rPr>
              <w:t>Convertible</w:t>
            </w:r>
          </w:p>
        </w:tc>
        <w:tc>
          <w:tcPr>
            <w:tcW w:w="1380" w:type="dxa"/>
            <w:vAlign w:val="bottom"/>
            <w:gridSpan w:val="5"/>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3"/>
                <w:szCs w:val="13"/>
                <w:color w:val="auto"/>
              </w:rPr>
            </w:pPr>
          </w:p>
        </w:tc>
        <w:tc>
          <w:tcPr>
            <w:tcW w:w="138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7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7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620" w:type="dxa"/>
            <w:vAlign w:val="bottom"/>
            <w:tcBorders>
              <w:top w:val="single" w:sz="8" w:color="auto"/>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January 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34,431</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$34,233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15,385</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$ 8,905</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(42,556)</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Beneficial</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conversion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feature of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promissory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w w:val="93"/>
              </w:rPr>
              <w:t>notes payable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related parties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shares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(2,979)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11,431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11,445</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Warrants for</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Series C</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w w:val="99"/>
              </w:rPr>
              <w:t>Preferred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converted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warrants for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under employee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plans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72"/>
        </w:trPr>
        <w:tc>
          <w:tcPr>
            <w:tcW w:w="144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Borders>
              <w:top w:val="single" w:sz="8" w:color="auto"/>
            </w:tcBorders>
            <w:shd w:val="clear" w:color="auto" w:fill="000000"/>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2013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27,743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28,220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11,147</w:t>
            </w: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6,452</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17,368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14,247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(48,791)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(34,527)</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notes payable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into shares of</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3,318</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2,156</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72"/>
        </w:trPr>
        <w:tc>
          <w:tcPr>
            <w:tcW w:w="144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Borders>
              <w:top w:val="single" w:sz="8" w:color="auto"/>
            </w:tcBorders>
            <w:shd w:val="clear" w:color="auto" w:fill="000000"/>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2014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27,743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28,220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11,147</w:t>
            </w: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$ 6,452</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3,318</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2,156</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17,368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14,407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(45,259)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(30,835)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(5,545)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(5,796)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14,603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promissory notes payable to related parties, net of costs to issue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320" w:type="dxa"/>
            <w:vAlign w:val="bottom"/>
          </w:tcPr>
          <w:p>
            <w:pPr>
              <w:ind w:left="1420"/>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(3,869)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
        </w:trPr>
        <w:tc>
          <w:tcPr>
            <w:tcW w:w="9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2,810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w w:val="97"/>
              </w:rPr>
              <w:t>Conversion of convertible promissory notes payable to related parties into shares of Series C-1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Beneficial conversion feature of convertible promissory notes payable to related parties allocated to additional</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Warrants for Series C Preferred Stock converted to warrants for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have incurred losses and negative cash flows from operations through the year ended December 31, 2013 and have an accumulated deficit at December 31, 2014 of $45.3 million. Through 2013, all of our financial support has been provided primarily from the sale of our common and preferred stock and proceeds from the issuance of convertible debt. As of December 31, 2014, however, following the execution of a significant strategic collaboration, we have positive working capital.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financial statements do not include any adjustments that might be necessary if we are unable to continue as a going concern.</w:t>
      </w:r>
    </w:p>
    <w:p>
      <w:pPr>
        <w:spacing w:after="0" w:line="326"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The preparation of financial statements in conformity with GAAP requires management to make judgments, assumptions and estimates that affect the amounts reported in our financial statements and accompanying notes. Significant estimates in the financial statements have been made for preferred stock warrant liabilities and stock-based compensation. Actual results could differ materially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At December 31, 2013 and 2014, we held restricted cash of $110,000 and $85,000, respectively, used to secure a letter of credit provided as security for our operating leases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2013 or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Services. </w:t>
      </w:r>
      <w:r>
        <w:rPr>
          <w:rFonts w:ascii="Arial" w:cs="Arial" w:eastAsia="Arial" w:hAnsi="Arial"/>
          <w:sz w:val="18"/>
          <w:szCs w:val="18"/>
          <w:color w:val="auto"/>
        </w:rPr>
        <w:t>The deliverables under our collaboration and license arrangements may include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we perform on behalf of or with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60"/>
        <w:spacing w:after="0" w:line="279" w:lineRule="auto"/>
        <w:rPr>
          <w:sz w:val="20"/>
          <w:szCs w:val="20"/>
          <w:color w:val="auto"/>
        </w:rPr>
      </w:pPr>
      <w:r>
        <w:rPr>
          <w:rFonts w:ascii="Arial" w:cs="Arial" w:eastAsia="Arial" w:hAnsi="Arial"/>
          <w:sz w:val="17"/>
          <w:szCs w:val="17"/>
          <w:color w:val="auto"/>
        </w:rPr>
        <w:t>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7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recognize an uncertain tax position in our financial statements when we concludes that a tax position is more likely than not to be sustained upon examination based solely on our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as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attributed to common stockholders by the weighted-average number of common shares outstanding during the period. All participating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are excluded from basic weighted-average common shares outstanding. In computing diluted net income (loss) attributed to common stockholders, undistributed earnings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9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2014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5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(Loss)</w:t>
            </w:r>
          </w:p>
        </w:tc>
        <w:tc>
          <w:tcPr>
            <w:tcW w:w="1540" w:type="dxa"/>
            <w:vAlign w:val="bottom"/>
            <w:gridSpan w:val="2"/>
            <w:vMerge w:val="continue"/>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(Denominator)</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(5,545)</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(0.71)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3,532</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(3,300)</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Net income attributed to common stockholders</w:t>
            </w: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17,368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Reallocation of net income attributed to participating securities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Net income attributed to common stockholders plus assumed conversions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244</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18,627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Year Ended December 31, 2014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41,105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 forma basic net income per common share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58,473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40" w:type="dxa"/>
            <w:vAlign w:val="bottom"/>
          </w:tcPr>
          <w:p>
            <w:pPr>
              <w:ind w:left="1060"/>
              <w:spacing w:after="0"/>
              <w:rPr>
                <w:sz w:val="20"/>
                <w:szCs w:val="20"/>
                <w:color w:val="auto"/>
              </w:rPr>
            </w:pPr>
            <w:r>
              <w:rPr>
                <w:rFonts w:ascii="Arial" w:cs="Arial" w:eastAsia="Arial" w:hAnsi="Arial"/>
                <w:sz w:val="18"/>
                <w:szCs w:val="18"/>
                <w:color w:val="auto"/>
              </w:rPr>
              <w:t>Net income attributed to common stockholders plus assumed conversions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59,732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5520"/>
              <w:spacing w:after="0"/>
              <w:rPr>
                <w:sz w:val="20"/>
                <w:szCs w:val="20"/>
                <w:color w:val="auto"/>
              </w:rPr>
            </w:pPr>
            <w:r>
              <w:rPr>
                <w:rFonts w:ascii="Arial" w:cs="Arial" w:eastAsia="Arial" w:hAnsi="Arial"/>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4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48,382</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7,535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822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5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(“ASU”) No. 2014-10, </w:t>
      </w:r>
      <w:r>
        <w:rPr>
          <w:rFonts w:ascii="Arial" w:cs="Arial" w:eastAsia="Arial" w:hAnsi="Arial"/>
          <w:sz w:val="16"/>
          <w:szCs w:val="16"/>
          <w:i w:val="1"/>
          <w:iCs w:val="1"/>
          <w:color w:val="auto"/>
        </w:rPr>
        <w:t>Development Stage</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 (Topic 915)</w:t>
      </w:r>
      <w:r>
        <w:rPr>
          <w:rFonts w:ascii="Arial" w:cs="Arial" w:eastAsia="Arial" w:hAnsi="Arial"/>
          <w:sz w:val="16"/>
          <w:szCs w:val="16"/>
          <w:color w:val="auto"/>
        </w:rPr>
        <w:t>, which eliminated the distinction of a Development Stage Entity along with the inception to date reporting requirements. As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we elected to early adopt the amendment beginning with our annual reporting period ending December 31, 2014, with retrospective application of the amended guidance. Upon adoption, there was no effect to our financial statements, other than the elimination of inception to date disclosures.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This update requires the presentation of debt issuance costs in financial statements as a direct reduction of related debt liabilities rather than as an asset. Amortization of debt issuance costs continue to be reported as interest expense. As permitted by the ASU, we elected to early adopt the amendment beginning with our annual reporting period ending December 31, 2014, with retrospective application of the amended guidance. The adoption of this ASU resulted in the reclassification $37,000 and $85,000 in deferred debt issuance costs from prepaid expenses and other current assets to a direct reduction to the carrying values of notes payable and convertible promissory notes reported in the balance sheets at December 31, 2013 and 2014, respectively. The adoption of this guidance did not have any effect on the statement of operations during the years ended December 31, 2013 or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not permitted. Entities have the option of using either a full retrospective or a modified retrospective approach for the adoption of the new standard. We are currently assessing the impact that this standard will have on our financial statements.</w:t>
      </w:r>
    </w:p>
    <w:p>
      <w:pPr>
        <w:spacing w:after="0" w:line="179"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Sheet Accounts and Supplemental Disclosures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48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080" w:type="dxa"/>
            <w:vAlign w:val="bottom"/>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$ 2,940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$ 3,031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586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(3,114)</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750</w:t>
            </w:r>
          </w:p>
        </w:tc>
        <w:tc>
          <w:tcPr>
            <w:tcW w:w="80" w:type="dxa"/>
            <w:vAlign w:val="bottom"/>
          </w:tcPr>
          <w:p>
            <w:pPr>
              <w:spacing w:after="0"/>
              <w:rPr>
                <w:sz w:val="24"/>
                <w:szCs w:val="24"/>
                <w:color w:val="auto"/>
              </w:rPr>
            </w:pPr>
          </w:p>
        </w:tc>
        <w:tc>
          <w:tcPr>
            <w:tcW w:w="70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78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480" w:type="dxa"/>
            <w:vAlign w:val="bottom"/>
            <w:gridSpan w:val="2"/>
            <w:vMerge w:val="continue"/>
          </w:tcPr>
          <w:p>
            <w:pPr>
              <w:spacing w:after="0"/>
              <w:rPr>
                <w:sz w:val="12"/>
                <w:szCs w:val="12"/>
                <w:color w:val="auto"/>
              </w:rPr>
            </w:pPr>
          </w:p>
        </w:tc>
        <w:tc>
          <w:tcPr>
            <w:tcW w:w="1620" w:type="dxa"/>
            <w:vAlign w:val="bottom"/>
            <w:gridSpan w:val="2"/>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6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royalties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Revenue from the contingent milestone payments will be recognized if and when such payments become due, subject to satisfaction of all of the criteria necessary to recognize revenue at that time.</w:t>
      </w:r>
    </w:p>
    <w:p>
      <w:pPr>
        <w:spacing w:after="0" w:line="173"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of which $1.5 million was receivable at December 31, 2014. Deferred revenue for this agreement was $12.0 million at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through February 2014. Revenue recognized under this agreement aggregated $3.7 million during the year ended December 31, 2013, which includes $2.0 million for the amortization of the upfront fee, $1.0 million in success fees and $746,000 in funding for research and development costs. Revenue recognized under this agreement aggregated $592,000 during the year ended December 31, 2014, which includes $500,000 in success fees and $92,000 in funding for research and development costs. Deferred revenue for this agreement was $92,000 at December 31,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 Deferred revenue for this agreement was $1.1 million at December 31,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2013 and 2014, we recognized revenue from other collaborative partners aggregating $1.7 million and $0.6 million, respectively,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3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December 24,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12 monthly interest-only payments through January 2016, followed by 36 equal monthly principal and interest payments, with final maturity in January 2019.</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December 31, 2014, the carrying amount of the Term A Loans was $4.8 million, which is net of discounts of $209,000. The effective interest rate on the Term A Loans at December 31, 2014 was 9.25%. As of December 31, 2014, future maturities of the Term A Loans were $1.4 million, $1.7 million, $1.8 million and $153,000 in 2016, 2017, 2018 and 2019, respectively.</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Term A Loans are secured by a first priority interest in most of our assets, excluding intellectual property, with a net book value of $6.0 million at December 31, 2014. We are also required to maintain a minimum of 50% of our operating and investment account balances at all times with one of the lenders. At December 31, 2014, we were in compliance with the covenants contained in the Loan and Security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April 2014, the principal and accrued interest on the notes, which aggregated $2.2 million, were converted into 3.3 million shares of Series C-1 Preferred Stock. The unamortized discount of $405,000 at the date of conversion was recognized as interest expense. Total interest expense resulting from the amortization and write-off of the discount totaled $818,000 and $1.2 million during the years ended December 31, 2013 and 2014, respectively.</w:t>
      </w:r>
    </w:p>
    <w:p>
      <w:pPr>
        <w:spacing w:after="0" w:line="29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52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6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5"/>
              </w:rPr>
              <w:t>Prices for</w:t>
            </w:r>
          </w:p>
        </w:tc>
        <w:tc>
          <w:tcPr>
            <w:tcW w:w="15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2013</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2,492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2,492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0"/>
                <w:szCs w:val="20"/>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At December 31, 2014</w:t>
            </w:r>
          </w:p>
        </w:tc>
        <w:tc>
          <w:tcPr>
            <w:tcW w:w="3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14,736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7,227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0.65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20" w:type="dxa"/>
            <w:vAlign w:val="bottom"/>
          </w:tcPr>
          <w:p>
            <w:pPr>
              <w:spacing w:after="0"/>
              <w:rPr>
                <w:sz w:val="18"/>
                <w:szCs w:val="18"/>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r>
    </w:tbl>
    <w:p>
      <w:pPr>
        <w:spacing w:after="0" w:line="20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2013 and 2014 would result in increases in the estimated fair values of the preferred stock warrant liabilities of $58,000 and $89,000,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49"/>
        </w:trPr>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8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886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Series C Preferred Stock warrants converted to Common Stock warrants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gains included in other income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86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75"/>
        </w:trPr>
        <w:tc>
          <w:tcPr>
            <w:tcW w:w="88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carrying amounts of certain of our financial instruments, including cash and cash equivalents, receivable from collaborative partner, accounts payable, accrued expenses and convertible promissory notes payable, approximate fair value due to their short-term nature. The carrying amount of our notes payable of $4.8 million at December 31, 2014 approximated fair value due to the close proximity of their issuance in December 2014.</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Amended and Restated Certificate of Incorporation, dated July 15, 2013, authorizes 59.2 million shares of preferred stock, which are designated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B</w:t>
            </w:r>
          </w:p>
        </w:tc>
        <w:tc>
          <w:tcPr>
            <w:tcW w:w="600" w:type="dxa"/>
            <w:vAlign w:val="bottom"/>
          </w:tcPr>
          <w:p>
            <w:pPr>
              <w:jc w:val="right"/>
              <w:spacing w:after="0"/>
              <w:rPr>
                <w:sz w:val="20"/>
                <w:szCs w:val="20"/>
                <w:color w:val="auto"/>
              </w:rPr>
            </w:pPr>
            <w:r>
              <w:rPr>
                <w:rFonts w:ascii="Arial" w:cs="Arial" w:eastAsia="Arial" w:hAnsi="Arial"/>
                <w:sz w:val="18"/>
                <w:szCs w:val="18"/>
                <w:color w:val="auto"/>
              </w:rPr>
              <w:t>25,525</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B-2</w:t>
            </w: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C-1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r>
      <w:tr>
        <w:trPr>
          <w:trHeight w:val="75"/>
        </w:trPr>
        <w:tc>
          <w:tcPr>
            <w:tcW w:w="7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designated Preferred Stock</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59,240</w:t>
            </w:r>
          </w:p>
        </w:tc>
        <w:tc>
          <w:tcPr>
            <w:tcW w:w="120" w:type="dxa"/>
            <w:vAlign w:val="bottom"/>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81" w:lineRule="exact"/>
        <w:rPr>
          <w:sz w:val="20"/>
          <w:szCs w:val="20"/>
          <w:color w:val="auto"/>
        </w:rPr>
      </w:pPr>
    </w:p>
    <w:p>
      <w:pPr>
        <w:jc w:val="both"/>
        <w:ind w:right="20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154"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A, B, C, and C-1 Preferred Stock are entitled to receive noncumulative dividends at a rate of 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Series issue price per annum.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2014,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Liquidation Rights. </w:t>
      </w:r>
      <w:r>
        <w:rPr>
          <w:rFonts w:ascii="Arial" w:cs="Arial" w:eastAsia="Arial" w:hAnsi="Arial"/>
          <w:sz w:val="18"/>
          <w:szCs w:val="18"/>
          <w:color w:val="auto"/>
        </w:rPr>
        <w:t>Upon liquidation, dissolution or winding up of the Company, the holders of Preferred Stock are entitled to receive distributions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out of the assets of the Company, before any distributions are made to the holders of common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6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The shares of Series A Preferred Stock are convertible into shares of common stock at a conversion price of $0.90 per share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B, C and C-1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per share price is at least $1.63 (as adjusted), and the gross cash proceeds are at least $30.0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Shares and Warrants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conjunction with the issuance of the convertible promissory notes in August 2013, and pursuant to the Purchase Agreement which required the parties to the Purchase Agreement to “pay to play,” one of the existing investors, and a related party, was not a participant in the debt financing and, as a result, the investor’s existing preferred shares and warrants to purchase shares of Series C Preferred Stock converted into common shares and warrants to purchase shares of common stock, respectively. The investor’s 3,000,000 shares of Series A Preferred Stock were converted at a price of $0.90 per share into 3,333,333 shares of common stock, and 10,925,197 shares of Series B and Series C Preferred Stock were converted into the same number of shares of common stock. The investor’s warrants to purchase 822,386 shares of Series C Preferred Stock at an exercise price of $0.65 per share were converted into the same number of warrants to purchase shares of common stock at the same warrant price per share, which resulted in an increase to additional paid-in capital of $14,000 at the time of the conversion. The fair value of the warrants for shares of common stock was determined using the Black-Scholes option pricing model with the following assumptions: a stock price volatility of 67.4%, an expected life equal to the remaining contractual term of the warrants of five years and a risk-free interest rate of 1.46%. The warrants are exercisable at any time through November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have authorized 79.0 million shares of common stock, of which 17.4 million shares were issued and outstanding at December 31, 2014. Common shares reserved for future issuance upon the exercise, issuance or conversion of the respective equity instruments at December 31, 2014 are as follows: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Issued and Outstanding: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Warrants for shares of convertible preferred stock and common stock</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future award grants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900" w:type="dxa"/>
            <w:vAlign w:val="bottom"/>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54,210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620"/>
              <w:spacing w:after="0"/>
              <w:rPr>
                <w:sz w:val="20"/>
                <w:szCs w:val="20"/>
                <w:color w:val="auto"/>
              </w:rPr>
            </w:pPr>
            <w:r>
              <w:rPr>
                <w:rFonts w:ascii="Arial" w:cs="Arial" w:eastAsia="Arial" w:hAnsi="Arial"/>
                <w:sz w:val="18"/>
                <w:szCs w:val="18"/>
                <w:color w:val="auto"/>
              </w:rPr>
              <w:t>F-19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our warrants during the year ended December 31, 2014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Average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Warrants</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Warrant</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22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Outstanding at January 1,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1,775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0.65</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Outstanding and exercisable at December 31,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2,063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3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Warrants to Purchase Shares of Common Stock</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2013 and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822</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December 31, 2014, awards for up to 9.1 million shares of common stock are reserved for issuance under the Plan, of which 8.7 million are reserved for issuance upon exercise of granted and outstanding options and 0.4 million shares are available for future grants. In April 2015, we increased the number of shares reserved and available for issuance under the Plan by 3.8 million shares.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2014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00" w:type="dxa"/>
            <w:vAlign w:val="bottom"/>
          </w:tcPr>
          <w:p>
            <w:pPr>
              <w:spacing w:after="0"/>
              <w:rPr>
                <w:sz w:val="12"/>
                <w:szCs w:val="12"/>
                <w:color w:val="auto"/>
              </w:rPr>
            </w:pPr>
          </w:p>
        </w:tc>
        <w:tc>
          <w:tcPr>
            <w:tcW w:w="13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thousands)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1,997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Forfeitures and cancellations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0.11</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Outstanding and exercisable at December 31, 2014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360" w:type="dxa"/>
            <w:vAlign w:val="bottom"/>
          </w:tcPr>
          <w:p>
            <w:pPr>
              <w:spacing w:after="0"/>
              <w:rPr>
                <w:sz w:val="24"/>
                <w:szCs w:val="24"/>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0.16</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or expected to vest at December 31, 2014</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$4,000 during the year ended December 31, 2013.</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assumptions for options granted to employees during the years ended December 31, 2013 and 2014:</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71.0%-72.5%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6.1-9.9</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0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At December 31, 2014, there was $478,000 of unrecognized compensation cost related to unvested stock option awards, which is expected to be recognized over a remaining weighted average vesting period of 2.9 years.</w:t>
      </w:r>
    </w:p>
    <w:p>
      <w:pPr>
        <w:spacing w:after="0" w:line="315"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2013 or 2014.</w:t>
      </w:r>
    </w:p>
    <w:p>
      <w:pPr>
        <w:spacing w:after="0" w:line="33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which expires in August 2016. The lease contains one option to renew for an additional five-year period.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Rent expense during each of the years ended December 31, 2013 and 2014 was $368,000. At December 31, 2014, deferred rent aggregated $222,000, of which $128,000 is included in other current liabilities and $94,000 is included in noncurrent liabilities in the accompanying balance sheet. At December 31, 2014, the future minimum annual obligations under non-cancellable operating lease commitments are $496,000 and $346,000,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 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during the years ended December 31, 2013 and 2014 was $239,000 and $162,000 and, respectively. Total cash paid under these agreements during the years ended December 31, 2013 and 2014 was $98,000 and $227,000,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guaranteed payment obligations for annual royalty payments under all such agreements at December 31, 2014 aggregated $208,000.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At December 31, 2013 and 2014, we were contingently liable for a standby letter of credit issued by a commercial bank for $110,000 and $85,000, respectively, for security on our lease. A restricted cash account with these amounts was held as cash collateral for the letter of credit.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31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vMerge w:val="continue"/>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18,379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16,480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75"/>
        </w:trPr>
        <w:tc>
          <w:tcPr>
            <w:tcW w:w="49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20,734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91"/>
        </w:trPr>
        <w:tc>
          <w:tcPr>
            <w:tcW w:w="4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Convertible promissory note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49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40" w:type="dxa"/>
            <w:vAlign w:val="bottom"/>
          </w:tcPr>
          <w:p>
            <w:pPr>
              <w:ind w:left="1080"/>
              <w:spacing w:after="0"/>
              <w:rPr>
                <w:sz w:val="20"/>
                <w:szCs w:val="20"/>
                <w:color w:val="auto"/>
              </w:rPr>
            </w:pPr>
            <w:r>
              <w:rPr>
                <w:rFonts w:ascii="Arial" w:cs="Arial" w:eastAsia="Arial" w:hAnsi="Arial"/>
                <w:sz w:val="18"/>
                <w:szCs w:val="18"/>
                <w:color w:val="auto"/>
              </w:rPr>
              <w:t>Net deferred tax assets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20,071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18,836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Less: valuation allowance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(20,071)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(18,836)</w:t>
            </w:r>
          </w:p>
        </w:tc>
        <w:tc>
          <w:tcPr>
            <w:tcW w:w="0" w:type="dxa"/>
            <w:vAlign w:val="bottom"/>
          </w:tcPr>
          <w:p>
            <w:pPr>
              <w:spacing w:after="0"/>
              <w:rPr>
                <w:sz w:val="1"/>
                <w:szCs w:val="1"/>
                <w:color w:val="auto"/>
              </w:rPr>
            </w:pPr>
          </w:p>
        </w:tc>
      </w:tr>
      <w:tr>
        <w:trPr>
          <w:trHeight w:val="291"/>
        </w:trPr>
        <w:tc>
          <w:tcPr>
            <w:tcW w:w="4940" w:type="dxa"/>
            <w:vAlign w:val="bottom"/>
          </w:tcPr>
          <w:p>
            <w:pPr>
              <w:ind w:left="1440"/>
              <w:spacing w:after="0"/>
              <w:rPr>
                <w:sz w:val="20"/>
                <w:szCs w:val="20"/>
                <w:color w:val="auto"/>
              </w:rPr>
            </w:pPr>
            <w:r>
              <w:rPr>
                <w:rFonts w:ascii="Arial" w:cs="Arial" w:eastAsia="Arial" w:hAnsi="Arial"/>
                <w:sz w:val="18"/>
                <w:szCs w:val="18"/>
                <w:color w:val="auto"/>
                <w:w w:val="93"/>
              </w:rPr>
              <w:t>Deferred tax assets, net of valuation allowance</w:t>
            </w:r>
          </w:p>
        </w:tc>
        <w:tc>
          <w:tcPr>
            <w:tcW w:w="35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tcPr>
          <w:p>
            <w:pPr>
              <w:spacing w:after="0"/>
              <w:rPr>
                <w:sz w:val="24"/>
                <w:szCs w:val="24"/>
                <w:color w:val="auto"/>
              </w:rPr>
            </w:pPr>
          </w:p>
        </w:tc>
        <w:tc>
          <w:tcPr>
            <w:tcW w:w="3620" w:type="dxa"/>
            <w:vAlign w:val="bottom"/>
            <w:gridSpan w:val="2"/>
          </w:tcPr>
          <w:p>
            <w:pPr>
              <w:jc w:val="right"/>
              <w:ind w:right="3050"/>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2014, we have federal and state net operating loss carryforwards (“NOL”)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carryforward indefinitely.</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have not completed an IRC Section 382/382 analysis.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differences between the United States federal statutory tax rate and our effective tax rate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8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Statutory United States federal income tax rate</w:t>
            </w: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credits</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Valuation allowance</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(46.7)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r>
      <w:tr>
        <w:trPr>
          <w:trHeight w:val="75"/>
        </w:trPr>
        <w:tc>
          <w:tcPr>
            <w:tcW w:w="62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income tax rate</w:t>
            </w:r>
          </w:p>
        </w:tc>
        <w:tc>
          <w:tcPr>
            <w:tcW w:w="1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2013 and 2014,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10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2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As of December 31, 2013 and 2014, there were no interest or penalties on uncertain tax benefits.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file income tax returns in the United States and California. Due to our losses incurred, we are essentially subject to income tax examination by tax authorities from inception to date.</w:t>
      </w:r>
    </w:p>
    <w:p>
      <w:pPr>
        <w:spacing w:after="0" w:line="315"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June 5, 2015, the date at which the financial statements were originally issued, except for the split of Series B and Series B-1 Preferred Stock described in the following paragraph.</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July 13, 2015, we amended and restated our certificate of incorporation to effect the split of Series B and Series B-1 Preferred Stock into ten shares for every nine shares outstanding. The financial statements and accompanying footnotes have been retroactively restated to reflect the Series B and Series B-1 Preferred Stock splits.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Equity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right"/>
              <w:ind w:right="622"/>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22,188</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16,894</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Receivable from collaborative partner</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2,757</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640" w:type="dxa"/>
            <w:vAlign w:val="bottom"/>
          </w:tcPr>
          <w:p>
            <w:pPr>
              <w:ind w:left="9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24,401</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21,077</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764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25,065</w:t>
            </w:r>
          </w:p>
        </w:tc>
        <w:tc>
          <w:tcPr>
            <w:tcW w:w="7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22,291</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0" w:type="dxa"/>
            <w:vAlign w:val="bottom"/>
            <w:vMerge w:val="restart"/>
          </w:tcPr>
          <w:p>
            <w:pPr>
              <w:spacing w:after="0"/>
              <w:rPr>
                <w:sz w:val="5"/>
                <w:szCs w:val="5"/>
                <w:color w:val="auto"/>
              </w:rPr>
            </w:pPr>
          </w:p>
        </w:tc>
        <w:tc>
          <w:tcPr>
            <w:tcW w:w="7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765</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1,052</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1,550</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Notes payable, current portion</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634</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10,085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7,395</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640" w:type="dxa"/>
            <w:vAlign w:val="bottom"/>
          </w:tcPr>
          <w:p>
            <w:pPr>
              <w:ind w:left="9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3"/>
                <w:szCs w:val="23"/>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6"/>
                <w:szCs w:val="16"/>
                <w:color w:val="auto"/>
              </w:rPr>
              <w:t>11,681</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10,479</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Notes payable, net of current portion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4,214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569</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1,720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Series A convertible preferred stock, $0.001 par value, 3,015 shares authorized, no shares issued or</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tcPr>
          <w:p>
            <w:pPr>
              <w:ind w:left="160"/>
              <w:spacing w:after="0"/>
              <w:rPr>
                <w:sz w:val="20"/>
                <w:szCs w:val="20"/>
                <w:color w:val="auto"/>
              </w:rPr>
            </w:pPr>
            <w:r>
              <w:rPr>
                <w:rFonts w:ascii="Arial" w:cs="Arial" w:eastAsia="Arial" w:hAnsi="Arial"/>
                <w:sz w:val="16"/>
                <w:szCs w:val="16"/>
                <w:color w:val="auto"/>
              </w:rPr>
              <w:t>outstanding at December 31, 2014 or June 30, 2015</w:t>
            </w:r>
          </w:p>
        </w:tc>
        <w:tc>
          <w:tcPr>
            <w:tcW w:w="180" w:type="dxa"/>
            <w:vAlign w:val="bottom"/>
          </w:tcPr>
          <w:p>
            <w:pPr>
              <w:spacing w:after="0"/>
              <w:rPr>
                <w:sz w:val="17"/>
                <w:szCs w:val="17"/>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B convertible preferred stock, $0.001 par value, 27,743 shares authorized, 27,743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at December 31, 2014 and June 30, 2015; aggregate liquidation preference of $24,991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June 30, 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28,220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tcPr>
          <w:p>
            <w:pPr>
              <w:spacing w:after="0"/>
              <w:rPr>
                <w:sz w:val="20"/>
                <w:szCs w:val="20"/>
                <w:color w:val="auto"/>
              </w:rPr>
            </w:pPr>
            <w:r>
              <w:rPr>
                <w:rFonts w:ascii="Arial" w:cs="Arial" w:eastAsia="Arial" w:hAnsi="Arial"/>
                <w:sz w:val="16"/>
                <w:szCs w:val="16"/>
                <w:color w:val="auto"/>
                <w:w w:val="99"/>
              </w:rPr>
              <w:t>Series C convertible preferred stock, $0.001 par value, 17,982 shares authorized, 11,147 shares issued and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60"/>
              <w:spacing w:after="0"/>
              <w:rPr>
                <w:sz w:val="20"/>
                <w:szCs w:val="20"/>
                <w:color w:val="auto"/>
              </w:rPr>
            </w:pPr>
            <w:r>
              <w:rPr>
                <w:rFonts w:ascii="Arial" w:cs="Arial" w:eastAsia="Arial" w:hAnsi="Arial"/>
                <w:sz w:val="16"/>
                <w:szCs w:val="16"/>
                <w:color w:val="auto"/>
              </w:rPr>
              <w:t>outstanding at December 31, 2014 and June 30, 2015; aggregate liquidation preference of $7,246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tcPr>
          <w:p>
            <w:pPr>
              <w:ind w:left="160"/>
              <w:spacing w:after="0"/>
              <w:rPr>
                <w:sz w:val="20"/>
                <w:szCs w:val="20"/>
                <w:color w:val="auto"/>
              </w:rPr>
            </w:pPr>
            <w:r>
              <w:rPr>
                <w:rFonts w:ascii="Arial" w:cs="Arial" w:eastAsia="Arial" w:hAnsi="Arial"/>
                <w:sz w:val="16"/>
                <w:szCs w:val="16"/>
                <w:color w:val="auto"/>
              </w:rPr>
              <w:t>June 30, 2015</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6,452</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6,452</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C-1 convertible preferred stock, $0.001 par value, 10,500 shares authorized, 3,318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at December 31, 2014 and June 30, 2015; aggregate liquidation preference of $6,470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June 30, 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2,156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7660" w:type="dxa"/>
            <w:vAlign w:val="bottom"/>
            <w:gridSpan w:val="2"/>
          </w:tcPr>
          <w:p>
            <w:pPr>
              <w:spacing w:after="0"/>
              <w:rPr>
                <w:sz w:val="20"/>
                <w:szCs w:val="20"/>
                <w:color w:val="auto"/>
              </w:rPr>
            </w:pPr>
            <w:r>
              <w:rPr>
                <w:rFonts w:ascii="Arial" w:cs="Arial" w:eastAsia="Arial" w:hAnsi="Arial"/>
                <w:sz w:val="16"/>
                <w:szCs w:val="16"/>
                <w:color w:val="auto"/>
              </w:rPr>
              <w:t>Stockholders’ equity (deficit):</w:t>
            </w:r>
          </w:p>
        </w:tc>
        <w:tc>
          <w:tcPr>
            <w:tcW w:w="1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$0.001 par value, 79,000 shares authorized, 17,368 and 17,811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outstanding at December 31, 2014 and June 30, 2015, respectively; 60,019 issued and outstanding,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 forma at June 30, 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14,407</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14,697</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(45,259)</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(45,690)</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7640" w:type="dxa"/>
            <w:vAlign w:val="bottom"/>
          </w:tcPr>
          <w:p>
            <w:pPr>
              <w:ind w:left="960"/>
              <w:spacing w:after="0"/>
              <w:rPr>
                <w:sz w:val="20"/>
                <w:szCs w:val="20"/>
                <w:color w:val="auto"/>
              </w:rPr>
            </w:pPr>
            <w:r>
              <w:rPr>
                <w:rFonts w:ascii="Arial" w:cs="Arial" w:eastAsia="Arial" w:hAnsi="Arial"/>
                <w:sz w:val="16"/>
                <w:szCs w:val="16"/>
                <w:color w:val="auto"/>
              </w:rPr>
              <w:t>Total stockholders’ equity (deficit)</w:t>
            </w:r>
          </w:p>
        </w:tc>
        <w:tc>
          <w:tcPr>
            <w:tcW w:w="180" w:type="dxa"/>
            <w:vAlign w:val="bottom"/>
          </w:tcPr>
          <w:p>
            <w:pPr>
              <w:spacing w:after="0"/>
              <w:rPr>
                <w:sz w:val="23"/>
                <w:szCs w:val="23"/>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(30,835)</w:t>
            </w:r>
          </w:p>
        </w:tc>
        <w:tc>
          <w:tcPr>
            <w:tcW w:w="80" w:type="dxa"/>
            <w:vAlign w:val="bottom"/>
          </w:tcPr>
          <w:p>
            <w:pPr>
              <w:spacing w:after="0"/>
              <w:rPr>
                <w:sz w:val="23"/>
                <w:szCs w:val="2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(30,975)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25,065</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22,291</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142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(1,299)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(1,395)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8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number of shares outstanding, 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Six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Loss (gain) on disposal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(5,211)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sale of investment securities available for sale</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deferred offering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22,188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16,135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16,894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Amounts accrued for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Amounts accrued for deferred financing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subsidiary. All intercompany accounts and transactions have been eliminated in consolidation.</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have incurred losses and negative cash flows from operations and have an accumulated deficit at June 30, 2015 of $45.7 million. All of our financial support has been provided primarily from the sale of our common and preferred stock and proceeds from the issuance of convertible debt and notes payable. As of June 30, 2015, however, following the execution of a significant strategic collaboration in 2014, we have positive working capital.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1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six months ended June 30, 2015 are not necessarily indicative of the results that may be expected for the year ending December 31, 2015. The financial statements should be read in conjunction with our audited financial statements for the year ended December 31, 2014, included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June 30, 2015.</w:t>
      </w:r>
    </w:p>
    <w:p>
      <w:pPr>
        <w:spacing w:after="0" w:line="326"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GAAP. The preparation of financial statements in conformity with GAAP requires management to make judgments, assumptions and estimates that affect the amounts reported in our consolidated financial statements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accompanying notes. Significant estimates in the consolidated financial statements have been made for preferred stock warrant liabilities and stock-based compensation. Actual results could differ materially from those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At December 31, 2014 and June 30, 2015, we held restricted cash of $85,000, used to secure a letter of credit provided as security for our operating lease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During the six months ended June 30, 2015, we incurred an aggregate of $0.5 million in direct costs related to our July 2015 Series D Convertible Preferred Stock financing and anticipated public offering of common stock. These costs were deferred and recorded as a long-term asset at June 30,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1) persuasive evidence that an arrangement exists; 2) delivery has occurred and title and the risks and rewards of ownership have been transferred to the client or services have been rendered; 3) the price is fixed or determinable; and 4)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may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right="4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option forfeitures prior to vesting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option-pricing model and are subject to periodic remeasurement over the period during which the services are rendered.</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cash flows. We have not recognized, and do not expect to recognize in the near future, any tax benefit related to stock-based compensation cost as a result of our full valuation allowance on our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international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$17,000 during the six months ended June 30,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 and Pro Forma Net Loss Per Common Share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Basic and diluted net loss per common share is computed by dividing net loss by the weighted-average number of common shares outstanding during the period without consideration of common stock equivalents.</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Computations for basic and diluted net loss per common share are below. The unaudited pro forma basic and diluted net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Net Loss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(Denominator)</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2014</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(428)</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17,368</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(431)</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17,583</w:t>
            </w:r>
          </w:p>
        </w:tc>
        <w:tc>
          <w:tcPr>
            <w:tcW w:w="620" w:type="dxa"/>
            <w:vAlign w:val="bottom"/>
            <w:gridSpan w:val="2"/>
          </w:tcPr>
          <w:p>
            <w:pPr>
              <w:spacing w:after="0"/>
              <w:rPr>
                <w:sz w:val="20"/>
                <w:szCs w:val="20"/>
                <w:color w:val="auto"/>
              </w:rPr>
            </w:pPr>
            <w:r>
              <w:rPr>
                <w:rFonts w:ascii="Arial" w:cs="Arial" w:eastAsia="Arial" w:hAnsi="Arial"/>
                <w:sz w:val="18"/>
                <w:szCs w:val="18"/>
                <w:color w:val="auto"/>
                <w:w w:val="96"/>
              </w:rPr>
              <w:t>$ (0.02)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Six Months Ended June 30,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42,208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basic and diluted net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59,791</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5520"/>
              <w:spacing w:after="0"/>
              <w:rPr>
                <w:sz w:val="20"/>
                <w:szCs w:val="20"/>
                <w:color w:val="auto"/>
              </w:rPr>
            </w:pPr>
            <w:r>
              <w:rPr>
                <w:rFonts w:ascii="Arial" w:cs="Arial" w:eastAsia="Arial" w:hAnsi="Arial"/>
                <w:sz w:val="18"/>
                <w:szCs w:val="18"/>
                <w:color w:val="auto"/>
              </w:rPr>
              <w:t>F-31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Common stock equivalents issuable upon the conversion or exercise of dilutive securities that could potentially reduce net income per common share in the future that were excluded from the determination of diluted net loss per common share as their effects were antidilutive are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40,549</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7,155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822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9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outlines a single comprehensive model for entities to use in accounting for revenue from contracts with customers and supersedes</w:t>
      </w:r>
      <w:r>
        <w:rPr>
          <w:rFonts w:ascii="Arial" w:cs="Arial" w:eastAsia="Arial" w:hAnsi="Arial"/>
          <w:sz w:val="17"/>
          <w:szCs w:val="17"/>
          <w:i w:val="1"/>
          <w:iCs w:val="1"/>
          <w:color w:val="auto"/>
        </w:rPr>
        <w:t xml:space="preserve"> </w:t>
      </w:r>
      <w:r>
        <w:rPr>
          <w:rFonts w:ascii="Arial" w:cs="Arial" w:eastAsia="Arial" w:hAnsi="Arial"/>
          <w:sz w:val="17"/>
          <w:szCs w:val="17"/>
          <w:color w:val="auto"/>
        </w:rPr>
        <w:t>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was originally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8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financial statements are issued. When management identifies conditions or events that raise substantial doubt about the entity’s ability to continue as a going concern, this standard also outlines disclosures that are required in the footnotes to the financial statements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060" w:type="dxa"/>
            <w:vAlign w:val="bottom"/>
            <w:gridSpan w:val="3"/>
          </w:tcPr>
          <w:p>
            <w:pPr>
              <w:ind w:left="160"/>
              <w:spacing w:after="0"/>
              <w:rPr>
                <w:sz w:val="20"/>
                <w:szCs w:val="20"/>
                <w:color w:val="auto"/>
              </w:rPr>
            </w:pPr>
            <w:r>
              <w:rPr>
                <w:rFonts w:ascii="Arial" w:cs="Arial" w:eastAsia="Arial" w:hAnsi="Arial"/>
                <w:sz w:val="18"/>
                <w:szCs w:val="18"/>
                <w:b w:val="1"/>
                <w:bCs w:val="1"/>
                <w:color w:val="auto"/>
              </w:rPr>
              <w:t>Balance Sheet Accounts and Supplemental Disclosures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gridSpan w:val="7"/>
          </w:tcPr>
          <w:p>
            <w:pPr>
              <w:ind w:left="14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4"/>
                <w:szCs w:val="24"/>
                <w:color w:val="auto"/>
              </w:rPr>
            </w:pPr>
          </w:p>
        </w:tc>
        <w:tc>
          <w:tcPr>
            <w:tcW w:w="11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$ 3,177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565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3,934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(3,355)</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579</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360" w:type="dxa"/>
            <w:vAlign w:val="bottom"/>
            <w:gridSpan w:val="4"/>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78"/>
              </w:rPr>
              <w:t>June 30,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516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171</w:t>
            </w: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9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1,550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November 2014, we and TESARO entered into Amendment No. 1 to the Agreement to add an antibody discovery program against a fourth target for an upfront license fee of $2.0 million.</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In June 2015, TESARO notified us that they had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good laboratory practices for our anti-PD-1 antagonist antibody (TSR-042), resulting in a $1.0 million milestone payment, which we received in July 2015.</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determined that the upfront license fees, milestone payments that are not considered substantive and research funding under the agreement, as amended, should be accounted for as a single unit of accounting, and that the upfront license fees and such milestone payments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In addition, we recognized revenue of $0.6 million during the six months ended June 30, 2015 for the achievement of the $1.0 million milestone, with the remaining $0.4 million of the milestone to be recognized ratably through the end of the specified contract, in March 2016. Revenue from the remaining contingent milestone payments will be recognized if and when such payments become due, subject to satisfaction of all of the criteria necessary to recognize revenue at that time.</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recognized during the six months ended June 30, 2014 under the TESARO agreement aggregated $4.1 million, which includes $2.6 million for the amortization of the upfront fee and $1.5 million in funding for research and development services. Revenue recognized under this agreement aggregated $9.0 million during the six months ended June 30, 2015, which includes $5.6 million for the amortization of the upfront fees and milestone payment, and $3.4 million in funding for research and development services. Amounts receivable from TESARO at December 31, 2014 and June 30, 2015 were $1.5 million and $2.8 million, respectively. Deferred revenue for this agreement was $12.0 million and $7.4 million at December 31, 2014 and June 30, 2015,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upfront fee of $6.0 million, followed by a success fee of $0.5 million upon successful delivery of therapeutic antibodies against each of the targets involved.</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through February 2014. Revenue recognized under this agreement during the six months ended June 30, 2014 aggregated $0.6 million and includes $0.5 million for a success fee and $92,000 for funding of research and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which expired in 2014,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which occurred in the third quarter of 2014.</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during the six months ended June 30, 2014 aggregated $0.7 million, which represents amortization of the upfront fee.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During the six months ended June 30, 2014, we recognized revenue from other collaborative partners aggregating $0.6 million, for the development of antibodies for specified targets. Revenue from these agreements consisted of a final payment and the amortization of upfront payments that were recognized as the related services were provided. Our obligations under these collaborative agreements were completed by the end of 2014.</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20"/>
          </w:cols>
          <w:pgMar w:left="240" w:top="460"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December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12 monthly interest-only payments through January 2016, followed by 36 equal monthly principal and interest payments, with final maturity in January 2019.</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connection with the Loan and Security Agreement,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as a liability, and presented as an offset to the carrying value of the Term A Loans. The offset will be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2014 and June 30, 2015, the carrying amounts of the Term A Loans were both $4.8 million, net of discounts of $209,000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$153,000, respectively. The effective interest rate on the Term A Loans at June 30, 2015 was 9.25%. As of June 30, 2015, future maturities of the Term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Loans were $1.4 million, $1.7 million, $1.8 million, and $153,000 in 2016, 2017, 2018 and 2019, respectively.</w:t>
      </w:r>
    </w:p>
    <w:p>
      <w:pPr>
        <w:spacing w:after="0" w:line="21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with a net book value of $5.9 million at June 30, 2015. We are also required to maintain a minimum of 50% of our operating and investment account balances at all times with one of the lenders. At June 30, 2015, we were in compliance with the covenants contained in the Loan and Security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380" w:type="dxa"/>
            <w:vAlign w:val="bottom"/>
          </w:tcPr>
          <w:p>
            <w:pPr>
              <w:spacing w:after="0"/>
              <w:rPr>
                <w:sz w:val="10"/>
                <w:szCs w:val="10"/>
                <w:color w:val="auto"/>
              </w:rPr>
            </w:pPr>
          </w:p>
        </w:tc>
        <w:tc>
          <w:tcPr>
            <w:tcW w:w="150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Prices for</w:t>
            </w:r>
          </w:p>
        </w:tc>
        <w:tc>
          <w:tcPr>
            <w:tcW w:w="380" w:type="dxa"/>
            <w:vAlign w:val="bottom"/>
          </w:tcPr>
          <w:p>
            <w:pPr>
              <w:spacing w:after="0"/>
              <w:rPr>
                <w:sz w:val="12"/>
                <w:szCs w:val="12"/>
                <w:color w:val="auto"/>
              </w:rPr>
            </w:pPr>
          </w:p>
        </w:tc>
        <w:tc>
          <w:tcPr>
            <w:tcW w:w="15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080" w:type="dxa"/>
            <w:vAlign w:val="bottom"/>
            <w:gridSpan w:val="4"/>
            <w:vMerge w:val="continue"/>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2014</w:t>
            </w:r>
          </w:p>
        </w:tc>
        <w:tc>
          <w:tcPr>
            <w:tcW w:w="238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800" w:type="dxa"/>
            <w:vAlign w:val="bottom"/>
            <w:gridSpan w:val="2"/>
          </w:tcPr>
          <w:p>
            <w:pPr>
              <w:ind w:left="16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w w:val="90"/>
              </w:rPr>
              <w:t>14,736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14,736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7,227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84"/>
        </w:trPr>
        <w:tc>
          <w:tcPr>
            <w:tcW w:w="4080" w:type="dxa"/>
            <w:vAlign w:val="bottom"/>
            <w:gridSpan w:val="4"/>
          </w:tcPr>
          <w:p>
            <w:pPr>
              <w:spacing w:after="0"/>
              <w:rPr>
                <w:sz w:val="20"/>
                <w:szCs w:val="20"/>
                <w:color w:val="auto"/>
              </w:rPr>
            </w:pPr>
            <w:r>
              <w:rPr>
                <w:rFonts w:ascii="Arial" w:cs="Arial" w:eastAsia="Arial" w:hAnsi="Arial"/>
                <w:sz w:val="18"/>
                <w:szCs w:val="18"/>
                <w:b w:val="1"/>
                <w:bCs w:val="1"/>
                <w:color w:val="auto"/>
              </w:rPr>
              <w:t>At June 30, 2015</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8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9,236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9,236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5,154</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20"/>
                <w:szCs w:val="20"/>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1,720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1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the following dates: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CCEEFF"/>
            </w:tcBorders>
            <w:vMerge w:val="continue"/>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Exercise price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0.65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measurement date fair value per share</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F-36</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Prior to 2015, we determined the fair value of our preferred stock warrants on an annual basis. In accordance with accounting guidance for interim reporting, we have recognized $30,000 as a ratable portion of the annual expense for the change in fair value in the statement of operations for the six months ended June 30, 2014.</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June 30, 2015 would result in increases in the estimated fair values of the preferred stock warrant liabilities of $89,000 and $226,000,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2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(386)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(416)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 The carrying amount of our notes payable of $4.8 million at June 30, 2015 approximates fair value due to the close proximity of their issuance in December 2014.</w:t>
      </w:r>
    </w:p>
    <w:p>
      <w:pPr>
        <w:spacing w:after="0" w:line="326"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 million. As of June 30, 2015, awards for up to 12.5 million shares of common stock are reserved for issuance under the Plan, of which 8.7 million are reserved for issuance upon exercise of granted and outstanding options and 3.8 million shares are available for future grants.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six months ended June 30, 2015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3"/>
            <w:vMerge w:val="continue"/>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Options</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(in years)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Grant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0.65</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0.15</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0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June 30, 2015</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8,657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0.19</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00" w:type="dxa"/>
            <w:vAlign w:val="bottom"/>
          </w:tcPr>
          <w:p>
            <w:pPr>
              <w:spacing w:after="0"/>
              <w:rPr>
                <w:sz w:val="20"/>
                <w:szCs w:val="20"/>
                <w:color w:val="auto"/>
              </w:rPr>
            </w:pPr>
            <w:r>
              <w:rPr>
                <w:rFonts w:ascii="Arial" w:cs="Arial" w:eastAsia="Arial" w:hAnsi="Arial"/>
                <w:sz w:val="18"/>
                <w:szCs w:val="18"/>
                <w:color w:val="auto"/>
              </w:rPr>
              <w:t>Options vested or expected to vest at June 30, 2015</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7,682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0.19</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$69,000 during the six months ended June 30, 2015.</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assumptions: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gridSpan w:val="3"/>
          </w:tcPr>
          <w:p>
            <w:pPr>
              <w:jc w:val="right"/>
              <w:ind w:right="468"/>
              <w:spacing w:after="0"/>
              <w:rPr>
                <w:sz w:val="20"/>
                <w:szCs w:val="20"/>
                <w:color w:val="auto"/>
              </w:rPr>
            </w:pPr>
            <w:r>
              <w:rPr>
                <w:rFonts w:ascii="Arial" w:cs="Arial" w:eastAsia="Arial" w:hAnsi="Arial"/>
                <w:sz w:val="18"/>
                <w:szCs w:val="18"/>
                <w:color w:val="auto"/>
              </w:rPr>
              <w:t>66.8%</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8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$ 0.40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4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At June 30, 2015, there was $0.5 million of unrecognized compensation cost related to unvested stock option awards, which is expected to be recognized over a remaining weighted average vesting period of 3.3 years.</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 have evaluated subsequent events from the balance sheet date through August 17, 2015, the date at which the financial statements were issued.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13, 2015, we amended our amended and restated certificate of incorporation to:</w:t>
      </w:r>
    </w:p>
    <w:p>
      <w:pPr>
        <w:spacing w:after="0" w:line="131" w:lineRule="exact"/>
        <w:rPr>
          <w:sz w:val="20"/>
          <w:szCs w:val="20"/>
          <w:color w:val="auto"/>
        </w:rPr>
      </w:pPr>
    </w:p>
    <w:p>
      <w:pPr>
        <w:ind w:left="900" w:right="30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increase the total number of shares authorized for issuance from 141,506,903 shares to 203,208,537 shares, of which 120,500,000 shares are designated as common stock and 82,708,537 shares are designated as preferred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eliminate the designation of Series A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 the number of shares designated as Series B Preferred Stock from 28,991,125 shares to 25,524,510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 the number of shares designated as Series C Preferred Stock from 17,982,024 to 13,210,753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 the number of shares designated as Series C-1 Preferred stock from 10,500,000 shares to 3,318,054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authorize the issuance of 38,436,851 shares Series D Convertible Preferred stock,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provide for the split of Series B and Series B-1 Preferred Stock into ten shares for every nine shares outstanding.</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consolidated financial statements and accompanying footnotes have been retroactively restated to reflect the Series B and Series B-1 Preferred stock splits.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holders of the Series D Preferred Stock are entitled to: 1) one vote for each share of common stock into which the Series D Convertible Preferred Stock could then be converted, 2) receive noncumulative dividends at a rate of 8% per annum, which are in priority and preference to all other series of preferred stock and common stock, 3) in preference to all other series of preferred stock and common stock, distributions upon liquidation of $1.06 per share plus all declared and unpaid dividends, and 4) convert into an equal number of shares of common stock.</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July 9, 2015, we amended our 2006 Equity Incentive Plan to increase the number of shares reserved for issuance under the plan by 4,766,852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00"/>
          </w:cols>
          <w:pgMar w:left="240" w:top="460"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38,436,851 shares of Series D Convertible Preferred Stock at $1.06 per share for net proceeds of $40.7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Stock Options</w:t>
      </w:r>
    </w:p>
    <w:p>
      <w:pPr>
        <w:spacing w:after="0" w:line="117" w:lineRule="exact"/>
        <w:rPr>
          <w:sz w:val="20"/>
          <w:szCs w:val="20"/>
          <w:color w:val="auto"/>
        </w:rPr>
      </w:pPr>
    </w:p>
    <w:p>
      <w:pPr>
        <w:ind w:left="5540" w:right="960" w:hanging="5079"/>
        <w:spacing w:after="0" w:line="449" w:lineRule="auto"/>
        <w:rPr>
          <w:sz w:val="20"/>
          <w:szCs w:val="20"/>
          <w:color w:val="auto"/>
        </w:rPr>
      </w:pPr>
      <w:r>
        <w:rPr>
          <w:rFonts w:ascii="Arial" w:cs="Arial" w:eastAsia="Arial" w:hAnsi="Arial"/>
          <w:sz w:val="18"/>
          <w:szCs w:val="18"/>
          <w:color w:val="auto"/>
        </w:rPr>
        <w:t>Subsequent to June 30, 2015, we granted options to purchase 5,496,050 shares of common stock at an exercise price of $0.99 per share. F-40</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8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561340</wp:posOffset>
            </wp:positionV>
            <wp:extent cx="2118360" cy="5918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681355</wp:posOffset>
            </wp:positionV>
            <wp:extent cx="43478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759"/>
        <w:spacing w:after="0"/>
        <w:rPr>
          <w:sz w:val="20"/>
          <w:szCs w:val="20"/>
          <w:color w:val="auto"/>
        </w:rPr>
      </w:pPr>
      <w:r>
        <w:rPr>
          <w:rFonts w:ascii="Arial" w:cs="Arial" w:eastAsia="Arial" w:hAnsi="Arial"/>
          <w:sz w:val="25"/>
          <w:szCs w:val="25"/>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193675</wp:posOffset>
            </wp:positionV>
            <wp:extent cx="43478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BMO Capital Markets</w:t>
      </w: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Stifel</w:t>
      </w: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JMP Securities</w:t>
      </w:r>
    </w:p>
    <w:p>
      <w:pPr>
        <w:spacing w:after="0" w:line="247"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Paid or</w:t>
            </w:r>
          </w:p>
        </w:tc>
      </w:t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80" w:type="dxa"/>
            <w:vAlign w:val="bottom"/>
            <w:gridSpan w:val="4"/>
          </w:tcPr>
          <w:p>
            <w:pPr>
              <w:ind w:left="1860"/>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FINRA filing fee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13,438</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91"/>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6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6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740" w:type="dxa"/>
            <w:vAlign w:val="bottom"/>
            <w:gridSpan w:val="3"/>
          </w:tcPr>
          <w:p>
            <w:pPr>
              <w:ind w:left="180"/>
              <w:spacing w:after="0"/>
              <w:rPr>
                <w:sz w:val="20"/>
                <w:szCs w:val="20"/>
                <w:color w:val="auto"/>
              </w:rPr>
            </w:pPr>
            <w:r>
              <w:rPr>
                <w:rFonts w:ascii="Arial" w:cs="Arial" w:eastAsia="Arial" w:hAnsi="Arial"/>
                <w:sz w:val="18"/>
                <w:szCs w:val="18"/>
                <w:color w:val="auto"/>
              </w:rPr>
              <w:t>To be completed by amendment.</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900" w:right="24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2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7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w w:val="96"/>
              </w:rPr>
              <w:t>Amended and Restated Investors’ Rights Agreement dated July 13, 2015 among the Registrant and certain of its stockholders, as amended.</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Indemnification Agreement.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Between August 31, 2012 and August 31, 2015, the Registrant granted options to purchase 9,451,991 shares of common stock under our 2006 Equity Incentive Plan to our directors, officers, employees, consultants, and other service providers with per share exercise prices ranging from $0.10 to $0.99. In this same period, the Registrant issued 548,076 shares of common stock upon exercise of stock options previously issued under the 2006 Equity Incentive Plan to our directors, officers, employees, consultants, and other service providers for cash consideration in the aggregate amount of $90,300.26.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Warrants to Purchase Common Stock</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August 2013, the Registrant issued a warrant to an accredited investor to purchase 822,386 shares of Registrant’s common stock upon the conversion of warrant to purchase 822,386 shares of the Registrant’s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 convertible preferred stock The common stock warrant has a per share exercise price of $0.65. The securities issued in this transaction were exempt from the registration requirements of the Securities Act in reliance upon Section 4(2) under the Securities Act.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Sales and Conversion of Preferred Stock</w:t>
      </w:r>
    </w:p>
    <w:p>
      <w:pPr>
        <w:spacing w:after="0" w:line="117" w:lineRule="exact"/>
        <w:rPr>
          <w:sz w:val="20"/>
          <w:szCs w:val="20"/>
          <w:color w:val="auto"/>
        </w:rPr>
      </w:pPr>
    </w:p>
    <w:p>
      <w:pPr>
        <w:jc w:val="both"/>
        <w:ind w:firstLine="464"/>
        <w:spacing w:after="0" w:line="259" w:lineRule="auto"/>
        <w:tabs>
          <w:tab w:leader="none" w:pos="6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186" w:lineRule="exact"/>
        <w:rPr>
          <w:rFonts w:ascii="Arial" w:cs="Arial" w:eastAsia="Arial" w:hAnsi="Arial"/>
          <w:sz w:val="18"/>
          <w:szCs w:val="18"/>
          <w:color w:val="auto"/>
        </w:rPr>
      </w:pPr>
    </w:p>
    <w:p>
      <w:pPr>
        <w:ind w:right="120" w:firstLine="464"/>
        <w:spacing w:after="0" w:line="312" w:lineRule="auto"/>
        <w:tabs>
          <w:tab w:leader="none" w:pos="63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August 2013, the Registrant issued a warrant to purchase 822,386 shares of Registrant’s common stock upon the conversion of warrant to purchase 822,386 shares of the Registrant’s Series C convertible preferred stock The warrant has a per share exercise price of $0.65. The securities issued in this transaction were exempt from the registration requirements of the Securities Act in reliance upon on Rule 506 promulgated under the Securities Act.</w:t>
      </w:r>
    </w:p>
    <w:p>
      <w:pPr>
        <w:spacing w:after="0" w:line="146" w:lineRule="exact"/>
        <w:rPr>
          <w:rFonts w:ascii="Arial" w:cs="Arial" w:eastAsia="Arial" w:hAnsi="Arial"/>
          <w:sz w:val="16"/>
          <w:szCs w:val="16"/>
          <w:color w:val="auto"/>
        </w:rPr>
      </w:pPr>
    </w:p>
    <w:p>
      <w:pPr>
        <w:ind w:right="20" w:firstLine="464"/>
        <w:spacing w:after="0" w:line="259" w:lineRule="auto"/>
        <w:tabs>
          <w:tab w:leader="none" w:pos="6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6" w:lineRule="exact"/>
        <w:rPr>
          <w:rFonts w:ascii="Arial" w:cs="Arial" w:eastAsia="Arial" w:hAnsi="Arial"/>
          <w:sz w:val="18"/>
          <w:szCs w:val="18"/>
          <w:color w:val="auto"/>
        </w:rPr>
      </w:pPr>
    </w:p>
    <w:p>
      <w:pPr>
        <w:jc w:val="both"/>
        <w:ind w:right="20" w:firstLine="464"/>
        <w:spacing w:after="0" w:line="259" w:lineRule="auto"/>
        <w:tabs>
          <w:tab w:leader="none" w:pos="6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252"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center"/>
        <w:ind w:left="620" w:right="80"/>
        <w:spacing w:after="0" w:line="449"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 II-3</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120" w:firstLine="464"/>
        <w:spacing w:after="0" w:line="264" w:lineRule="auto"/>
        <w:tabs>
          <w:tab w:leader="none" w:pos="70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1"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on Form S-1 to be signed on its behalf by the undersigned, thereunto duly authorized, in San Diego, California, on the 9th day of September, 2015.</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KNOW ALL PERSONS BY THESE PRESENTS, </w:t>
      </w:r>
      <w:r>
        <w:rPr>
          <w:rFonts w:ascii="Arial" w:cs="Arial" w:eastAsia="Arial" w:hAnsi="Arial"/>
          <w:sz w:val="17"/>
          <w:szCs w:val="17"/>
          <w:color w:val="auto"/>
        </w:rPr>
        <w:t>that each person whose signature appears below hereby constitutes and appoints Hamza Suria and</w:t>
      </w:r>
      <w:r>
        <w:rPr>
          <w:rFonts w:ascii="Arial" w:cs="Arial" w:eastAsia="Arial" w:hAnsi="Arial"/>
          <w:sz w:val="17"/>
          <w:szCs w:val="17"/>
          <w:i w:val="1"/>
          <w:iCs w:val="1"/>
          <w:color w:val="auto"/>
        </w:rPr>
        <w:t xml:space="preserve"> </w:t>
      </w:r>
      <w:r>
        <w:rPr>
          <w:rFonts w:ascii="Arial" w:cs="Arial" w:eastAsia="Arial" w:hAnsi="Arial"/>
          <w:sz w:val="17"/>
          <w:szCs w:val="17"/>
          <w:color w:val="auto"/>
        </w:rPr>
        <w:t>Robert E. Hoffman,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her might or could do in person, hereby ratifying and confirming all that said attorneys-in-fact, proxies and agents, or their or his or her substitute or substitutes, may lawfully do or cause to be done by virtue hereof.</w:t>
      </w:r>
    </w:p>
    <w:p>
      <w:pPr>
        <w:spacing w:after="0" w:line="17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40" w:type="dxa"/>
            <w:vAlign w:val="bottom"/>
          </w:tcPr>
          <w:p>
            <w:pPr>
              <w:spacing w:after="0"/>
              <w:rPr>
                <w:sz w:val="16"/>
                <w:szCs w:val="16"/>
                <w:color w:val="auto"/>
              </w:rPr>
            </w:pPr>
          </w:p>
        </w:tc>
      </w:tr>
      <w:tr>
        <w:trPr>
          <w:trHeight w:val="196"/>
        </w:trPr>
        <w:tc>
          <w:tcPr>
            <w:tcW w:w="1700" w:type="dxa"/>
            <w:vAlign w:val="bottom"/>
            <w:tcBorders>
              <w:bottom w:val="single" w:sz="8" w:color="auto"/>
            </w:tcBorders>
          </w:tcPr>
          <w:p>
            <w:pPr>
              <w:ind w:left="1420"/>
              <w:spacing w:after="0" w:line="196" w:lineRule="exact"/>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Hamza Suria</w:t>
            </w:r>
          </w:p>
        </w:tc>
        <w:tc>
          <w:tcPr>
            <w:tcW w:w="2840" w:type="dxa"/>
            <w:vAlign w:val="bottom"/>
            <w:gridSpan w:val="2"/>
          </w:tcPr>
          <w:p>
            <w:pPr>
              <w:ind w:left="980"/>
              <w:spacing w:after="0" w:line="196" w:lineRule="exact"/>
              <w:rPr>
                <w:sz w:val="20"/>
                <w:szCs w:val="20"/>
                <w:color w:val="auto"/>
              </w:rPr>
            </w:pPr>
            <w:r>
              <w:rPr>
                <w:rFonts w:ascii="Arial" w:cs="Arial" w:eastAsia="Arial" w:hAnsi="Arial"/>
                <w:sz w:val="18"/>
                <w:szCs w:val="18"/>
                <w:color w:val="auto"/>
                <w:w w:val="87"/>
              </w:rPr>
              <w:t>President, Chief Executive</w:t>
            </w:r>
          </w:p>
        </w:tc>
        <w:tc>
          <w:tcPr>
            <w:tcW w:w="2220" w:type="dxa"/>
            <w:vAlign w:val="bottom"/>
          </w:tcPr>
          <w:p>
            <w:pPr>
              <w:ind w:left="100"/>
              <w:spacing w:after="0" w:line="196" w:lineRule="exact"/>
              <w:rPr>
                <w:sz w:val="20"/>
                <w:szCs w:val="20"/>
                <w:color w:val="auto"/>
              </w:rPr>
            </w:pPr>
            <w:r>
              <w:rPr>
                <w:rFonts w:ascii="Arial" w:cs="Arial" w:eastAsia="Arial" w:hAnsi="Arial"/>
                <w:sz w:val="18"/>
                <w:szCs w:val="18"/>
                <w:color w:val="auto"/>
              </w:rPr>
              <w:t>Officer and Director</w:t>
            </w:r>
          </w:p>
        </w:tc>
        <w:tc>
          <w:tcPr>
            <w:tcW w:w="2020" w:type="dxa"/>
            <w:vAlign w:val="bottom"/>
            <w:gridSpan w:val="3"/>
          </w:tcPr>
          <w:p>
            <w:pPr>
              <w:jc w:val="center"/>
              <w:ind w:left="570"/>
              <w:spacing w:after="0" w:line="196" w:lineRule="exact"/>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Hamza Suria</w:t>
            </w:r>
          </w:p>
        </w:tc>
        <w:tc>
          <w:tcPr>
            <w:tcW w:w="5060" w:type="dxa"/>
            <w:vAlign w:val="bottom"/>
            <w:gridSpan w:val="3"/>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Robert E. Hoffman</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4"/>
              </w:rPr>
              <w:t>Chief Financial Officer</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Robert E. Hoffman</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3"/>
              </w:rPr>
              <w:t>(Principal Accounting and Financial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Tiba Aynechi, Ph.D.</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Tiba Aynechi, Ph.D.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Carol G. Gallagher, Pharm.D.</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Carol G. Gallagher, Pharm.D.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Nicholas B. Lydon, Ph.D., FRS</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Nicholas B. Lydon, Ph.D., FRS</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Hollings Renton</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Hollings Renton</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John Schmid</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John Schmid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James N. Topper, M.D., Ph.D.</w:t>
            </w: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88"/>
              </w:rPr>
              <w:t>September 9,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9"/>
              </w:rPr>
              <w:t>James N. Topper, M.D., Ph.D.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64"/>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60" w:type="dxa"/>
            <w:vAlign w:val="bottom"/>
            <w:gridSpan w:val="3"/>
          </w:tcPr>
          <w:p>
            <w:pPr>
              <w:ind w:left="1580"/>
              <w:spacing w:after="0"/>
              <w:rPr>
                <w:sz w:val="20"/>
                <w:szCs w:val="20"/>
                <w:color w:val="auto"/>
              </w:rPr>
            </w:pPr>
            <w:r>
              <w:rPr>
                <w:rFonts w:ascii="Arial" w:cs="Arial" w:eastAsia="Arial" w:hAnsi="Arial"/>
                <w:sz w:val="18"/>
                <w:szCs w:val="18"/>
                <w:color w:val="auto"/>
              </w:rPr>
              <w:t>II-5</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0" w:type="dxa"/>
            <w:vAlign w:val="bottom"/>
            <w:gridSpan w:val="3"/>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85"/>
        </w:trPr>
        <w:tc>
          <w:tcPr>
            <w:tcW w:w="10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90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9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Amended and Restated Certificate of Incorporation, as amended to date, as currently in effect.</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Common Stock Certificate.</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0"/>
              </w:rPr>
              <w:t>Fourth Amended and Restated Investors’ Rights Agreement, dated July 13, 2015, by and among the Registrant and certain of its stockholders.</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Opinion of Fenwick &amp; West LLP.</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2006 Equity Incentive Plan and forms of award agreements.</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1"/>
              </w:rPr>
              <w:t>2015 Equity Incentive Plan, to become effective on the date the registration statement is declared effective, and forms of award agreements.</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3"/>
              </w:rPr>
              <w:t>2015 Employee Stock Purchase Plan, to become effective on the date the registration statement is declared effective, and forms of award</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agreements.</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Employment Agreement, effective as of January 1, 2012, by and between the Registrant and David King, as amended.</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Consulting Agreement, dated as of May 1, 2015, by and between the Registrant and David King.</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Office Lease, dated April 19, 2011, by and between the Registrant and Kilroy Realty, L.P.</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8"/>
              </w:rPr>
              <w:t>Antibody Generation Agreement, dated December 22, 2011, by and between the Registrant and Celgene Corporation, as modified.</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7"/>
              </w:rPr>
              <w:t>Collaboration and Exclusive License Agreement, dated March 10, 2014, by and among the Registrant, TESARO, Inc. and TESARO</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Development, Ltd., as amended.</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0"/>
              </w:rPr>
              <w:t>Non-Exclusive Research and Commercial License Agreement, dated May 15, 2009, by and between the Registrant and Millipore Corporation.</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6"/>
              </w:rPr>
              <w:t>Loan and Security Agreement, dated December 24, 2014, by and among the Registrant, Oxford Finance LLC and Silicon Valley Bank.</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Power of Attorney. Reference is made to the signature page hereto.</w:t>
            </w: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220" w:hanging="212"/>
        <w:spacing w:after="0" w:line="261" w:lineRule="auto"/>
        <w:tabs>
          <w:tab w:leader="none" w:pos="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220"/>
          </w:cols>
          <w:pgMar w:left="240" w:top="459" w:right="4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Hamza Suria hereby certifies that:</w:t>
      </w:r>
    </w:p>
    <w:p>
      <w:pPr>
        <w:spacing w:after="0" w:line="221"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date of filing the original Certificate of Incorporation of this company with the Secretary of State of the State of Delaware was</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16, 2005 under the name of Anaptys Bioscience, Inc., and a Corrected Certificate of Certificate of Incorporation was filed with the Secretary of State of the State of Delaware on November 17, 2005 correcting the name to Anaptys Biosciences, Inc.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He is the duly elected and acting Chief Executive Officer of AnaptysBio, Inc., a Delaware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 The Certificate of Incorporation of this company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company is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address of the registered office of this Company in the State of Delaware is 1209 Orange Street, City of Wilmington. County of New Castle, Zip Code 19801, and the name of the registered agent of this Corporation in the State of Delaware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is authorized to issue two classes of stock to be designated, respectively, “Common Stock” and “Preferred Stock.” The total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which the Company is authorized to issue is 203,208,537 shares, 120,500,000 shares of which shall be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82,708,537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$0.001 per share and the Common Stock shall have a par value of $0.001 per share.</w:t>
      </w:r>
    </w:p>
    <w:p>
      <w:pPr>
        <w:spacing w:after="0" w:line="180"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number of authorized shares of Common Stock may be increased or decreased (but not below the number of shares of Common Stock then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by the</w:t>
      </w:r>
    </w:p>
    <w:p>
      <w:pPr>
        <w:sectPr>
          <w:pgSz w:w="11900" w:h="16838" w:orient="portrait"/>
          <w:cols w:equalWidth="0" w:num="1">
            <w:col w:w="11420"/>
          </w:cols>
          <w:pgMar w:left="240" w:top="121" w:right="23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affirmative vote of the holders of a majority of the stock of the Company entitled to vote (voting together as a single class on an as-if-converted basis).</w:t>
      </w:r>
    </w:p>
    <w:p>
      <w:pPr>
        <w:spacing w:after="0" w:line="23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25,524,510 of the authorized shares of Preferred Stock are hereby designated “Series B Preferred Stock” (the “</w:t>
      </w:r>
      <w:r>
        <w:rPr>
          <w:rFonts w:ascii="Arial" w:cs="Arial" w:eastAsia="Arial" w:hAnsi="Arial"/>
          <w:sz w:val="18"/>
          <w:szCs w:val="18"/>
          <w:b w:val="1"/>
          <w:bCs w:val="1"/>
          <w:i w:val="1"/>
          <w:iCs w:val="1"/>
          <w:color w:val="auto"/>
        </w:rPr>
        <w:t>Series B Preferred</w:t>
      </w:r>
      <w:r>
        <w:rPr>
          <w:rFonts w:ascii="Arial" w:cs="Arial" w:eastAsia="Arial" w:hAnsi="Arial"/>
          <w:sz w:val="18"/>
          <w:szCs w:val="18"/>
          <w:color w:val="auto"/>
        </w:rPr>
        <w:t>”). 1,996,153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authorized shares of Preferred Stock are hereby designated “Series B-1 Preferred Stock” (the “</w:t>
      </w:r>
      <w:r>
        <w:rPr>
          <w:rFonts w:ascii="Arial" w:cs="Arial" w:eastAsia="Arial" w:hAnsi="Arial"/>
          <w:sz w:val="18"/>
          <w:szCs w:val="18"/>
          <w:b w:val="1"/>
          <w:bCs w:val="1"/>
          <w:i w:val="1"/>
          <w:iCs w:val="1"/>
          <w:color w:val="auto"/>
        </w:rPr>
        <w:t>Series B-1 Preferred</w:t>
      </w:r>
      <w:r>
        <w:rPr>
          <w:rFonts w:ascii="Arial" w:cs="Arial" w:eastAsia="Arial" w:hAnsi="Arial"/>
          <w:sz w:val="18"/>
          <w:szCs w:val="18"/>
          <w:color w:val="auto"/>
        </w:rPr>
        <w:t>”). 222,216 of the authorized shares of Preferred Stock are hereby designated “Series B-2 Preferred Stock” (the “</w:t>
      </w:r>
      <w:r>
        <w:rPr>
          <w:rFonts w:ascii="Arial" w:cs="Arial" w:eastAsia="Arial" w:hAnsi="Arial"/>
          <w:sz w:val="18"/>
          <w:szCs w:val="18"/>
          <w:b w:val="1"/>
          <w:bCs w:val="1"/>
          <w:i w:val="1"/>
          <w:iCs w:val="1"/>
          <w:color w:val="auto"/>
        </w:rPr>
        <w:t>Series B-2 Preferred</w:t>
      </w:r>
      <w:r>
        <w:rPr>
          <w:rFonts w:ascii="Arial" w:cs="Arial" w:eastAsia="Arial" w:hAnsi="Arial"/>
          <w:sz w:val="18"/>
          <w:szCs w:val="18"/>
          <w:color w:val="auto"/>
        </w:rPr>
        <w:t>”). 13,210,753 of the authorized shares of Preferred Stock are hereby designated “Series C Preferred Stock” (the “</w:t>
      </w:r>
      <w:r>
        <w:rPr>
          <w:rFonts w:ascii="Arial" w:cs="Arial" w:eastAsia="Arial" w:hAnsi="Arial"/>
          <w:sz w:val="18"/>
          <w:szCs w:val="18"/>
          <w:b w:val="1"/>
          <w:bCs w:val="1"/>
          <w:i w:val="1"/>
          <w:iCs w:val="1"/>
          <w:color w:val="auto"/>
        </w:rPr>
        <w:t>Series C Preferred</w:t>
      </w:r>
      <w:r>
        <w:rPr>
          <w:rFonts w:ascii="Arial" w:cs="Arial" w:eastAsia="Arial" w:hAnsi="Arial"/>
          <w:sz w:val="18"/>
          <w:szCs w:val="18"/>
          <w:color w:val="auto"/>
        </w:rPr>
        <w:t>”). 3,318,054 of the authorized shares of Preferred Stock are hereby designated “Series C-1 Preferred” (the “</w:t>
      </w:r>
      <w:r>
        <w:rPr>
          <w:rFonts w:ascii="Arial" w:cs="Arial" w:eastAsia="Arial" w:hAnsi="Arial"/>
          <w:sz w:val="18"/>
          <w:szCs w:val="18"/>
          <w:b w:val="1"/>
          <w:bCs w:val="1"/>
          <w:i w:val="1"/>
          <w:iCs w:val="1"/>
          <w:color w:val="auto"/>
        </w:rPr>
        <w:t>Series C-1 Preferred</w:t>
      </w:r>
      <w:r>
        <w:rPr>
          <w:rFonts w:ascii="Arial" w:cs="Arial" w:eastAsia="Arial" w:hAnsi="Arial"/>
          <w:sz w:val="18"/>
          <w:szCs w:val="18"/>
          <w:color w:val="auto"/>
        </w:rPr>
        <w:t>”). 38,436,851 of the authorized shares of Preferred Stock are hereby designated “Series D Preferred Stock”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Contingent and effective upon the filing of this Amended and Restated Certificate of Incorporation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every nine (9) outstanding shares of Series B Preferred will be split into and automatically, without any further action by the Corporation or the stockholders thereof, become ten (10) outstanding shares of Series B Preferred and every nine (9) outstanding shares of Series B-1 Preferred will be split into and automatically, without any further action by the Corporation or the stockholders thereof, become ten (10) outstanding shares of Series B-1 Preferred of the Corporation (the “</w:t>
      </w:r>
      <w:r>
        <w:rPr>
          <w:rFonts w:ascii="Arial" w:cs="Arial" w:eastAsia="Arial" w:hAnsi="Arial"/>
          <w:sz w:val="18"/>
          <w:szCs w:val="18"/>
          <w:b w:val="1"/>
          <w:bCs w:val="1"/>
          <w:i w:val="1"/>
          <w:iCs w:val="1"/>
          <w:color w:val="auto"/>
        </w:rPr>
        <w:t>Forward Stock Split</w:t>
      </w:r>
      <w:r>
        <w:rPr>
          <w:rFonts w:ascii="Arial" w:cs="Arial" w:eastAsia="Arial" w:hAnsi="Arial"/>
          <w:sz w:val="18"/>
          <w:szCs w:val="18"/>
          <w:color w:val="auto"/>
        </w:rPr>
        <w:t>”).</w:t>
      </w:r>
    </w:p>
    <w:p>
      <w:pPr>
        <w:spacing w:after="0" w:line="184"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E. </w:t>
      </w:r>
      <w:r>
        <w:rPr>
          <w:rFonts w:ascii="Arial" w:cs="Arial" w:eastAsia="Arial" w:hAnsi="Arial"/>
          <w:sz w:val="17"/>
          <w:szCs w:val="17"/>
          <w:color w:val="auto"/>
        </w:rPr>
        <w:t>No fractional shares shall be issued pursuant to the Forward Stock Split. The Corporation will pay in cash the fair value of such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interest and as determined in good faith by the Corporation’s board of directors when those entitled to receive such fractional shares are determined. The shares issued pursuant to the Forward Stock Split shall be entered in the books of the Corporation, without the need for surrender or exchange of any stock certificate outstanding immediately prior to the Effective Time. No further adjustment of the Series Preferred Conversion Price pursuant to Article IV, Section 5(c) of this Restated Certificate shall be made in connection with the Forward Stock Split, as all share amounts set forth in this Restated Certificate of Incorporation have been appropriately adjusted to reflect the Forward Stock Split.</w:t>
      </w:r>
    </w:p>
    <w:p>
      <w:pPr>
        <w:spacing w:after="0" w:line="174"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b w:val="1"/>
          <w:bCs w:val="1"/>
          <w:color w:val="auto"/>
        </w:rPr>
        <w:t xml:space="preserve">F. </w:t>
      </w:r>
      <w:r>
        <w:rPr>
          <w:rFonts w:ascii="Arial" w:cs="Arial" w:eastAsia="Arial" w:hAnsi="Arial"/>
          <w:sz w:val="17"/>
          <w:szCs w:val="17"/>
          <w:color w:val="auto"/>
        </w:rPr>
        <w:t>The rights, preferences, privileges, restrictions and other matters relating to the Series B Preferred, the Series B-1 Preferred, the Series B-2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the Series C Preferred the Series C-1 Preferred and the Series D Preferred (collectively, the “</w:t>
      </w:r>
      <w:r>
        <w:rPr>
          <w:rFonts w:ascii="Arial" w:cs="Arial" w:eastAsia="Arial" w:hAnsi="Arial"/>
          <w:sz w:val="17"/>
          <w:szCs w:val="17"/>
          <w:b w:val="1"/>
          <w:bCs w:val="1"/>
          <w:i w:val="1"/>
          <w:iCs w:val="1"/>
          <w:color w:val="auto"/>
        </w:rPr>
        <w:t>Series Preferred</w:t>
      </w:r>
      <w:r>
        <w:rPr>
          <w:rFonts w:ascii="Arial" w:cs="Arial" w:eastAsia="Arial" w:hAnsi="Arial"/>
          <w:sz w:val="17"/>
          <w:szCs w:val="17"/>
          <w:color w:val="auto"/>
        </w:rPr>
        <w:t>”) are as follows:</w:t>
      </w:r>
    </w:p>
    <w:p>
      <w:pPr>
        <w:spacing w:after="0" w:line="287" w:lineRule="exact"/>
        <w:rPr>
          <w:sz w:val="20"/>
          <w:szCs w:val="20"/>
          <w:color w:val="auto"/>
        </w:rPr>
      </w:pPr>
    </w:p>
    <w:p>
      <w:pPr>
        <w:ind w:left="1480" w:hanging="567"/>
        <w:spacing w:after="0"/>
        <w:tabs>
          <w:tab w:leader="none" w:pos="14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0" w:firstLine="1492"/>
        <w:spacing w:after="0" w:line="257" w:lineRule="auto"/>
        <w:tabs>
          <w:tab w:leader="none" w:pos="1738"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First, holders of the Series D Preferred, in preference to the holders of the Series C-1 Preferred, Series C Preferred,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D Preferred. Such dividends shall be payable only when, as and if declared by the Board and shall be non-cumulative. Any partial payment pursuant to this Section 1(a) shall be made ratably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among the holders of Series D Preferred in proportion to the payment each such holder would receive if the full amount of such dividends were paid.</w:t>
      </w:r>
    </w:p>
    <w:p>
      <w:pPr>
        <w:spacing w:after="0" w:line="237" w:lineRule="exact"/>
        <w:rPr>
          <w:sz w:val="20"/>
          <w:szCs w:val="20"/>
          <w:color w:val="auto"/>
        </w:rPr>
      </w:pPr>
    </w:p>
    <w:p>
      <w:pPr>
        <w:ind w:right="20" w:firstLine="1492"/>
        <w:spacing w:after="0" w:line="273" w:lineRule="auto"/>
        <w:tabs>
          <w:tab w:leader="none" w:pos="1748"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Second, after payment of any amounts payable pursuant to Section 1(a) above, holders of the Series C-1 Preferred, in preference to the holders of the Series C Preferred,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C-1 Preferred. Such dividends shall be payable only when, as and if declared by the Board and shall be non-cumulative. Any partial payment pursuant to this Section 1(b) shall be made ratably among the holders of Series C-1 Preferred in proportion to the payment each such holder would receive if the full amount of such dividends were paid.</w:t>
      </w:r>
    </w:p>
    <w:p>
      <w:pPr>
        <w:spacing w:after="0" w:line="178" w:lineRule="exact"/>
        <w:rPr>
          <w:rFonts w:ascii="Arial" w:cs="Arial" w:eastAsia="Arial" w:hAnsi="Arial"/>
          <w:sz w:val="17"/>
          <w:szCs w:val="17"/>
          <w:b w:val="1"/>
          <w:bCs w:val="1"/>
          <w:color w:val="auto"/>
        </w:rPr>
      </w:pPr>
    </w:p>
    <w:p>
      <w:pPr>
        <w:ind w:right="20" w:firstLine="1492"/>
        <w:spacing w:after="0" w:line="273" w:lineRule="auto"/>
        <w:tabs>
          <w:tab w:leader="none" w:pos="1728"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After payment of any amounts payable pursuant to Sections 1(a) and 1(b) above, Holders of the Series C Preferred, in preference to the holders of the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C Preferred. Such dividends shall be payable only when, as and if declared by the Board and shall be non-cumulative. Any partial payment pursuant to this Section 1(c) shall be made ratably among the holders of Series C Preferred in proportion to the payment each such holder would receive if the full amount of such dividends were paid.</w:t>
      </w:r>
    </w:p>
    <w:p>
      <w:pPr>
        <w:spacing w:after="0" w:line="178" w:lineRule="exact"/>
        <w:rPr>
          <w:rFonts w:ascii="Arial" w:cs="Arial" w:eastAsia="Arial" w:hAnsi="Arial"/>
          <w:sz w:val="17"/>
          <w:szCs w:val="17"/>
          <w:b w:val="1"/>
          <w:bCs w:val="1"/>
          <w:color w:val="auto"/>
        </w:rPr>
      </w:pPr>
    </w:p>
    <w:p>
      <w:pPr>
        <w:ind w:firstLine="1492"/>
        <w:spacing w:after="0" w:line="255" w:lineRule="auto"/>
        <w:tabs>
          <w:tab w:leader="none" w:pos="1748"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After payment of any amounts payable pursuant to Sections 1(a), 1(b) and 1(c) above, holders of the Series B Preferred, the Series B-1 Preferred and the Series B-2 Preferred, on a pari passu basis and in preference to the holders of Common Stock, shall be entitled to receive, when, as and if declared by the Board, but only out of funds that are legally available therefore, cash dividends at the rate of 8% of the applicable Original Issue Price (as defined below) per annum on each outstanding share of Series B Preferred, Series B-1 Preferred and the Series B-2 Preferred. Such dividends shall be payable only when, as and if declared by the Board and shall be non-cumulative. Any partial payment pursuant to this Section 1(d) shall be made ratably among the holders of the Series B Preferred, the Series B-1 Preferred and the Series B-2 Preferred in proportion to the payment each such holder would receive if the full amount of such dividends were paid.</w:t>
      </w:r>
    </w:p>
    <w:p>
      <w:pPr>
        <w:spacing w:after="0" w:line="189" w:lineRule="exact"/>
        <w:rPr>
          <w:rFonts w:ascii="Arial" w:cs="Arial" w:eastAsia="Arial" w:hAnsi="Arial"/>
          <w:sz w:val="18"/>
          <w:szCs w:val="18"/>
          <w:b w:val="1"/>
          <w:bCs w:val="1"/>
          <w:color w:val="auto"/>
        </w:rPr>
      </w:pPr>
    </w:p>
    <w:p>
      <w:pPr>
        <w:ind w:right="80" w:firstLine="1492"/>
        <w:spacing w:after="0" w:line="259" w:lineRule="auto"/>
        <w:tabs>
          <w:tab w:leader="none" w:pos="1728"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Original Issue Price</w:t>
      </w:r>
      <w:r>
        <w:rPr>
          <w:rFonts w:ascii="Arial" w:cs="Arial" w:eastAsia="Arial" w:hAnsi="Arial"/>
          <w:sz w:val="18"/>
          <w:szCs w:val="18"/>
          <w:color w:val="auto"/>
        </w:rPr>
        <w:t>” of (i) the Series D Preferred shall be $1.06063, (ii) the Series C-1 Preferred shall be $0.65, (iii) the Series C Preferred shall be $0.65, (iv) the Series B Preferred shall be $0.90, (v) the Series B-1 Preferred shall be $0.90, and (vi) the Series B-2 Preferred shall be $1.00 (in each case as adjusted for any stock dividends, combinations, splits, recapitalizations and the like with respect to such shares after the filing date hereof (such date, the “</w:t>
      </w:r>
      <w:r>
        <w:rPr>
          <w:rFonts w:ascii="Arial" w:cs="Arial" w:eastAsia="Arial" w:hAnsi="Arial"/>
          <w:sz w:val="18"/>
          <w:szCs w:val="18"/>
          <w:b w:val="1"/>
          <w:bCs w:val="1"/>
          <w:i w:val="1"/>
          <w:iCs w:val="1"/>
          <w:color w:val="auto"/>
        </w:rPr>
        <w:t>Filing Date</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right="440" w:firstLine="1492"/>
        <w:spacing w:after="0" w:line="308" w:lineRule="auto"/>
        <w:tabs>
          <w:tab w:leader="none" w:pos="1708"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So long as any shares of Series Preferred are outstanding, the Company shall not pay or declare any dividend, whether in cash or property, or make any other distribution on the Common Stock, or purchase, redeem or otherwise acquire for value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15" w:name="page216"/>
    <w:bookmarkEnd w:id="21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until all dividends as set forth in Sections 1(a), 1(b), 1(c) and 1(d) above on the Series Preferred shall have been paid or declared and set apart, except for:</w:t>
      </w:r>
    </w:p>
    <w:p>
      <w:pPr>
        <w:spacing w:after="0" w:line="170" w:lineRule="exact"/>
        <w:rPr>
          <w:sz w:val="20"/>
          <w:szCs w:val="20"/>
          <w:color w:val="auto"/>
        </w:rPr>
      </w:pPr>
    </w:p>
    <w:p>
      <w:pPr>
        <w:ind w:firstLine="1948"/>
        <w:spacing w:after="0" w:line="277" w:lineRule="auto"/>
        <w:tabs>
          <w:tab w:leader="none" w:pos="2155" w:val="left"/>
        </w:tabs>
        <w:numPr>
          <w:ilvl w:val="2"/>
          <w:numId w:val="156"/>
        </w:numPr>
        <w:rPr>
          <w:rFonts w:ascii="Arial" w:cs="Arial" w:eastAsia="Arial" w:hAnsi="Arial"/>
          <w:sz w:val="18"/>
          <w:szCs w:val="18"/>
          <w:b w:val="1"/>
          <w:bCs w:val="1"/>
          <w:color w:val="auto"/>
        </w:rPr>
      </w:pPr>
      <w:r>
        <w:rPr>
          <w:rFonts w:ascii="Arial" w:cs="Arial" w:eastAsia="Arial" w:hAnsi="Arial"/>
          <w:sz w:val="18"/>
          <w:szCs w:val="18"/>
          <w:color w:val="auto"/>
        </w:rPr>
        <w:t>acquisitions of Common Stock by the Company pursuant to agreements which permit the Company to repurchase such shares at cost (or the lesser of cost or fair market value) upon termination of services to the Company;</w:t>
      </w:r>
    </w:p>
    <w:p>
      <w:pPr>
        <w:spacing w:after="0" w:line="170" w:lineRule="exact"/>
        <w:rPr>
          <w:rFonts w:ascii="Arial" w:cs="Arial" w:eastAsia="Arial" w:hAnsi="Arial"/>
          <w:sz w:val="18"/>
          <w:szCs w:val="18"/>
          <w:b w:val="1"/>
          <w:bCs w:val="1"/>
          <w:color w:val="auto"/>
        </w:rPr>
      </w:pPr>
    </w:p>
    <w:p>
      <w:pPr>
        <w:ind w:left="2220" w:hanging="272"/>
        <w:spacing w:after="0"/>
        <w:tabs>
          <w:tab w:leader="none" w:pos="2220" w:val="left"/>
        </w:tabs>
        <w:numPr>
          <w:ilvl w:val="2"/>
          <w:numId w:val="156"/>
        </w:numPr>
        <w:rPr>
          <w:rFonts w:ascii="Arial" w:cs="Arial" w:eastAsia="Arial" w:hAnsi="Arial"/>
          <w:sz w:val="16"/>
          <w:szCs w:val="16"/>
          <w:b w:val="1"/>
          <w:bCs w:val="1"/>
          <w:color w:val="auto"/>
        </w:rPr>
      </w:pPr>
      <w:r>
        <w:rPr>
          <w:rFonts w:ascii="Arial" w:cs="Arial" w:eastAsia="Arial" w:hAnsi="Arial"/>
          <w:sz w:val="16"/>
          <w:szCs w:val="16"/>
          <w:color w:val="auto"/>
        </w:rPr>
        <w:t>acquisitions of Common Stock in exercise of the Company’s right of first refusal to repurchase such shares approved by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Board; or</w:t>
      </w:r>
    </w:p>
    <w:p>
      <w:pPr>
        <w:spacing w:after="0" w:line="210" w:lineRule="exact"/>
        <w:rPr>
          <w:rFonts w:ascii="Arial" w:cs="Arial" w:eastAsia="Arial" w:hAnsi="Arial"/>
          <w:sz w:val="16"/>
          <w:szCs w:val="16"/>
          <w:b w:val="1"/>
          <w:bCs w:val="1"/>
          <w:color w:val="auto"/>
        </w:rPr>
      </w:pPr>
    </w:p>
    <w:p>
      <w:pPr>
        <w:ind w:left="2260" w:hanging="312"/>
        <w:spacing w:after="0"/>
        <w:tabs>
          <w:tab w:leader="none" w:pos="2260" w:val="left"/>
        </w:tabs>
        <w:numPr>
          <w:ilvl w:val="2"/>
          <w:numId w:val="156"/>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in accordance with Sections 3 and 4.</w:t>
      </w:r>
    </w:p>
    <w:p>
      <w:pPr>
        <w:spacing w:after="0" w:line="225" w:lineRule="exact"/>
        <w:rPr>
          <w:rFonts w:ascii="Arial" w:cs="Arial" w:eastAsia="Arial" w:hAnsi="Arial"/>
          <w:sz w:val="18"/>
          <w:szCs w:val="18"/>
          <w:b w:val="1"/>
          <w:bCs w:val="1"/>
          <w:color w:val="auto"/>
        </w:rPr>
      </w:pPr>
    </w:p>
    <w:p>
      <w:pPr>
        <w:ind w:right="380" w:firstLine="1492"/>
        <w:spacing w:after="0" w:line="264" w:lineRule="auto"/>
        <w:tabs>
          <w:tab w:leader="none" w:pos="1738"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In the event dividends are paid on any share of Common Stock, the Company shall pay an additional dividend on all outstanding shares of Series Preferred in a per share amount equal (on an as-if-converted to Common Stock basis) to the amount paid or set aside for each share of Common Stock.</w:t>
      </w:r>
    </w:p>
    <w:p>
      <w:pPr>
        <w:spacing w:after="0" w:line="181" w:lineRule="exact"/>
        <w:rPr>
          <w:rFonts w:ascii="Arial" w:cs="Arial" w:eastAsia="Arial" w:hAnsi="Arial"/>
          <w:sz w:val="18"/>
          <w:szCs w:val="18"/>
          <w:b w:val="1"/>
          <w:bCs w:val="1"/>
          <w:color w:val="auto"/>
        </w:rPr>
      </w:pPr>
    </w:p>
    <w:p>
      <w:pPr>
        <w:ind w:right="300" w:firstLine="1492"/>
        <w:spacing w:after="0" w:line="264" w:lineRule="auto"/>
        <w:tabs>
          <w:tab w:leader="none" w:pos="1748"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The provisions of Sections 1(f) and 1(g) shall not apply to a dividend payable solely in Common Stock to which the provisions of Section 5(f) hereof are applicable, or any repurchase of any outstanding securities of the Company that is approved by (i) the Board and (ii) the Series Preferred as may be required by this Certificate of Incorporation.</w:t>
      </w:r>
    </w:p>
    <w:p>
      <w:pPr>
        <w:spacing w:after="0" w:line="181" w:lineRule="exact"/>
        <w:rPr>
          <w:rFonts w:ascii="Arial" w:cs="Arial" w:eastAsia="Arial" w:hAnsi="Arial"/>
          <w:sz w:val="18"/>
          <w:szCs w:val="18"/>
          <w:b w:val="1"/>
          <w:bCs w:val="1"/>
          <w:color w:val="auto"/>
        </w:rPr>
      </w:pPr>
    </w:p>
    <w:p>
      <w:pPr>
        <w:ind w:right="100" w:firstLine="1492"/>
        <w:spacing w:after="0" w:line="264" w:lineRule="auto"/>
        <w:tabs>
          <w:tab w:leader="none" w:pos="1698"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Distributions on shares junior to the Series Preferred as they relate to repurchases of shares of Common Stock upon termination of employment or service as a consultant or director may be made without regard to any preferential dividends arrears amount or any preferential rights amount (each as determined under applicable law).</w:t>
      </w:r>
    </w:p>
    <w:p>
      <w:pPr>
        <w:spacing w:after="0" w:line="325" w:lineRule="exact"/>
        <w:rPr>
          <w:rFonts w:ascii="Arial" w:cs="Arial" w:eastAsia="Arial" w:hAnsi="Arial"/>
          <w:sz w:val="18"/>
          <w:szCs w:val="18"/>
          <w:b w:val="1"/>
          <w:bCs w:val="1"/>
          <w:color w:val="auto"/>
        </w:rPr>
      </w:pPr>
    </w:p>
    <w:p>
      <w:pPr>
        <w:ind w:left="1480" w:hanging="567"/>
        <w:spacing w:after="0"/>
        <w:tabs>
          <w:tab w:leader="none" w:pos="14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1492"/>
        <w:spacing w:after="0" w:line="274" w:lineRule="auto"/>
        <w:tabs>
          <w:tab w:leader="none" w:pos="1738" w:val="left"/>
        </w:tabs>
        <w:numPr>
          <w:ilvl w:val="1"/>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General Rights</w:t>
      </w:r>
      <w:r>
        <w:rPr>
          <w:rFonts w:ascii="Arial" w:cs="Arial" w:eastAsia="Arial" w:hAnsi="Arial"/>
          <w:sz w:val="17"/>
          <w:szCs w:val="17"/>
          <w:color w:val="auto"/>
        </w:rPr>
        <w:t>. Each holder of shares of the Series Preferred shall be entitled to the number of votes equal to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into which such shares of Series Preferred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173" w:lineRule="exact"/>
        <w:rPr>
          <w:rFonts w:ascii="Arial" w:cs="Arial" w:eastAsia="Arial" w:hAnsi="Arial"/>
          <w:sz w:val="17"/>
          <w:szCs w:val="17"/>
          <w:b w:val="1"/>
          <w:bCs w:val="1"/>
          <w:color w:val="auto"/>
        </w:rPr>
      </w:pPr>
    </w:p>
    <w:p>
      <w:pPr>
        <w:ind w:right="80" w:firstLine="1492"/>
        <w:spacing w:after="0" w:line="303" w:lineRule="auto"/>
        <w:tabs>
          <w:tab w:leader="none" w:pos="1748" w:val="left"/>
        </w:tabs>
        <w:numPr>
          <w:ilvl w:val="1"/>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Separate Vote of Series Preferred</w:t>
      </w:r>
      <w:r>
        <w:rPr>
          <w:rFonts w:ascii="Arial" w:cs="Arial" w:eastAsia="Arial" w:hAnsi="Arial"/>
          <w:sz w:val="16"/>
          <w:szCs w:val="16"/>
          <w:color w:val="auto"/>
        </w:rPr>
        <w:t>. For so long as at least 1,500,000 shares of Series Preferred remain outstanding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for any stock split, reverse stock split or similar event affecting the Series Preferred after the Filing Date), in addition to any other vote or consent required herein or by law, the vote or written consent of the holders of at least a majority of the outstanding Series Preferred, voting together as a single class on an as-if-converted basis, shall be necessary for effecting or validating the following actions (whether by merger, recapitalization or otherwise):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16" w:name="page217"/>
    <w:bookmarkEnd w:id="216"/>
    <w:p>
      <w:pPr>
        <w:ind w:right="60" w:firstLine="1948"/>
        <w:spacing w:after="0" w:line="277" w:lineRule="auto"/>
        <w:tabs>
          <w:tab w:leader="none" w:pos="2155"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alteration, repeal or waiver of any provision of the Certificate of Incorporation or the Bylaws of the Company (including any filing of a Certificate of Designation);</w:t>
      </w:r>
    </w:p>
    <w:p>
      <w:pPr>
        <w:spacing w:after="0" w:line="170"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Common Stock or Preferred Stock;</w:t>
      </w:r>
    </w:p>
    <w:p>
      <w:pPr>
        <w:spacing w:after="0" w:line="225" w:lineRule="exact"/>
        <w:rPr>
          <w:rFonts w:ascii="Arial" w:cs="Arial" w:eastAsia="Arial" w:hAnsi="Arial"/>
          <w:sz w:val="18"/>
          <w:szCs w:val="18"/>
          <w:b w:val="1"/>
          <w:bCs w:val="1"/>
          <w:color w:val="auto"/>
        </w:rPr>
      </w:pPr>
    </w:p>
    <w:p>
      <w:pPr>
        <w:ind w:right="20" w:firstLine="1948"/>
        <w:spacing w:after="0" w:line="286" w:lineRule="auto"/>
        <w:tabs>
          <w:tab w:leader="none" w:pos="2255" w:val="left"/>
        </w:tabs>
        <w:numPr>
          <w:ilvl w:val="1"/>
          <w:numId w:val="159"/>
        </w:numPr>
        <w:rPr>
          <w:rFonts w:ascii="Arial" w:cs="Arial" w:eastAsia="Arial" w:hAnsi="Arial"/>
          <w:sz w:val="17"/>
          <w:szCs w:val="17"/>
          <w:b w:val="1"/>
          <w:bCs w:val="1"/>
          <w:color w:val="auto"/>
        </w:rPr>
      </w:pPr>
      <w:r>
        <w:rPr>
          <w:rFonts w:ascii="Arial" w:cs="Arial" w:eastAsia="Arial" w:hAnsi="Arial"/>
          <w:sz w:val="17"/>
          <w:szCs w:val="17"/>
          <w:color w:val="auto"/>
        </w:rPr>
        <w:t>Any authorization or any designation, whether by reclassification or otherwise, of any new class or series of stock or any other securities convertible into equity securities of the Company ranking on a parity with or senior to the Series Preferred or any series thereof in right of redemption, liquidation preference, voting or dividend rights or any increase in the authorized or designated number of any such new class or series;</w:t>
      </w:r>
    </w:p>
    <w:p>
      <w:pPr>
        <w:spacing w:after="0" w:line="165" w:lineRule="exact"/>
        <w:rPr>
          <w:rFonts w:ascii="Arial" w:cs="Arial" w:eastAsia="Arial" w:hAnsi="Arial"/>
          <w:sz w:val="17"/>
          <w:szCs w:val="17"/>
          <w:b w:val="1"/>
          <w:bCs w:val="1"/>
          <w:color w:val="auto"/>
        </w:rPr>
      </w:pPr>
    </w:p>
    <w:p>
      <w:pPr>
        <w:ind w:right="380" w:firstLine="1948"/>
        <w:spacing w:after="0" w:line="308" w:lineRule="auto"/>
        <w:tabs>
          <w:tab w:leader="none" w:pos="2245" w:val="left"/>
        </w:tabs>
        <w:numPr>
          <w:ilvl w:val="1"/>
          <w:numId w:val="159"/>
        </w:numPr>
        <w:rPr>
          <w:rFonts w:ascii="Arial" w:cs="Arial" w:eastAsia="Arial" w:hAnsi="Arial"/>
          <w:sz w:val="17"/>
          <w:szCs w:val="17"/>
          <w:b w:val="1"/>
          <w:bCs w:val="1"/>
          <w:color w:val="auto"/>
        </w:rPr>
      </w:pPr>
      <w:r>
        <w:rPr>
          <w:rFonts w:ascii="Arial" w:cs="Arial" w:eastAsia="Arial" w:hAnsi="Arial"/>
          <w:sz w:val="17"/>
          <w:szCs w:val="17"/>
          <w:color w:val="auto"/>
        </w:rPr>
        <w:t>Any redemption, repurchase, payment or declaration of dividends or other distributions with respect to Common Stock or Preferred Stock (except for acquisitions of Common Stock by the Company permitted by Section 1(f)(i), (ii) and (iii) hereof;</w:t>
      </w:r>
    </w:p>
    <w:p>
      <w:pPr>
        <w:spacing w:after="0" w:line="146" w:lineRule="exact"/>
        <w:rPr>
          <w:rFonts w:ascii="Arial" w:cs="Arial" w:eastAsia="Arial" w:hAnsi="Arial"/>
          <w:sz w:val="17"/>
          <w:szCs w:val="17"/>
          <w:b w:val="1"/>
          <w:bCs w:val="1"/>
          <w:color w:val="auto"/>
        </w:rPr>
      </w:pPr>
    </w:p>
    <w:p>
      <w:pPr>
        <w:ind w:left="2200" w:hanging="252"/>
        <w:spacing w:after="0"/>
        <w:tabs>
          <w:tab w:leader="none" w:pos="2200"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Any Liquidation Event (as defined in Section 3 hereof); or</w:t>
      </w:r>
    </w:p>
    <w:p>
      <w:pPr>
        <w:spacing w:after="0" w:line="225" w:lineRule="exact"/>
        <w:rPr>
          <w:rFonts w:ascii="Arial" w:cs="Arial" w:eastAsia="Arial" w:hAnsi="Arial"/>
          <w:sz w:val="18"/>
          <w:szCs w:val="18"/>
          <w:b w:val="1"/>
          <w:bCs w:val="1"/>
          <w:color w:val="auto"/>
        </w:rPr>
      </w:pPr>
    </w:p>
    <w:p>
      <w:pPr>
        <w:ind w:left="2300" w:hanging="352"/>
        <w:spacing w:after="0"/>
        <w:tabs>
          <w:tab w:leader="none" w:pos="2300"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Any agreement by the Company or its stockholders regarding an Asset Transfer or Acquisition (each as defined in Section 4</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hereof).</w:t>
      </w:r>
    </w:p>
    <w:p>
      <w:pPr>
        <w:spacing w:after="0" w:line="206" w:lineRule="exact"/>
        <w:rPr>
          <w:rFonts w:ascii="Arial" w:cs="Arial" w:eastAsia="Arial" w:hAnsi="Arial"/>
          <w:sz w:val="16"/>
          <w:szCs w:val="16"/>
          <w:b w:val="1"/>
          <w:bCs w:val="1"/>
          <w:color w:val="auto"/>
        </w:rPr>
      </w:pPr>
    </w:p>
    <w:p>
      <w:pPr>
        <w:ind w:firstLine="1492"/>
        <w:spacing w:after="0" w:line="256" w:lineRule="auto"/>
        <w:tabs>
          <w:tab w:leader="none" w:pos="1728"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B Preferred, Series B-1 Preferred and Series B-2 Preferred</w:t>
      </w:r>
      <w:r>
        <w:rPr>
          <w:rFonts w:ascii="Arial" w:cs="Arial" w:eastAsia="Arial" w:hAnsi="Arial"/>
          <w:sz w:val="18"/>
          <w:szCs w:val="18"/>
          <w:color w:val="auto"/>
        </w:rPr>
        <w:t>. For so long as at least an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3,200,000 shares of Series B Preferred, Series B-1 Preferred and Series B-2 Preferred remain outstanding (subject to adjustment for any stock split, reverse stock split or similar event affecting the Series B Preferred, the Series B-1 Preferred or the Series B-2 Preferred after the Filing Date), in addition to any other vote or consent required herein or by law, the vote or written consent of the holders of at least 55% of the outstanding Series B Preferred, Series B-1 Preferred and Series B-2 Preferred, voting together as a single class on an as-if-converted basis, shall be necessary for effecting or validating the following actions (whether by merger, recapitalization or otherwise):</w:t>
      </w:r>
    </w:p>
    <w:p>
      <w:pPr>
        <w:spacing w:after="0" w:line="191" w:lineRule="exact"/>
        <w:rPr>
          <w:rFonts w:ascii="Arial" w:cs="Arial" w:eastAsia="Arial" w:hAnsi="Arial"/>
          <w:sz w:val="18"/>
          <w:szCs w:val="18"/>
          <w:b w:val="1"/>
          <w:bCs w:val="1"/>
          <w:color w:val="auto"/>
        </w:rPr>
      </w:pPr>
    </w:p>
    <w:p>
      <w:pPr>
        <w:ind w:right="60" w:firstLine="1948"/>
        <w:spacing w:after="0" w:line="259" w:lineRule="auto"/>
        <w:tabs>
          <w:tab w:leader="none" w:pos="2155"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B Preferred, the Series B-1 Preferred or the Series B-2 Preferred in a manner different than any other series of Preferred Stock; or</w:t>
      </w:r>
    </w:p>
    <w:p>
      <w:pPr>
        <w:spacing w:after="0" w:line="186"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60"/>
        </w:numPr>
        <w:rPr>
          <w:rFonts w:ascii="Arial" w:cs="Arial" w:eastAsia="Arial" w:hAnsi="Arial"/>
          <w:sz w:val="17"/>
          <w:szCs w:val="17"/>
          <w:b w:val="1"/>
          <w:bCs w:val="1"/>
          <w:color w:val="auto"/>
        </w:rPr>
      </w:pPr>
      <w:r>
        <w:rPr>
          <w:rFonts w:ascii="Arial" w:cs="Arial" w:eastAsia="Arial" w:hAnsi="Arial"/>
          <w:sz w:val="17"/>
          <w:szCs w:val="17"/>
          <w:color w:val="auto"/>
        </w:rPr>
        <w:t>Any increase or decrease in the authorized number of shares of Series B Preferred, Series B-1 Preferred or Series B-2</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Preferred.</w:t>
      </w:r>
    </w:p>
    <w:p>
      <w:pPr>
        <w:spacing w:after="0" w:line="206" w:lineRule="exact"/>
        <w:rPr>
          <w:rFonts w:ascii="Arial" w:cs="Arial" w:eastAsia="Arial" w:hAnsi="Arial"/>
          <w:sz w:val="17"/>
          <w:szCs w:val="17"/>
          <w:b w:val="1"/>
          <w:bCs w:val="1"/>
          <w:color w:val="auto"/>
        </w:rPr>
      </w:pPr>
    </w:p>
    <w:p>
      <w:pPr>
        <w:ind w:right="520" w:firstLine="1492"/>
        <w:spacing w:after="0" w:line="282" w:lineRule="auto"/>
        <w:tabs>
          <w:tab w:leader="none" w:pos="1748"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B Preferred, Series B-1 Preferred and Series B-2 Preferred</w:t>
      </w:r>
      <w:r>
        <w:rPr>
          <w:rFonts w:ascii="Arial" w:cs="Arial" w:eastAsia="Arial" w:hAnsi="Arial"/>
          <w:sz w:val="18"/>
          <w:szCs w:val="18"/>
          <w:color w:val="auto"/>
        </w:rPr>
        <w:t>. For so long as at least an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3,200,000 shares of Series B Preferred, Series B-1 Preferred and Series B-2 Preferred remain outstanding (subject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17" w:name="page218"/>
    <w:bookmarkEnd w:id="2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for any stock split, reverse stock split or similar event affecting the Series B Preferred, the Series B-1 Preferred or Series B-2 Preferred after the Filing Date), in addition to any other vote or consent required herein or by law, the vote or written consent of the holders of at least 55% of the outstanding Series B Preferred, Series B-1 Preferred and Series B-2 Preferred, voting together as a single class on an as-if-converted basis, shall be necessary for effecting or validating the following actions (whether by merger, recapitalization or otherwise):</w:t>
      </w:r>
    </w:p>
    <w:p>
      <w:pPr>
        <w:spacing w:after="0" w:line="187" w:lineRule="exact"/>
        <w:rPr>
          <w:sz w:val="20"/>
          <w:szCs w:val="20"/>
          <w:color w:val="auto"/>
        </w:rPr>
      </w:pPr>
    </w:p>
    <w:p>
      <w:pPr>
        <w:ind w:left="2160" w:hanging="212"/>
        <w:spacing w:after="0"/>
        <w:tabs>
          <w:tab w:leader="none" w:pos="216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Any Liquidation Event; or</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Any agreement by the Company or its stockholders regarding an Asset Transfer or Acquisition.</w:t>
      </w:r>
    </w:p>
    <w:p>
      <w:pPr>
        <w:spacing w:after="0" w:line="221" w:lineRule="exact"/>
        <w:rPr>
          <w:rFonts w:ascii="Arial" w:cs="Arial" w:eastAsia="Arial" w:hAnsi="Arial"/>
          <w:sz w:val="18"/>
          <w:szCs w:val="18"/>
          <w:b w:val="1"/>
          <w:bCs w:val="1"/>
          <w:color w:val="auto"/>
        </w:rPr>
      </w:pPr>
    </w:p>
    <w:p>
      <w:pPr>
        <w:ind w:right="40" w:firstLine="1492"/>
        <w:spacing w:after="0" w:line="277" w:lineRule="auto"/>
        <w:tabs>
          <w:tab w:leader="none" w:pos="1728"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C-1 Preferred and Series C Preferred</w:t>
      </w:r>
      <w:r>
        <w:rPr>
          <w:rFonts w:ascii="Arial" w:cs="Arial" w:eastAsia="Arial" w:hAnsi="Arial"/>
          <w:sz w:val="17"/>
          <w:szCs w:val="17"/>
          <w:color w:val="auto"/>
        </w:rPr>
        <w:t>. For so long as at least 3,200,000 shares of Series C-1 Preferred and</w:t>
      </w:r>
      <w:r>
        <w:rPr>
          <w:rFonts w:ascii="Arial" w:cs="Arial" w:eastAsia="Arial" w:hAnsi="Arial"/>
          <w:sz w:val="17"/>
          <w:szCs w:val="17"/>
          <w:b w:val="1"/>
          <w:bCs w:val="1"/>
          <w:color w:val="auto"/>
        </w:rPr>
        <w:t xml:space="preserve"> </w:t>
      </w:r>
      <w:r>
        <w:rPr>
          <w:rFonts w:ascii="Arial" w:cs="Arial" w:eastAsia="Arial" w:hAnsi="Arial"/>
          <w:sz w:val="17"/>
          <w:szCs w:val="17"/>
          <w:color w:val="auto"/>
        </w:rPr>
        <w:t>Series C Preferred remain outstanding (subject to adjustment for any stock split, reverse stock split or similar event affecting the Series C-1 Preferred and Series C Preferred after the Filing Date), in addition to any other vote or consent required herein or by law, the vote or written consent of the holders of at least 55% of the outstanding Series C-1 Preferred and Series C Preferred, voting together as a single class on an as-if-converted basis, shall be necessary for effecting or validating the following actions (whether by merger, recapitalization or otherwise):</w:t>
      </w:r>
    </w:p>
    <w:p>
      <w:pPr>
        <w:spacing w:after="0" w:line="172" w:lineRule="exact"/>
        <w:rPr>
          <w:rFonts w:ascii="Arial" w:cs="Arial" w:eastAsia="Arial" w:hAnsi="Arial"/>
          <w:sz w:val="17"/>
          <w:szCs w:val="17"/>
          <w:b w:val="1"/>
          <w:bCs w:val="1"/>
          <w:color w:val="auto"/>
        </w:rPr>
      </w:pPr>
    </w:p>
    <w:p>
      <w:pPr>
        <w:ind w:firstLine="1948"/>
        <w:spacing w:after="0" w:line="259" w:lineRule="auto"/>
        <w:tabs>
          <w:tab w:leader="none" w:pos="2155"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C-1 Preferred or Series C Preferred in a manner different than any other series of Preferred Stock;</w:t>
      </w:r>
    </w:p>
    <w:p>
      <w:pPr>
        <w:spacing w:after="0" w:line="186"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Series C-1 Preferred or Series C Preferred;</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Any Liquidation Event; or</w:t>
      </w:r>
    </w:p>
    <w:p>
      <w:pPr>
        <w:spacing w:after="0" w:line="225" w:lineRule="exact"/>
        <w:rPr>
          <w:rFonts w:ascii="Arial" w:cs="Arial" w:eastAsia="Arial" w:hAnsi="Arial"/>
          <w:sz w:val="18"/>
          <w:szCs w:val="18"/>
          <w:b w:val="1"/>
          <w:bCs w:val="1"/>
          <w:color w:val="auto"/>
        </w:rPr>
      </w:pPr>
    </w:p>
    <w:p>
      <w:pPr>
        <w:ind w:left="2200" w:hanging="252"/>
        <w:spacing w:after="0"/>
        <w:tabs>
          <w:tab w:leader="none" w:pos="220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Any agreement by the Company or its stockholders regarding an Asset Transfer or Acquisition.</w:t>
      </w:r>
    </w:p>
    <w:p>
      <w:pPr>
        <w:spacing w:after="0" w:line="221" w:lineRule="exact"/>
        <w:rPr>
          <w:rFonts w:ascii="Arial" w:cs="Arial" w:eastAsia="Arial" w:hAnsi="Arial"/>
          <w:sz w:val="18"/>
          <w:szCs w:val="18"/>
          <w:b w:val="1"/>
          <w:bCs w:val="1"/>
          <w:color w:val="auto"/>
        </w:rPr>
      </w:pPr>
    </w:p>
    <w:p>
      <w:pPr>
        <w:ind w:right="100" w:firstLine="1492"/>
        <w:spacing w:after="0" w:line="261" w:lineRule="auto"/>
        <w:tabs>
          <w:tab w:leader="none" w:pos="1708"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D Preferred</w:t>
      </w:r>
      <w:r>
        <w:rPr>
          <w:rFonts w:ascii="Arial" w:cs="Arial" w:eastAsia="Arial" w:hAnsi="Arial"/>
          <w:sz w:val="18"/>
          <w:szCs w:val="18"/>
          <w:color w:val="auto"/>
        </w:rPr>
        <w:t>. For so long as any shares of Series D Preferred remain outstanding, in addition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vote or consent required herein or by law, the vote or written consent of the holders of at least a majority of the outstanding Series D Preferred, voting together as a single class on an as-if-converted basis, shall be necessary for effecting or validating the following actions (whether by merger, recapitalization or otherwise):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18" w:name="page219"/>
    <w:bookmarkEnd w:id="218"/>
    <w:p>
      <w:pPr>
        <w:ind w:left="-20" w:firstLine="1948"/>
        <w:spacing w:after="0" w:line="259" w:lineRule="auto"/>
        <w:tabs>
          <w:tab w:leader="none" w:pos="2135"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D Preferred in a manner different than any other series of Preferred Stock; or</w:t>
      </w:r>
    </w:p>
    <w:p>
      <w:pPr>
        <w:spacing w:after="0" w:line="186" w:lineRule="exact"/>
        <w:rPr>
          <w:rFonts w:ascii="Arial" w:cs="Arial" w:eastAsia="Arial" w:hAnsi="Arial"/>
          <w:sz w:val="18"/>
          <w:szCs w:val="18"/>
          <w:b w:val="1"/>
          <w:bCs w:val="1"/>
          <w:color w:val="auto"/>
        </w:rPr>
      </w:pPr>
    </w:p>
    <w:p>
      <w:pPr>
        <w:ind w:left="2200" w:hanging="272"/>
        <w:spacing w:after="0"/>
        <w:tabs>
          <w:tab w:leader="none" w:pos="2200"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Series D Preferred.</w:t>
      </w:r>
    </w:p>
    <w:p>
      <w:pPr>
        <w:spacing w:after="0" w:line="221" w:lineRule="exact"/>
        <w:rPr>
          <w:rFonts w:ascii="Arial" w:cs="Arial" w:eastAsia="Arial" w:hAnsi="Arial"/>
          <w:sz w:val="18"/>
          <w:szCs w:val="18"/>
          <w:b w:val="1"/>
          <w:bCs w:val="1"/>
          <w:color w:val="auto"/>
        </w:rPr>
      </w:pPr>
    </w:p>
    <w:p>
      <w:pPr>
        <w:ind w:left="1720" w:hanging="248"/>
        <w:spacing w:after="0"/>
        <w:tabs>
          <w:tab w:leader="none" w:pos="172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Board of Directors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20" w:right="140" w:firstLine="1948"/>
        <w:spacing w:after="0" w:line="255" w:lineRule="auto"/>
        <w:tabs>
          <w:tab w:leader="none" w:pos="2135"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For so long as at least an aggregate of 3,200,000 shares of Series B Preferred, Series B-1 Preferred and Series B-2 Preferred remain outstanding (subject to adjustment for any stock split, reverse stock split or similar event affecting the Series B Preferred, the Series B-1 Preferred or the Series B-2 Preferred after the Filing Date), the holders of Series B Preferred, Series B-1 Preferred and Series B-2 Preferred, voting together as a single class on an as-if-converted basis, shall be entitled to elect two members of the Board (the “</w:t>
      </w:r>
      <w:r>
        <w:rPr>
          <w:rFonts w:ascii="Arial" w:cs="Arial" w:eastAsia="Arial" w:hAnsi="Arial"/>
          <w:sz w:val="18"/>
          <w:szCs w:val="18"/>
          <w:b w:val="1"/>
          <w:bCs w:val="1"/>
          <w:i w:val="1"/>
          <w:iCs w:val="1"/>
          <w:color w:val="auto"/>
        </w:rPr>
        <w:t>Series B/B-1/B-2 Directors</w:t>
      </w:r>
      <w:r>
        <w:rPr>
          <w:rFonts w:ascii="Arial" w:cs="Arial" w:eastAsia="Arial" w:hAnsi="Arial"/>
          <w:sz w:val="18"/>
          <w:szCs w:val="18"/>
          <w:color w:val="auto"/>
        </w:rPr>
        <w:t>”) at each meeting or pursuant to each consent of the Company’s stockholders for the election of directors, and to remove from office such directors and to fill any vacancy caused by the resignation, death or removal of such directors.</w:t>
      </w:r>
    </w:p>
    <w:p>
      <w:pPr>
        <w:spacing w:after="0" w:line="193" w:lineRule="exact"/>
        <w:rPr>
          <w:rFonts w:ascii="Arial" w:cs="Arial" w:eastAsia="Arial" w:hAnsi="Arial"/>
          <w:sz w:val="18"/>
          <w:szCs w:val="18"/>
          <w:b w:val="1"/>
          <w:bCs w:val="1"/>
          <w:color w:val="auto"/>
        </w:rPr>
      </w:pPr>
    </w:p>
    <w:p>
      <w:pPr>
        <w:ind w:left="-20" w:right="40" w:firstLine="1948"/>
        <w:spacing w:after="0" w:line="264" w:lineRule="auto"/>
        <w:tabs>
          <w:tab w:leader="none" w:pos="2185"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The holders of Common Stock, voting as a separate class, shall be entitled to elect one member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1" w:lineRule="exact"/>
        <w:rPr>
          <w:rFonts w:ascii="Arial" w:cs="Arial" w:eastAsia="Arial" w:hAnsi="Arial"/>
          <w:sz w:val="18"/>
          <w:szCs w:val="18"/>
          <w:b w:val="1"/>
          <w:bCs w:val="1"/>
          <w:color w:val="auto"/>
        </w:rPr>
      </w:pPr>
    </w:p>
    <w:p>
      <w:pPr>
        <w:ind w:left="-20" w:right="140" w:firstLine="1948"/>
        <w:spacing w:after="0" w:line="286" w:lineRule="auto"/>
        <w:tabs>
          <w:tab w:leader="none" w:pos="2235" w:val="left"/>
        </w:tabs>
        <w:numPr>
          <w:ilvl w:val="1"/>
          <w:numId w:val="164"/>
        </w:numPr>
        <w:rPr>
          <w:rFonts w:ascii="Arial" w:cs="Arial" w:eastAsia="Arial" w:hAnsi="Arial"/>
          <w:sz w:val="17"/>
          <w:szCs w:val="17"/>
          <w:b w:val="1"/>
          <w:bCs w:val="1"/>
          <w:color w:val="auto"/>
        </w:rPr>
      </w:pPr>
      <w:r>
        <w:rPr>
          <w:rFonts w:ascii="Arial" w:cs="Arial" w:eastAsia="Arial" w:hAnsi="Arial"/>
          <w:sz w:val="17"/>
          <w:szCs w:val="17"/>
          <w:color w:val="auto"/>
        </w:rPr>
        <w:t>The holders of Common Stock and Series Preferred,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65" w:lineRule="exact"/>
        <w:rPr>
          <w:rFonts w:ascii="Arial" w:cs="Arial" w:eastAsia="Arial" w:hAnsi="Arial"/>
          <w:sz w:val="17"/>
          <w:szCs w:val="17"/>
          <w:b w:val="1"/>
          <w:bCs w:val="1"/>
          <w:color w:val="auto"/>
        </w:rPr>
      </w:pPr>
    </w:p>
    <w:p>
      <w:pPr>
        <w:ind w:left="-20" w:right="40" w:firstLine="1948"/>
        <w:spacing w:after="0" w:line="290" w:lineRule="auto"/>
        <w:tabs>
          <w:tab w:leader="none" w:pos="2225"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No person entitled to vote at an election for directors may cumulate votes to which such person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 s votes. If any stockholder has given proper notice to cumulate votes, all stockholders may cumulate their votes for any candidates who have been properly placed in nomination. Under cumulative voting,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candidates receiving the highest number of votes, up to the number of directors to be elected, are elected.</w:t>
      </w:r>
    </w:p>
    <w:p>
      <w:pPr>
        <w:spacing w:after="0" w:line="225" w:lineRule="exact"/>
        <w:rPr>
          <w:sz w:val="20"/>
          <w:szCs w:val="20"/>
          <w:color w:val="auto"/>
        </w:rPr>
      </w:pPr>
    </w:p>
    <w:p>
      <w:pPr>
        <w:ind w:right="20" w:firstLine="1948"/>
        <w:spacing w:after="0" w:line="255" w:lineRule="auto"/>
        <w:tabs>
          <w:tab w:leader="none" w:pos="2195" w:val="left"/>
        </w:tabs>
        <w:numPr>
          <w:ilvl w:val="2"/>
          <w:numId w:val="165"/>
        </w:numPr>
        <w:rPr>
          <w:rFonts w:ascii="Arial" w:cs="Arial" w:eastAsia="Arial" w:hAnsi="Arial"/>
          <w:sz w:val="18"/>
          <w:szCs w:val="18"/>
          <w:b w:val="1"/>
          <w:bCs w:val="1"/>
          <w:color w:val="auto"/>
        </w:rPr>
      </w:pPr>
      <w:r>
        <w:rPr>
          <w:rFonts w:ascii="Arial" w:cs="Arial" w:eastAsia="Arial" w:hAnsi="Arial"/>
          <w:sz w:val="18"/>
          <w:szCs w:val="18"/>
          <w:color w:val="auto"/>
        </w:rPr>
        <w:t xml:space="preserve">During such time or times that applicable law requires cumulative voting, one or more directors may be removed from office at any time without cause by the affirmative vote of the holders of at least a majority of the outstanding shares entitled to vote for that director as provided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337" w:lineRule="exact"/>
        <w:rPr>
          <w:rFonts w:ascii="Arial" w:cs="Arial" w:eastAsia="Arial" w:hAnsi="Arial"/>
          <w:sz w:val="18"/>
          <w:szCs w:val="18"/>
          <w:b w:val="1"/>
          <w:bCs w:val="1"/>
          <w:color w:val="auto"/>
        </w:rPr>
      </w:pPr>
    </w:p>
    <w:p>
      <w:pPr>
        <w:ind w:left="1480" w:hanging="567"/>
        <w:spacing w:after="0"/>
        <w:tabs>
          <w:tab w:leader="none" w:pos="14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40" w:firstLine="1492"/>
        <w:spacing w:after="0" w:line="264" w:lineRule="auto"/>
        <w:tabs>
          <w:tab w:leader="none" w:pos="1738"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Upon any liquidation, dissolution, or winding up of the Company, whether voluntary or involuntary (a “</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 before any distribution or payment shall be made to the holders of any Common Stock, the Company shall make payment to the holders of Series Preferred as follows:</w:t>
      </w:r>
    </w:p>
    <w:p>
      <w:pPr>
        <w:spacing w:after="0" w:line="181" w:lineRule="exact"/>
        <w:rPr>
          <w:rFonts w:ascii="Arial" w:cs="Arial" w:eastAsia="Arial" w:hAnsi="Arial"/>
          <w:sz w:val="18"/>
          <w:szCs w:val="18"/>
          <w:b w:val="1"/>
          <w:bCs w:val="1"/>
          <w:color w:val="auto"/>
        </w:rPr>
      </w:pPr>
    </w:p>
    <w:p>
      <w:pPr>
        <w:ind w:right="20" w:firstLine="1948"/>
        <w:spacing w:after="0" w:line="255" w:lineRule="auto"/>
        <w:tabs>
          <w:tab w:leader="none" w:pos="2155" w:val="left"/>
        </w:tabs>
        <w:numPr>
          <w:ilvl w:val="2"/>
          <w:numId w:val="166"/>
        </w:numPr>
        <w:rPr>
          <w:rFonts w:ascii="Arial" w:cs="Arial" w:eastAsia="Arial" w:hAnsi="Arial"/>
          <w:sz w:val="18"/>
          <w:szCs w:val="18"/>
          <w:b w:val="1"/>
          <w:bCs w:val="1"/>
          <w:color w:val="auto"/>
        </w:rPr>
      </w:pPr>
      <w:r>
        <w:rPr>
          <w:rFonts w:ascii="Arial" w:cs="Arial" w:eastAsia="Arial" w:hAnsi="Arial"/>
          <w:sz w:val="18"/>
          <w:szCs w:val="18"/>
          <w:color w:val="auto"/>
        </w:rPr>
        <w:t>First, holders of Series D Preferred shall be entitled to be paid out of the assets of the Company legally available for distribution for each share of Series D Preferred held by them, an amount per share of Series D Preferred equal to the Original Issue Price of the Series D Preferred plus all declared and unpaid dividends on the Series D Preferred (the “</w:t>
      </w:r>
      <w:r>
        <w:rPr>
          <w:rFonts w:ascii="Arial" w:cs="Arial" w:eastAsia="Arial" w:hAnsi="Arial"/>
          <w:sz w:val="18"/>
          <w:szCs w:val="18"/>
          <w:b w:val="1"/>
          <w:bCs w:val="1"/>
          <w:i w:val="1"/>
          <w:iCs w:val="1"/>
          <w:color w:val="auto"/>
        </w:rPr>
        <w:t>Series D Liquidation Preference</w:t>
      </w:r>
      <w:r>
        <w:rPr>
          <w:rFonts w:ascii="Arial" w:cs="Arial" w:eastAsia="Arial" w:hAnsi="Arial"/>
          <w:sz w:val="18"/>
          <w:szCs w:val="18"/>
          <w:color w:val="auto"/>
        </w:rPr>
        <w:t>”). If, upon any such Liquidation Event, the assets of the Company shall be insufficient to make payment in full to all holders of Series D Preferred of the Series D Liquidation Preference, then such assets (or consideration) shall be distributed among the holders of Series D Preferred at the time outstanding, ratably in proportion to the full amounts to which they would otherwise be respectively entitled pursuant to this Section 3(a)(i).</w:t>
      </w:r>
    </w:p>
    <w:p>
      <w:pPr>
        <w:spacing w:after="0" w:line="193" w:lineRule="exact"/>
        <w:rPr>
          <w:sz w:val="20"/>
          <w:szCs w:val="20"/>
          <w:color w:val="auto"/>
        </w:rPr>
      </w:pPr>
    </w:p>
    <w:p>
      <w:pPr>
        <w:ind w:firstLine="1948"/>
        <w:spacing w:after="0" w:line="255" w:lineRule="auto"/>
        <w:tabs>
          <w:tab w:leader="none" w:pos="2205"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Second, after payment in full of the Series D Liquidation Preference, holders of Series C-1 Preferred shall be entitled to be paid out of the assets of the Company legally available for distribution for each share of Series C-1 Preferred held by them, an amount per share of Series C-1 Preferred equal to three (3) times the Original Issue Price of the Series C-1 Preferred plus all declared and unpaid dividends on the Series C-1 Preferred (the “</w:t>
      </w:r>
      <w:r>
        <w:rPr>
          <w:rFonts w:ascii="Arial" w:cs="Arial" w:eastAsia="Arial" w:hAnsi="Arial"/>
          <w:sz w:val="18"/>
          <w:szCs w:val="18"/>
          <w:b w:val="1"/>
          <w:bCs w:val="1"/>
          <w:i w:val="1"/>
          <w:iCs w:val="1"/>
          <w:color w:val="auto"/>
        </w:rPr>
        <w:t>Series C-1 Liquidation Preference</w:t>
      </w:r>
      <w:r>
        <w:rPr>
          <w:rFonts w:ascii="Arial" w:cs="Arial" w:eastAsia="Arial" w:hAnsi="Arial"/>
          <w:sz w:val="18"/>
          <w:szCs w:val="18"/>
          <w:color w:val="auto"/>
        </w:rPr>
        <w:t>”). If, upon any such Liquidation Event, the assets of the Company shall be insufficient to make payment in full to all holders of Series C-1 Preferred of the Series C-1 Liquidation Preference, then such assets (or consideration) shall be distributed among the holders of Series C-1 Preferred at the time outstanding, ratably in proportion to the full amounts to which they would otherwise be respectively entitled pursuant to this Section 3(a)(ii).</w:t>
      </w:r>
    </w:p>
    <w:p>
      <w:pPr>
        <w:spacing w:after="0" w:line="189" w:lineRule="exact"/>
        <w:rPr>
          <w:rFonts w:ascii="Arial" w:cs="Arial" w:eastAsia="Arial" w:hAnsi="Arial"/>
          <w:sz w:val="18"/>
          <w:szCs w:val="18"/>
          <w:b w:val="1"/>
          <w:bCs w:val="1"/>
          <w:color w:val="auto"/>
        </w:rPr>
      </w:pPr>
    </w:p>
    <w:p>
      <w:pPr>
        <w:ind w:firstLine="1948"/>
        <w:spacing w:after="0" w:line="312" w:lineRule="auto"/>
        <w:tabs>
          <w:tab w:leader="none" w:pos="2255"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After payment in full of the Series D Liquidation Preference and the Series C-1 Liquidation Preference, the holders of Series C Preferred shall be entitled to be paid out of the assets of the Company legally available for distribution for each share of Series C Preferred held by them, an amount per share of Series C Preferred equal to the Original Issue Price of the Series C Preferred plus all declared and unpaid dividends on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20" w:name="page221"/>
    <w:bookmarkEnd w:id="2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C Preferred (the “</w:t>
      </w:r>
      <w:r>
        <w:rPr>
          <w:rFonts w:ascii="Arial" w:cs="Arial" w:eastAsia="Arial" w:hAnsi="Arial"/>
          <w:sz w:val="18"/>
          <w:szCs w:val="18"/>
          <w:b w:val="1"/>
          <w:bCs w:val="1"/>
          <w:i w:val="1"/>
          <w:iCs w:val="1"/>
          <w:color w:val="auto"/>
        </w:rPr>
        <w:t>Series C Liquidation Preference</w:t>
      </w:r>
      <w:r>
        <w:rPr>
          <w:rFonts w:ascii="Arial" w:cs="Arial" w:eastAsia="Arial" w:hAnsi="Arial"/>
          <w:sz w:val="18"/>
          <w:szCs w:val="18"/>
          <w:color w:val="auto"/>
        </w:rPr>
        <w:t>”). If, upon any such Liquidation Event, the assets of the Company shall be insufficient to make payment in full to all holders of Series C Preferred of the Series C Liquidation Preference, then such assets (or consideration) shall be distributed among the holders of Series C Preferred at the time outstanding, ratably in proportion to the full amounts to which they would otherwise be respectively entitled pursuant to this Section 3(a)(iii).</w:t>
      </w:r>
    </w:p>
    <w:p>
      <w:pPr>
        <w:spacing w:after="0" w:line="187" w:lineRule="exact"/>
        <w:rPr>
          <w:sz w:val="20"/>
          <w:szCs w:val="20"/>
          <w:color w:val="auto"/>
        </w:rPr>
      </w:pPr>
    </w:p>
    <w:p>
      <w:pPr>
        <w:ind w:right="80" w:firstLine="1948"/>
        <w:spacing w:after="0" w:line="268" w:lineRule="auto"/>
        <w:tabs>
          <w:tab w:leader="none" w:pos="2245" w:val="left"/>
        </w:tabs>
        <w:numPr>
          <w:ilvl w:val="1"/>
          <w:numId w:val="168"/>
        </w:numPr>
        <w:rPr>
          <w:rFonts w:ascii="Arial" w:cs="Arial" w:eastAsia="Arial" w:hAnsi="Arial"/>
          <w:sz w:val="17"/>
          <w:szCs w:val="17"/>
          <w:b w:val="1"/>
          <w:bCs w:val="1"/>
          <w:color w:val="auto"/>
        </w:rPr>
      </w:pPr>
      <w:r>
        <w:rPr>
          <w:rFonts w:ascii="Arial" w:cs="Arial" w:eastAsia="Arial" w:hAnsi="Arial"/>
          <w:sz w:val="17"/>
          <w:szCs w:val="17"/>
          <w:color w:val="auto"/>
        </w:rPr>
        <w:t>After payment in full of the Series D Liquidation Preference, Series C-1 Liquidation Preference and the Series C Liquidation Preference, the holders of Series B Preferred, Series B-1 Preferred and Series B-2 Preferred, on a pari passu basis and in preference to holders of Common Stock, shall be entitled to be paid out of the assets of the Company legally available for distribution for each share of Series B Preferred, Series B-1 Preferred or Series B-2 Preferred held by them, an amount per share of Series B Preferred, Series B-1 Preferred or Series B-2 Preferred equal to (i) with respect to the Series B Preferred, the Original Issue Price of the Series B Preferred plus all declared and unpaid dividends on the Series B Preferred (the “</w:t>
      </w:r>
      <w:r>
        <w:rPr>
          <w:rFonts w:ascii="Arial" w:cs="Arial" w:eastAsia="Arial" w:hAnsi="Arial"/>
          <w:sz w:val="17"/>
          <w:szCs w:val="17"/>
          <w:b w:val="1"/>
          <w:bCs w:val="1"/>
          <w:i w:val="1"/>
          <w:i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Liquidation Preference</w:t>
      </w:r>
      <w:r>
        <w:rPr>
          <w:rFonts w:ascii="Arial" w:cs="Arial" w:eastAsia="Arial" w:hAnsi="Arial"/>
          <w:sz w:val="17"/>
          <w:szCs w:val="17"/>
          <w:color w:val="auto"/>
        </w:rPr>
        <w:t>”), (ii) with respect to the Series B-1 Preferred, the Original Issue Price of the Series B-1 Preferred plus all declared and unpaid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dividends on the Series B-1 Preferred (the “</w:t>
      </w:r>
      <w:r>
        <w:rPr>
          <w:rFonts w:ascii="Arial" w:cs="Arial" w:eastAsia="Arial" w:hAnsi="Arial"/>
          <w:sz w:val="17"/>
          <w:szCs w:val="17"/>
          <w:b w:val="1"/>
          <w:bCs w:val="1"/>
          <w:i w:val="1"/>
          <w:iCs w:val="1"/>
          <w:color w:val="auto"/>
        </w:rPr>
        <w:t>Series B-1 Liquidation Preference</w:t>
      </w:r>
      <w:r>
        <w:rPr>
          <w:rFonts w:ascii="Arial" w:cs="Arial" w:eastAsia="Arial" w:hAnsi="Arial"/>
          <w:sz w:val="17"/>
          <w:szCs w:val="17"/>
          <w:color w:val="auto"/>
        </w:rPr>
        <w:t>”) and (iii) with respect to the Series B-2 Preferred, the Original Issue Price of the Series B-2 Preferred plus all declared and unpaid dividends on the Series B-2 Preferred (the “</w:t>
      </w:r>
      <w:r>
        <w:rPr>
          <w:rFonts w:ascii="Arial" w:cs="Arial" w:eastAsia="Arial" w:hAnsi="Arial"/>
          <w:sz w:val="17"/>
          <w:szCs w:val="17"/>
          <w:b w:val="1"/>
          <w:bCs w:val="1"/>
          <w:i w:val="1"/>
          <w:iCs w:val="1"/>
          <w:color w:val="auto"/>
        </w:rPr>
        <w:t>Series B-2 Liquidation Preference</w:t>
      </w:r>
      <w:r>
        <w:rPr>
          <w:rFonts w:ascii="Arial" w:cs="Arial" w:eastAsia="Arial" w:hAnsi="Arial"/>
          <w:sz w:val="17"/>
          <w:szCs w:val="17"/>
          <w:color w:val="auto"/>
        </w:rPr>
        <w:t>”, and together with the Series B Liquidation Preference and the Series B-1 Liquidation Preference, the “</w:t>
      </w:r>
      <w:r>
        <w:rPr>
          <w:rFonts w:ascii="Arial" w:cs="Arial" w:eastAsia="Arial" w:hAnsi="Arial"/>
          <w:sz w:val="17"/>
          <w:szCs w:val="17"/>
          <w:b w:val="1"/>
          <w:bCs w:val="1"/>
          <w:i w:val="1"/>
          <w:iCs w:val="1"/>
          <w:color w:val="auto"/>
        </w:rPr>
        <w:t>Junior Preferred Liquidation Preference</w:t>
      </w:r>
      <w:r>
        <w:rPr>
          <w:rFonts w:ascii="Arial" w:cs="Arial" w:eastAsia="Arial" w:hAnsi="Arial"/>
          <w:sz w:val="17"/>
          <w:szCs w:val="17"/>
          <w:color w:val="auto"/>
        </w:rPr>
        <w:t>”). If, upon any such Liquidation Event and after payment in full of the Series D Liquidation Preference, Series C-1 Liquidation Preference and the Series C Liquidation Preference, the assets of the Company shall be insufficient to make payment in full to all holders of Series B Preferred, Series B-1 Preferred and Series B-2 Preferred of the Junior Preferred Liquidation Preference, then such assets (or consideration) shall be distributed among the holders of Series B Preferred, Series B-1 Preferred and Series B-2 Preferred at the time outstanding, ratably in proportion to the full amounts to which they would otherwise be respectively entitled pursuant to this Section (3)(a)(iv).</w:t>
      </w:r>
    </w:p>
    <w:p>
      <w:pPr>
        <w:spacing w:after="0" w:line="185" w:lineRule="exact"/>
        <w:rPr>
          <w:rFonts w:ascii="Arial" w:cs="Arial" w:eastAsia="Arial" w:hAnsi="Arial"/>
          <w:sz w:val="17"/>
          <w:szCs w:val="17"/>
          <w:b w:val="1"/>
          <w:bCs w:val="1"/>
          <w:color w:val="auto"/>
        </w:rPr>
      </w:pPr>
    </w:p>
    <w:p>
      <w:pPr>
        <w:ind w:right="120" w:firstLine="1492"/>
        <w:spacing w:after="0" w:line="270" w:lineRule="auto"/>
        <w:tabs>
          <w:tab w:leader="none" w:pos="1748"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After payment in full of the Series D Liquidation Preference, Series C-1 Liquidation Preference, the Series C Liquidation Preference and the Junior Preferred Liquidation Preference, the remaining assets of the Company legally available for distribution, if any, shall be distributed ratably to the holders of the Common Stock and the Series D Preferred Stock in proportion to the shares of Common Stock then held by them and the shares of Common Stock to which they have the right to acquire upon conversion of the shares of Series D Preferred Stock held by them; provided, however, that at such time as the distribution of assets of the Company to the holders of Series D Preferred pursuant to Section 3(a) and this Section 3(b) shall equal: (x) 1.5 times the Original Issue Price of the Series D Preferred, plus all declared and unpaid dividends on the Series D Preferred if such Liquidation Event is consummated on or before March 31, 2016 or (y) 2 times the Original Issue Price of the Series D Preferred, plus all declared and unpaid dividends on the Series D Preferred if such Liquidation Event is consummated after March 31, 2016, then the holders of Series D Preferred shall not be entitled to any further distribution pursuant to this Section 3(b) with respect to such shares of Series D Preferred.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21" w:name="page222"/>
    <w:bookmarkEnd w:id="221"/>
    <w:p>
      <w:pPr>
        <w:ind w:right="320" w:firstLine="1492"/>
        <w:spacing w:after="0" w:line="264" w:lineRule="auto"/>
        <w:tabs>
          <w:tab w:leader="none" w:pos="1728" w:val="left"/>
        </w:tabs>
        <w:numPr>
          <w:ilvl w:val="1"/>
          <w:numId w:val="17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payment has been made to the holders of Preferred Stock and Common Stock pursuant to Section 3(a) and Section 3(b), any remaining assets of the Company legally available for distribution to the stockholders of the Company shall be distributed ratably among the holders of Common Stock based on the number of shares of Common Stock held by each.</w:t>
      </w:r>
    </w:p>
    <w:p>
      <w:pPr>
        <w:spacing w:after="0" w:line="181" w:lineRule="exact"/>
        <w:rPr>
          <w:rFonts w:ascii="Arial" w:cs="Arial" w:eastAsia="Arial" w:hAnsi="Arial"/>
          <w:sz w:val="18"/>
          <w:szCs w:val="18"/>
          <w:b w:val="1"/>
          <w:bCs w:val="1"/>
          <w:color w:val="auto"/>
        </w:rPr>
      </w:pPr>
    </w:p>
    <w:p>
      <w:pPr>
        <w:ind w:right="60" w:firstLine="1492"/>
        <w:spacing w:after="0" w:line="272" w:lineRule="auto"/>
        <w:tabs>
          <w:tab w:leader="none" w:pos="1748" w:val="left"/>
        </w:tabs>
        <w:numPr>
          <w:ilvl w:val="1"/>
          <w:numId w:val="170"/>
        </w:numPr>
        <w:rPr>
          <w:rFonts w:ascii="Arial" w:cs="Arial" w:eastAsia="Arial" w:hAnsi="Arial"/>
          <w:sz w:val="17"/>
          <w:szCs w:val="17"/>
          <w:b w:val="1"/>
          <w:bCs w:val="1"/>
          <w:color w:val="auto"/>
        </w:rPr>
      </w:pPr>
      <w:r>
        <w:rPr>
          <w:rFonts w:ascii="Arial" w:cs="Arial" w:eastAsia="Arial" w:hAnsi="Arial"/>
          <w:sz w:val="17"/>
          <w:szCs w:val="17"/>
          <w:color w:val="auto"/>
        </w:rPr>
        <w:t>Shares of Series Preferred shall not be entitled to be converted into shares of Common Stock in order to participate in any distribution, or series of distributions, as shares of Common Stock, without first foregoing participation in the distribution, or series of distributions, as shares of Series Preferred. Notwithstanding the foregoing, in the event of a Liquidation Event, a holder of Series Preferred shall be entitled to receive, for each share of Series Preferred then held, out of the proceeds of such Liquidation Event, the greater of the amount of cash, securities or other property to which such holder would be entitled to receive in a Liquidation Event pursuant to (x) Section 3(a) and Section 3(b) above or (y) the amount of cash, securities or other property to which such holder would be entitled to receive in a Liquidation Event with respect to such shares if such shares had been converted to Common Stock immediately prior to such Liquidation Event.</w:t>
      </w:r>
    </w:p>
    <w:p>
      <w:pPr>
        <w:spacing w:after="0" w:line="322" w:lineRule="exact"/>
        <w:rPr>
          <w:rFonts w:ascii="Arial" w:cs="Arial" w:eastAsia="Arial" w:hAnsi="Arial"/>
          <w:sz w:val="17"/>
          <w:szCs w:val="17"/>
          <w:b w:val="1"/>
          <w:bCs w:val="1"/>
          <w:color w:val="auto"/>
        </w:rPr>
      </w:pPr>
    </w:p>
    <w:p>
      <w:pPr>
        <w:ind w:left="1480" w:hanging="567"/>
        <w:spacing w:after="0"/>
        <w:tabs>
          <w:tab w:leader="none" w:pos="14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SSET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RANSFER OR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1492"/>
        <w:spacing w:after="0" w:line="286" w:lineRule="auto"/>
        <w:tabs>
          <w:tab w:leader="none" w:pos="1738" w:val="left"/>
        </w:tabs>
        <w:numPr>
          <w:ilvl w:val="1"/>
          <w:numId w:val="171"/>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 a party to an Acquisition or Asset Transfer, then each holder of Series Preferred shall be entitled to receive, for each share of Series Preferred then held, out of the proceeds of such Acquisition or Asset Transfer, the amount of cash, securities or other property to which such holder would be entitled to receive in a Liquidation Event pursuant to Section 3(a) and Section 3(b) above.</w:t>
      </w:r>
    </w:p>
    <w:p>
      <w:pPr>
        <w:spacing w:after="0" w:line="165" w:lineRule="exact"/>
        <w:rPr>
          <w:rFonts w:ascii="Arial" w:cs="Arial" w:eastAsia="Arial" w:hAnsi="Arial"/>
          <w:sz w:val="17"/>
          <w:szCs w:val="17"/>
          <w:b w:val="1"/>
          <w:bCs w:val="1"/>
          <w:color w:val="auto"/>
        </w:rPr>
      </w:pPr>
    </w:p>
    <w:p>
      <w:pPr>
        <w:ind w:firstLine="1492"/>
        <w:spacing w:after="0" w:line="270" w:lineRule="auto"/>
        <w:tabs>
          <w:tab w:leader="none" w:pos="1748" w:val="left"/>
        </w:tabs>
        <w:numPr>
          <w:ilvl w:val="1"/>
          <w:numId w:val="171"/>
        </w:numPr>
        <w:rPr>
          <w:rFonts w:ascii="Arial" w:cs="Arial" w:eastAsia="Arial" w:hAnsi="Arial"/>
          <w:sz w:val="17"/>
          <w:szCs w:val="17"/>
          <w:b w:val="1"/>
          <w:bCs w:val="1"/>
          <w:color w:val="auto"/>
        </w:rPr>
      </w:pPr>
      <w:r>
        <w:rPr>
          <w:rFonts w:ascii="Arial" w:cs="Arial" w:eastAsia="Arial" w:hAnsi="Arial"/>
          <w:sz w:val="17"/>
          <w:szCs w:val="17"/>
          <w:color w:val="auto"/>
        </w:rPr>
        <w:t>For the purposes of this Section 4: (i)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7"/>
          <w:szCs w:val="17"/>
          <w:b w:val="1"/>
          <w:bCs w:val="1"/>
          <w:i w:val="1"/>
          <w:iCs w:val="1"/>
          <w:color w:val="auto"/>
        </w:rPr>
        <w:t>Asset Transfer</w:t>
      </w:r>
      <w:r>
        <w:rPr>
          <w:rFonts w:ascii="Arial" w:cs="Arial" w:eastAsia="Arial" w:hAnsi="Arial"/>
          <w:sz w:val="17"/>
          <w:szCs w:val="17"/>
          <w:color w:val="auto"/>
        </w:rPr>
        <w:t>” shall mean a sale of all or substantially all of the assets of the Company or the exclusive license of substantially all of the rights to substantially all of the intellectual property of the Company material to its business.</w:t>
      </w:r>
    </w:p>
    <w:p>
      <w:pPr>
        <w:spacing w:after="0" w:line="181" w:lineRule="exact"/>
        <w:rPr>
          <w:rFonts w:ascii="Arial" w:cs="Arial" w:eastAsia="Arial" w:hAnsi="Arial"/>
          <w:sz w:val="17"/>
          <w:szCs w:val="17"/>
          <w:b w:val="1"/>
          <w:bCs w:val="1"/>
          <w:color w:val="auto"/>
        </w:rPr>
      </w:pPr>
    </w:p>
    <w:p>
      <w:pPr>
        <w:ind w:firstLine="1492"/>
        <w:spacing w:after="0" w:line="277" w:lineRule="auto"/>
        <w:tabs>
          <w:tab w:leader="none" w:pos="1728"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22" w:name="page223"/>
    <w:bookmarkEnd w:id="222"/>
    <w:p>
      <w:pPr>
        <w:ind w:left="1480" w:hanging="567"/>
        <w:spacing w:after="0"/>
        <w:tabs>
          <w:tab w:leader="none" w:pos="14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holders of the Series Preferred shall have the following rights with respect to the conversion of the Series Preferred into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207" w:lineRule="exact"/>
        <w:rPr>
          <w:sz w:val="20"/>
          <w:szCs w:val="20"/>
          <w:color w:val="auto"/>
        </w:rPr>
      </w:pPr>
    </w:p>
    <w:p>
      <w:pPr>
        <w:ind w:firstLine="1492"/>
        <w:spacing w:after="0" w:line="281" w:lineRule="auto"/>
        <w:tabs>
          <w:tab w:leader="none" w:pos="1738"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Optional Conversion</w:t>
      </w:r>
      <w:r>
        <w:rPr>
          <w:rFonts w:ascii="Arial" w:cs="Arial" w:eastAsia="Arial" w:hAnsi="Arial"/>
          <w:sz w:val="17"/>
          <w:szCs w:val="17"/>
          <w:color w:val="auto"/>
        </w:rPr>
        <w:t>. Subject to and in compliance with the provisions of this Section 5, any shares of Series Preferred may,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of the holder, be converted at any time into fully-paid and nonassessable shares of Common Stock. The number of shares of Common Stock to which a holder of Series Preferred shall be entitled upon conversion shall be the product obtained by multiplying the applicable “Series Preferred Conversion Rate” then in effect (determined as provided in Section 5(b)) by the number of shares of Series Preferred being converted.</w:t>
      </w:r>
    </w:p>
    <w:p>
      <w:pPr>
        <w:spacing w:after="0" w:line="164" w:lineRule="exact"/>
        <w:rPr>
          <w:rFonts w:ascii="Arial" w:cs="Arial" w:eastAsia="Arial" w:hAnsi="Arial"/>
          <w:sz w:val="17"/>
          <w:szCs w:val="17"/>
          <w:b w:val="1"/>
          <w:bCs w:val="1"/>
          <w:color w:val="auto"/>
        </w:rPr>
      </w:pPr>
    </w:p>
    <w:p>
      <w:pPr>
        <w:jc w:val="both"/>
        <w:ind w:right="160" w:firstLine="1492"/>
        <w:spacing w:after="0" w:line="266" w:lineRule="auto"/>
        <w:tabs>
          <w:tab w:leader="none" w:pos="1748"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Series Preferred Conversion Rate</w:t>
      </w:r>
      <w:r>
        <w:rPr>
          <w:rFonts w:ascii="Arial" w:cs="Arial" w:eastAsia="Arial" w:hAnsi="Arial"/>
          <w:sz w:val="18"/>
          <w:szCs w:val="18"/>
          <w:color w:val="auto"/>
        </w:rPr>
        <w:t>. The conversion rate in effect at any time for the conversion of the Series Preferred (the “</w:t>
      </w:r>
      <w:r>
        <w:rPr>
          <w:rFonts w:ascii="Arial" w:cs="Arial" w:eastAsia="Arial" w:hAnsi="Arial"/>
          <w:sz w:val="18"/>
          <w:szCs w:val="18"/>
          <w:b w:val="1"/>
          <w:bCs w:val="1"/>
          <w:i w:val="1"/>
          <w:iCs w:val="1"/>
          <w:color w:val="auto"/>
        </w:rPr>
        <w:t>Series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Preferred Conversion Rate</w:t>
      </w:r>
      <w:r>
        <w:rPr>
          <w:rFonts w:ascii="Arial" w:cs="Arial" w:eastAsia="Arial" w:hAnsi="Arial"/>
          <w:sz w:val="18"/>
          <w:szCs w:val="18"/>
          <w:color w:val="auto"/>
        </w:rPr>
        <w:t>”) shall be the quotient obtained by dividing the applicable Original Issue Price of the Series Preferred by the applicable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Conversion Price,” calculated as provided in Section 5(c).</w:t>
      </w:r>
    </w:p>
    <w:p>
      <w:pPr>
        <w:spacing w:after="0" w:line="176" w:lineRule="exact"/>
        <w:rPr>
          <w:rFonts w:ascii="Arial" w:cs="Arial" w:eastAsia="Arial" w:hAnsi="Arial"/>
          <w:sz w:val="18"/>
          <w:szCs w:val="18"/>
          <w:b w:val="1"/>
          <w:bCs w:val="1"/>
          <w:color w:val="auto"/>
        </w:rPr>
      </w:pPr>
    </w:p>
    <w:p>
      <w:pPr>
        <w:ind w:right="20" w:firstLine="1492"/>
        <w:spacing w:after="0" w:line="292" w:lineRule="auto"/>
        <w:tabs>
          <w:tab w:leader="none" w:pos="1728"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Series Preferred Conversion Price</w:t>
      </w:r>
      <w:r>
        <w:rPr>
          <w:rFonts w:ascii="Arial" w:cs="Arial" w:eastAsia="Arial" w:hAnsi="Arial"/>
          <w:sz w:val="16"/>
          <w:szCs w:val="16"/>
          <w:color w:val="auto"/>
        </w:rPr>
        <w:t>. The conversion price of the Series B Preferred shall initially be the Original Issue Price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Preferred; the conversion price of the Series B-1 Preferred shall initially be the Original Issue Price of the Series B-1 Preferred; the conversion price of the Series B-2 Preferred shall initially be the Original Issue Price of the Series B-2 Preferred; the conversion price of the Series C Preferred shall initially be the Original Issue Price of the Series C Preferred; the conversion price of the Series C-1 Preferred shall initially be the Original Issue Price of the Series C-1 Preferred and the conversion price of the Series D Preferred shall initially be the Original Issue Price of the Series D Preferred (each such conversion price, the “</w:t>
      </w:r>
      <w:r>
        <w:rPr>
          <w:rFonts w:ascii="Arial" w:cs="Arial" w:eastAsia="Arial" w:hAnsi="Arial"/>
          <w:sz w:val="16"/>
          <w:szCs w:val="16"/>
          <w:b w:val="1"/>
          <w:bCs w:val="1"/>
          <w:i w:val="1"/>
          <w:iCs w:val="1"/>
          <w:color w:val="auto"/>
        </w:rPr>
        <w:t>Series Preferred Conversion Price</w:t>
      </w:r>
      <w:r>
        <w:rPr>
          <w:rFonts w:ascii="Arial" w:cs="Arial" w:eastAsia="Arial" w:hAnsi="Arial"/>
          <w:sz w:val="16"/>
          <w:szCs w:val="16"/>
          <w:color w:val="auto"/>
        </w:rPr>
        <w:t>”). Such initial Series Preferred Conversion Prices shall be adjusted from time to time in accordance with this Section 5. All references to the Series Preferred Conversion Price herein shall mean the Series Preferred Conversion Price as so adjusted.</w:t>
      </w:r>
    </w:p>
    <w:p>
      <w:pPr>
        <w:spacing w:after="0" w:line="165" w:lineRule="exact"/>
        <w:rPr>
          <w:rFonts w:ascii="Arial" w:cs="Arial" w:eastAsia="Arial" w:hAnsi="Arial"/>
          <w:sz w:val="16"/>
          <w:szCs w:val="16"/>
          <w:b w:val="1"/>
          <w:bCs w:val="1"/>
          <w:color w:val="auto"/>
        </w:rPr>
      </w:pPr>
    </w:p>
    <w:p>
      <w:pPr>
        <w:ind w:right="20" w:firstLine="1492"/>
        <w:spacing w:after="0" w:line="270" w:lineRule="auto"/>
        <w:tabs>
          <w:tab w:leader="none" w:pos="1748"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Mechanics of Conversion</w:t>
      </w:r>
      <w:r>
        <w:rPr>
          <w:rFonts w:ascii="Arial" w:cs="Arial" w:eastAsia="Arial" w:hAnsi="Arial"/>
          <w:sz w:val="17"/>
          <w:szCs w:val="17"/>
          <w:color w:val="auto"/>
        </w:rPr>
        <w:t>. Each holder of Series Preferred who desires to convert the same into shares of Common Stock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Section 5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Series Preferred being converted and (ii) in cash (at the Common Stock’s fair market value determined by the Board as of the date of conversion) the value of any fractional share of Common Stock otherwise issuable to any holder of Series Preferred. Such conversion shall be deemed to have been made at the close of business on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23" w:name="page224"/>
    <w:bookmarkEnd w:id="223"/>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43" w:lineRule="exact"/>
        <w:rPr>
          <w:sz w:val="20"/>
          <w:szCs w:val="20"/>
          <w:color w:val="auto"/>
        </w:rPr>
      </w:pPr>
    </w:p>
    <w:p>
      <w:pPr>
        <w:ind w:firstLine="1492"/>
        <w:spacing w:after="0" w:line="295" w:lineRule="auto"/>
        <w:tabs>
          <w:tab w:leader="none" w:pos="1728"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Stock Splits and Combinations</w:t>
      </w:r>
      <w:r>
        <w:rPr>
          <w:rFonts w:ascii="Arial" w:cs="Arial" w:eastAsia="Arial" w:hAnsi="Arial"/>
          <w:sz w:val="16"/>
          <w:szCs w:val="16"/>
          <w:color w:val="auto"/>
        </w:rPr>
        <w:t>. If at any time or from time to time on or after the Filing Date the Company effects</w:t>
      </w:r>
      <w:r>
        <w:rPr>
          <w:rFonts w:ascii="Arial" w:cs="Arial" w:eastAsia="Arial" w:hAnsi="Arial"/>
          <w:sz w:val="16"/>
          <w:szCs w:val="16"/>
          <w:b w:val="1"/>
          <w:bCs w:val="1"/>
          <w:color w:val="auto"/>
        </w:rPr>
        <w:t xml:space="preserve"> </w:t>
      </w:r>
      <w:r>
        <w:rPr>
          <w:rFonts w:ascii="Arial" w:cs="Arial" w:eastAsia="Arial" w:hAnsi="Arial"/>
          <w:sz w:val="16"/>
          <w:szCs w:val="16"/>
          <w:color w:val="auto"/>
        </w:rPr>
        <w:t>a subdivision of the outstanding Common Stock without a corresponding subdivision of the Series Preferred, the Series Preferred Conversion Price for such series in effect immediately before that subdivision shall be proportionately decreased. Conversely, if at any time or from time to time after the Filing Date the Company combines the outstanding shares of Common Stock into a smaller number of shares without a corresponding combination of the Series Preferred, the Series Preferred Conversion Price for such series in effect immediately before the combination shall be proportionately increased. Any adjustment under this Section 5(e) shall become effective at the close of business on the date the subdivision or combination becomes effective.</w:t>
      </w:r>
    </w:p>
    <w:p>
      <w:pPr>
        <w:spacing w:after="0" w:line="155" w:lineRule="exact"/>
        <w:rPr>
          <w:rFonts w:ascii="Arial" w:cs="Arial" w:eastAsia="Arial" w:hAnsi="Arial"/>
          <w:sz w:val="16"/>
          <w:szCs w:val="16"/>
          <w:b w:val="1"/>
          <w:bCs w:val="1"/>
          <w:color w:val="auto"/>
        </w:rPr>
      </w:pPr>
    </w:p>
    <w:p>
      <w:pPr>
        <w:ind w:right="40" w:firstLine="1492"/>
        <w:spacing w:after="0" w:line="261" w:lineRule="auto"/>
        <w:tabs>
          <w:tab w:leader="none" w:pos="1708"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for Common Stock Dividends and Distributions</w:t>
      </w:r>
      <w:r>
        <w:rPr>
          <w:rFonts w:ascii="Arial" w:cs="Arial" w:eastAsia="Arial" w:hAnsi="Arial"/>
          <w:sz w:val="18"/>
          <w:szCs w:val="18"/>
          <w:color w:val="auto"/>
        </w:rPr>
        <w:t>. If at any time or from time to time on or after the Filing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pays to holders of Common Stock a dividend or other distribution in additional shares of Common Stock without a corresponding dividend or other distribution to holders of Preferred Stock, the Series Preferred Conversion Price for such series then in effect shall be decreased as of the time of such issuance, as provided below:</w:t>
      </w:r>
    </w:p>
    <w:p>
      <w:pPr>
        <w:spacing w:after="0" w:line="184" w:lineRule="exact"/>
        <w:rPr>
          <w:rFonts w:ascii="Arial" w:cs="Arial" w:eastAsia="Arial" w:hAnsi="Arial"/>
          <w:sz w:val="18"/>
          <w:szCs w:val="18"/>
          <w:b w:val="1"/>
          <w:bCs w:val="1"/>
          <w:color w:val="auto"/>
        </w:rPr>
      </w:pPr>
    </w:p>
    <w:p>
      <w:pPr>
        <w:ind w:right="40" w:firstLine="1948"/>
        <w:spacing w:after="0" w:line="277" w:lineRule="auto"/>
        <w:tabs>
          <w:tab w:leader="none" w:pos="2155"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The Series Preferred Conversion Price for such series shall be adjusted by multiplying the Series Preferred Conversion Price for such series then in effect by a fraction equal to:</w:t>
      </w:r>
    </w:p>
    <w:p>
      <w:pPr>
        <w:spacing w:after="0" w:line="170" w:lineRule="exact"/>
        <w:rPr>
          <w:rFonts w:ascii="Arial" w:cs="Arial" w:eastAsia="Arial" w:hAnsi="Arial"/>
          <w:sz w:val="18"/>
          <w:szCs w:val="18"/>
          <w:b w:val="1"/>
          <w:bCs w:val="1"/>
          <w:color w:val="auto"/>
        </w:rPr>
      </w:pPr>
    </w:p>
    <w:p>
      <w:pPr>
        <w:ind w:left="2700" w:hanging="296"/>
        <w:spacing w:after="0"/>
        <w:tabs>
          <w:tab w:leader="none" w:pos="2700" w:val="left"/>
        </w:tabs>
        <w:numPr>
          <w:ilvl w:val="2"/>
          <w:numId w:val="174"/>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time of such issuance, and</w:t>
      </w:r>
    </w:p>
    <w:p>
      <w:pPr>
        <w:spacing w:after="0" w:line="210" w:lineRule="exact"/>
        <w:rPr>
          <w:rFonts w:ascii="Arial" w:cs="Arial" w:eastAsia="Arial" w:hAnsi="Arial"/>
          <w:sz w:val="16"/>
          <w:szCs w:val="16"/>
          <w:b w:val="1"/>
          <w:bCs w:val="1"/>
          <w:color w:val="auto"/>
        </w:rPr>
      </w:pPr>
    </w:p>
    <w:p>
      <w:pPr>
        <w:ind w:right="220" w:firstLine="2404"/>
        <w:spacing w:after="0" w:line="308" w:lineRule="auto"/>
        <w:tabs>
          <w:tab w:leader="none" w:pos="2681" w:val="left"/>
        </w:tabs>
        <w:numPr>
          <w:ilvl w:val="2"/>
          <w:numId w:val="174"/>
        </w:numPr>
        <w:rPr>
          <w:rFonts w:ascii="Arial" w:cs="Arial" w:eastAsia="Arial" w:hAnsi="Arial"/>
          <w:sz w:val="17"/>
          <w:szCs w:val="17"/>
          <w:b w:val="1"/>
          <w:bCs w:val="1"/>
          <w:color w:val="auto"/>
        </w:rPr>
      </w:pPr>
      <w:r>
        <w:rPr>
          <w:rFonts w:ascii="Arial" w:cs="Arial" w:eastAsia="Arial" w:hAnsi="Arial"/>
          <w:sz w:val="17"/>
          <w:szCs w:val="17"/>
          <w:color w:val="auto"/>
        </w:rPr>
        <w:t>the denominator of which is the total number of shares of Common Stock issued and outstanding immediately prior to the time of such issuance plus the number of shares of Common Stock issuable in payment of such dividend or distribution;</w:t>
      </w:r>
    </w:p>
    <w:p>
      <w:pPr>
        <w:spacing w:after="0" w:line="146" w:lineRule="exact"/>
        <w:rPr>
          <w:rFonts w:ascii="Arial" w:cs="Arial" w:eastAsia="Arial" w:hAnsi="Arial"/>
          <w:sz w:val="17"/>
          <w:szCs w:val="17"/>
          <w:b w:val="1"/>
          <w:bCs w:val="1"/>
          <w:color w:val="auto"/>
        </w:rPr>
      </w:pPr>
    </w:p>
    <w:p>
      <w:pPr>
        <w:ind w:right="80" w:firstLine="1948"/>
        <w:spacing w:after="0" w:line="286" w:lineRule="auto"/>
        <w:tabs>
          <w:tab w:leader="none" w:pos="2205" w:val="left"/>
        </w:tabs>
        <w:numPr>
          <w:ilvl w:val="1"/>
          <w:numId w:val="174"/>
        </w:numPr>
        <w:rPr>
          <w:rFonts w:ascii="Arial" w:cs="Arial" w:eastAsia="Arial" w:hAnsi="Arial"/>
          <w:sz w:val="17"/>
          <w:szCs w:val="17"/>
          <w:b w:val="1"/>
          <w:bCs w:val="1"/>
          <w:color w:val="auto"/>
        </w:rPr>
      </w:pPr>
      <w:r>
        <w:rPr>
          <w:rFonts w:ascii="Arial" w:cs="Arial" w:eastAsia="Arial" w:hAnsi="Arial"/>
          <w:sz w:val="17"/>
          <w:szCs w:val="17"/>
          <w:color w:val="auto"/>
        </w:rPr>
        <w:t>If the Company fixes a record date to determine which holders of Common Stock are entitled to receive such dividend or other distribution, the Series Preferred Conversion Price for each series of Series Preferred shall be fixed as of the close of business on such record date and the number of shares of Common Stock shall be calculated immediately prior to the close of business on such record date; and</w:t>
      </w:r>
    </w:p>
    <w:p>
      <w:pPr>
        <w:spacing w:after="0" w:line="165" w:lineRule="exact"/>
        <w:rPr>
          <w:rFonts w:ascii="Arial" w:cs="Arial" w:eastAsia="Arial" w:hAnsi="Arial"/>
          <w:sz w:val="17"/>
          <w:szCs w:val="17"/>
          <w:b w:val="1"/>
          <w:bCs w:val="1"/>
          <w:color w:val="auto"/>
        </w:rPr>
      </w:pPr>
    </w:p>
    <w:p>
      <w:pPr>
        <w:ind w:right="120" w:firstLine="1948"/>
        <w:spacing w:after="0" w:line="259" w:lineRule="auto"/>
        <w:tabs>
          <w:tab w:leader="none" w:pos="2255"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If such record date is fixed and such dividend is not fully paid or if such distribution is not fully made on the date fixed therefor, the Series Preferred Conversion Price for each series of Series Preferred shall be recomputed accordingly as of the close of business on such record date and thereafter the Series Preferred Conversion Price for each series of Series Preferred shall be adjusted pursuant to this Section 5(f) to reflect the actual payment of such dividend or distribution.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24" w:name="page225"/>
    <w:bookmarkEnd w:id="224"/>
    <w:p>
      <w:pPr>
        <w:ind w:firstLine="1492"/>
        <w:spacing w:after="0" w:line="269" w:lineRule="auto"/>
        <w:tabs>
          <w:tab w:leader="none" w:pos="1738"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 for Reclassification, Exchange, Substitution, Reorganization, Merger or Consolidation</w:t>
      </w:r>
      <w:r>
        <w:rPr>
          <w:rFonts w:ascii="Arial" w:cs="Arial" w:eastAsia="Arial" w:hAnsi="Arial"/>
          <w:sz w:val="17"/>
          <w:szCs w:val="17"/>
          <w:color w:val="auto"/>
        </w:rPr>
        <w:t>. If at any time on or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Filing Date the Common Stock issuable upon the conversion of a series of the Series Preferred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such series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with respect to the rights of the holders of such series of Series Preferred after the capital reorganization to the end that the provisions of this Section 5 (including adjustment of the Series Preferred Conversion Price for such series of Series Preferred then in effect and the number of shares issuable upon conversion of such series of Series Preferred) shall be applicable after that event and be as nearly equivalent as practicable.</w:t>
      </w:r>
    </w:p>
    <w:p>
      <w:pPr>
        <w:spacing w:after="0" w:line="179" w:lineRule="exact"/>
        <w:rPr>
          <w:rFonts w:ascii="Arial" w:cs="Arial" w:eastAsia="Arial" w:hAnsi="Arial"/>
          <w:sz w:val="17"/>
          <w:szCs w:val="17"/>
          <w:b w:val="1"/>
          <w:bCs w:val="1"/>
          <w:color w:val="auto"/>
        </w:rPr>
      </w:pPr>
    </w:p>
    <w:p>
      <w:pPr>
        <w:ind w:left="1760" w:hanging="268"/>
        <w:spacing w:after="0"/>
        <w:tabs>
          <w:tab w:leader="none" w:pos="17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Series Preferred Conversion Price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948"/>
        <w:spacing w:after="0" w:line="255" w:lineRule="auto"/>
        <w:tabs>
          <w:tab w:leader="none" w:pos="2155"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after the Filing Date, the Company issues or sells, or is deemed by the express provisions of this Section 5(h) to have issued or sold, Additional Shares of Common Stock, other than as provided in Section 5(e), 5(f) or 5(g) above, for an Effective Price less than the then-effective Series Preferred Conversion Price for the Series D Preferred, Series C-1 Preferred, Series C Preferred, Series B Preferred and Series B-1 Preferred, as applicable (a “</w:t>
      </w:r>
      <w:r>
        <w:rPr>
          <w:rFonts w:ascii="Arial" w:cs="Arial" w:eastAsia="Arial" w:hAnsi="Arial"/>
          <w:sz w:val="18"/>
          <w:szCs w:val="18"/>
          <w:b w:val="1"/>
          <w:bCs w:val="1"/>
          <w:i w:val="1"/>
          <w:iCs w:val="1"/>
          <w:color w:val="auto"/>
        </w:rPr>
        <w:t>Qualifying Dilutive Issuance</w:t>
      </w:r>
      <w:r>
        <w:rPr>
          <w:rFonts w:ascii="Arial" w:cs="Arial" w:eastAsia="Arial" w:hAnsi="Arial"/>
          <w:sz w:val="18"/>
          <w:szCs w:val="18"/>
          <w:color w:val="auto"/>
        </w:rPr>
        <w:t>”), then and in each such case, the then-existing Series Preferred Conversion Price (other than the Conversion Price of the Series B-2 Preferred) for such series of Series Preferred shall be reduced, as of the opening of business on the date of such issue or sale, to a price determined by multiplying the Series Preferred Conversion Price for such series in effect immediately prior to such issuance or sale by a fraction equal to:</w:t>
      </w:r>
    </w:p>
    <w:p>
      <w:pPr>
        <w:spacing w:after="0" w:line="189" w:lineRule="exact"/>
        <w:rPr>
          <w:rFonts w:ascii="Arial" w:cs="Arial" w:eastAsia="Arial" w:hAnsi="Arial"/>
          <w:sz w:val="18"/>
          <w:szCs w:val="18"/>
          <w:b w:val="1"/>
          <w:bCs w:val="1"/>
          <w:color w:val="auto"/>
        </w:rPr>
      </w:pPr>
    </w:p>
    <w:p>
      <w:pPr>
        <w:ind w:right="40" w:firstLine="2404"/>
        <w:spacing w:after="0" w:line="259" w:lineRule="auto"/>
        <w:tabs>
          <w:tab w:leader="none" w:pos="2691" w:val="left"/>
        </w:tabs>
        <w:numPr>
          <w:ilvl w:val="2"/>
          <w:numId w:val="175"/>
        </w:numPr>
        <w:rPr>
          <w:rFonts w:ascii="Arial" w:cs="Arial" w:eastAsia="Arial" w:hAnsi="Arial"/>
          <w:sz w:val="18"/>
          <w:szCs w:val="18"/>
          <w:b w:val="1"/>
          <w:bCs w:val="1"/>
          <w:color w:val="auto"/>
        </w:rPr>
      </w:pPr>
      <w:r>
        <w:rPr>
          <w:rFonts w:ascii="Arial" w:cs="Arial" w:eastAsia="Arial" w:hAnsi="Arial"/>
          <w:sz w:val="18"/>
          <w:szCs w:val="18"/>
          <w:color w:val="auto"/>
        </w:rPr>
        <w:t>the numerator of which shall be (A) the number of shares of Common Stock deemed outstanding (as determined below) immediately prior to such issue or sale, plus (B) the number of shares of Common Stock which the Aggregate Consideration (as defined below) received or deemed received by the Company for the total number of Additional Shares of Common Stock so issued would purchase at such then-existing Series Preferred Conversion Price, and</w:t>
      </w:r>
    </w:p>
    <w:p>
      <w:pPr>
        <w:spacing w:after="0" w:line="186" w:lineRule="exact"/>
        <w:rPr>
          <w:rFonts w:ascii="Arial" w:cs="Arial" w:eastAsia="Arial" w:hAnsi="Arial"/>
          <w:sz w:val="18"/>
          <w:szCs w:val="18"/>
          <w:b w:val="1"/>
          <w:bCs w:val="1"/>
          <w:color w:val="auto"/>
        </w:rPr>
      </w:pPr>
    </w:p>
    <w:p>
      <w:pPr>
        <w:ind w:right="180" w:firstLine="2404"/>
        <w:spacing w:after="0" w:line="277" w:lineRule="auto"/>
        <w:tabs>
          <w:tab w:leader="none" w:pos="2681" w:val="left"/>
        </w:tabs>
        <w:numPr>
          <w:ilvl w:val="2"/>
          <w:numId w:val="175"/>
        </w:numPr>
        <w:rPr>
          <w:rFonts w:ascii="Arial" w:cs="Arial" w:eastAsia="Arial" w:hAnsi="Arial"/>
          <w:sz w:val="18"/>
          <w:szCs w:val="18"/>
          <w:b w:val="1"/>
          <w:bCs w:val="1"/>
          <w:color w:val="auto"/>
        </w:rPr>
      </w:pPr>
      <w:r>
        <w:rPr>
          <w:rFonts w:ascii="Arial" w:cs="Arial" w:eastAsia="Arial" w:hAnsi="Arial"/>
          <w:sz w:val="18"/>
          <w:szCs w:val="18"/>
          <w:color w:val="auto"/>
        </w:rPr>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the purposes of the preceding sentence, the number of shares of Common Stock deemed to be outstanding as of a given date shall be the sum of (A) the number of shares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225" w:name="page226"/>
    <w:bookmarkEnd w:id="225"/>
    <w:p>
      <w:pPr>
        <w:jc w:val="both"/>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outstanding, (B) the number of shares of Common Stock into which the then outstanding shares of Series Preferred could be converted if fully converted on the day immediately preceding the given date, and (C) the number of shares of Common Stock which are issuable upon the exercise or conversion of all other rights, options and convertible securities outstanding on the day immediately preceding the given date.</w:t>
      </w:r>
    </w:p>
    <w:p>
      <w:pPr>
        <w:spacing w:after="0" w:line="166" w:lineRule="exact"/>
        <w:rPr>
          <w:sz w:val="20"/>
          <w:szCs w:val="20"/>
          <w:color w:val="auto"/>
        </w:rPr>
      </w:pPr>
    </w:p>
    <w:p>
      <w:pPr>
        <w:ind w:right="120" w:firstLine="1948"/>
        <w:spacing w:after="0" w:line="257" w:lineRule="auto"/>
        <w:tabs>
          <w:tab w:leader="none" w:pos="2205"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the Series Preferred Conversion Price for any series of Series Preferred in an amount less than $0.01 per share. Any adjustment required by this Section 5(h) shall be rounded to the nearest $0.01 per share. Any adjustment otherwise required by this Section 5(h) that is not required to be made due to the preceding two sentences shall be included in any subsequent adjustment to the Series Preferred Conversion Price for such series of Series Preferred. Further, no adjustment shall be made to the Series B-2 Preferred Conversion Price pursuant to this Section 5(h).</w:t>
      </w:r>
    </w:p>
    <w:p>
      <w:pPr>
        <w:spacing w:after="0" w:line="188" w:lineRule="exact"/>
        <w:rPr>
          <w:rFonts w:ascii="Arial" w:cs="Arial" w:eastAsia="Arial" w:hAnsi="Arial"/>
          <w:sz w:val="18"/>
          <w:szCs w:val="18"/>
          <w:b w:val="1"/>
          <w:bCs w:val="1"/>
          <w:color w:val="auto"/>
        </w:rPr>
      </w:pPr>
    </w:p>
    <w:p>
      <w:pPr>
        <w:ind w:firstLine="1948"/>
        <w:spacing w:after="0" w:line="270" w:lineRule="auto"/>
        <w:tabs>
          <w:tab w:leader="none" w:pos="2255" w:val="left"/>
        </w:tabs>
        <w:numPr>
          <w:ilvl w:val="0"/>
          <w:numId w:val="176"/>
        </w:numPr>
        <w:rPr>
          <w:rFonts w:ascii="Arial" w:cs="Arial" w:eastAsia="Arial" w:hAnsi="Arial"/>
          <w:sz w:val="17"/>
          <w:szCs w:val="17"/>
          <w:b w:val="1"/>
          <w:bCs w:val="1"/>
          <w:color w:val="auto"/>
        </w:rPr>
      </w:pPr>
      <w:r>
        <w:rPr>
          <w:rFonts w:ascii="Arial" w:cs="Arial" w:eastAsia="Arial" w:hAnsi="Arial"/>
          <w:sz w:val="17"/>
          <w:szCs w:val="17"/>
          <w:color w:val="auto"/>
        </w:rPr>
        <w:t>For the purpose of making any adjustment required under this Section 5(h),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be computed at the fair market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to be allocable to such Additional Shares of Common Stock, Convertible Securities or rights or options.</w:t>
      </w:r>
    </w:p>
    <w:p>
      <w:pPr>
        <w:spacing w:after="0" w:line="181" w:lineRule="exact"/>
        <w:rPr>
          <w:rFonts w:ascii="Arial" w:cs="Arial" w:eastAsia="Arial" w:hAnsi="Arial"/>
          <w:sz w:val="17"/>
          <w:szCs w:val="17"/>
          <w:b w:val="1"/>
          <w:bCs w:val="1"/>
          <w:color w:val="auto"/>
        </w:rPr>
      </w:pPr>
    </w:p>
    <w:p>
      <w:pPr>
        <w:ind w:right="20" w:firstLine="1948"/>
        <w:spacing w:after="0" w:line="290" w:lineRule="auto"/>
        <w:tabs>
          <w:tab w:leader="none" w:pos="2245"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t>For the purpose of the adjustment required under this Section 5(h), if the Company issues or sells (x) Preferred Stock or other stock, options, warrants, purchase rights or other securities exercisable for or convertible into, Additional Shares of Common Stock (such convertible stock or securities being herein referred to as “</w:t>
      </w:r>
      <w:r>
        <w:rPr>
          <w:rFonts w:ascii="Arial" w:cs="Arial" w:eastAsia="Arial" w:hAnsi="Arial"/>
          <w:sz w:val="16"/>
          <w:szCs w:val="16"/>
          <w:b w:val="1"/>
          <w:bCs w:val="1"/>
          <w:i w:val="1"/>
          <w:iCs w:val="1"/>
          <w:color w:val="auto"/>
        </w:rPr>
        <w:t>Convertible Securities</w:t>
      </w:r>
      <w:r>
        <w:rPr>
          <w:rFonts w:ascii="Arial" w:cs="Arial" w:eastAsia="Arial" w:hAnsi="Arial"/>
          <w:sz w:val="16"/>
          <w:szCs w:val="16"/>
          <w:color w:val="auto"/>
        </w:rPr>
        <w:t>”) or (y) rights or options for the purchase of Additional Shares of Common Stock or Convertible Securities and if the Effective Price of such Additional Shares of Common Stock is less than the Series Preferred Conversion Price for the Series D Preferred, Series C-1 Preferred, Series C Preferred, Series B Preferred or Series B-1 Preferred,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66" w:lineRule="exact"/>
        <w:rPr>
          <w:sz w:val="20"/>
          <w:szCs w:val="20"/>
          <w:color w:val="auto"/>
        </w:rPr>
      </w:pPr>
    </w:p>
    <w:p>
      <w:pPr>
        <w:ind w:right="240" w:firstLine="2404"/>
        <w:spacing w:after="0" w:line="277" w:lineRule="auto"/>
        <w:tabs>
          <w:tab w:leader="none" w:pos="2691"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in the case of such rights or options, the minimum amounts of consideration, if any, payable to the Company upon the exercise of such rights or options;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26" w:name="page227"/>
    <w:bookmarkEnd w:id="226"/>
    <w:p>
      <w:pPr>
        <w:ind w:firstLine="2404"/>
        <w:spacing w:after="0" w:line="259" w:lineRule="auto"/>
        <w:tabs>
          <w:tab w:leader="none" w:pos="2681"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86" w:lineRule="exact"/>
        <w:rPr>
          <w:rFonts w:ascii="Arial" w:cs="Arial" w:eastAsia="Arial" w:hAnsi="Arial"/>
          <w:sz w:val="18"/>
          <w:szCs w:val="18"/>
          <w:b w:val="1"/>
          <w:bCs w:val="1"/>
          <w:color w:val="auto"/>
        </w:rPr>
      </w:pPr>
    </w:p>
    <w:p>
      <w:pPr>
        <w:ind w:right="20" w:firstLine="2404"/>
        <w:spacing w:after="0" w:line="255" w:lineRule="auto"/>
        <w:tabs>
          <w:tab w:leader="none" w:pos="2691"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93" w:lineRule="exact"/>
        <w:rPr>
          <w:rFonts w:ascii="Arial" w:cs="Arial" w:eastAsia="Arial" w:hAnsi="Arial"/>
          <w:sz w:val="18"/>
          <w:szCs w:val="18"/>
          <w:b w:val="1"/>
          <w:bCs w:val="1"/>
          <w:color w:val="auto"/>
        </w:rPr>
      </w:pPr>
    </w:p>
    <w:p>
      <w:pPr>
        <w:ind w:right="20" w:firstLine="2404"/>
        <w:spacing w:after="0" w:line="269" w:lineRule="auto"/>
        <w:tabs>
          <w:tab w:leader="none" w:pos="2691" w:val="left"/>
        </w:tabs>
        <w:numPr>
          <w:ilvl w:val="1"/>
          <w:numId w:val="178"/>
        </w:numPr>
        <w:rPr>
          <w:rFonts w:ascii="Arial" w:cs="Arial" w:eastAsia="Arial" w:hAnsi="Arial"/>
          <w:sz w:val="17"/>
          <w:szCs w:val="17"/>
          <w:b w:val="1"/>
          <w:bCs w:val="1"/>
          <w:color w:val="auto"/>
        </w:rPr>
      </w:pPr>
      <w:r>
        <w:rPr>
          <w:rFonts w:ascii="Arial" w:cs="Arial" w:eastAsia="Arial" w:hAnsi="Arial"/>
          <w:sz w:val="17"/>
          <w:szCs w:val="17"/>
          <w:color w:val="auto"/>
        </w:rPr>
        <w:t>No further adjustment of the Series Preferred Conversion Price for a series of Series Preferred,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Series Preferred Conversion Price for such series as adjusted upon the issuance of such rights, options or Convertible Securities shall be readjusted to the Series Preferred Conversion Price for such series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provided that such readjustment shall not apply to prior conversions of Series Preferred.</w:t>
      </w:r>
    </w:p>
    <w:p>
      <w:pPr>
        <w:spacing w:after="0" w:line="179" w:lineRule="exact"/>
        <w:rPr>
          <w:rFonts w:ascii="Arial" w:cs="Arial" w:eastAsia="Arial" w:hAnsi="Arial"/>
          <w:sz w:val="17"/>
          <w:szCs w:val="17"/>
          <w:b w:val="1"/>
          <w:bCs w:val="1"/>
          <w:color w:val="auto"/>
        </w:rPr>
      </w:pPr>
    </w:p>
    <w:p>
      <w:pPr>
        <w:ind w:left="2200" w:hanging="252"/>
        <w:spacing w:after="0"/>
        <w:tabs>
          <w:tab w:leader="none" w:pos="2200"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For the purpose of making any adjustment to the Conversion Price of the Series Preferred required under this Section 5(h).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Shares of Common Stock</w:t>
      </w:r>
      <w:r>
        <w:rPr>
          <w:rFonts w:ascii="Arial" w:cs="Arial" w:eastAsia="Arial" w:hAnsi="Arial"/>
          <w:sz w:val="16"/>
          <w:szCs w:val="16"/>
          <w:color w:val="auto"/>
        </w:rPr>
        <w:t>” shall mean all shares of Common Stock issued by the Company or deemed to be issued pursuant to this Section 5(h)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shares of Common Stock subsequently reacquired or retired by the Company), other than:</w:t>
      </w:r>
    </w:p>
    <w:p>
      <w:pPr>
        <w:spacing w:after="0" w:line="211" w:lineRule="exact"/>
        <w:rPr>
          <w:sz w:val="20"/>
          <w:szCs w:val="20"/>
          <w:color w:val="auto"/>
        </w:rPr>
      </w:pPr>
    </w:p>
    <w:p>
      <w:pPr>
        <w:ind w:left="5620" w:right="3460" w:hanging="3216"/>
        <w:spacing w:after="0" w:line="449" w:lineRule="auto"/>
        <w:tabs>
          <w:tab w:leader="none" w:pos="2695"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Series Preferred; 15</w:t>
      </w:r>
    </w:p>
    <w:p>
      <w:pPr>
        <w:sectPr>
          <w:pgSz w:w="11900" w:h="16838" w:orient="portrait"/>
          <w:cols w:equalWidth="0" w:num="1">
            <w:col w:w="11420"/>
          </w:cols>
          <w:pgMar w:left="240" w:top="274" w:right="239" w:bottom="1440" w:gutter="0" w:footer="0" w:header="0"/>
        </w:sectPr>
      </w:pPr>
    </w:p>
    <w:bookmarkStart w:id="227" w:name="page228"/>
    <w:bookmarkEnd w:id="227"/>
    <w:p>
      <w:pPr>
        <w:ind w:left="2680" w:hanging="276"/>
        <w:spacing w:after="0"/>
        <w:tabs>
          <w:tab w:leader="none" w:pos="268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Common Stock issued in connection with a Qualified IPO (as defined below);</w:t>
      </w:r>
    </w:p>
    <w:p>
      <w:pPr>
        <w:spacing w:after="0" w:line="225" w:lineRule="exact"/>
        <w:rPr>
          <w:rFonts w:ascii="Arial" w:cs="Arial" w:eastAsia="Arial" w:hAnsi="Arial"/>
          <w:sz w:val="18"/>
          <w:szCs w:val="18"/>
          <w:b w:val="1"/>
          <w:bCs w:val="1"/>
          <w:color w:val="auto"/>
        </w:rPr>
      </w:pPr>
    </w:p>
    <w:p>
      <w:pPr>
        <w:ind w:firstLine="2404"/>
        <w:spacing w:after="0" w:line="264" w:lineRule="auto"/>
        <w:tabs>
          <w:tab w:leader="none" w:pos="2691"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after the Filing Date to employees, officers or directors of, or consultants or advisors to, the Company or any subsidiary pursuant to stock purchase or stock option plans or other arrangements that are approved by the Board;</w:t>
      </w:r>
    </w:p>
    <w:p>
      <w:pPr>
        <w:spacing w:after="0" w:line="181" w:lineRule="exact"/>
        <w:rPr>
          <w:rFonts w:ascii="Arial" w:cs="Arial" w:eastAsia="Arial" w:hAnsi="Arial"/>
          <w:sz w:val="18"/>
          <w:szCs w:val="18"/>
          <w:b w:val="1"/>
          <w:bCs w:val="1"/>
          <w:color w:val="auto"/>
        </w:rPr>
      </w:pPr>
    </w:p>
    <w:p>
      <w:pPr>
        <w:ind w:left="2700" w:hanging="296"/>
        <w:spacing w:after="0"/>
        <w:tabs>
          <w:tab w:leader="none" w:pos="2700" w:val="left"/>
        </w:tabs>
        <w:numPr>
          <w:ilvl w:val="0"/>
          <w:numId w:val="181"/>
        </w:numPr>
        <w:rPr>
          <w:rFonts w:ascii="Arial" w:cs="Arial" w:eastAsia="Arial" w:hAnsi="Arial"/>
          <w:sz w:val="16"/>
          <w:szCs w:val="16"/>
          <w:b w:val="1"/>
          <w:bCs w:val="1"/>
          <w:color w:val="auto"/>
        </w:rPr>
      </w:pPr>
      <w:r>
        <w:rPr>
          <w:rFonts w:ascii="Arial" w:cs="Arial" w:eastAsia="Arial" w:hAnsi="Arial"/>
          <w:sz w:val="16"/>
          <w:szCs w:val="16"/>
          <w:color w:val="auto"/>
        </w:rPr>
        <w:t>shares of Common Stock issued pursuant to the exercise of Convertible Securities outstanding as of the Filing Date;</w:t>
      </w:r>
    </w:p>
    <w:p>
      <w:pPr>
        <w:spacing w:after="0" w:line="248" w:lineRule="exact"/>
        <w:rPr>
          <w:rFonts w:ascii="Arial" w:cs="Arial" w:eastAsia="Arial" w:hAnsi="Arial"/>
          <w:sz w:val="16"/>
          <w:szCs w:val="16"/>
          <w:b w:val="1"/>
          <w:bCs w:val="1"/>
          <w:color w:val="auto"/>
        </w:rPr>
      </w:pPr>
    </w:p>
    <w:p>
      <w:pPr>
        <w:ind w:right="200" w:firstLine="2404"/>
        <w:spacing w:after="0" w:line="342" w:lineRule="auto"/>
        <w:tabs>
          <w:tab w:leader="none" w:pos="2681" w:val="left"/>
        </w:tabs>
        <w:numPr>
          <w:ilvl w:val="0"/>
          <w:numId w:val="181"/>
        </w:numPr>
        <w:rPr>
          <w:rFonts w:ascii="Arial" w:cs="Arial" w:eastAsia="Arial" w:hAnsi="Arial"/>
          <w:sz w:val="16"/>
          <w:szCs w:val="16"/>
          <w:b w:val="1"/>
          <w:bCs w:val="1"/>
          <w:color w:val="auto"/>
        </w:rPr>
      </w:pPr>
      <w:r>
        <w:rPr>
          <w:rFonts w:ascii="Arial" w:cs="Arial" w:eastAsia="Arial" w:hAnsi="Arial"/>
          <w:sz w:val="16"/>
          <w:szCs w:val="16"/>
          <w:color w:val="auto"/>
        </w:rPr>
        <w:t xml:space="preserve">shares of Common Stock or Convertible Securities issued for consideration other than cash pursuant to a merger, consolidation, acquisition, strategic alliance or similar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issuance of shares therein has been approved by the Board;</w:t>
      </w:r>
    </w:p>
    <w:p>
      <w:pPr>
        <w:spacing w:after="0" w:line="123" w:lineRule="exact"/>
        <w:rPr>
          <w:rFonts w:ascii="Arial" w:cs="Arial" w:eastAsia="Arial" w:hAnsi="Arial"/>
          <w:sz w:val="16"/>
          <w:szCs w:val="16"/>
          <w:b w:val="1"/>
          <w:bCs w:val="1"/>
          <w:color w:val="auto"/>
        </w:rPr>
      </w:pPr>
    </w:p>
    <w:p>
      <w:pPr>
        <w:ind w:firstLine="2404"/>
        <w:spacing w:after="0" w:line="264" w:lineRule="auto"/>
        <w:tabs>
          <w:tab w:leader="none" w:pos="2671"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 xml:space="preserve">shares of Common Stock or Convertible Securities issued pursuant to any equipment loan or leasing arrangement, real property leasing arrangement or debt financing from a bank or similar financial institution;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issuance of shares therein has been approved by the Board;</w:t>
      </w:r>
    </w:p>
    <w:p>
      <w:pPr>
        <w:spacing w:after="0" w:line="181" w:lineRule="exact"/>
        <w:rPr>
          <w:rFonts w:ascii="Arial" w:cs="Arial" w:eastAsia="Arial" w:hAnsi="Arial"/>
          <w:sz w:val="18"/>
          <w:szCs w:val="18"/>
          <w:b w:val="1"/>
          <w:bCs w:val="1"/>
          <w:color w:val="auto"/>
        </w:rPr>
      </w:pPr>
    </w:p>
    <w:p>
      <w:pPr>
        <w:ind w:right="100" w:firstLine="2404"/>
        <w:spacing w:after="0" w:line="308" w:lineRule="auto"/>
        <w:tabs>
          <w:tab w:leader="none" w:pos="2701"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 xml:space="preserve">shares of Common Stock or Convertible Securities issued to third-party service providers in exchange for or as partial consideration for services rendered to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Board;</w:t>
      </w:r>
    </w:p>
    <w:p>
      <w:pPr>
        <w:spacing w:after="0" w:line="146" w:lineRule="exact"/>
        <w:rPr>
          <w:rFonts w:ascii="Arial" w:cs="Arial" w:eastAsia="Arial" w:hAnsi="Arial"/>
          <w:sz w:val="17"/>
          <w:szCs w:val="17"/>
          <w:b w:val="1"/>
          <w:bCs w:val="1"/>
          <w:color w:val="auto"/>
        </w:rPr>
      </w:pPr>
    </w:p>
    <w:p>
      <w:pPr>
        <w:ind w:right="140" w:firstLine="2404"/>
        <w:spacing w:after="0" w:line="264" w:lineRule="auto"/>
        <w:tabs>
          <w:tab w:leader="none" w:pos="2701"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any Common Stock or Convertible Securities issued in connection with strategic transactions involving the Company and other entities, including, without limitation, (i) joint ventures, manufacturing, marketing or distribution arrangements or (ii) technology transfer or development arrangements; provided that the issuance of shares therein has been approved by the Board; and</w:t>
      </w:r>
    </w:p>
    <w:p>
      <w:pPr>
        <w:spacing w:after="0" w:line="181" w:lineRule="exact"/>
        <w:rPr>
          <w:rFonts w:ascii="Arial" w:cs="Arial" w:eastAsia="Arial" w:hAnsi="Arial"/>
          <w:sz w:val="18"/>
          <w:szCs w:val="18"/>
          <w:b w:val="1"/>
          <w:bCs w:val="1"/>
          <w:color w:val="auto"/>
        </w:rPr>
      </w:pPr>
    </w:p>
    <w:p>
      <w:pPr>
        <w:ind w:right="20" w:firstLine="2404"/>
        <w:spacing w:after="0" w:line="308" w:lineRule="auto"/>
        <w:tabs>
          <w:tab w:leader="none" w:pos="2631"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issued pursuant to the that certain Series D Preferred Stock Purchase Agreement by and among the Company and the individuals and entities identified on Exhibit A thereto, dated on or around the date hereof;</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total number of shares excluded from the definition of Additional Shares of Common Stock pursuant to subsections (E), (F),</w:t>
      </w:r>
    </w:p>
    <w:p>
      <w:pPr>
        <w:spacing w:after="0" w:line="46" w:lineRule="exact"/>
        <w:rPr>
          <w:sz w:val="20"/>
          <w:szCs w:val="20"/>
          <w:color w:val="auto"/>
        </w:rPr>
      </w:pPr>
    </w:p>
    <w:p>
      <w:pPr>
        <w:ind w:firstLine="8"/>
        <w:spacing w:after="0" w:line="261" w:lineRule="auto"/>
        <w:tabs>
          <w:tab w:leader="none" w:pos="2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and (H) above shall not exceed 3,000,000 shares in the aggregate (as adjusted for any stock dividends, combinations, splits, recapitalizations and the like with respect to such shares after the Filing Date).</w:t>
      </w:r>
    </w:p>
    <w:p>
      <w:pPr>
        <w:spacing w:after="0" w:line="184" w:lineRule="exact"/>
        <w:rPr>
          <w:sz w:val="20"/>
          <w:szCs w:val="20"/>
          <w:color w:val="auto"/>
        </w:rPr>
      </w:pPr>
    </w:p>
    <w:p>
      <w:pPr>
        <w:ind w:right="340" w:firstLine="913"/>
        <w:spacing w:after="0" w:line="279" w:lineRule="auto"/>
        <w:rPr>
          <w:sz w:val="20"/>
          <w:szCs w:val="20"/>
          <w:color w:val="auto"/>
        </w:rPr>
      </w:pPr>
      <w:r>
        <w:rPr>
          <w:rFonts w:ascii="Arial" w:cs="Arial" w:eastAsia="Arial" w:hAnsi="Arial"/>
          <w:sz w:val="17"/>
          <w:szCs w:val="17"/>
          <w:color w:val="auto"/>
        </w:rPr>
        <w:t>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74" w:right="359" w:bottom="1440" w:gutter="0" w:footer="0" w:header="0"/>
        </w:sectPr>
      </w:pPr>
    </w:p>
    <w:bookmarkStart w:id="228" w:name="page229"/>
    <w:bookmarkEnd w:id="22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under this Section 5(h), for such Additional Shares of Common Stock. In the event that the number of shares of Additional Shares of Common Stock or the Effective Price cannot be ascertained at the time of issuance (other than by virtue of antidilution provisions contained therein that have not yet been invoked), such Additional Shares of Common Stock shall be deemed issued immediately upon the occurrence of the first event that makes such number of shares or the Effective Price, as applicable, ascertainable.</w:t>
      </w:r>
    </w:p>
    <w:p>
      <w:pPr>
        <w:spacing w:after="0" w:line="187" w:lineRule="exact"/>
        <w:rPr>
          <w:sz w:val="20"/>
          <w:szCs w:val="20"/>
          <w:color w:val="auto"/>
        </w:rPr>
      </w:pPr>
    </w:p>
    <w:p>
      <w:pPr>
        <w:ind w:right="140" w:firstLine="1948"/>
        <w:spacing w:after="0" w:line="271" w:lineRule="auto"/>
        <w:tabs>
          <w:tab w:leader="none" w:pos="2245" w:val="left"/>
        </w:tabs>
        <w:numPr>
          <w:ilvl w:val="1"/>
          <w:numId w:val="183"/>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issues or sells, or is deemed to have issued or sold, Additional Shares of Common Stock in a Qualifying Dilutive Issuance (the “</w:t>
      </w:r>
      <w:r>
        <w:rPr>
          <w:rFonts w:ascii="Arial" w:cs="Arial" w:eastAsia="Arial" w:hAnsi="Arial"/>
          <w:sz w:val="17"/>
          <w:szCs w:val="17"/>
          <w:b w:val="1"/>
          <w:bCs w:val="1"/>
          <w:i w:val="1"/>
          <w:iCs w:val="1"/>
          <w:color w:val="auto"/>
        </w:rPr>
        <w:t>First Dilutive Issuance</w:t>
      </w:r>
      <w:r>
        <w:rPr>
          <w:rFonts w:ascii="Arial" w:cs="Arial" w:eastAsia="Arial" w:hAnsi="Arial"/>
          <w:sz w:val="17"/>
          <w:szCs w:val="17"/>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7"/>
          <w:szCs w:val="17"/>
          <w:b w:val="1"/>
          <w:bCs w:val="1"/>
          <w:i w:val="1"/>
          <w:iCs w:val="1"/>
          <w:color w:val="auto"/>
        </w:rPr>
        <w:t>Subsequent Dilutive Issuance</w:t>
      </w:r>
      <w:r>
        <w:rPr>
          <w:rFonts w:ascii="Arial" w:cs="Arial" w:eastAsia="Arial" w:hAnsi="Arial"/>
          <w:sz w:val="17"/>
          <w:szCs w:val="17"/>
          <w:color w:val="auto"/>
        </w:rPr>
        <w:t>”), then and in each such case upon a Subsequent Dilutive Issuance the applicable Series Preferred Conversion Price (other than the Series Preferred Conversion Price of the Series B-2 Preferred) shall be reduced to the Series Preferred Conversion Price that would have been in effect had the First Dilutive Issuance and each Subsequent Dilutive Issuance all occurred on the closing date of the First Dilutive Issuance. Qualifying Dilutive Issuances occurring within three months of each other shall be deemed to be part of the same transaction for the purposes of this subsection (vi).</w:t>
      </w:r>
    </w:p>
    <w:p>
      <w:pPr>
        <w:spacing w:after="0" w:line="174" w:lineRule="exact"/>
        <w:rPr>
          <w:rFonts w:ascii="Arial" w:cs="Arial" w:eastAsia="Arial" w:hAnsi="Arial"/>
          <w:sz w:val="17"/>
          <w:szCs w:val="17"/>
          <w:b w:val="1"/>
          <w:bCs w:val="1"/>
          <w:color w:val="auto"/>
        </w:rPr>
      </w:pPr>
    </w:p>
    <w:p>
      <w:pPr>
        <w:ind w:firstLine="1492"/>
        <w:spacing w:after="0" w:line="270" w:lineRule="auto"/>
        <w:tabs>
          <w:tab w:leader="none" w:pos="1698"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Certificate of Adjustment</w:t>
      </w:r>
      <w:r>
        <w:rPr>
          <w:rFonts w:ascii="Arial" w:cs="Arial" w:eastAsia="Arial" w:hAnsi="Arial"/>
          <w:sz w:val="17"/>
          <w:szCs w:val="17"/>
          <w:color w:val="auto"/>
        </w:rPr>
        <w:t>. In each case of an adjustment or readjustment of the Series Preferred Conversion Price for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or other securities issuable upon conversion of the Series Preferred, if such series of Series Preferred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such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Series Preferred Conversion Price for such series at the time in effect, (iii) the number of Additional Shares of Common Stock and (iv) the type and amount, if any, of other property which at the time would be received upon conversion of such series of Series Preferred. Failure to request or provide such notice shall have no effect on any such adjustment.</w:t>
      </w:r>
    </w:p>
    <w:p>
      <w:pPr>
        <w:spacing w:after="0" w:line="177" w:lineRule="exact"/>
        <w:rPr>
          <w:rFonts w:ascii="Arial" w:cs="Arial" w:eastAsia="Arial" w:hAnsi="Arial"/>
          <w:sz w:val="17"/>
          <w:szCs w:val="17"/>
          <w:b w:val="1"/>
          <w:bCs w:val="1"/>
          <w:color w:val="auto"/>
        </w:rPr>
      </w:pPr>
    </w:p>
    <w:p>
      <w:pPr>
        <w:ind w:right="20" w:firstLine="1492"/>
        <w:spacing w:after="0" w:line="295" w:lineRule="auto"/>
        <w:tabs>
          <w:tab w:leader="none" w:pos="1708"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Notices of Record Date</w:t>
      </w:r>
      <w:r>
        <w:rPr>
          <w:rFonts w:ascii="Arial" w:cs="Arial" w:eastAsia="Arial" w:hAnsi="Arial"/>
          <w:sz w:val="16"/>
          <w:szCs w:val="16"/>
          <w:color w:val="auto"/>
        </w:rPr>
        <w:t>. Upon (i) any taking by the Company of a record of the holders of any class of securities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Series Preferred at least 10 days prior to (a) the record date, if any, specified therein; or (b) if no record date is specified, the date upon which such action is to take effect (or., in either case, such shorter period approved by the holders of a</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29" w:name="page230"/>
    <w:bookmarkEnd w:id="22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majority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89" w:lineRule="exact"/>
        <w:rPr>
          <w:sz w:val="20"/>
          <w:szCs w:val="20"/>
          <w:color w:val="auto"/>
        </w:rPr>
      </w:pPr>
    </w:p>
    <w:p>
      <w:pPr>
        <w:ind w:left="1760" w:hanging="268"/>
        <w:spacing w:after="0"/>
        <w:tabs>
          <w:tab w:leader="none" w:pos="17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00" w:firstLine="1948"/>
        <w:spacing w:after="0" w:line="255" w:lineRule="auto"/>
        <w:tabs>
          <w:tab w:leader="none" w:pos="2155"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Each share of Series Preferred shall automatically be converted into shares of Common Stock, based on the then-effective Series Preferred Conversion Price for the applicable series, (A) at any time upon the affirmative election of the holders of at least a majority of the outstanding shares of the Series Preferred, voting together as a single class on an as-if-converted basis, or (B) immediately upon the closing of a firmly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$50,000,000 (a “</w:t>
      </w:r>
      <w:r>
        <w:rPr>
          <w:rFonts w:ascii="Arial" w:cs="Arial" w:eastAsia="Arial" w:hAnsi="Arial"/>
          <w:sz w:val="18"/>
          <w:szCs w:val="18"/>
          <w:b w:val="1"/>
          <w:bCs w:val="1"/>
          <w:i w:val="1"/>
          <w:iCs w:val="1"/>
          <w:color w:val="auto"/>
        </w:rPr>
        <w:t>Qualified IPO</w:t>
      </w:r>
      <w:r>
        <w:rPr>
          <w:rFonts w:ascii="Arial" w:cs="Arial" w:eastAsia="Arial" w:hAnsi="Arial"/>
          <w:sz w:val="18"/>
          <w:szCs w:val="18"/>
          <w:color w:val="auto"/>
        </w:rPr>
        <w:t>”). Upon such automatic conversion, any declared and unpaid dividends shall be paid in accordance with the provisions of Section 5(d).</w:t>
      </w:r>
    </w:p>
    <w:p>
      <w:pPr>
        <w:spacing w:after="0" w:line="189" w:lineRule="exact"/>
        <w:rPr>
          <w:rFonts w:ascii="Arial" w:cs="Arial" w:eastAsia="Arial" w:hAnsi="Arial"/>
          <w:sz w:val="18"/>
          <w:szCs w:val="18"/>
          <w:b w:val="1"/>
          <w:bCs w:val="1"/>
          <w:color w:val="auto"/>
        </w:rPr>
      </w:pPr>
    </w:p>
    <w:p>
      <w:pPr>
        <w:ind w:firstLine="1948"/>
        <w:spacing w:after="0" w:line="269" w:lineRule="auto"/>
        <w:tabs>
          <w:tab w:leader="none" w:pos="2205" w:val="left"/>
        </w:tabs>
        <w:numPr>
          <w:ilvl w:val="1"/>
          <w:numId w:val="185"/>
        </w:numPr>
        <w:rPr>
          <w:rFonts w:ascii="Arial" w:cs="Arial" w:eastAsia="Arial" w:hAnsi="Arial"/>
          <w:sz w:val="17"/>
          <w:szCs w:val="17"/>
          <w:b w:val="1"/>
          <w:bCs w:val="1"/>
          <w:color w:val="auto"/>
        </w:rPr>
      </w:pPr>
      <w:r>
        <w:rPr>
          <w:rFonts w:ascii="Arial" w:cs="Arial" w:eastAsia="Arial" w:hAnsi="Arial"/>
          <w:sz w:val="17"/>
          <w:szCs w:val="17"/>
          <w:color w:val="auto"/>
        </w:rPr>
        <w:t>Upon the occurrence of either of the events specified in Section 5(k)(i) above, the outstanding shares of Series Preferred shall be converted automatically without any further action by the holders of such shares and whether or not the certificates representing such shares are surrendered to the Company or its transfer agent; provided, however,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Preferred, the holders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5(d).</w:t>
      </w:r>
    </w:p>
    <w:p>
      <w:pPr>
        <w:spacing w:after="0" w:line="178" w:lineRule="exact"/>
        <w:rPr>
          <w:rFonts w:ascii="Arial" w:cs="Arial" w:eastAsia="Arial" w:hAnsi="Arial"/>
          <w:sz w:val="17"/>
          <w:szCs w:val="17"/>
          <w:b w:val="1"/>
          <w:bCs w:val="1"/>
          <w:color w:val="auto"/>
        </w:rPr>
      </w:pPr>
    </w:p>
    <w:p>
      <w:pPr>
        <w:ind w:right="120" w:firstLine="1492"/>
        <w:spacing w:after="0" w:line="281" w:lineRule="auto"/>
        <w:tabs>
          <w:tab w:leader="none" w:pos="1698"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Fractional Shares</w:t>
      </w:r>
      <w:r>
        <w:rPr>
          <w:rFonts w:ascii="Arial" w:cs="Arial" w:eastAsia="Arial" w:hAnsi="Arial"/>
          <w:sz w:val="17"/>
          <w:szCs w:val="17"/>
          <w:color w:val="auto"/>
        </w:rPr>
        <w:t>. No fractional shares of Common Stock shall be issued upon conversion of Series Preferred. All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0" w:name="page231"/>
    <w:bookmarkEnd w:id="23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pay cash equal to the product of such fraction multiplied by the fair market value of one share of Common Stock (as determined by the Board) on the date of conversion.</w:t>
      </w:r>
    </w:p>
    <w:p>
      <w:pPr>
        <w:spacing w:after="0" w:line="166" w:lineRule="exact"/>
        <w:rPr>
          <w:sz w:val="20"/>
          <w:szCs w:val="20"/>
          <w:color w:val="auto"/>
        </w:rPr>
      </w:pPr>
    </w:p>
    <w:p>
      <w:pPr>
        <w:ind w:right="140" w:firstLine="1492"/>
        <w:spacing w:after="0" w:line="256" w:lineRule="auto"/>
        <w:tabs>
          <w:tab w:leader="none" w:pos="1798"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Company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7" w:lineRule="exact"/>
        <w:rPr>
          <w:rFonts w:ascii="Arial" w:cs="Arial" w:eastAsia="Arial" w:hAnsi="Arial"/>
          <w:sz w:val="18"/>
          <w:szCs w:val="18"/>
          <w:b w:val="1"/>
          <w:bCs w:val="1"/>
          <w:color w:val="auto"/>
        </w:rPr>
      </w:pPr>
    </w:p>
    <w:p>
      <w:pPr>
        <w:ind w:firstLine="1492"/>
        <w:spacing w:after="0" w:line="298" w:lineRule="auto"/>
        <w:tabs>
          <w:tab w:leader="none" w:pos="1748"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 required by the provisions of this Section 5 shall be in writing and shall be deemed effectively given: (i) upon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to the party to be notified, (ii) when sent by confirmed electronic transmission in compliance with the provisions of the DGCL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54" w:lineRule="exact"/>
        <w:rPr>
          <w:rFonts w:ascii="Arial" w:cs="Arial" w:eastAsia="Arial" w:hAnsi="Arial"/>
          <w:sz w:val="16"/>
          <w:szCs w:val="16"/>
          <w:b w:val="1"/>
          <w:bCs w:val="1"/>
          <w:color w:val="auto"/>
        </w:rPr>
      </w:pPr>
    </w:p>
    <w:p>
      <w:pPr>
        <w:ind w:right="40" w:firstLine="1492"/>
        <w:spacing w:after="0" w:line="261" w:lineRule="auto"/>
        <w:tabs>
          <w:tab w:leader="none" w:pos="1738"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The Company will pay all taxes (other than taxes based upon income) and other governmental charges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329" w:lineRule="exact"/>
        <w:rPr>
          <w:sz w:val="20"/>
          <w:szCs w:val="20"/>
          <w:color w:val="auto"/>
        </w:rPr>
      </w:pPr>
    </w:p>
    <w:p>
      <w:pPr>
        <w:ind w:left="1480" w:hanging="567"/>
        <w:spacing w:after="0"/>
        <w:tabs>
          <w:tab w:leader="none" w:pos="14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EISSUANCE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ERIES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REFERRED</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shares or shares of Series Preferred acquired by the Company by reason of redemption, purchase, conversion or otherwise shall be reissued.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5" w:lineRule="exact"/>
        <w:rPr>
          <w:sz w:val="20"/>
          <w:szCs w:val="20"/>
          <w:color w:val="auto"/>
        </w:rPr>
      </w:pPr>
    </w:p>
    <w:p>
      <w:pPr>
        <w:jc w:val="both"/>
        <w:ind w:right="200"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To the fullest extent permitted by the DGCL as the same exists or as may hereafter be amended, a director of the Company shall not be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liable to the Company or its stockholders for monetary damages for a breach of fiduciary duty as a director.</w:t>
      </w:r>
    </w:p>
    <w:p>
      <w:pPr>
        <w:spacing w:after="0" w:line="162" w:lineRule="exact"/>
        <w:rPr>
          <w:sz w:val="20"/>
          <w:szCs w:val="20"/>
          <w:color w:val="auto"/>
        </w:rPr>
      </w:pPr>
    </w:p>
    <w:p>
      <w:pPr>
        <w:jc w:val="both"/>
        <w:ind w:right="220" w:firstLine="456"/>
        <w:spacing w:after="0" w:line="261"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Company may indemnify to the fullest extent permitted by law any person made or threatened to be made a party to an action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criminal, civil, administrative or investigative, by reason of the fact that he, his testator or intestate is or was a director, officer or employee of the Company or any predecessor of the Company or serves or served at any other enterprise as a director, officer or employee at the request of the Company or any predecessor to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31" w:name="page232"/>
    <w:bookmarkEnd w:id="231"/>
    <w:p>
      <w:pPr>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8"/>
          <w:szCs w:val="18"/>
          <w:color w:val="auto"/>
        </w:rPr>
        <w:t>The Company is authorized to provide indemnification of directors, officers, employees and other agents of the Company (and any other persons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applicable law permits the Company to provide indemnification) for breach of duty to the Company and its stockholders through bylaw provisions or through agreements with such directors, officers, employees or other agents, or through stockholder resolutions, or otherwise, in excess of the indemnification otherwise permitted by applicable law.</w:t>
      </w:r>
    </w:p>
    <w:p>
      <w:pPr>
        <w:spacing w:after="0" w:line="18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Any repeal or modification of this Article V shall only be prospective and shall not affect the rights under this Article V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occurrence of any action or omission to act giving rise to liability.</w:t>
      </w:r>
    </w:p>
    <w:p>
      <w:pPr>
        <w:spacing w:after="0" w:line="16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In the event that a member of the Board who is also a partner or employee of an entity that is a holder of Preferred Stock and that is in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investing and reinvesting in other entities, or an employee of an entity that manages such an entity (each, a “</w:t>
      </w:r>
      <w:r>
        <w:rPr>
          <w:rFonts w:ascii="Arial" w:cs="Arial" w:eastAsia="Arial" w:hAnsi="Arial"/>
          <w:sz w:val="18"/>
          <w:szCs w:val="18"/>
          <w:b w:val="1"/>
          <w:bCs w:val="1"/>
          <w:i w:val="1"/>
          <w:iCs w:val="1"/>
          <w:color w:val="auto"/>
        </w:rPr>
        <w:t>Fund</w:t>
      </w:r>
      <w:r>
        <w:rPr>
          <w:rFonts w:ascii="Arial" w:cs="Arial" w:eastAsia="Arial" w:hAnsi="Arial"/>
          <w:sz w:val="18"/>
          <w:szCs w:val="18"/>
          <w:color w:val="auto"/>
        </w:rPr>
        <w:t>”) acquires knowledge of a potential transaction or other matter in such individual’s capacity as a partner or employee of the Fund or the manager or general partner of the Fund (and other than directly in connection with such individual’ s service as a member of the Board) and that may be an opportunity of interest for both the Company and such Fund (a “</w:t>
      </w:r>
      <w:r>
        <w:rPr>
          <w:rFonts w:ascii="Arial" w:cs="Arial" w:eastAsia="Arial" w:hAnsi="Arial"/>
          <w:sz w:val="18"/>
          <w:szCs w:val="18"/>
          <w:b w:val="1"/>
          <w:bCs w:val="1"/>
          <w:i w:val="1"/>
          <w:iCs w:val="1"/>
          <w:color w:val="auto"/>
        </w:rPr>
        <w:t>Corporate Opportunity</w:t>
      </w:r>
      <w:r>
        <w:rPr>
          <w:rFonts w:ascii="Arial" w:cs="Arial" w:eastAsia="Arial" w:hAnsi="Arial"/>
          <w:sz w:val="18"/>
          <w:szCs w:val="18"/>
          <w:color w:val="auto"/>
        </w:rPr>
        <w:t>”), then the Company (i) renounces any expectancy that such director or Fund offer an opportunity to participate in such Corporate Opportunity to the Company and (ii) to the fullest extent permitted by law, waives any claim that such opportunity constituted a Corporate Opportunity that should have been presented by such director or Fund to the Company or any of its affiliates; provided, however, that such director acts in good faith.</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66"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management of the business and the conduct of the affairs of the Company shall be vested in its Board. The number of directors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whole Board shall be fixed by the Board in the manner provided in the Bylaws, subject to any restrictions which may be set forth in this Restated Certificate.</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Board is expressly empowered to adopt, amend or repeal the Bylaws of the Company. The stockholders shall also have the power to adopt,</w:t>
      </w:r>
      <w:r>
        <w:rPr>
          <w:rFonts w:ascii="Arial" w:cs="Arial" w:eastAsia="Arial" w:hAnsi="Arial"/>
          <w:sz w:val="18"/>
          <w:szCs w:val="18"/>
          <w:b w:val="1"/>
          <w:bCs w:val="1"/>
          <w:color w:val="auto"/>
        </w:rPr>
        <w:t xml:space="preserve"> </w:t>
      </w:r>
      <w:r>
        <w:rPr>
          <w:rFonts w:ascii="Arial" w:cs="Arial" w:eastAsia="Arial" w:hAnsi="Arial"/>
          <w:sz w:val="18"/>
          <w:szCs w:val="18"/>
          <w:color w:val="auto"/>
        </w:rPr>
        <w:t>amend or repeal the Bylaws of the Company; provided however, that, in addition to any vote of the holders of any class or series of stock of the Company required by law or by this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directors of the Company need not be elected by written ballot unless the Bylaws so provide.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w:t>
      </w:r>
    </w:p>
    <w:p>
      <w:pPr>
        <w:ind w:firstLine="8"/>
        <w:spacing w:after="0" w:line="267" w:lineRule="auto"/>
        <w:tabs>
          <w:tab w:leader="none" w:pos="26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VII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VII (including, without limitation, each portion of any sentence of this Article VII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5"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FOUR</w:t>
      </w:r>
      <w:r>
        <w:rPr>
          <w:rFonts w:ascii="Arial" w:cs="Arial" w:eastAsia="Arial" w:hAnsi="Arial"/>
          <w:sz w:val="18"/>
          <w:szCs w:val="18"/>
          <w:color w:val="auto"/>
        </w:rPr>
        <w:t>: This Amended and Restated Certificate of Incorporation has been duly approved by the Board.</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FIVE</w:t>
      </w:r>
      <w:r>
        <w:rPr>
          <w:rFonts w:ascii="Arial" w:cs="Arial" w:eastAsia="Arial" w:hAnsi="Arial"/>
          <w:sz w:val="18"/>
          <w:szCs w:val="18"/>
          <w:color w:val="auto"/>
        </w:rPr>
        <w:t>: This Amended and Restated Certificate of Incorporation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33" w:name="page234"/>
    <w:bookmarkEnd w:id="23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color w:val="auto"/>
        </w:rPr>
        <w:t>. has caused this Amended and Restated Certificate of Incorporation to be signed by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on July 10, 2015.</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r>
        <w:rPr>
          <w:rFonts w:ascii="Arial" w:cs="Arial" w:eastAsia="Arial" w:hAnsi="Arial"/>
          <w:sz w:val="18"/>
          <w:szCs w:val="18"/>
          <w:color w:val="auto"/>
        </w:rPr>
        <w:t>]</w:t>
      </w:r>
    </w:p>
    <w:p>
      <w:pPr>
        <w:sectPr>
          <w:pgSz w:w="11900" w:h="16838" w:orient="portrait"/>
          <w:cols w:equalWidth="0" w:num="1">
            <w:col w:w="11220"/>
          </w:cols>
          <w:pgMar w:left="240" w:top="270" w:right="4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AnaptysBio, Inc., a Delaware corporation, hereby certifies as follows.</w:t>
      </w:r>
    </w:p>
    <w:p>
      <w:pPr>
        <w:spacing w:after="0" w:line="225" w:lineRule="exact"/>
        <w:rPr>
          <w:sz w:val="20"/>
          <w:szCs w:val="20"/>
          <w:color w:val="auto"/>
        </w:rPr>
      </w:pPr>
    </w:p>
    <w:p>
      <w:pPr>
        <w:jc w:val="both"/>
        <w:ind w:right="300" w:firstLine="464"/>
        <w:spacing w:after="0" w:line="286" w:lineRule="auto"/>
        <w:tabs>
          <w:tab w:leader="none" w:pos="63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name of the corporation is AnaptysBio, Inc. The date of filing the original Certificate of Incorporation of this company with the Secretary of State of the State of Delaware was November 16, 2005 under the name of Anaptys Bioscience, Inc., and a Corrected Certificate of Incorporation was filed with the Secretary of State of the State of Delaware on November 17, 2005 correcting the name to Anaptys Biosciences, Inc.</w:t>
      </w:r>
    </w:p>
    <w:p>
      <w:pPr>
        <w:spacing w:after="0" w:line="165" w:lineRule="exact"/>
        <w:rPr>
          <w:rFonts w:ascii="Arial" w:cs="Arial" w:eastAsia="Arial" w:hAnsi="Arial"/>
          <w:sz w:val="17"/>
          <w:szCs w:val="17"/>
          <w:color w:val="auto"/>
        </w:rPr>
      </w:pPr>
    </w:p>
    <w:p>
      <w:pPr>
        <w:ind w:right="80" w:firstLine="464"/>
        <w:spacing w:after="0" w:line="257" w:lineRule="auto"/>
        <w:tabs>
          <w:tab w:leader="none" w:pos="6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Restated Certificate of Incorporation of the corporation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is incorporated herein by this reference, and which restates, integrates and further amends the provisions of the Certificate of Incorporation of this corporation as previously amended or supplemented, has been duly adopted by the Board of Directors and by the stockholders in accordance with Sections 242 and 245 of the Delaware General Corporation Law, with the approval of the corporation’s stockholders having been given by written consent without a meeting in accordance with Section 228 of the Delaware General Corporation Law.</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31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ANAPTYSBIO,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35" w:name="page236"/>
    <w:bookmarkEnd w:id="235"/>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I: NAME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AnaptysBio,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address of the registered office of this Corporation in the State of Delaware is 1209 Orange Street, City of Wilmington, County of New Castle, Zip Code 19801, and the name of the registered agent of the Corporation in the State of Delaware at such address is The Corporation Trust Company.</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 PURPOSE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 AUTHORIZED STOCK</w:t>
      </w:r>
    </w:p>
    <w:p>
      <w:pPr>
        <w:spacing w:after="0" w:line="225" w:lineRule="exact"/>
        <w:rPr>
          <w:sz w:val="20"/>
          <w:szCs w:val="20"/>
          <w:color w:val="auto"/>
        </w:rPr>
      </w:pPr>
    </w:p>
    <w:p>
      <w:pPr>
        <w:ind w:right="340" w:firstLine="464"/>
        <w:spacing w:after="0" w:line="289" w:lineRule="auto"/>
        <w:tabs>
          <w:tab w:leader="none" w:pos="636"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Total Authorized</w:t>
      </w:r>
      <w:r>
        <w:rPr>
          <w:rFonts w:ascii="Arial" w:cs="Arial" w:eastAsia="Arial" w:hAnsi="Arial"/>
          <w:sz w:val="17"/>
          <w:szCs w:val="17"/>
          <w:color w:val="auto"/>
        </w:rPr>
        <w:t>. The total number of shares of all classes of stock that the Corporation has authority to issue is Five Hundred and Ten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(510,000,000) shares, consisting of two classes: Five Hundred Million (500,000,000) shares of Common Stock, $0.001 par value per share (“</w:t>
      </w:r>
      <w:r>
        <w:rPr>
          <w:rFonts w:ascii="Arial" w:cs="Arial" w:eastAsia="Arial" w:hAnsi="Arial"/>
          <w:sz w:val="17"/>
          <w:szCs w:val="17"/>
          <w:b w:val="1"/>
          <w:bCs w:val="1"/>
          <w:i w:val="1"/>
          <w:i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and Ten Million (10,000,000) shares of Preferred Stock, $0.001 par value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58" w:lineRule="exact"/>
        <w:rPr>
          <w:rFonts w:ascii="Arial" w:cs="Arial" w:eastAsia="Arial" w:hAnsi="Arial"/>
          <w:sz w:val="17"/>
          <w:szCs w:val="17"/>
          <w:b w:val="1"/>
          <w:bCs w:val="1"/>
          <w:color w:val="auto"/>
        </w:rPr>
      </w:pPr>
    </w:p>
    <w:p>
      <w:pPr>
        <w:ind w:left="640" w:hanging="176"/>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r>
        <w:rPr>
          <w:rFonts w:ascii="Arial" w:cs="Arial" w:eastAsia="Arial" w:hAnsi="Arial"/>
          <w:sz w:val="18"/>
          <w:szCs w:val="18"/>
          <w:color w:val="auto"/>
        </w:rPr>
        <w:t>.</w:t>
      </w:r>
    </w:p>
    <w:p>
      <w:pPr>
        <w:spacing w:after="0" w:line="229"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2.1.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to establish from time to time the number of shares to be included in each such series, to fix the designation, vesting, powers, preferences and relative, participating, optional or other rights, if any, of the shares of each such series and any qualifications, limitations or restrictions thereof,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 then-outstanding shares of capital stock of the Corporation entitled to</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36" w:name="page237"/>
    <w:bookmarkEnd w:id="236"/>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vote thereon, without a vote of the holders of the Preferred Stock, unless a vote of any such holders is required pursuant to the terms of any certificate or certificates establishing a series of Preferred Stock.</w:t>
      </w:r>
    </w:p>
    <w:p>
      <w:pPr>
        <w:spacing w:after="0" w:line="170"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17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except as otherwise required by law, holders of Common Stock shall not be entitled to vote on any amendment to this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Certificate of Designation relating to any series of Preferred Stock).</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AMENDMENT OF BYLAWS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Board shall have the power to adopt, amend or repeal the Bylaws of the Corporation. Any adoption, amendment or repeal of the Bylaws of the Corporation by the Board shall require the approval of a majority of the Whole Board. For purposes of this Restated Certificate of Incorporation, the term “</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xml:space="preserve">” shall mean the total number of authorized directors whether or not there exist any vacancies in previously authorized directorships. The stockholders shall also have power to adopt, amend or repeal the Bylaws of the Corporation;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addition to any vote of the holders of any class or series of stock of the Corporation required by law or by this Restated Certificate of Incorporation (including any Preferred Stock issued pursuant to a Certificate of Designation), the affirmative vote of the holders of at least two-thirds of the voting power of all of the then-outstanding shares of the capital stock of the Corporation entitled to vote generally in the election of directors, voting together as a single class, shall be required to adopt, amend or repeal any provision of the Bylaws of the Corporation; provided, further, that if two-thirds of the Whole Board has approved such adoption, amendment or repeal of any provisions of the Bylaws, then only the affirmative vote of the holders of at least a majority of the voting power of all of the then-outstanding shares of the capital stock of the Corporation entitled to vote thereon, voting together as a single class, shall be required to adopt, amend or repeal any provision of the Bylaws of the Corporation.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225" w:lineRule="exact"/>
        <w:rPr>
          <w:sz w:val="20"/>
          <w:szCs w:val="20"/>
          <w:color w:val="auto"/>
        </w:rPr>
      </w:pPr>
    </w:p>
    <w:p>
      <w:pPr>
        <w:ind w:right="40" w:firstLine="464"/>
        <w:spacing w:after="0" w:line="282" w:lineRule="auto"/>
        <w:tabs>
          <w:tab w:leader="none" w:pos="636"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color w:val="auto"/>
        </w:rPr>
        <w:t>. The business and affairs of the Corporation shall be managed by or under the direction of the Board. In addition to the powers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expressly conferred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37" w:name="page238"/>
    <w:bookmarkEnd w:id="237"/>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them by statute or by this Restated Certificate of Incorporation or the Bylaws of the Corporation, the directors are hereby empowered to exercise all such powers and do all such acts and things as may be exercised or done by the Corporation.</w:t>
      </w:r>
    </w:p>
    <w:p>
      <w:pPr>
        <w:spacing w:after="0" w:line="166" w:lineRule="exact"/>
        <w:rPr>
          <w:sz w:val="20"/>
          <w:szCs w:val="20"/>
          <w:color w:val="auto"/>
        </w:rPr>
      </w:pPr>
    </w:p>
    <w:p>
      <w:pPr>
        <w:ind w:right="20" w:firstLine="464"/>
        <w:spacing w:after="0" w:line="282" w:lineRule="auto"/>
        <w:tabs>
          <w:tab w:leader="none" w:pos="636"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color w:val="auto"/>
        </w:rPr>
        <w:t>. Subject to the rights of the holders of any series of Preferred Stock to elect additional directors under specified circumstances,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directors shall be fixed from time to time exclusively by resolution adopted by a majority of the Whole Board.</w:t>
      </w:r>
    </w:p>
    <w:p>
      <w:pPr>
        <w:spacing w:after="0" w:line="161" w:lineRule="exact"/>
        <w:rPr>
          <w:rFonts w:ascii="Arial" w:cs="Arial" w:eastAsia="Arial" w:hAnsi="Arial"/>
          <w:sz w:val="18"/>
          <w:szCs w:val="18"/>
          <w:b w:val="1"/>
          <w:bCs w:val="1"/>
          <w:color w:val="auto"/>
        </w:rPr>
      </w:pPr>
    </w:p>
    <w:p>
      <w:pPr>
        <w:ind w:firstLine="464"/>
        <w:spacing w:after="0" w:line="269" w:lineRule="auto"/>
        <w:tabs>
          <w:tab w:leader="none" w:pos="636"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Classified Board</w:t>
      </w:r>
      <w:r>
        <w:rPr>
          <w:rFonts w:ascii="Arial" w:cs="Arial" w:eastAsia="Arial" w:hAnsi="Arial"/>
          <w:sz w:val="17"/>
          <w:szCs w:val="17"/>
          <w:color w:val="auto"/>
        </w:rPr>
        <w:t>. Subject to the rights of the holders of any series of Preferred Stock to elect additional directors under specified circumstances,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shall be divided, with respect to the time for which they severally hold office, into three classes designated as Class I, Class II and Class III, respectively (the “</w:t>
      </w:r>
      <w:r>
        <w:rPr>
          <w:rFonts w:ascii="Arial" w:cs="Arial" w:eastAsia="Arial" w:hAnsi="Arial"/>
          <w:sz w:val="17"/>
          <w:szCs w:val="17"/>
          <w:b w:val="1"/>
          <w:bCs w:val="1"/>
          <w:i w:val="1"/>
          <w:iCs w:val="1"/>
          <w:color w:val="auto"/>
        </w:rPr>
        <w:t>Classified Board</w:t>
      </w:r>
      <w:r>
        <w:rPr>
          <w:rFonts w:ascii="Arial" w:cs="Arial" w:eastAsia="Arial" w:hAnsi="Arial"/>
          <w:sz w:val="17"/>
          <w:szCs w:val="17"/>
          <w:color w:val="auto"/>
        </w:rPr>
        <w:t>”). The Board may assign members of the Board already in office to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Arial" w:cs="Arial" w:eastAsia="Arial" w:hAnsi="Arial"/>
          <w:sz w:val="17"/>
          <w:szCs w:val="17"/>
          <w:b w:val="1"/>
          <w:bCs w:val="1"/>
          <w:i w:val="1"/>
          <w:iCs w:val="1"/>
          <w:color w:val="auto"/>
        </w:rPr>
        <w:t>Initial Public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the initial term of office of the Class II directors shall expire at the Corporation’s second annual meeting of stockholders following the closing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to expire at the third succeeding annual meeting of stockholders after their election.</w:t>
      </w:r>
    </w:p>
    <w:p>
      <w:pPr>
        <w:spacing w:after="0" w:line="179" w:lineRule="exact"/>
        <w:rPr>
          <w:rFonts w:ascii="Arial" w:cs="Arial" w:eastAsia="Arial" w:hAnsi="Arial"/>
          <w:sz w:val="17"/>
          <w:szCs w:val="17"/>
          <w:b w:val="1"/>
          <w:bCs w:val="1"/>
          <w:color w:val="auto"/>
        </w:rPr>
      </w:pPr>
    </w:p>
    <w:p>
      <w:pPr>
        <w:ind w:right="20" w:firstLine="464"/>
        <w:spacing w:after="0" w:line="256" w:lineRule="auto"/>
        <w:tabs>
          <w:tab w:leader="none" w:pos="636"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such director’s successor is elected and qualified, or until such director’s earlier death,</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or removal. Any director may resign at any time upon notice to the Corporation given in writing or by any electronic transmission permitted in the Corporation’s Bylaws. Subject to the rights of the holders of any series of Preferred Stock, no director may be removed except for cause and only by the affirmative vote of the holders of at least two-thirds of the voting power of the then-outstanding shares of capital stock of the Corporation then entitled to vote at an election of directors voting together as a single class. No decrease in the authorized number of directors constituting the Board shall shorten the term of any incumbent director.</w:t>
      </w:r>
    </w:p>
    <w:p>
      <w:pPr>
        <w:spacing w:after="0" w:line="187" w:lineRule="exact"/>
        <w:rPr>
          <w:rFonts w:ascii="Arial" w:cs="Arial" w:eastAsia="Arial" w:hAnsi="Arial"/>
          <w:sz w:val="18"/>
          <w:szCs w:val="18"/>
          <w:b w:val="1"/>
          <w:bCs w:val="1"/>
          <w:color w:val="auto"/>
        </w:rPr>
      </w:pPr>
    </w:p>
    <w:p>
      <w:pPr>
        <w:ind w:firstLine="464"/>
        <w:spacing w:after="0" w:line="277" w:lineRule="auto"/>
        <w:tabs>
          <w:tab w:leader="none" w:pos="636"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Vacancies</w:t>
      </w:r>
      <w:r>
        <w:rPr>
          <w:rFonts w:ascii="Arial" w:cs="Arial" w:eastAsia="Arial" w:hAnsi="Arial"/>
          <w:sz w:val="17"/>
          <w:szCs w:val="17"/>
          <w:color w:val="auto"/>
        </w:rPr>
        <w:t>. Subject to the rights of the holders of any series of Preferred Stock, any vacancy occurring in the Board for any cause,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although less than a quorum, or by a sole remaining director, and not by the stockholders. Any director elected in accordance with the preceding sentence shall hold office for a term expiring at the annual meeting of stockholders at which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38" w:name="page239"/>
    <w:bookmarkEnd w:id="238"/>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of office of the class to which the director has been assigned expires or until such director’s successor shall have been duly elected and qualified, or until such director’s earlier death, resignation or removal.</w:t>
      </w:r>
    </w:p>
    <w:p>
      <w:pPr>
        <w:spacing w:after="0" w:line="166" w:lineRule="exact"/>
        <w:rPr>
          <w:sz w:val="20"/>
          <w:szCs w:val="20"/>
          <w:color w:val="auto"/>
        </w:rPr>
      </w:pPr>
    </w:p>
    <w:p>
      <w:pPr>
        <w:ind w:left="640" w:hanging="176"/>
        <w:spacing w:after="0"/>
        <w:tabs>
          <w:tab w:leader="none" w:pos="6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of the Corporation shall so provide.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DIRECTOR LIABILITY</w:t>
      </w:r>
    </w:p>
    <w:p>
      <w:pPr>
        <w:spacing w:after="0" w:line="225" w:lineRule="exact"/>
        <w:rPr>
          <w:sz w:val="20"/>
          <w:szCs w:val="20"/>
          <w:color w:val="auto"/>
        </w:rPr>
      </w:pPr>
    </w:p>
    <w:p>
      <w:pPr>
        <w:ind w:right="280" w:firstLine="464"/>
        <w:spacing w:after="0" w:line="261" w:lineRule="auto"/>
        <w:tabs>
          <w:tab w:leader="none" w:pos="636"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DGCL is hereafter amended to authorize the further elimination or limitation of the liability of a director, then the liability of a director of the Corporation shall be eliminated or limited to the fullest extent permitted by the DGCL, as so amended.</w:t>
      </w:r>
    </w:p>
    <w:p>
      <w:pPr>
        <w:spacing w:after="0" w:line="180" w:lineRule="exact"/>
        <w:rPr>
          <w:rFonts w:ascii="Arial" w:cs="Arial" w:eastAsia="Arial" w:hAnsi="Arial"/>
          <w:sz w:val="18"/>
          <w:szCs w:val="18"/>
          <w:b w:val="1"/>
          <w:bCs w:val="1"/>
          <w:color w:val="auto"/>
        </w:rPr>
      </w:pPr>
    </w:p>
    <w:p>
      <w:pPr>
        <w:ind w:right="260" w:firstLine="464"/>
        <w:spacing w:after="0" w:line="289" w:lineRule="auto"/>
        <w:tabs>
          <w:tab w:leader="none" w:pos="636"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in Rights</w:t>
      </w:r>
      <w:r>
        <w:rPr>
          <w:rFonts w:ascii="Arial" w:cs="Arial" w:eastAsia="Arial" w:hAnsi="Arial"/>
          <w:sz w:val="17"/>
          <w:szCs w:val="17"/>
          <w:color w:val="auto"/>
        </w:rPr>
        <w:t>. Neither any amendment nor repeal of this Article VII, nor the adoption of any provision of this Restated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225" w:lineRule="exact"/>
        <w:rPr>
          <w:sz w:val="20"/>
          <w:szCs w:val="20"/>
          <w:color w:val="auto"/>
        </w:rPr>
      </w:pPr>
    </w:p>
    <w:p>
      <w:pPr>
        <w:ind w:right="120" w:firstLine="464"/>
        <w:spacing w:after="0" w:line="347" w:lineRule="auto"/>
        <w:tabs>
          <w:tab w:leader="none" w:pos="636"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Action by Written Consent of Stockholders</w:t>
      </w:r>
      <w:r>
        <w:rPr>
          <w:rFonts w:ascii="Arial" w:cs="Arial" w:eastAsia="Arial" w:hAnsi="Arial"/>
          <w:sz w:val="16"/>
          <w:szCs w:val="16"/>
          <w:color w:val="auto"/>
        </w:rPr>
        <w:t>. Subject to the rights of any series of Preferred Stock, no action shall be taken by the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except at a duly called annual or special meeting of stockholders and no action shall be taken by the stockholders by written consent.</w:t>
      </w:r>
    </w:p>
    <w:p>
      <w:pPr>
        <w:spacing w:after="0" w:line="116" w:lineRule="exact"/>
        <w:rPr>
          <w:rFonts w:ascii="Arial" w:cs="Arial" w:eastAsia="Arial" w:hAnsi="Arial"/>
          <w:sz w:val="16"/>
          <w:szCs w:val="16"/>
          <w:b w:val="1"/>
          <w:bCs w:val="1"/>
          <w:color w:val="auto"/>
        </w:rPr>
      </w:pPr>
    </w:p>
    <w:p>
      <w:pPr>
        <w:ind w:right="120" w:firstLine="464"/>
        <w:spacing w:after="0" w:line="282" w:lineRule="auto"/>
        <w:tabs>
          <w:tab w:leader="none" w:pos="636"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color w:val="auto"/>
        </w:rPr>
        <w:t>. Special meetings of the stockholders of the Corporation may be called only by the Chairperson of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the President or the Board acting pursuant to a resolution adopted by a majority of the Whole Board.</w:t>
      </w:r>
    </w:p>
    <w:p>
      <w:pPr>
        <w:spacing w:after="0" w:line="161" w:lineRule="exact"/>
        <w:rPr>
          <w:rFonts w:ascii="Arial" w:cs="Arial" w:eastAsia="Arial" w:hAnsi="Arial"/>
          <w:sz w:val="18"/>
          <w:szCs w:val="18"/>
          <w:b w:val="1"/>
          <w:bCs w:val="1"/>
          <w:color w:val="auto"/>
        </w:rPr>
      </w:pPr>
    </w:p>
    <w:p>
      <w:pPr>
        <w:ind w:right="60" w:firstLine="464"/>
        <w:spacing w:after="0" w:line="261" w:lineRule="auto"/>
        <w:tabs>
          <w:tab w:leader="none" w:pos="636"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of the Corporation and of business to be brought by stockholders before any meeting of stockholders of the Corporation shall be given in the manner provided in the Bylaws of the Corporation. Business transacted at special meetings of stockholders shall be confined to the purpose or purposes stated in the notice of meeting.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CHOICE OF FORUM</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shall be the sole and exclusive forum for (a) any derivative action or proceeding brought on behalf of the Corporation; (b) any action asserting a claim of breach of a fiduciary duty owed by, or other wrongdoing by, any director, officer or other employee of the Corporation to the Corporation or the Corporation’s stockholders; (c) any action asserting a claim against the Corporation (or its directors, officers or other employees)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39" w:name="page240"/>
    <w:bookmarkEnd w:id="239"/>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arising pursuant to any provision of the DGCL, this Restated Certificate of Incorporation or the Bylaws; (d) any action to interpret, apply, enforce or determine the validity of this Restated Certificate of Incorporation or the Bylaws; or (e) any action asserting a claim against the Corporation governed by the internal affairs doctrine. Any person or entity purchasing or otherwise acquiring any interest in shares of capital stock of the Corporation shall be deemed to have notice of and to have consented to the provisions of this Article IX. Furthermore, and without limiting the generality of the foregoing, the Court of Chancery in the State of Delaware shall be the sole and exclusive forum for any stockholder (including a beneficial owner) to bring any internal corporate claims, as such term is defined and used in Section 115 of the DGCL, as may be amended.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provision of this Restated Certificate of Incorporation becomes or is declared on any ground by a court of competent jurisdiction to be illegal, unenforceable or void, portions of such provision, or such provision in its entirety, to the extent necessary, shall be severed from this Restated Certificate of Incorporation, and the court will replace such illegal, void or unenforceable provision of this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Restated Certificate of Incorporation shall be enforceable in accordance with its terms.</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Corporation reserves the right to amend or repeal any provision contained in this Restated Certificate of Incorporation in the manner prescribed by the laws of the State of Delaware and all rights conferred upon stockholders are granted subject to this reservation;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notwithstanding any other provision of this Restated Certificate of Incorporation or any provision of law that might otherwise permit a lesser vote or no vote, but in addition to any vote of the holders of any class or series of the stock of this Corporation required by law or by this Restated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any provision of this Restated Certificate of Incorporation; provided, further, that if two-thirds of the Whole Board has approved such amendment or repeal of any provisions of this Certificate of Incorporation, then only the affirmative vote of the holders of at least a majority of the voting power of all of the then-outstanding shares of the capital stock of the Corporation entitled to vote thereon, voting together as a single class, shall be required to amend or repeal any provision of this Certificate of Incorporation.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 * * * * * * * * *</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BYLAWS OF</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9, 2015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sets forth the amendment to the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of AnaptysBio,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is adopted as of the date hereof:</w:t>
      </w:r>
    </w:p>
    <w:p>
      <w:pPr>
        <w:spacing w:after="0" w:line="1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The first paragraph of the Bylaws’ Article XIV is hereby amended and restated to read, in its entirety, as follows: “</w:t>
      </w:r>
      <w:r>
        <w:rPr>
          <w:rFonts w:ascii="Arial" w:cs="Arial" w:eastAsia="Arial" w:hAnsi="Arial"/>
          <w:sz w:val="18"/>
          <w:szCs w:val="18"/>
          <w:b w:val="1"/>
          <w:bCs w:val="1"/>
          <w:color w:val="auto"/>
        </w:rPr>
        <w:t>Section 46. Right of First Refusal</w:t>
      </w:r>
      <w:r>
        <w:rPr>
          <w:rFonts w:ascii="Arial" w:cs="Arial" w:eastAsia="Arial" w:hAnsi="Arial"/>
          <w:sz w:val="18"/>
          <w:szCs w:val="18"/>
          <w:color w:val="auto"/>
        </w:rPr>
        <w:t>. No stockholder shall sell, assign, pledge, or in any manner transfer any of the shares of common stock (other than shares of common stock issued or issuable upon conversion of shares of the preferred stock) of the corporation or any right or interest therein, whether voluntarily or by operation of law, or by gift or otherwise, except by a transfer which meets the requirements hereinafter set forth in this bylaw:”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expressly modified hereby, the Bylaws and all the provisions thereof remain in full force and effect.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hereto subscribed his name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 Secretary</w:t>
      </w:r>
    </w:p>
    <w:p>
      <w:pPr>
        <w:sectPr>
          <w:pgSz w:w="11900" w:h="16838" w:orient="portrait"/>
          <w:cols w:equalWidth="0" w:num="1">
            <w:col w:w="11420"/>
          </w:cols>
          <w:pgMar w:left="240" w:top="121" w:right="239"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ANAPTYS BIOSCIENCES,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(A DELAWARE CORPORATION)</w:t>
      </w:r>
    </w:p>
    <w:p>
      <w:pPr>
        <w:sectPr>
          <w:pgSz w:w="11900" w:h="16838" w:orient="portrait"/>
          <w:cols w:equalWidth="0" w:num="1">
            <w:col w:w="9019"/>
          </w:cols>
          <w:pgMar w:left="1440" w:top="270" w:right="1440"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81"/>
        </w:trPr>
        <w:tc>
          <w:tcPr>
            <w:tcW w:w="1680" w:type="dxa"/>
            <w:vAlign w:val="bottom"/>
          </w:tcPr>
          <w:p>
            <w:pPr>
              <w:spacing w:after="0"/>
              <w:rPr>
                <w:sz w:val="24"/>
                <w:szCs w:val="24"/>
                <w:color w:val="auto"/>
              </w:rPr>
            </w:pPr>
          </w:p>
        </w:tc>
        <w:tc>
          <w:tcPr>
            <w:tcW w:w="7200" w:type="dxa"/>
            <w:vAlign w:val="bottom"/>
          </w:tcPr>
          <w:p>
            <w:pPr>
              <w:ind w:left="30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8"/>
                <w:szCs w:val="18"/>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ONTENTS</w:t>
            </w:r>
          </w:p>
        </w:tc>
        <w:tc>
          <w:tcPr>
            <w:tcW w:w="2440" w:type="dxa"/>
            <w:vAlign w:val="bottom"/>
          </w:tcPr>
          <w:p>
            <w:pPr>
              <w:spacing w:after="0"/>
              <w:rPr>
                <w:sz w:val="24"/>
                <w:szCs w:val="24"/>
                <w:color w:val="auto"/>
              </w:rPr>
            </w:pPr>
          </w:p>
        </w:tc>
      </w:tr>
      <w:tr>
        <w:trPr>
          <w:trHeight w:val="367"/>
        </w:trPr>
        <w:tc>
          <w:tcPr>
            <w:tcW w:w="16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w w:val="98"/>
              </w:rPr>
              <w:t>ARTICLE I OFFICES</w:t>
            </w:r>
          </w:p>
        </w:tc>
        <w:tc>
          <w:tcPr>
            <w:tcW w:w="72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200" w:type="dxa"/>
            <w:vAlign w:val="bottom"/>
          </w:tcPr>
          <w:p>
            <w:pPr>
              <w:ind w:left="60"/>
              <w:spacing w:after="0"/>
              <w:rPr>
                <w:sz w:val="20"/>
                <w:szCs w:val="20"/>
                <w:color w:val="auto"/>
              </w:rPr>
            </w:pPr>
            <w:r>
              <w:rPr>
                <w:rFonts w:ascii="Arial" w:cs="Arial" w:eastAsia="Arial" w:hAnsi="Arial"/>
                <w:sz w:val="18"/>
                <w:szCs w:val="18"/>
                <w:color w:val="auto"/>
              </w:rPr>
              <w:t>Registered Office</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200" w:type="dxa"/>
            <w:vAlign w:val="bottom"/>
          </w:tcPr>
          <w:p>
            <w:pPr>
              <w:ind w:left="60"/>
              <w:spacing w:after="0"/>
              <w:rPr>
                <w:sz w:val="20"/>
                <w:szCs w:val="20"/>
                <w:color w:val="auto"/>
              </w:rPr>
            </w:pPr>
            <w:r>
              <w:rPr>
                <w:rFonts w:ascii="Arial" w:cs="Arial" w:eastAsia="Arial" w:hAnsi="Arial"/>
                <w:sz w:val="18"/>
                <w:szCs w:val="18"/>
                <w:color w:val="auto"/>
              </w:rPr>
              <w:t>Other Offices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 CORPORATE SEAL</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200" w:type="dxa"/>
            <w:vAlign w:val="bottom"/>
          </w:tcPr>
          <w:p>
            <w:pPr>
              <w:ind w:left="60"/>
              <w:spacing w:after="0"/>
              <w:rPr>
                <w:sz w:val="20"/>
                <w:szCs w:val="20"/>
                <w:color w:val="auto"/>
              </w:rPr>
            </w:pPr>
            <w:r>
              <w:rPr>
                <w:rFonts w:ascii="Arial" w:cs="Arial" w:eastAsia="Arial" w:hAnsi="Arial"/>
                <w:sz w:val="18"/>
                <w:szCs w:val="18"/>
                <w:color w:val="auto"/>
              </w:rPr>
              <w:t>Corporate Seal</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III STOCKHOLDERS’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200" w:type="dxa"/>
            <w:vAlign w:val="bottom"/>
          </w:tcPr>
          <w:p>
            <w:pPr>
              <w:ind w:left="60"/>
              <w:spacing w:after="0"/>
              <w:rPr>
                <w:sz w:val="20"/>
                <w:szCs w:val="20"/>
                <w:color w:val="auto"/>
              </w:rPr>
            </w:pPr>
            <w:r>
              <w:rPr>
                <w:rFonts w:ascii="Arial" w:cs="Arial" w:eastAsia="Arial" w:hAnsi="Arial"/>
                <w:sz w:val="18"/>
                <w:szCs w:val="18"/>
                <w:color w:val="auto"/>
              </w:rPr>
              <w:t>Place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20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20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20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200" w:type="dxa"/>
            <w:vAlign w:val="bottom"/>
          </w:tcPr>
          <w:p>
            <w:pPr>
              <w:ind w:left="60"/>
              <w:spacing w:after="0"/>
              <w:rPr>
                <w:sz w:val="20"/>
                <w:szCs w:val="20"/>
                <w:color w:val="auto"/>
              </w:rPr>
            </w:pPr>
            <w:r>
              <w:rPr>
                <w:rFonts w:ascii="Arial" w:cs="Arial" w:eastAsia="Arial" w:hAnsi="Arial"/>
                <w:sz w:val="18"/>
                <w:szCs w:val="18"/>
                <w:color w:val="auto"/>
              </w:rPr>
              <w:t>Quorum</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200" w:type="dxa"/>
            <w:vAlign w:val="bottom"/>
          </w:tcPr>
          <w:p>
            <w:pPr>
              <w:ind w:left="60"/>
              <w:spacing w:after="0"/>
              <w:rPr>
                <w:sz w:val="20"/>
                <w:szCs w:val="20"/>
                <w:color w:val="auto"/>
              </w:rPr>
            </w:pPr>
            <w:r>
              <w:rPr>
                <w:rFonts w:ascii="Arial" w:cs="Arial" w:eastAsia="Arial" w:hAnsi="Arial"/>
                <w:sz w:val="18"/>
                <w:szCs w:val="18"/>
                <w:color w:val="auto"/>
              </w:rPr>
              <w:t>Adjournment and Notice of Adjourned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200" w:type="dxa"/>
            <w:vAlign w:val="bottom"/>
          </w:tcPr>
          <w:p>
            <w:pPr>
              <w:ind w:left="60"/>
              <w:spacing w:after="0"/>
              <w:rPr>
                <w:sz w:val="20"/>
                <w:szCs w:val="20"/>
                <w:color w:val="auto"/>
              </w:rPr>
            </w:pPr>
            <w:r>
              <w:rPr>
                <w:rFonts w:ascii="Arial" w:cs="Arial" w:eastAsia="Arial" w:hAnsi="Arial"/>
                <w:sz w:val="18"/>
                <w:szCs w:val="18"/>
                <w:color w:val="auto"/>
              </w:rPr>
              <w:t>Voting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200" w:type="dxa"/>
            <w:vAlign w:val="bottom"/>
          </w:tcPr>
          <w:p>
            <w:pPr>
              <w:ind w:left="60"/>
              <w:spacing w:after="0"/>
              <w:rPr>
                <w:sz w:val="20"/>
                <w:szCs w:val="20"/>
                <w:color w:val="auto"/>
              </w:rPr>
            </w:pPr>
            <w:r>
              <w:rPr>
                <w:rFonts w:ascii="Arial" w:cs="Arial" w:eastAsia="Arial" w:hAnsi="Arial"/>
                <w:sz w:val="18"/>
                <w:szCs w:val="18"/>
                <w:color w:val="auto"/>
              </w:rPr>
              <w:t>Joint Owners of Stock</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200" w:type="dxa"/>
            <w:vAlign w:val="bottom"/>
          </w:tcPr>
          <w:p>
            <w:pPr>
              <w:ind w:left="60"/>
              <w:spacing w:after="0"/>
              <w:rPr>
                <w:sz w:val="20"/>
                <w:szCs w:val="20"/>
                <w:color w:val="auto"/>
              </w:rPr>
            </w:pPr>
            <w:r>
              <w:rPr>
                <w:rFonts w:ascii="Arial" w:cs="Arial" w:eastAsia="Arial" w:hAnsi="Arial"/>
                <w:sz w:val="18"/>
                <w:szCs w:val="18"/>
                <w:color w:val="auto"/>
              </w:rPr>
              <w:t>List of Stockholders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200" w:type="dxa"/>
            <w:vAlign w:val="bottom"/>
          </w:tcPr>
          <w:p>
            <w:pPr>
              <w:ind w:left="60"/>
              <w:spacing w:after="0"/>
              <w:rPr>
                <w:sz w:val="20"/>
                <w:szCs w:val="20"/>
                <w:color w:val="auto"/>
              </w:rPr>
            </w:pPr>
            <w:r>
              <w:rPr>
                <w:rFonts w:ascii="Arial" w:cs="Arial" w:eastAsia="Arial" w:hAnsi="Arial"/>
                <w:sz w:val="18"/>
                <w:szCs w:val="18"/>
                <w:color w:val="auto"/>
              </w:rPr>
              <w:t>Action Without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20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IV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200" w:type="dxa"/>
            <w:vAlign w:val="bottom"/>
          </w:tcPr>
          <w:p>
            <w:pPr>
              <w:ind w:left="60"/>
              <w:spacing w:after="0"/>
              <w:rPr>
                <w:sz w:val="20"/>
                <w:szCs w:val="20"/>
                <w:color w:val="auto"/>
              </w:rPr>
            </w:pPr>
            <w:r>
              <w:rPr>
                <w:rFonts w:ascii="Arial" w:cs="Arial" w:eastAsia="Arial" w:hAnsi="Arial"/>
                <w:sz w:val="18"/>
                <w:szCs w:val="18"/>
                <w:color w:val="auto"/>
              </w:rPr>
              <w:t>Number and Term of Office</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200" w:type="dxa"/>
            <w:vAlign w:val="bottom"/>
          </w:tcPr>
          <w:p>
            <w:pPr>
              <w:ind w:left="60"/>
              <w:spacing w:after="0"/>
              <w:rPr>
                <w:sz w:val="20"/>
                <w:szCs w:val="20"/>
                <w:color w:val="auto"/>
              </w:rPr>
            </w:pPr>
            <w:r>
              <w:rPr>
                <w:rFonts w:ascii="Arial" w:cs="Arial" w:eastAsia="Arial" w:hAnsi="Arial"/>
                <w:sz w:val="18"/>
                <w:szCs w:val="18"/>
                <w:color w:val="auto"/>
              </w:rPr>
              <w:t>Powers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200" w:type="dxa"/>
            <w:vAlign w:val="bottom"/>
          </w:tcPr>
          <w:p>
            <w:pPr>
              <w:ind w:left="60"/>
              <w:spacing w:after="0"/>
              <w:rPr>
                <w:sz w:val="20"/>
                <w:szCs w:val="20"/>
                <w:color w:val="auto"/>
              </w:rPr>
            </w:pPr>
            <w:r>
              <w:rPr>
                <w:rFonts w:ascii="Arial" w:cs="Arial" w:eastAsia="Arial" w:hAnsi="Arial"/>
                <w:sz w:val="18"/>
                <w:szCs w:val="18"/>
                <w:color w:val="auto"/>
              </w:rPr>
              <w:t>Term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200" w:type="dxa"/>
            <w:vAlign w:val="bottom"/>
          </w:tcPr>
          <w:p>
            <w:pPr>
              <w:ind w:left="60"/>
              <w:spacing w:after="0"/>
              <w:rPr>
                <w:sz w:val="20"/>
                <w:szCs w:val="20"/>
                <w:color w:val="auto"/>
              </w:rPr>
            </w:pPr>
            <w:r>
              <w:rPr>
                <w:rFonts w:ascii="Arial" w:cs="Arial" w:eastAsia="Arial" w:hAnsi="Arial"/>
                <w:sz w:val="18"/>
                <w:szCs w:val="18"/>
                <w:color w:val="auto"/>
              </w:rPr>
              <w:t>Vacancies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200" w:type="dxa"/>
            <w:vAlign w:val="bottom"/>
          </w:tcPr>
          <w:p>
            <w:pPr>
              <w:ind w:left="60"/>
              <w:spacing w:after="0"/>
              <w:rPr>
                <w:sz w:val="20"/>
                <w:szCs w:val="20"/>
                <w:color w:val="auto"/>
              </w:rPr>
            </w:pPr>
            <w:r>
              <w:rPr>
                <w:rFonts w:ascii="Arial" w:cs="Arial" w:eastAsia="Arial" w:hAnsi="Arial"/>
                <w:sz w:val="18"/>
                <w:szCs w:val="18"/>
                <w:color w:val="auto"/>
              </w:rPr>
              <w:t>Resignation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20.</w:t>
            </w:r>
          </w:p>
        </w:tc>
        <w:tc>
          <w:tcPr>
            <w:tcW w:w="7200" w:type="dxa"/>
            <w:vAlign w:val="bottom"/>
          </w:tcPr>
          <w:p>
            <w:pPr>
              <w:ind w:left="60"/>
              <w:spacing w:after="0"/>
              <w:rPr>
                <w:sz w:val="20"/>
                <w:szCs w:val="20"/>
                <w:color w:val="auto"/>
              </w:rPr>
            </w:pPr>
            <w:r>
              <w:rPr>
                <w:rFonts w:ascii="Arial" w:cs="Arial" w:eastAsia="Arial" w:hAnsi="Arial"/>
                <w:sz w:val="18"/>
                <w:szCs w:val="18"/>
                <w:color w:val="auto"/>
              </w:rPr>
              <w:t>Removal</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200" w:type="dxa"/>
            <w:vAlign w:val="bottom"/>
          </w:tcPr>
          <w:p>
            <w:pPr>
              <w:ind w:left="60"/>
              <w:spacing w:after="0"/>
              <w:rPr>
                <w:sz w:val="20"/>
                <w:szCs w:val="20"/>
                <w:color w:val="auto"/>
              </w:rPr>
            </w:pPr>
            <w:r>
              <w:rPr>
                <w:rFonts w:ascii="Arial" w:cs="Arial" w:eastAsia="Arial" w:hAnsi="Arial"/>
                <w:sz w:val="18"/>
                <w:szCs w:val="18"/>
                <w:color w:val="auto"/>
              </w:rPr>
              <w:t>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680" w:type="dxa"/>
            <w:vAlign w:val="bottom"/>
          </w:tcPr>
          <w:p>
            <w:pPr>
              <w:ind w:left="900"/>
              <w:spacing w:after="0"/>
              <w:rPr>
                <w:sz w:val="20"/>
                <w:szCs w:val="20"/>
                <w:color w:val="auto"/>
              </w:rPr>
            </w:pPr>
            <w:r>
              <w:rPr>
                <w:rFonts w:ascii="Arial" w:cs="Arial" w:eastAsia="Arial" w:hAnsi="Arial"/>
                <w:sz w:val="18"/>
                <w:szCs w:val="18"/>
                <w:color w:val="auto"/>
              </w:rPr>
              <w:t>(a)</w:t>
            </w:r>
          </w:p>
        </w:tc>
        <w:tc>
          <w:tcPr>
            <w:tcW w:w="720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680" w:type="dxa"/>
            <w:vAlign w:val="bottom"/>
          </w:tcPr>
          <w:p>
            <w:pPr>
              <w:spacing w:after="0"/>
              <w:rPr>
                <w:sz w:val="24"/>
                <w:szCs w:val="24"/>
                <w:color w:val="auto"/>
              </w:rPr>
            </w:pPr>
          </w:p>
        </w:tc>
        <w:tc>
          <w:tcPr>
            <w:tcW w:w="7200" w:type="dxa"/>
            <w:vAlign w:val="bottom"/>
          </w:tcPr>
          <w:p>
            <w:pPr>
              <w:ind w:left="4000"/>
              <w:spacing w:after="0"/>
              <w:rPr>
                <w:sz w:val="20"/>
                <w:szCs w:val="20"/>
                <w:color w:val="auto"/>
              </w:rPr>
            </w:pPr>
            <w:r>
              <w:rPr>
                <w:rFonts w:ascii="Arial" w:cs="Arial" w:eastAsia="Arial" w:hAnsi="Arial"/>
                <w:sz w:val="18"/>
                <w:szCs w:val="18"/>
                <w:color w:val="auto"/>
              </w:rPr>
              <w:t>i</w:t>
            </w:r>
          </w:p>
        </w:tc>
        <w:tc>
          <w:tcPr>
            <w:tcW w:w="2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3" w:name="page244"/>
    <w:bookmarkEnd w:id="243"/>
    <w:tbl>
      <w:tblPr>
        <w:tblLayout w:type="fixed"/>
        <w:tblInd w:w="0" w:type="dxa"/>
        <w:tblCellMar>
          <w:top w:w="0" w:type="dxa"/>
          <w:left w:w="0" w:type="dxa"/>
          <w:bottom w:w="0" w:type="dxa"/>
          <w:right w:w="0" w:type="dxa"/>
        </w:tblCellMar>
      </w:tblPr>
      <w:tr>
        <w:trPr>
          <w:trHeight w:val="230"/>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50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500" w:type="dxa"/>
            <w:vAlign w:val="bottom"/>
          </w:tcPr>
          <w:p>
            <w:pPr>
              <w:ind w:left="240"/>
              <w:spacing w:after="0"/>
              <w:rPr>
                <w:sz w:val="20"/>
                <w:szCs w:val="20"/>
                <w:color w:val="auto"/>
              </w:rPr>
            </w:pPr>
            <w:r>
              <w:rPr>
                <w:rFonts w:ascii="Arial" w:cs="Arial" w:eastAsia="Arial" w:hAnsi="Arial"/>
                <w:sz w:val="18"/>
                <w:szCs w:val="18"/>
                <w:color w:val="auto"/>
              </w:rPr>
              <w:t>Meetings by Electronic Communications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500" w:type="dxa"/>
            <w:vAlign w:val="bottom"/>
          </w:tcPr>
          <w:p>
            <w:pPr>
              <w:ind w:left="240"/>
              <w:spacing w:after="0"/>
              <w:rPr>
                <w:sz w:val="20"/>
                <w:szCs w:val="20"/>
                <w:color w:val="auto"/>
              </w:rPr>
            </w:pPr>
            <w:r>
              <w:rPr>
                <w:rFonts w:ascii="Arial" w:cs="Arial" w:eastAsia="Arial" w:hAnsi="Arial"/>
                <w:sz w:val="18"/>
                <w:szCs w:val="18"/>
                <w:color w:val="auto"/>
              </w:rPr>
              <w:t>Notice of Special 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850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500" w:type="dxa"/>
            <w:vAlign w:val="bottom"/>
          </w:tcPr>
          <w:p>
            <w:pPr>
              <w:ind w:left="240"/>
              <w:spacing w:after="0"/>
              <w:rPr>
                <w:sz w:val="20"/>
                <w:szCs w:val="20"/>
                <w:color w:val="auto"/>
              </w:rPr>
            </w:pPr>
            <w:r>
              <w:rPr>
                <w:rFonts w:ascii="Arial" w:cs="Arial" w:eastAsia="Arial" w:hAnsi="Arial"/>
                <w:sz w:val="18"/>
                <w:szCs w:val="18"/>
                <w:color w:val="auto"/>
              </w:rPr>
              <w:t>Quorum and Voting</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500" w:type="dxa"/>
            <w:vAlign w:val="bottom"/>
          </w:tcPr>
          <w:p>
            <w:pPr>
              <w:ind w:left="240"/>
              <w:spacing w:after="0"/>
              <w:rPr>
                <w:sz w:val="20"/>
                <w:szCs w:val="20"/>
                <w:color w:val="auto"/>
              </w:rPr>
            </w:pPr>
            <w:r>
              <w:rPr>
                <w:rFonts w:ascii="Arial" w:cs="Arial" w:eastAsia="Arial" w:hAnsi="Arial"/>
                <w:sz w:val="18"/>
                <w:szCs w:val="18"/>
                <w:color w:val="auto"/>
              </w:rPr>
              <w:t>Action Without Meeting</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500" w:type="dxa"/>
            <w:vAlign w:val="bottom"/>
          </w:tcPr>
          <w:p>
            <w:pPr>
              <w:ind w:left="240"/>
              <w:spacing w:after="0"/>
              <w:rPr>
                <w:sz w:val="20"/>
                <w:szCs w:val="20"/>
                <w:color w:val="auto"/>
              </w:rPr>
            </w:pPr>
            <w:r>
              <w:rPr>
                <w:rFonts w:ascii="Arial" w:cs="Arial" w:eastAsia="Arial" w:hAnsi="Arial"/>
                <w:sz w:val="18"/>
                <w:szCs w:val="18"/>
                <w:color w:val="auto"/>
              </w:rPr>
              <w:t>Fees and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50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500" w:type="dxa"/>
            <w:vAlign w:val="bottom"/>
          </w:tcPr>
          <w:p>
            <w:pPr>
              <w:ind w:left="240"/>
              <w:spacing w:after="0"/>
              <w:rPr>
                <w:sz w:val="20"/>
                <w:szCs w:val="20"/>
                <w:color w:val="auto"/>
              </w:rPr>
            </w:pPr>
            <w:r>
              <w:rPr>
                <w:rFonts w:ascii="Arial" w:cs="Arial" w:eastAsia="Arial" w:hAnsi="Arial"/>
                <w:sz w:val="18"/>
                <w:szCs w:val="18"/>
                <w:color w:val="auto"/>
              </w:rPr>
              <w:t>Executive Committee</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500" w:type="dxa"/>
            <w:vAlign w:val="bottom"/>
          </w:tcPr>
          <w:p>
            <w:pPr>
              <w:ind w:left="240"/>
              <w:spacing w:after="0"/>
              <w:rPr>
                <w:sz w:val="20"/>
                <w:szCs w:val="20"/>
                <w:color w:val="auto"/>
              </w:rPr>
            </w:pPr>
            <w:r>
              <w:rPr>
                <w:rFonts w:ascii="Arial" w:cs="Arial" w:eastAsia="Arial" w:hAnsi="Arial"/>
                <w:sz w:val="18"/>
                <w:szCs w:val="18"/>
                <w:color w:val="auto"/>
              </w:rPr>
              <w:t>Other Committees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500" w:type="dxa"/>
            <w:vAlign w:val="bottom"/>
          </w:tcPr>
          <w:p>
            <w:pPr>
              <w:ind w:left="240"/>
              <w:spacing w:after="0"/>
              <w:rPr>
                <w:sz w:val="20"/>
                <w:szCs w:val="20"/>
                <w:color w:val="auto"/>
              </w:rPr>
            </w:pPr>
            <w:r>
              <w:rPr>
                <w:rFonts w:ascii="Arial" w:cs="Arial" w:eastAsia="Arial" w:hAnsi="Arial"/>
                <w:sz w:val="18"/>
                <w:szCs w:val="18"/>
                <w:color w:val="auto"/>
              </w:rPr>
              <w:t>Term</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500" w:type="dxa"/>
            <w:vAlign w:val="bottom"/>
          </w:tcPr>
          <w:p>
            <w:pPr>
              <w:ind w:left="240"/>
              <w:spacing w:after="0"/>
              <w:rPr>
                <w:sz w:val="20"/>
                <w:szCs w:val="20"/>
                <w:color w:val="auto"/>
              </w:rPr>
            </w:pPr>
            <w:r>
              <w:rPr>
                <w:rFonts w:ascii="Arial" w:cs="Arial" w:eastAsia="Arial" w:hAnsi="Arial"/>
                <w:sz w:val="18"/>
                <w:szCs w:val="18"/>
                <w:color w:val="auto"/>
              </w:rPr>
              <w:t>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50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990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500" w:type="dxa"/>
            <w:vAlign w:val="bottom"/>
          </w:tcPr>
          <w:p>
            <w:pPr>
              <w:ind w:left="240"/>
              <w:spacing w:after="0"/>
              <w:rPr>
                <w:sz w:val="20"/>
                <w:szCs w:val="20"/>
                <w:color w:val="auto"/>
              </w:rPr>
            </w:pPr>
            <w:r>
              <w:rPr>
                <w:rFonts w:ascii="Arial" w:cs="Arial" w:eastAsia="Arial" w:hAnsi="Arial"/>
                <w:sz w:val="18"/>
                <w:szCs w:val="18"/>
                <w:color w:val="auto"/>
              </w:rPr>
              <w:t>Officers Designated</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8500" w:type="dxa"/>
            <w:vAlign w:val="bottom"/>
          </w:tcPr>
          <w:p>
            <w:pPr>
              <w:ind w:left="240"/>
              <w:spacing w:after="0"/>
              <w:rPr>
                <w:sz w:val="20"/>
                <w:szCs w:val="20"/>
                <w:color w:val="auto"/>
              </w:rPr>
            </w:pPr>
            <w:r>
              <w:rPr>
                <w:rFonts w:ascii="Arial" w:cs="Arial" w:eastAsia="Arial" w:hAnsi="Arial"/>
                <w:sz w:val="18"/>
                <w:szCs w:val="18"/>
                <w:color w:val="auto"/>
              </w:rPr>
              <w:t>Tenure and Duties of Officers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500" w:type="dxa"/>
            <w:vAlign w:val="bottom"/>
          </w:tcPr>
          <w:p>
            <w:pPr>
              <w:ind w:left="240"/>
              <w:spacing w:after="0"/>
              <w:rPr>
                <w:sz w:val="20"/>
                <w:szCs w:val="20"/>
                <w:color w:val="auto"/>
              </w:rPr>
            </w:pPr>
            <w:r>
              <w:rPr>
                <w:rFonts w:ascii="Arial" w:cs="Arial" w:eastAsia="Arial" w:hAnsi="Arial"/>
                <w:sz w:val="18"/>
                <w:szCs w:val="18"/>
                <w:color w:val="auto"/>
              </w:rPr>
              <w:t>General</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Chairman of the Board of Directors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President</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Vice Presidents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Secretary</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(f)</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Chief Financial Officer</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500" w:type="dxa"/>
            <w:vAlign w:val="bottom"/>
          </w:tcPr>
          <w:p>
            <w:pPr>
              <w:ind w:left="240"/>
              <w:spacing w:after="0"/>
              <w:rPr>
                <w:sz w:val="20"/>
                <w:szCs w:val="20"/>
                <w:color w:val="auto"/>
              </w:rPr>
            </w:pPr>
            <w:r>
              <w:rPr>
                <w:rFonts w:ascii="Arial" w:cs="Arial" w:eastAsia="Arial" w:hAnsi="Arial"/>
                <w:sz w:val="18"/>
                <w:szCs w:val="18"/>
                <w:color w:val="auto"/>
              </w:rPr>
              <w:t>Delegation of Authority</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30.</w:t>
            </w:r>
          </w:p>
        </w:tc>
        <w:tc>
          <w:tcPr>
            <w:tcW w:w="8500" w:type="dxa"/>
            <w:vAlign w:val="bottom"/>
          </w:tcPr>
          <w:p>
            <w:pPr>
              <w:ind w:left="240"/>
              <w:spacing w:after="0"/>
              <w:rPr>
                <w:sz w:val="20"/>
                <w:szCs w:val="20"/>
                <w:color w:val="auto"/>
              </w:rPr>
            </w:pPr>
            <w:r>
              <w:rPr>
                <w:rFonts w:ascii="Arial" w:cs="Arial" w:eastAsia="Arial" w:hAnsi="Arial"/>
                <w:sz w:val="18"/>
                <w:szCs w:val="18"/>
                <w:color w:val="auto"/>
              </w:rPr>
              <w:t>Resignations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500" w:type="dxa"/>
            <w:vAlign w:val="bottom"/>
          </w:tcPr>
          <w:p>
            <w:pPr>
              <w:ind w:left="240"/>
              <w:spacing w:after="0"/>
              <w:rPr>
                <w:sz w:val="20"/>
                <w:szCs w:val="20"/>
                <w:color w:val="auto"/>
              </w:rPr>
            </w:pPr>
            <w:r>
              <w:rPr>
                <w:rFonts w:ascii="Arial" w:cs="Arial" w:eastAsia="Arial" w:hAnsi="Arial"/>
                <w:sz w:val="18"/>
                <w:szCs w:val="18"/>
                <w:color w:val="auto"/>
              </w:rPr>
              <w:t>Removal</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9900" w:type="dxa"/>
            <w:vAlign w:val="bottom"/>
            <w:gridSpan w:val="2"/>
          </w:tcPr>
          <w:p>
            <w:pPr>
              <w:spacing w:after="0"/>
              <w:rPr>
                <w:sz w:val="20"/>
                <w:szCs w:val="20"/>
                <w:color w:val="auto"/>
              </w:rPr>
            </w:pPr>
            <w:r>
              <w:rPr>
                <w:rFonts w:ascii="Arial" w:cs="Arial" w:eastAsia="Arial" w:hAnsi="Arial"/>
                <w:sz w:val="18"/>
                <w:szCs w:val="18"/>
                <w:color w:val="auto"/>
              </w:rPr>
              <w:t>ARTICLE VI EXECUTION OF CORPORATE INSTRUMENTS AND VOTING OF SECURITIES OWNED BY THE</w:t>
            </w:r>
          </w:p>
        </w:tc>
        <w:tc>
          <w:tcPr>
            <w:tcW w:w="1420" w:type="dxa"/>
            <w:vAlign w:val="bottom"/>
          </w:tcPr>
          <w:p>
            <w:pPr>
              <w:spacing w:after="0"/>
              <w:rPr>
                <w:sz w:val="24"/>
                <w:szCs w:val="24"/>
                <w:color w:val="auto"/>
              </w:rPr>
            </w:pPr>
          </w:p>
        </w:tc>
      </w:tr>
      <w:tr>
        <w:trPr>
          <w:trHeight w:val="244"/>
        </w:trPr>
        <w:tc>
          <w:tcPr>
            <w:tcW w:w="9900" w:type="dxa"/>
            <w:vAlign w:val="bottom"/>
            <w:gridSpan w:val="2"/>
          </w:tcPr>
          <w:p>
            <w:pPr>
              <w:ind w:left="1060"/>
              <w:spacing w:after="0"/>
              <w:rPr>
                <w:sz w:val="20"/>
                <w:szCs w:val="20"/>
                <w:color w:val="auto"/>
              </w:rPr>
            </w:pPr>
            <w:r>
              <w:rPr>
                <w:rFonts w:ascii="Arial" w:cs="Arial" w:eastAsia="Arial" w:hAnsi="Arial"/>
                <w:sz w:val="18"/>
                <w:szCs w:val="18"/>
                <w:color w:val="auto"/>
              </w:rPr>
              <w:t>CORPORATION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500" w:type="dxa"/>
            <w:vAlign w:val="bottom"/>
          </w:tcPr>
          <w:p>
            <w:pPr>
              <w:ind w:left="240"/>
              <w:spacing w:after="0"/>
              <w:rPr>
                <w:sz w:val="20"/>
                <w:szCs w:val="20"/>
                <w:color w:val="auto"/>
              </w:rPr>
            </w:pPr>
            <w:r>
              <w:rPr>
                <w:rFonts w:ascii="Arial" w:cs="Arial" w:eastAsia="Arial" w:hAnsi="Arial"/>
                <w:sz w:val="18"/>
                <w:szCs w:val="18"/>
                <w:color w:val="auto"/>
              </w:rPr>
              <w:t>Execution of Corporate Instruments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500" w:type="dxa"/>
            <w:vAlign w:val="bottom"/>
          </w:tcPr>
          <w:p>
            <w:pPr>
              <w:ind w:left="240"/>
              <w:spacing w:after="0"/>
              <w:rPr>
                <w:sz w:val="20"/>
                <w:szCs w:val="20"/>
                <w:color w:val="auto"/>
              </w:rPr>
            </w:pPr>
            <w:r>
              <w:rPr>
                <w:rFonts w:ascii="Arial" w:cs="Arial" w:eastAsia="Arial" w:hAnsi="Arial"/>
                <w:sz w:val="18"/>
                <w:szCs w:val="18"/>
                <w:color w:val="auto"/>
              </w:rPr>
              <w:t>Voting of Securities Owned by the Corporation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900" w:type="dxa"/>
            <w:vAlign w:val="bottom"/>
            <w:gridSpan w:val="2"/>
          </w:tcPr>
          <w:p>
            <w:pPr>
              <w:spacing w:after="0"/>
              <w:rPr>
                <w:sz w:val="20"/>
                <w:szCs w:val="20"/>
                <w:color w:val="auto"/>
              </w:rPr>
            </w:pPr>
            <w:r>
              <w:rPr>
                <w:rFonts w:ascii="Arial" w:cs="Arial" w:eastAsia="Arial" w:hAnsi="Arial"/>
                <w:sz w:val="18"/>
                <w:szCs w:val="18"/>
                <w:color w:val="auto"/>
              </w:rPr>
              <w:t>ARTICLE VII SHARES OF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1400" w:type="dxa"/>
            <w:vAlign w:val="bottom"/>
          </w:tcPr>
          <w:p>
            <w:pPr>
              <w:spacing w:after="0"/>
              <w:rPr>
                <w:sz w:val="24"/>
                <w:szCs w:val="24"/>
                <w:color w:val="auto"/>
              </w:rPr>
            </w:pPr>
          </w:p>
        </w:tc>
        <w:tc>
          <w:tcPr>
            <w:tcW w:w="8500" w:type="dxa"/>
            <w:vAlign w:val="bottom"/>
          </w:tcPr>
          <w:p>
            <w:pPr>
              <w:ind w:left="4260"/>
              <w:spacing w:after="0"/>
              <w:rPr>
                <w:sz w:val="20"/>
                <w:szCs w:val="20"/>
                <w:color w:val="auto"/>
              </w:rPr>
            </w:pPr>
            <w:r>
              <w:rPr>
                <w:rFonts w:ascii="Arial" w:cs="Arial" w:eastAsia="Arial" w:hAnsi="Arial"/>
                <w:sz w:val="18"/>
                <w:szCs w:val="18"/>
                <w:color w:val="auto"/>
              </w:rPr>
              <w:t>ii</w:t>
            </w: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4" w:name="page245"/>
    <w:bookmarkEnd w:id="244"/>
    <w:tbl>
      <w:tblPr>
        <w:tblLayout w:type="fixed"/>
        <w:tblInd w:w="0" w:type="dxa"/>
        <w:tblCellMar>
          <w:top w:w="0" w:type="dxa"/>
          <w:left w:w="0" w:type="dxa"/>
          <w:bottom w:w="0" w:type="dxa"/>
          <w:right w:w="0" w:type="dxa"/>
        </w:tblCellMar>
      </w:tblP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320" w:type="dxa"/>
            <w:vAlign w:val="bottom"/>
          </w:tcPr>
          <w:p>
            <w:pPr>
              <w:ind w:left="240"/>
              <w:spacing w:after="0"/>
              <w:rPr>
                <w:sz w:val="20"/>
                <w:szCs w:val="20"/>
                <w:color w:val="auto"/>
              </w:rPr>
            </w:pPr>
            <w:r>
              <w:rPr>
                <w:rFonts w:ascii="Arial" w:cs="Arial" w:eastAsia="Arial" w:hAnsi="Arial"/>
                <w:sz w:val="18"/>
                <w:szCs w:val="18"/>
                <w:color w:val="auto"/>
              </w:rPr>
              <w:t>Form and Execution of Certificates</w:t>
            </w: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320" w:type="dxa"/>
            <w:vAlign w:val="bottom"/>
          </w:tcPr>
          <w:p>
            <w:pPr>
              <w:ind w:left="240"/>
              <w:spacing w:after="0"/>
              <w:rPr>
                <w:sz w:val="20"/>
                <w:szCs w:val="20"/>
                <w:color w:val="auto"/>
              </w:rPr>
            </w:pPr>
            <w:r>
              <w:rPr>
                <w:rFonts w:ascii="Arial" w:cs="Arial" w:eastAsia="Arial" w:hAnsi="Arial"/>
                <w:sz w:val="18"/>
                <w:szCs w:val="18"/>
                <w:color w:val="auto"/>
              </w:rPr>
              <w:t>Lost Certificates</w:t>
            </w: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32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8320" w:type="dxa"/>
            <w:vAlign w:val="bottom"/>
          </w:tcPr>
          <w:p>
            <w:pPr>
              <w:ind w:left="240"/>
              <w:spacing w:after="0"/>
              <w:rPr>
                <w:sz w:val="20"/>
                <w:szCs w:val="20"/>
                <w:color w:val="auto"/>
              </w:rPr>
            </w:pPr>
            <w:r>
              <w:rPr>
                <w:rFonts w:ascii="Arial" w:cs="Arial" w:eastAsia="Arial" w:hAnsi="Arial"/>
                <w:sz w:val="18"/>
                <w:szCs w:val="18"/>
                <w:color w:val="auto"/>
              </w:rPr>
              <w:t>Fixing Record Dates</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8320" w:type="dxa"/>
            <w:vAlign w:val="bottom"/>
          </w:tcPr>
          <w:p>
            <w:pPr>
              <w:ind w:left="240"/>
              <w:spacing w:after="0"/>
              <w:rPr>
                <w:sz w:val="20"/>
                <w:szCs w:val="20"/>
                <w:color w:val="auto"/>
              </w:rPr>
            </w:pPr>
            <w:r>
              <w:rPr>
                <w:rFonts w:ascii="Arial" w:cs="Arial" w:eastAsia="Arial" w:hAnsi="Arial"/>
                <w:sz w:val="18"/>
                <w:szCs w:val="18"/>
                <w:color w:val="auto"/>
              </w:rPr>
              <w:t>Registered Stockholders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VIII OTHER SECURITIES OF THE CORPORATION</w:t>
            </w: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8320" w:type="dxa"/>
            <w:vAlign w:val="bottom"/>
          </w:tcPr>
          <w:p>
            <w:pPr>
              <w:ind w:left="240"/>
              <w:spacing w:after="0"/>
              <w:rPr>
                <w:sz w:val="20"/>
                <w:szCs w:val="20"/>
                <w:color w:val="auto"/>
              </w:rPr>
            </w:pPr>
            <w:r>
              <w:rPr>
                <w:rFonts w:ascii="Arial" w:cs="Arial" w:eastAsia="Arial" w:hAnsi="Arial"/>
                <w:sz w:val="18"/>
                <w:szCs w:val="18"/>
                <w:color w:val="auto"/>
              </w:rPr>
              <w:t>Execution of Other Securities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IX DIVIDENDS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40.</w:t>
            </w:r>
          </w:p>
        </w:tc>
        <w:tc>
          <w:tcPr>
            <w:tcW w:w="8320" w:type="dxa"/>
            <w:vAlign w:val="bottom"/>
          </w:tcPr>
          <w:p>
            <w:pPr>
              <w:ind w:left="240"/>
              <w:spacing w:after="0"/>
              <w:rPr>
                <w:sz w:val="20"/>
                <w:szCs w:val="20"/>
                <w:color w:val="auto"/>
              </w:rPr>
            </w:pPr>
            <w:r>
              <w:rPr>
                <w:rFonts w:ascii="Arial" w:cs="Arial" w:eastAsia="Arial" w:hAnsi="Arial"/>
                <w:sz w:val="18"/>
                <w:szCs w:val="18"/>
                <w:color w:val="auto"/>
              </w:rPr>
              <w:t>Declaration of Dividends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320" w:type="dxa"/>
            <w:vAlign w:val="bottom"/>
          </w:tcPr>
          <w:p>
            <w:pPr>
              <w:ind w:left="240"/>
              <w:spacing w:after="0"/>
              <w:rPr>
                <w:sz w:val="20"/>
                <w:szCs w:val="20"/>
                <w:color w:val="auto"/>
              </w:rPr>
            </w:pPr>
            <w:r>
              <w:rPr>
                <w:rFonts w:ascii="Arial" w:cs="Arial" w:eastAsia="Arial" w:hAnsi="Arial"/>
                <w:sz w:val="18"/>
                <w:szCs w:val="18"/>
                <w:color w:val="auto"/>
              </w:rPr>
              <w:t>Dividend Reserve</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X FISCAL YEAR</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32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XI INDEMNIFICATION</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720" w:type="dxa"/>
            <w:vAlign w:val="bottom"/>
            <w:gridSpan w:val="2"/>
          </w:tcPr>
          <w:p>
            <w:pPr>
              <w:ind w:left="360"/>
              <w:spacing w:after="0"/>
              <w:rPr>
                <w:sz w:val="20"/>
                <w:szCs w:val="20"/>
                <w:color w:val="auto"/>
              </w:rPr>
            </w:pPr>
            <w:r>
              <w:rPr>
                <w:rFonts w:ascii="Arial" w:cs="Arial" w:eastAsia="Arial" w:hAnsi="Arial"/>
                <w:sz w:val="18"/>
                <w:szCs w:val="18"/>
                <w:color w:val="auto"/>
              </w:rPr>
              <w:t>Section 43.   Indemnification of Directors, Executive Officers, Other Officers, Employees and Other Agents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320" w:type="dxa"/>
            <w:vAlign w:val="bottom"/>
          </w:tcPr>
          <w:p>
            <w:pPr>
              <w:ind w:left="240"/>
              <w:spacing w:after="0"/>
              <w:rPr>
                <w:sz w:val="20"/>
                <w:szCs w:val="20"/>
                <w:color w:val="auto"/>
              </w:rPr>
            </w:pPr>
            <w:r>
              <w:rPr>
                <w:rFonts w:ascii="Arial" w:cs="Arial" w:eastAsia="Arial" w:hAnsi="Arial"/>
                <w:sz w:val="18"/>
                <w:szCs w:val="18"/>
                <w:color w:val="auto"/>
              </w:rPr>
              <w:t>Directors and Executive Officers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320" w:type="dxa"/>
            <w:vAlign w:val="bottom"/>
          </w:tcPr>
          <w:p>
            <w:pPr>
              <w:ind w:left="240"/>
              <w:spacing w:after="0"/>
              <w:rPr>
                <w:sz w:val="20"/>
                <w:szCs w:val="20"/>
                <w:color w:val="auto"/>
              </w:rPr>
            </w:pPr>
            <w:r>
              <w:rPr>
                <w:rFonts w:ascii="Arial" w:cs="Arial" w:eastAsia="Arial" w:hAnsi="Arial"/>
                <w:sz w:val="18"/>
                <w:szCs w:val="18"/>
                <w:color w:val="auto"/>
              </w:rPr>
              <w:t>Other Officers, Employees and Other Agents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320" w:type="dxa"/>
            <w:vAlign w:val="bottom"/>
          </w:tcPr>
          <w:p>
            <w:pPr>
              <w:ind w:left="240"/>
              <w:spacing w:after="0"/>
              <w:rPr>
                <w:sz w:val="20"/>
                <w:szCs w:val="20"/>
                <w:color w:val="auto"/>
              </w:rPr>
            </w:pPr>
            <w:r>
              <w:rPr>
                <w:rFonts w:ascii="Arial" w:cs="Arial" w:eastAsia="Arial" w:hAnsi="Arial"/>
                <w:sz w:val="18"/>
                <w:szCs w:val="18"/>
                <w:color w:val="auto"/>
              </w:rPr>
              <w:t>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320" w:type="dxa"/>
            <w:vAlign w:val="bottom"/>
          </w:tcPr>
          <w:p>
            <w:pPr>
              <w:ind w:left="240"/>
              <w:spacing w:after="0"/>
              <w:rPr>
                <w:sz w:val="20"/>
                <w:szCs w:val="20"/>
                <w:color w:val="auto"/>
              </w:rPr>
            </w:pPr>
            <w:r>
              <w:rPr>
                <w:rFonts w:ascii="Arial" w:cs="Arial" w:eastAsia="Arial" w:hAnsi="Arial"/>
                <w:sz w:val="18"/>
                <w:szCs w:val="18"/>
                <w:color w:val="auto"/>
              </w:rPr>
              <w:t>Enforcement</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8320" w:type="dxa"/>
            <w:vAlign w:val="bottom"/>
          </w:tcPr>
          <w:p>
            <w:pPr>
              <w:ind w:left="240"/>
              <w:spacing w:after="0"/>
              <w:rPr>
                <w:sz w:val="20"/>
                <w:szCs w:val="20"/>
                <w:color w:val="auto"/>
              </w:rPr>
            </w:pPr>
            <w:r>
              <w:rPr>
                <w:rFonts w:ascii="Arial" w:cs="Arial" w:eastAsia="Arial" w:hAnsi="Arial"/>
                <w:sz w:val="18"/>
                <w:szCs w:val="18"/>
                <w:color w:val="auto"/>
              </w:rPr>
              <w:t>Non-Exclusivity of Rights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(f)</w:t>
            </w:r>
          </w:p>
        </w:tc>
        <w:tc>
          <w:tcPr>
            <w:tcW w:w="8320" w:type="dxa"/>
            <w:vAlign w:val="bottom"/>
          </w:tcPr>
          <w:p>
            <w:pPr>
              <w:ind w:left="240"/>
              <w:spacing w:after="0"/>
              <w:rPr>
                <w:sz w:val="20"/>
                <w:szCs w:val="20"/>
                <w:color w:val="auto"/>
              </w:rPr>
            </w:pPr>
            <w:r>
              <w:rPr>
                <w:rFonts w:ascii="Arial" w:cs="Arial" w:eastAsia="Arial" w:hAnsi="Arial"/>
                <w:sz w:val="18"/>
                <w:szCs w:val="18"/>
                <w:color w:val="auto"/>
              </w:rPr>
              <w:t>Survival of Rights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(g)</w:t>
            </w:r>
          </w:p>
        </w:tc>
        <w:tc>
          <w:tcPr>
            <w:tcW w:w="83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(h)</w:t>
            </w:r>
          </w:p>
        </w:tc>
        <w:tc>
          <w:tcPr>
            <w:tcW w:w="832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(i)</w:t>
            </w:r>
          </w:p>
        </w:tc>
        <w:tc>
          <w:tcPr>
            <w:tcW w:w="8320" w:type="dxa"/>
            <w:vAlign w:val="bottom"/>
          </w:tcPr>
          <w:p>
            <w:pPr>
              <w:ind w:left="240"/>
              <w:spacing w:after="0"/>
              <w:rPr>
                <w:sz w:val="20"/>
                <w:szCs w:val="20"/>
                <w:color w:val="auto"/>
              </w:rPr>
            </w:pPr>
            <w:r>
              <w:rPr>
                <w:rFonts w:ascii="Arial" w:cs="Arial" w:eastAsia="Arial" w:hAnsi="Arial"/>
                <w:sz w:val="18"/>
                <w:szCs w:val="18"/>
                <w:color w:val="auto"/>
              </w:rPr>
              <w:t>Saving Clause</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(j)</w:t>
            </w:r>
          </w:p>
        </w:tc>
        <w:tc>
          <w:tcPr>
            <w:tcW w:w="832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XII NOTICES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320" w:type="dxa"/>
            <w:vAlign w:val="bottom"/>
          </w:tcPr>
          <w:p>
            <w:pPr>
              <w:ind w:left="240"/>
              <w:spacing w:after="0"/>
              <w:rPr>
                <w:sz w:val="20"/>
                <w:szCs w:val="20"/>
                <w:color w:val="auto"/>
              </w:rPr>
            </w:pPr>
            <w:r>
              <w:rPr>
                <w:rFonts w:ascii="Arial" w:cs="Arial" w:eastAsia="Arial" w:hAnsi="Arial"/>
                <w:sz w:val="18"/>
                <w:szCs w:val="18"/>
                <w:color w:val="auto"/>
              </w:rPr>
              <w:t>Notices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320" w:type="dxa"/>
            <w:vAlign w:val="bottom"/>
          </w:tcPr>
          <w:p>
            <w:pPr>
              <w:ind w:left="240"/>
              <w:spacing w:after="0"/>
              <w:rPr>
                <w:sz w:val="20"/>
                <w:szCs w:val="20"/>
                <w:color w:val="auto"/>
              </w:rPr>
            </w:pPr>
            <w:r>
              <w:rPr>
                <w:rFonts w:ascii="Arial" w:cs="Arial" w:eastAsia="Arial" w:hAnsi="Arial"/>
                <w:sz w:val="18"/>
                <w:szCs w:val="18"/>
                <w:color w:val="auto"/>
              </w:rPr>
              <w:t>Notice to Stockholders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320" w:type="dxa"/>
            <w:vAlign w:val="bottom"/>
          </w:tcPr>
          <w:p>
            <w:pPr>
              <w:ind w:left="240"/>
              <w:spacing w:after="0"/>
              <w:rPr>
                <w:sz w:val="20"/>
                <w:szCs w:val="20"/>
                <w:color w:val="auto"/>
              </w:rPr>
            </w:pPr>
            <w:r>
              <w:rPr>
                <w:rFonts w:ascii="Arial" w:cs="Arial" w:eastAsia="Arial" w:hAnsi="Arial"/>
                <w:sz w:val="18"/>
                <w:szCs w:val="18"/>
                <w:color w:val="auto"/>
              </w:rPr>
              <w:t>Notice to Directors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400" w:type="dxa"/>
            <w:vAlign w:val="bottom"/>
          </w:tcPr>
          <w:p>
            <w:pPr>
              <w:spacing w:after="0"/>
              <w:rPr>
                <w:sz w:val="24"/>
                <w:szCs w:val="24"/>
                <w:color w:val="auto"/>
              </w:rPr>
            </w:pPr>
          </w:p>
        </w:tc>
        <w:tc>
          <w:tcPr>
            <w:tcW w:w="8320" w:type="dxa"/>
            <w:vAlign w:val="bottom"/>
          </w:tcPr>
          <w:p>
            <w:pPr>
              <w:ind w:left="4240"/>
              <w:spacing w:after="0"/>
              <w:rPr>
                <w:sz w:val="20"/>
                <w:szCs w:val="20"/>
                <w:color w:val="auto"/>
              </w:rPr>
            </w:pPr>
            <w:r>
              <w:rPr>
                <w:rFonts w:ascii="Arial" w:cs="Arial" w:eastAsia="Arial" w:hAnsi="Arial"/>
                <w:sz w:val="18"/>
                <w:szCs w:val="18"/>
                <w:color w:val="auto"/>
              </w:rPr>
              <w:t>iii</w:t>
            </w: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5" w:name="page246"/>
    <w:bookmarkEnd w:id="245"/>
    <w:tbl>
      <w:tblPr>
        <w:tblLayout w:type="fixed"/>
        <w:tblInd w:w="0" w:type="dxa"/>
        <w:tblCellMar>
          <w:top w:w="0" w:type="dxa"/>
          <w:left w:w="0" w:type="dxa"/>
          <w:bottom w:w="0" w:type="dxa"/>
          <w:right w:w="0" w:type="dxa"/>
        </w:tblCellMar>
      </w:tblPr>
      <w:tr>
        <w:trPr>
          <w:trHeight w:val="230"/>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7080" w:type="dxa"/>
            <w:vAlign w:val="bottom"/>
          </w:tcPr>
          <w:p>
            <w:pPr>
              <w:ind w:left="240"/>
              <w:spacing w:after="0"/>
              <w:rPr>
                <w:sz w:val="20"/>
                <w:szCs w:val="20"/>
                <w:color w:val="auto"/>
              </w:rPr>
            </w:pPr>
            <w:r>
              <w:rPr>
                <w:rFonts w:ascii="Arial" w:cs="Arial" w:eastAsia="Arial" w:hAnsi="Arial"/>
                <w:sz w:val="18"/>
                <w:szCs w:val="18"/>
                <w:color w:val="auto"/>
              </w:rPr>
              <w:t>Affidavit of Mailing</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7080" w:type="dxa"/>
            <w:vAlign w:val="bottom"/>
          </w:tcPr>
          <w:p>
            <w:pPr>
              <w:ind w:left="240"/>
              <w:spacing w:after="0"/>
              <w:rPr>
                <w:sz w:val="20"/>
                <w:szCs w:val="20"/>
                <w:color w:val="auto"/>
              </w:rPr>
            </w:pPr>
            <w:r>
              <w:rPr>
                <w:rFonts w:ascii="Arial" w:cs="Arial" w:eastAsia="Arial" w:hAnsi="Arial"/>
                <w:sz w:val="18"/>
                <w:szCs w:val="18"/>
                <w:color w:val="auto"/>
              </w:rPr>
              <w:t>Methods of Notice</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7080" w:type="dxa"/>
            <w:vAlign w:val="bottom"/>
          </w:tcPr>
          <w:p>
            <w:pPr>
              <w:ind w:left="240"/>
              <w:spacing w:after="0"/>
              <w:rPr>
                <w:sz w:val="20"/>
                <w:szCs w:val="20"/>
                <w:color w:val="auto"/>
              </w:rPr>
            </w:pPr>
            <w:r>
              <w:rPr>
                <w:rFonts w:ascii="Arial" w:cs="Arial" w:eastAsia="Arial" w:hAnsi="Arial"/>
                <w:sz w:val="18"/>
                <w:szCs w:val="18"/>
                <w:color w:val="auto"/>
              </w:rPr>
              <w:t>Notice to Person with Whom Communication Is Unlawful</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(f)</w:t>
            </w:r>
          </w:p>
        </w:tc>
        <w:tc>
          <w:tcPr>
            <w:tcW w:w="7080" w:type="dxa"/>
            <w:vAlign w:val="bottom"/>
          </w:tcPr>
          <w:p>
            <w:pPr>
              <w:ind w:left="240"/>
              <w:spacing w:after="0"/>
              <w:rPr>
                <w:sz w:val="20"/>
                <w:szCs w:val="20"/>
                <w:color w:val="auto"/>
              </w:rPr>
            </w:pPr>
            <w:r>
              <w:rPr>
                <w:rFonts w:ascii="Arial" w:cs="Arial" w:eastAsia="Arial" w:hAnsi="Arial"/>
                <w:sz w:val="18"/>
                <w:szCs w:val="18"/>
                <w:color w:val="auto"/>
              </w:rPr>
              <w:t>Notice to Stockholders Sharing an Address</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XIII AMENDMENTS</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08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XIV RIGHT OF FIRST REFUSAL</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080" w:type="dxa"/>
            <w:vAlign w:val="bottom"/>
          </w:tcPr>
          <w:p>
            <w:pPr>
              <w:ind w:left="240"/>
              <w:spacing w:after="0"/>
              <w:rPr>
                <w:sz w:val="20"/>
                <w:szCs w:val="20"/>
                <w:color w:val="auto"/>
              </w:rPr>
            </w:pPr>
            <w:r>
              <w:rPr>
                <w:rFonts w:ascii="Arial" w:cs="Arial" w:eastAsia="Arial" w:hAnsi="Arial"/>
                <w:sz w:val="18"/>
                <w:szCs w:val="18"/>
                <w:color w:val="auto"/>
              </w:rPr>
              <w:t>Right of First Refusal</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XV LOANS TO OFFICERS</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080" w:type="dxa"/>
            <w:vAlign w:val="bottom"/>
          </w:tcPr>
          <w:p>
            <w:pPr>
              <w:ind w:left="240"/>
              <w:spacing w:after="0"/>
              <w:rPr>
                <w:sz w:val="20"/>
                <w:szCs w:val="20"/>
                <w:color w:val="auto"/>
              </w:rPr>
            </w:pPr>
            <w:r>
              <w:rPr>
                <w:rFonts w:ascii="Arial" w:cs="Arial" w:eastAsia="Arial" w:hAnsi="Arial"/>
                <w:sz w:val="18"/>
                <w:szCs w:val="18"/>
                <w:color w:val="auto"/>
              </w:rPr>
              <w:t>Loans to Officers</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XVI MISCELLANEOUS</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7080" w:type="dxa"/>
            <w:vAlign w:val="bottom"/>
          </w:tcPr>
          <w:p>
            <w:pPr>
              <w:ind w:left="240"/>
              <w:spacing w:after="0"/>
              <w:rPr>
                <w:sz w:val="20"/>
                <w:szCs w:val="20"/>
                <w:color w:val="auto"/>
              </w:rPr>
            </w:pPr>
            <w:r>
              <w:rPr>
                <w:rFonts w:ascii="Arial" w:cs="Arial" w:eastAsia="Arial" w:hAnsi="Arial"/>
                <w:sz w:val="18"/>
                <w:szCs w:val="18"/>
                <w:color w:val="auto"/>
              </w:rPr>
              <w:t>Annual Report</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1400" w:type="dxa"/>
            <w:vAlign w:val="bottom"/>
          </w:tcPr>
          <w:p>
            <w:pPr>
              <w:spacing w:after="0"/>
              <w:rPr>
                <w:sz w:val="24"/>
                <w:szCs w:val="24"/>
                <w:color w:val="auto"/>
              </w:rPr>
            </w:pPr>
          </w:p>
        </w:tc>
        <w:tc>
          <w:tcPr>
            <w:tcW w:w="7080" w:type="dxa"/>
            <w:vAlign w:val="bottom"/>
          </w:tcPr>
          <w:p>
            <w:pPr>
              <w:ind w:left="4240"/>
              <w:spacing w:after="0"/>
              <w:rPr>
                <w:sz w:val="20"/>
                <w:szCs w:val="20"/>
                <w:color w:val="auto"/>
              </w:rPr>
            </w:pPr>
            <w:r>
              <w:rPr>
                <w:rFonts w:ascii="Arial" w:cs="Arial" w:eastAsia="Arial" w:hAnsi="Arial"/>
                <w:sz w:val="18"/>
                <w:szCs w:val="18"/>
                <w:color w:val="auto"/>
              </w:rPr>
              <w:t>iv</w:t>
            </w:r>
          </w:p>
        </w:tc>
        <w:tc>
          <w:tcPr>
            <w:tcW w:w="2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6" w:name="page247"/>
    <w:bookmarkEnd w:id="2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ANAPTYS BIOSCIENCES,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in the City of Wilmington, County of New</w:t>
      </w:r>
      <w:r>
        <w:rPr>
          <w:rFonts w:ascii="Arial" w:cs="Arial" w:eastAsia="Arial" w:hAnsi="Arial"/>
          <w:sz w:val="18"/>
          <w:szCs w:val="18"/>
          <w:b w:val="1"/>
          <w:bCs w:val="1"/>
          <w:color w:val="auto"/>
        </w:rPr>
        <w:t xml:space="preserve"> </w:t>
      </w:r>
      <w:r>
        <w:rPr>
          <w:rFonts w:ascii="Arial" w:cs="Arial" w:eastAsia="Arial" w:hAnsi="Arial"/>
          <w:sz w:val="18"/>
          <w:szCs w:val="18"/>
          <w:color w:val="auto"/>
        </w:rPr>
        <w:t>Castle.</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580" w:firstLine="456"/>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 Annual Meeting.</w:t>
      </w:r>
    </w:p>
    <w:p>
      <w:pPr>
        <w:spacing w:after="0" w:line="121" w:lineRule="exact"/>
        <w:rPr>
          <w:sz w:val="20"/>
          <w:szCs w:val="20"/>
          <w:color w:val="auto"/>
        </w:rPr>
      </w:pPr>
    </w:p>
    <w:p>
      <w:pPr>
        <w:ind w:firstLine="921"/>
        <w:spacing w:after="0" w:line="279" w:lineRule="auto"/>
        <w:tabs>
          <w:tab w:leader="none" w:pos="1168" w:val="left"/>
        </w:tabs>
        <w:numPr>
          <w:ilvl w:val="0"/>
          <w:numId w:val="196"/>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47" w:name="page248"/>
    <w:bookmarkEnd w:id="247"/>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pacing w:after="0" w:line="147" w:lineRule="exact"/>
        <w:rPr>
          <w:sz w:val="20"/>
          <w:szCs w:val="20"/>
          <w:color w:val="auto"/>
        </w:rPr>
      </w:pPr>
    </w:p>
    <w:p>
      <w:pPr>
        <w:ind w:firstLine="921"/>
        <w:spacing w:after="0" w:line="284" w:lineRule="auto"/>
        <w:tabs>
          <w:tab w:leader="none" w:pos="1178"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 (i) 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8" w:name="page249"/>
    <w:bookmarkEnd w:id="248"/>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w:t>
      </w:r>
    </w:p>
    <w:p>
      <w:pPr>
        <w:spacing w:after="0" w:line="178" w:lineRule="exact"/>
        <w:rPr>
          <w:sz w:val="20"/>
          <w:szCs w:val="20"/>
          <w:color w:val="auto"/>
        </w:rPr>
      </w:pPr>
    </w:p>
    <w:p>
      <w:pPr>
        <w:ind w:right="20" w:firstLine="921"/>
        <w:spacing w:after="0" w:line="273" w:lineRule="auto"/>
        <w:tabs>
          <w:tab w:leader="none" w:pos="1158" w:val="left"/>
        </w:tabs>
        <w:numPr>
          <w:ilvl w:val="0"/>
          <w:numId w:val="198"/>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such public announcement is first made by the corporation.</w:t>
      </w:r>
    </w:p>
    <w:p>
      <w:pPr>
        <w:spacing w:after="0" w:line="178" w:lineRule="exact"/>
        <w:rPr>
          <w:rFonts w:ascii="Arial" w:cs="Arial" w:eastAsia="Arial" w:hAnsi="Arial"/>
          <w:sz w:val="17"/>
          <w:szCs w:val="17"/>
          <w:b w:val="1"/>
          <w:bCs w:val="1"/>
          <w:color w:val="auto"/>
        </w:rPr>
      </w:pPr>
    </w:p>
    <w:p>
      <w:pPr>
        <w:ind w:right="80" w:firstLine="921"/>
        <w:spacing w:after="0" w:line="273" w:lineRule="auto"/>
        <w:tabs>
          <w:tab w:leader="none" w:pos="1178" w:val="left"/>
        </w:tabs>
        <w:numPr>
          <w:ilvl w:val="0"/>
          <w:numId w:val="198"/>
        </w:numPr>
        <w:rPr>
          <w:rFonts w:ascii="Arial" w:cs="Arial" w:eastAsia="Arial" w:hAnsi="Arial"/>
          <w:sz w:val="17"/>
          <w:szCs w:val="17"/>
          <w:b w:val="1"/>
          <w:bCs w:val="1"/>
          <w:color w:val="auto"/>
        </w:rPr>
      </w:pPr>
      <w:r>
        <w:rPr>
          <w:rFonts w:ascii="Arial" w:cs="Arial" w:eastAsia="Arial" w:hAnsi="Arial"/>
          <w:sz w:val="17"/>
          <w:szCs w:val="17"/>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78" w:lineRule="exact"/>
        <w:rPr>
          <w:rFonts w:ascii="Arial" w:cs="Arial" w:eastAsia="Arial" w:hAnsi="Arial"/>
          <w:sz w:val="17"/>
          <w:szCs w:val="17"/>
          <w:b w:val="1"/>
          <w:bCs w:val="1"/>
          <w:color w:val="auto"/>
        </w:rPr>
      </w:pPr>
    </w:p>
    <w:p>
      <w:pPr>
        <w:ind w:firstLine="921"/>
        <w:spacing w:after="0" w:line="259" w:lineRule="auto"/>
        <w:tabs>
          <w:tab w:leader="none" w:pos="1158"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ind w:right="380" w:firstLine="921"/>
        <w:spacing w:after="0" w:line="264" w:lineRule="auto"/>
        <w:tabs>
          <w:tab w:leader="none" w:pos="1138"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9" w:name="page250"/>
    <w:bookmarkEnd w:id="24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Special Meetings.</w:t>
      </w:r>
    </w:p>
    <w:p>
      <w:pPr>
        <w:spacing w:after="0" w:line="121" w:lineRule="exact"/>
        <w:rPr>
          <w:sz w:val="20"/>
          <w:szCs w:val="20"/>
          <w:color w:val="auto"/>
        </w:rPr>
      </w:pPr>
    </w:p>
    <w:p>
      <w:pPr>
        <w:ind w:right="20" w:firstLine="921"/>
        <w:spacing w:after="0" w:line="255" w:lineRule="auto"/>
        <w:tabs>
          <w:tab w:leader="none" w:pos="1168"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twenty percent (20%) of the votes at the meeting, and shall be held at such place, on such date, and at such time as the Board of Directors shall fix. At any time or times that the corporation is subject to Section 2115(b) of the California General Corporation Law (“</w:t>
      </w:r>
      <w:r>
        <w:rPr>
          <w:rFonts w:ascii="Arial" w:cs="Arial" w:eastAsia="Arial" w:hAnsi="Arial"/>
          <w:sz w:val="18"/>
          <w:szCs w:val="18"/>
          <w:b w:val="1"/>
          <w:bCs w:val="1"/>
          <w:i w:val="1"/>
          <w:iCs w:val="1"/>
          <w:color w:val="auto"/>
        </w:rPr>
        <w:t>CGCL</w:t>
      </w:r>
      <w:r>
        <w:rPr>
          <w:rFonts w:ascii="Arial" w:cs="Arial" w:eastAsia="Arial" w:hAnsi="Arial"/>
          <w:sz w:val="18"/>
          <w:szCs w:val="18"/>
          <w:color w:val="auto"/>
        </w:rPr>
        <w:t>”), stockholders holding five percent (5%) or more of the outstanding shares shall have the right to call a special meeting of stockholders as set forth in Section 18(b) herein.</w:t>
      </w:r>
    </w:p>
    <w:p>
      <w:pPr>
        <w:spacing w:after="0" w:line="189" w:lineRule="exact"/>
        <w:rPr>
          <w:rFonts w:ascii="Arial" w:cs="Arial" w:eastAsia="Arial" w:hAnsi="Arial"/>
          <w:sz w:val="18"/>
          <w:szCs w:val="18"/>
          <w:b w:val="1"/>
          <w:bCs w:val="1"/>
          <w:color w:val="auto"/>
        </w:rPr>
      </w:pPr>
    </w:p>
    <w:p>
      <w:pPr>
        <w:ind w:firstLine="921"/>
        <w:spacing w:after="0" w:line="290" w:lineRule="auto"/>
        <w:tabs>
          <w:tab w:leader="none" w:pos="1178" w:val="left"/>
        </w:tabs>
        <w:numPr>
          <w:ilvl w:val="0"/>
          <w:numId w:val="199"/>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27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color w:val="auto"/>
        </w:rPr>
        <w:t>Section 7. Notice of Meetings</w:t>
      </w:r>
      <w:r>
        <w:rPr>
          <w:rFonts w:ascii="Arial" w:cs="Arial" w:eastAsia="Arial" w:hAnsi="Arial"/>
          <w:sz w:val="16"/>
          <w:szCs w:val="16"/>
          <w:color w:val="auto"/>
        </w:rPr>
        <w:t>. 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50" w:name="page251"/>
    <w:bookmarkEnd w:id="250"/>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Quorum</w:t>
      </w:r>
      <w:r>
        <w:rPr>
          <w:rFonts w:ascii="Arial" w:cs="Arial" w:eastAsia="Arial" w:hAnsi="Arial"/>
          <w:sz w:val="16"/>
          <w:szCs w:val="16"/>
          <w:color w:val="auto"/>
        </w:rPr>
        <w:t>. At all meetings of stockholders, except where otherwise provided by statute or by the Certificate of Incorporation, or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Section 9. Adjournment and Notice of Adjourned Meetings</w:t>
      </w:r>
      <w:r>
        <w:rPr>
          <w:rFonts w:ascii="Arial" w:cs="Arial" w:eastAsia="Arial" w:hAnsi="Arial"/>
          <w:sz w:val="16"/>
          <w:szCs w:val="16"/>
          <w:color w:val="auto"/>
        </w:rPr>
        <w:t>. Any meeting of stockholders, whether annual or special, may be adjourned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56"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No proxy shall be voted after three (3) years from its date of creation unless the proxy provides for a longer period.</w:t>
      </w:r>
    </w:p>
    <w:p>
      <w:pPr>
        <w:spacing w:after="0" w:line="2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Section 11. Joint Owners of Stock</w:t>
      </w:r>
      <w:r>
        <w:rPr>
          <w:rFonts w:ascii="Arial" w:cs="Arial" w:eastAsia="Arial" w:hAnsi="Arial"/>
          <w:sz w:val="16"/>
          <w:szCs w:val="16"/>
          <w:color w:val="auto"/>
        </w:rPr>
        <w:t>. If shares or other securities having voting power stand of record in the names of two (2) or more persons,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w:t>
      </w:r>
    </w:p>
    <w:p>
      <w:pPr>
        <w:spacing w:after="0" w:line="3" w:lineRule="exact"/>
        <w:rPr>
          <w:sz w:val="20"/>
          <w:szCs w:val="20"/>
          <w:color w:val="auto"/>
        </w:rPr>
      </w:pPr>
    </w:p>
    <w:p>
      <w:pPr>
        <w:ind w:right="60" w:firstLine="8"/>
        <w:spacing w:after="0" w:line="254" w:lineRule="auto"/>
        <w:tabs>
          <w:tab w:leader="none" w:pos="2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b w:val="1"/>
          <w:bCs w:val="1"/>
          <w:color w:val="auto"/>
        </w:rPr>
        <w:t>Section 12. List of Stockholders</w:t>
      </w:r>
      <w:r>
        <w:rPr>
          <w:rFonts w:ascii="Arial" w:cs="Arial" w:eastAsia="Arial" w:hAnsi="Arial"/>
          <w:sz w:val="17"/>
          <w:szCs w:val="17"/>
          <w:color w:val="auto"/>
        </w:rPr>
        <w:t>. The Secretary shall prepare and make, at least ten (10) days before every meeting of stockholders, a complete list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 Action Without Meeting.</w:t>
      </w:r>
    </w:p>
    <w:p>
      <w:pPr>
        <w:spacing w:after="0" w:line="121" w:lineRule="exact"/>
        <w:rPr>
          <w:sz w:val="20"/>
          <w:szCs w:val="20"/>
          <w:color w:val="auto"/>
        </w:rPr>
      </w:pPr>
    </w:p>
    <w:p>
      <w:pPr>
        <w:ind w:firstLine="921"/>
        <w:spacing w:after="0" w:line="257" w:lineRule="auto"/>
        <w:tabs>
          <w:tab w:leader="none" w:pos="1168"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 to vote thereon were present and voted.</w:t>
      </w:r>
    </w:p>
    <w:p>
      <w:pPr>
        <w:spacing w:after="0" w:line="188" w:lineRule="exact"/>
        <w:rPr>
          <w:rFonts w:ascii="Arial" w:cs="Arial" w:eastAsia="Arial" w:hAnsi="Arial"/>
          <w:sz w:val="18"/>
          <w:szCs w:val="18"/>
          <w:b w:val="1"/>
          <w:bCs w:val="1"/>
          <w:color w:val="auto"/>
        </w:rPr>
      </w:pPr>
    </w:p>
    <w:p>
      <w:pPr>
        <w:ind w:right="100" w:firstLine="921"/>
        <w:spacing w:after="0" w:line="257" w:lineRule="auto"/>
        <w:tabs>
          <w:tab w:leader="none" w:pos="1178"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52" w:name="page253"/>
    <w:bookmarkEnd w:id="252"/>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book in which proceedings of meetings of stockholders are recorded. Delivery made to a corporation’s registered office shall be by hand or by certified or registered mail, return receipt requested.</w:t>
      </w:r>
    </w:p>
    <w:p>
      <w:pPr>
        <w:spacing w:after="0" w:line="170" w:lineRule="exact"/>
        <w:rPr>
          <w:sz w:val="20"/>
          <w:szCs w:val="20"/>
          <w:color w:val="auto"/>
        </w:rPr>
      </w:pPr>
    </w:p>
    <w:p>
      <w:pPr>
        <w:ind w:firstLine="921"/>
        <w:spacing w:after="0" w:line="255" w:lineRule="auto"/>
        <w:tabs>
          <w:tab w:leader="none" w:pos="1158"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89" w:lineRule="exact"/>
        <w:rPr>
          <w:rFonts w:ascii="Arial" w:cs="Arial" w:eastAsia="Arial" w:hAnsi="Arial"/>
          <w:sz w:val="18"/>
          <w:szCs w:val="18"/>
          <w:b w:val="1"/>
          <w:bCs w:val="1"/>
          <w:color w:val="auto"/>
        </w:rPr>
      </w:pPr>
    </w:p>
    <w:p>
      <w:pPr>
        <w:ind w:right="20" w:firstLine="921"/>
        <w:spacing w:after="0" w:line="268" w:lineRule="auto"/>
        <w:tabs>
          <w:tab w:leader="none" w:pos="1178"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 Organization.</w:t>
      </w:r>
    </w:p>
    <w:p>
      <w:pPr>
        <w:spacing w:after="0" w:line="121" w:lineRule="exact"/>
        <w:rPr>
          <w:sz w:val="20"/>
          <w:szCs w:val="20"/>
          <w:color w:val="auto"/>
        </w:rPr>
      </w:pPr>
    </w:p>
    <w:p>
      <w:pPr>
        <w:ind w:right="720" w:firstLine="921"/>
        <w:spacing w:after="0" w:line="342" w:lineRule="auto"/>
        <w:tabs>
          <w:tab w:leader="none" w:pos="1168"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53" w:name="page254"/>
    <w:bookmarkEnd w:id="253"/>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present in person or by proxy, shall act as chairman. The Secretary, or, in his absence, an Assistant Secretary directed to do so by the President, shall act as secretary of the meeting.</w:t>
      </w:r>
    </w:p>
    <w:p>
      <w:pPr>
        <w:spacing w:after="0" w:line="170" w:lineRule="exact"/>
        <w:rPr>
          <w:sz w:val="20"/>
          <w:szCs w:val="20"/>
          <w:color w:val="auto"/>
        </w:rPr>
      </w:pPr>
    </w:p>
    <w:p>
      <w:pPr>
        <w:ind w:firstLine="921"/>
        <w:spacing w:after="0" w:line="288" w:lineRule="auto"/>
        <w:tabs>
          <w:tab w:leader="none" w:pos="1178"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by the Board of Directors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Directors need not be stockholders unless so required by the Certificate of Incorporation. If for any cause, the directors shall not have been elected at an annual meeting, they may be elected as soon thereafter as convenient.</w:t>
      </w:r>
    </w:p>
    <w:p>
      <w:pPr>
        <w:spacing w:after="0" w:line="176"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powers of the corporation shall be exercised, its business conducted and its property controlled by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otherwise provided by statute or by the Certificate of Incorporation.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17. Term of Directors.</w:t>
      </w:r>
    </w:p>
    <w:p>
      <w:pPr>
        <w:spacing w:after="0" w:line="121" w:lineRule="exact"/>
        <w:rPr>
          <w:sz w:val="20"/>
          <w:szCs w:val="20"/>
          <w:color w:val="auto"/>
        </w:rPr>
      </w:pPr>
    </w:p>
    <w:p>
      <w:pPr>
        <w:jc w:val="both"/>
        <w:ind w:right="120" w:firstLine="921"/>
        <w:spacing w:after="0" w:line="312" w:lineRule="auto"/>
        <w:tabs>
          <w:tab w:leader="none" w:pos="1168"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Subject to the rights of the holders of any series of Preferred Stock to elect additional directors under specified circumstances, directors shall be elected at each annual meeting of stockholders for a term of one year.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46" w:lineRule="exact"/>
        <w:rPr>
          <w:rFonts w:ascii="Arial" w:cs="Arial" w:eastAsia="Arial" w:hAnsi="Arial"/>
          <w:sz w:val="16"/>
          <w:szCs w:val="16"/>
          <w:b w:val="1"/>
          <w:bCs w:val="1"/>
          <w:color w:val="auto"/>
        </w:rPr>
      </w:pPr>
    </w:p>
    <w:p>
      <w:pPr>
        <w:ind w:firstLine="921"/>
        <w:spacing w:after="0" w:line="277" w:lineRule="auto"/>
        <w:tabs>
          <w:tab w:leader="none" w:pos="1178"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54" w:name="page255"/>
    <w:bookmarkEnd w:id="25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18. Vacancies.</w:t>
      </w:r>
    </w:p>
    <w:p>
      <w:pPr>
        <w:spacing w:after="0" w:line="121" w:lineRule="exact"/>
        <w:rPr>
          <w:sz w:val="20"/>
          <w:szCs w:val="20"/>
          <w:color w:val="auto"/>
        </w:rPr>
      </w:pPr>
    </w:p>
    <w:p>
      <w:pPr>
        <w:ind w:right="40" w:firstLine="921"/>
        <w:spacing w:after="0" w:line="269" w:lineRule="auto"/>
        <w:tabs>
          <w:tab w:leader="none" w:pos="1168"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82" w:lineRule="exact"/>
        <w:rPr>
          <w:rFonts w:ascii="Arial" w:cs="Arial" w:eastAsia="Arial" w:hAnsi="Arial"/>
          <w:sz w:val="17"/>
          <w:szCs w:val="17"/>
          <w:b w:val="1"/>
          <w:bCs w:val="1"/>
          <w:color w:val="auto"/>
        </w:rPr>
      </w:pPr>
    </w:p>
    <w:p>
      <w:pPr>
        <w:ind w:right="220" w:firstLine="921"/>
        <w:spacing w:after="0" w:line="277" w:lineRule="auto"/>
        <w:tabs>
          <w:tab w:leader="none" w:pos="1178"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70" w:lineRule="exact"/>
        <w:rPr>
          <w:rFonts w:ascii="Arial" w:cs="Arial" w:eastAsia="Arial" w:hAnsi="Arial"/>
          <w:sz w:val="18"/>
          <w:szCs w:val="18"/>
          <w:b w:val="1"/>
          <w:bCs w:val="1"/>
          <w:color w:val="auto"/>
        </w:rPr>
      </w:pPr>
    </w:p>
    <w:p>
      <w:pPr>
        <w:ind w:right="300" w:firstLine="1492"/>
        <w:spacing w:after="0" w:line="277" w:lineRule="auto"/>
        <w:tabs>
          <w:tab w:leader="none" w:pos="1698" w:val="left"/>
        </w:tabs>
        <w:numPr>
          <w:ilvl w:val="1"/>
          <w:numId w:val="206"/>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170" w:lineRule="exact"/>
        <w:rPr>
          <w:rFonts w:ascii="Arial" w:cs="Arial" w:eastAsia="Arial" w:hAnsi="Arial"/>
          <w:sz w:val="18"/>
          <w:szCs w:val="18"/>
          <w:b w:val="1"/>
          <w:bCs w:val="1"/>
          <w:color w:val="auto"/>
        </w:rPr>
      </w:pPr>
    </w:p>
    <w:p>
      <w:pPr>
        <w:ind w:right="260" w:firstLine="1492"/>
        <w:spacing w:after="0" w:line="264" w:lineRule="auto"/>
        <w:tabs>
          <w:tab w:leader="none" w:pos="1748" w:val="left"/>
        </w:tabs>
        <w:numPr>
          <w:ilvl w:val="1"/>
          <w:numId w:val="206"/>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55" w:name="page256"/>
    <w:bookmarkEnd w:id="255"/>
    <w:p>
      <w:pPr>
        <w:ind w:right="180" w:firstLine="456"/>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19. Resignation</w:t>
      </w:r>
      <w:r>
        <w:rPr>
          <w:rFonts w:ascii="Arial" w:cs="Arial" w:eastAsia="Arial" w:hAnsi="Arial"/>
          <w:sz w:val="16"/>
          <w:szCs w:val="16"/>
          <w:color w:val="auto"/>
        </w:rPr>
        <w:t>. Any director may resign at any time by delivering his or her notice in writing or by electronic transmission to the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 Removal.</w:t>
      </w:r>
    </w:p>
    <w:p>
      <w:pPr>
        <w:spacing w:after="0" w:line="121" w:lineRule="exact"/>
        <w:rPr>
          <w:sz w:val="20"/>
          <w:szCs w:val="20"/>
          <w:color w:val="auto"/>
        </w:rPr>
      </w:pPr>
    </w:p>
    <w:p>
      <w:pPr>
        <w:ind w:firstLine="921"/>
        <w:spacing w:after="0" w:line="257" w:lineRule="auto"/>
        <w:tabs>
          <w:tab w:leader="none" w:pos="1168"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vote generally at an election of directors.</w:t>
      </w:r>
    </w:p>
    <w:p>
      <w:pPr>
        <w:spacing w:after="0" w:line="188" w:lineRule="exact"/>
        <w:rPr>
          <w:rFonts w:ascii="Arial" w:cs="Arial" w:eastAsia="Arial" w:hAnsi="Arial"/>
          <w:sz w:val="18"/>
          <w:szCs w:val="18"/>
          <w:b w:val="1"/>
          <w:bCs w:val="1"/>
          <w:color w:val="auto"/>
        </w:rPr>
      </w:pPr>
    </w:p>
    <w:p>
      <w:pPr>
        <w:ind w:right="40" w:firstLine="921"/>
        <w:spacing w:after="0" w:line="273" w:lineRule="auto"/>
        <w:tabs>
          <w:tab w:leader="none" w:pos="1178"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21. Meetings</w:t>
      </w:r>
    </w:p>
    <w:p>
      <w:pPr>
        <w:spacing w:after="0" w:line="117" w:lineRule="exact"/>
        <w:rPr>
          <w:sz w:val="20"/>
          <w:szCs w:val="20"/>
          <w:color w:val="auto"/>
        </w:rPr>
      </w:pPr>
    </w:p>
    <w:p>
      <w:pPr>
        <w:ind w:right="80" w:firstLine="921"/>
        <w:spacing w:after="0" w:line="303" w:lineRule="auto"/>
        <w:tabs>
          <w:tab w:leader="none" w:pos="1168"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Regular Meetings</w:t>
      </w:r>
      <w:r>
        <w:rPr>
          <w:rFonts w:ascii="Arial" w:cs="Arial" w:eastAsia="Arial" w:hAnsi="Arial"/>
          <w:sz w:val="16"/>
          <w:szCs w:val="16"/>
          <w:color w:val="auto"/>
        </w:rPr>
        <w:t>. Unless otherwise restricted by the Certificate of Incorporation, regular meetings of the Board of Directors may be held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w:t>
      </w:r>
    </w:p>
    <w:p>
      <w:pPr>
        <w:spacing w:after="0" w:line="151" w:lineRule="exact"/>
        <w:rPr>
          <w:rFonts w:ascii="Arial" w:cs="Arial" w:eastAsia="Arial" w:hAnsi="Arial"/>
          <w:sz w:val="16"/>
          <w:szCs w:val="16"/>
          <w:b w:val="1"/>
          <w:bCs w:val="1"/>
          <w:color w:val="auto"/>
        </w:rPr>
      </w:pPr>
    </w:p>
    <w:p>
      <w:pPr>
        <w:ind w:right="140" w:firstLine="921"/>
        <w:spacing w:after="0" w:line="313" w:lineRule="auto"/>
        <w:tabs>
          <w:tab w:leader="none" w:pos="1178"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Special Meetings</w:t>
      </w:r>
      <w:r>
        <w:rPr>
          <w:rFonts w:ascii="Arial" w:cs="Arial" w:eastAsia="Arial" w:hAnsi="Arial"/>
          <w:sz w:val="17"/>
          <w:szCs w:val="17"/>
          <w:color w:val="auto"/>
        </w:rPr>
        <w:t>. Unless otherwise restricted by the Certificate of Incorporation, special meetings of the Board of Directors may be held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and place within or without the State of Delaware whenever called by the Chairman of the Board, the President or any director.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56" w:name="page257"/>
    <w:bookmarkEnd w:id="256"/>
    <w:p>
      <w:pPr>
        <w:jc w:val="both"/>
        <w:ind w:right="20" w:firstLine="921"/>
        <w:spacing w:after="0" w:line="289" w:lineRule="auto"/>
        <w:tabs>
          <w:tab w:leader="none" w:pos="1158"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by Electronic Communications Equipment</w:t>
      </w:r>
      <w:r>
        <w:rPr>
          <w:rFonts w:ascii="Arial" w:cs="Arial" w:eastAsia="Arial" w:hAnsi="Arial"/>
          <w:sz w:val="17"/>
          <w:szCs w:val="17"/>
          <w:color w:val="auto"/>
        </w:rPr>
        <w:t>. Any member of the Board of Directors, or of any committee thereof, may participate</w:t>
      </w:r>
      <w:r>
        <w:rPr>
          <w:rFonts w:ascii="Arial" w:cs="Arial" w:eastAsia="Arial" w:hAnsi="Arial"/>
          <w:sz w:val="17"/>
          <w:szCs w:val="17"/>
          <w:b w:val="1"/>
          <w:bCs w:val="1"/>
          <w:color w:val="auto"/>
        </w:rPr>
        <w:t xml:space="preserve"> </w:t>
      </w:r>
      <w:r>
        <w:rPr>
          <w:rFonts w:ascii="Arial" w:cs="Arial" w:eastAsia="Arial" w:hAnsi="Arial"/>
          <w:sz w:val="17"/>
          <w:szCs w:val="17"/>
          <w:color w:val="auto"/>
        </w:rPr>
        <w:t>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58" w:lineRule="exact"/>
        <w:rPr>
          <w:rFonts w:ascii="Arial" w:cs="Arial" w:eastAsia="Arial" w:hAnsi="Arial"/>
          <w:sz w:val="17"/>
          <w:szCs w:val="17"/>
          <w:b w:val="1"/>
          <w:bCs w:val="1"/>
          <w:color w:val="auto"/>
        </w:rPr>
      </w:pPr>
    </w:p>
    <w:p>
      <w:pPr>
        <w:ind w:firstLine="921"/>
        <w:spacing w:after="0" w:line="255" w:lineRule="auto"/>
        <w:tabs>
          <w:tab w:leader="none" w:pos="1178"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Special Meetings</w:t>
      </w:r>
      <w:r>
        <w:rPr>
          <w:rFonts w:ascii="Arial" w:cs="Arial" w:eastAsia="Arial" w:hAnsi="Arial"/>
          <w:sz w:val="18"/>
          <w:szCs w:val="18"/>
          <w:color w:val="auto"/>
        </w:rPr>
        <w:t>. Notice of the time and place of all special meetings of the Board of Directors shall be orally or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 lawfully called or convened.</w:t>
      </w:r>
    </w:p>
    <w:p>
      <w:pPr>
        <w:spacing w:after="0" w:line="189" w:lineRule="exact"/>
        <w:rPr>
          <w:rFonts w:ascii="Arial" w:cs="Arial" w:eastAsia="Arial" w:hAnsi="Arial"/>
          <w:sz w:val="18"/>
          <w:szCs w:val="18"/>
          <w:b w:val="1"/>
          <w:bCs w:val="1"/>
          <w:color w:val="auto"/>
        </w:rPr>
      </w:pPr>
    </w:p>
    <w:p>
      <w:pPr>
        <w:ind w:right="220" w:firstLine="921"/>
        <w:spacing w:after="0" w:line="281" w:lineRule="auto"/>
        <w:tabs>
          <w:tab w:leader="none" w:pos="1158"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 or</w:t>
      </w:r>
      <w:r>
        <w:rPr>
          <w:rFonts w:ascii="Arial" w:cs="Arial" w:eastAsia="Arial" w:hAnsi="Arial"/>
          <w:sz w:val="17"/>
          <w:szCs w:val="17"/>
          <w:b w:val="1"/>
          <w:bCs w:val="1"/>
          <w:color w:val="auto"/>
        </w:rPr>
        <w:t xml:space="preserve"> </w:t>
      </w:r>
      <w:r>
        <w:rPr>
          <w:rFonts w:ascii="Arial" w:cs="Arial" w:eastAsia="Arial" w:hAnsi="Arial"/>
          <w:sz w:val="17"/>
          <w:szCs w:val="17"/>
          <w:color w:val="auto"/>
        </w:rPr>
        <w:t>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22. Quorum and Voting.</w:t>
      </w:r>
    </w:p>
    <w:p>
      <w:pPr>
        <w:spacing w:after="0" w:line="121" w:lineRule="exact"/>
        <w:rPr>
          <w:sz w:val="20"/>
          <w:szCs w:val="20"/>
          <w:color w:val="auto"/>
        </w:rPr>
      </w:pPr>
    </w:p>
    <w:p>
      <w:pPr>
        <w:ind w:right="40" w:firstLine="921"/>
        <w:spacing w:after="0" w:line="259" w:lineRule="auto"/>
        <w:tabs>
          <w:tab w:leader="none" w:pos="1168"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6" w:lineRule="exact"/>
        <w:rPr>
          <w:rFonts w:ascii="Arial" w:cs="Arial" w:eastAsia="Arial" w:hAnsi="Arial"/>
          <w:sz w:val="18"/>
          <w:szCs w:val="18"/>
          <w:b w:val="1"/>
          <w:bCs w:val="1"/>
          <w:color w:val="auto"/>
        </w:rPr>
      </w:pPr>
    </w:p>
    <w:p>
      <w:pPr>
        <w:ind w:right="320" w:firstLine="921"/>
        <w:spacing w:after="0" w:line="308" w:lineRule="auto"/>
        <w:tabs>
          <w:tab w:leader="none" w:pos="1178"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43"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6"/>
          <w:szCs w:val="16"/>
          <w:b w:val="1"/>
          <w:bCs w:val="1"/>
          <w:color w:val="auto"/>
        </w:rPr>
        <w:t>Section 23. Action Without Meeting</w:t>
      </w:r>
      <w:r>
        <w:rPr>
          <w:rFonts w:ascii="Arial" w:cs="Arial" w:eastAsia="Arial" w:hAnsi="Arial"/>
          <w:sz w:val="16"/>
          <w:szCs w:val="16"/>
          <w:color w:val="auto"/>
        </w:rPr>
        <w:t>. Unless otherwise restricted by the Certificate of Incorporation or these Bylaws, any action required or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57" w:name="page258"/>
    <w:bookmarkEnd w:id="25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filed with the minutes of proceedings of the Board of Directors or committee. Such filing shall be in paper form if the minutes are maintained in paper form and shall be in electronic form if the minutes are maintained in electronic form.</w:t>
      </w:r>
    </w:p>
    <w:p>
      <w:pPr>
        <w:spacing w:after="0" w:line="166"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Section 24. Fees and Compensation</w:t>
      </w:r>
      <w:r>
        <w:rPr>
          <w:rFonts w:ascii="Arial" w:cs="Arial" w:eastAsia="Arial" w:hAnsi="Arial"/>
          <w:sz w:val="16"/>
          <w:szCs w:val="16"/>
          <w:color w:val="auto"/>
        </w:rPr>
        <w:t>. Directors shall be entitled to such compensation for their services as may be approved by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25. Committees.</w:t>
      </w:r>
    </w:p>
    <w:p>
      <w:pPr>
        <w:spacing w:after="0" w:line="117" w:lineRule="exact"/>
        <w:rPr>
          <w:sz w:val="20"/>
          <w:szCs w:val="20"/>
          <w:color w:val="auto"/>
        </w:rPr>
      </w:pPr>
    </w:p>
    <w:p>
      <w:pPr>
        <w:ind w:firstLine="921"/>
        <w:spacing w:after="0" w:line="256" w:lineRule="auto"/>
        <w:tabs>
          <w:tab w:leader="none" w:pos="1168"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Committee</w:t>
      </w:r>
      <w:r>
        <w:rPr>
          <w:rFonts w:ascii="Arial" w:cs="Arial" w:eastAsia="Arial" w:hAnsi="Arial"/>
          <w:sz w:val="18"/>
          <w:szCs w:val="18"/>
          <w:color w:val="auto"/>
        </w:rPr>
        <w:t>. The Board of Directors may appoint an Executive Committee to consist of one (1) or more members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w:t>
      </w:r>
    </w:p>
    <w:p>
      <w:pPr>
        <w:spacing w:after="0" w:line="187" w:lineRule="exact"/>
        <w:rPr>
          <w:rFonts w:ascii="Arial" w:cs="Arial" w:eastAsia="Arial" w:hAnsi="Arial"/>
          <w:sz w:val="18"/>
          <w:szCs w:val="18"/>
          <w:b w:val="1"/>
          <w:bCs w:val="1"/>
          <w:color w:val="auto"/>
        </w:rPr>
      </w:pPr>
    </w:p>
    <w:p>
      <w:pPr>
        <w:jc w:val="both"/>
        <w:ind w:right="100" w:firstLine="921"/>
        <w:spacing w:after="0" w:line="261" w:lineRule="auto"/>
        <w:tabs>
          <w:tab w:leader="none" w:pos="1178"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appointed by the Board of Directors shall consist of one (l)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0"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Board of Directors, subject to any requirements of any outstanding series of Preferred Stock and the provisions of subsections</w:t>
      </w:r>
    </w:p>
    <w:p>
      <w:pPr>
        <w:spacing w:after="0" w:line="50" w:lineRule="exact"/>
        <w:rPr>
          <w:rFonts w:ascii="Arial" w:cs="Arial" w:eastAsia="Arial" w:hAnsi="Arial"/>
          <w:sz w:val="16"/>
          <w:szCs w:val="16"/>
          <w:b w:val="1"/>
          <w:bCs w:val="1"/>
          <w:color w:val="auto"/>
        </w:rPr>
      </w:pPr>
    </w:p>
    <w:p>
      <w:pPr>
        <w:ind w:right="20" w:firstLine="8"/>
        <w:spacing w:after="0" w:line="252" w:lineRule="auto"/>
        <w:tabs>
          <w:tab w:leader="none" w:pos="24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58" w:name="page259"/>
    <w:bookmarkEnd w:id="258"/>
    <w:p>
      <w:pPr>
        <w:ind w:firstLine="921"/>
        <w:spacing w:after="0" w:line="288" w:lineRule="auto"/>
        <w:tabs>
          <w:tab w:leader="none" w:pos="1178"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Meetings</w:t>
      </w:r>
      <w:r>
        <w:rPr>
          <w:rFonts w:ascii="Arial" w:cs="Arial" w:eastAsia="Arial" w:hAnsi="Arial"/>
          <w:sz w:val="16"/>
          <w:szCs w:val="16"/>
          <w:color w:val="auto"/>
        </w:rPr>
        <w:t>. 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64"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Section 26. Organization</w:t>
      </w:r>
      <w:r>
        <w:rPr>
          <w:rFonts w:ascii="Arial" w:cs="Arial" w:eastAsia="Arial" w:hAnsi="Arial"/>
          <w:sz w:val="18"/>
          <w:szCs w:val="18"/>
          <w:color w:val="auto"/>
        </w:rPr>
        <w:t>. At every meeting of the directors, the Chairman of the Board of Directors, or, if a Chairman has not been appointed or is</w:t>
      </w:r>
      <w:r>
        <w:rPr>
          <w:rFonts w:ascii="Arial" w:cs="Arial" w:eastAsia="Arial" w:hAnsi="Arial"/>
          <w:sz w:val="18"/>
          <w:szCs w:val="18"/>
          <w:b w:val="1"/>
          <w:bCs w:val="1"/>
          <w:color w:val="auto"/>
        </w:rPr>
        <w:t xml:space="preserve"> </w:t>
      </w:r>
      <w:r>
        <w:rPr>
          <w:rFonts w:ascii="Arial" w:cs="Arial" w:eastAsia="Arial" w:hAnsi="Arial"/>
          <w:sz w:val="18"/>
          <w:szCs w:val="18"/>
          <w:color w:val="auto"/>
        </w:rPr>
        <w:t>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Section 27. Officers Designated</w:t>
      </w:r>
      <w:r>
        <w:rPr>
          <w:rFonts w:ascii="Arial" w:cs="Arial" w:eastAsia="Arial" w:hAnsi="Arial"/>
          <w:sz w:val="18"/>
          <w:szCs w:val="18"/>
          <w:color w:val="auto"/>
        </w:rPr>
        <w:t>. The officers of the corporation shall include, if and when designated by the Board of Directors,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28. Tenure and Duties of Officers.</w:t>
      </w:r>
    </w:p>
    <w:p>
      <w:pPr>
        <w:spacing w:after="0" w:line="117" w:lineRule="exact"/>
        <w:rPr>
          <w:sz w:val="20"/>
          <w:szCs w:val="20"/>
          <w:color w:val="auto"/>
        </w:rPr>
      </w:pPr>
    </w:p>
    <w:p>
      <w:pPr>
        <w:ind w:right="320" w:firstLine="921"/>
        <w:spacing w:after="0" w:line="282" w:lineRule="auto"/>
        <w:tabs>
          <w:tab w:leader="none" w:pos="1168"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unless sooner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259" w:name="page260"/>
    <w:bookmarkEnd w:id="259"/>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removed. Any officer elected or appointed by the Board of Directors may be removed at any time by the Board of Directors. If the office of any officer becomes vacant for any reason, the vacancy may be filled by the Board of Directors.</w:t>
      </w:r>
    </w:p>
    <w:p>
      <w:pPr>
        <w:spacing w:after="0" w:line="166" w:lineRule="exact"/>
        <w:rPr>
          <w:sz w:val="20"/>
          <w:szCs w:val="20"/>
          <w:color w:val="auto"/>
        </w:rPr>
      </w:pPr>
    </w:p>
    <w:p>
      <w:pPr>
        <w:ind w:right="100" w:firstLine="921"/>
        <w:spacing w:after="0" w:line="287" w:lineRule="auto"/>
        <w:tabs>
          <w:tab w:leader="none" w:pos="1178" w:val="left"/>
        </w:tabs>
        <w:numPr>
          <w:ilvl w:val="1"/>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Chairman of the Board of Directors</w:t>
      </w:r>
      <w:r>
        <w:rPr>
          <w:rFonts w:ascii="Arial" w:cs="Arial" w:eastAsia="Arial" w:hAnsi="Arial"/>
          <w:sz w:val="16"/>
          <w:szCs w:val="16"/>
          <w:color w:val="auto"/>
        </w:rPr>
        <w:t>. The Chairman of the Board of Directors, when present, shall preside at all meetings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w:t>
      </w:r>
    </w:p>
    <w:p>
      <w:pPr>
        <w:spacing w:after="0" w:line="2" w:lineRule="exact"/>
        <w:rPr>
          <w:rFonts w:ascii="Arial" w:cs="Arial" w:eastAsia="Arial" w:hAnsi="Arial"/>
          <w:sz w:val="16"/>
          <w:szCs w:val="16"/>
          <w:b w:val="1"/>
          <w:bCs w:val="1"/>
          <w:color w:val="auto"/>
        </w:rPr>
      </w:pPr>
    </w:p>
    <w:p>
      <w:pPr>
        <w:ind w:left="260" w:hanging="252"/>
        <w:spacing w:after="0"/>
        <w:tabs>
          <w:tab w:leader="none" w:pos="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of this Section 28.</w:t>
      </w:r>
    </w:p>
    <w:p>
      <w:pPr>
        <w:spacing w:after="0" w:line="206" w:lineRule="exact"/>
        <w:rPr>
          <w:rFonts w:ascii="Arial" w:cs="Arial" w:eastAsia="Arial" w:hAnsi="Arial"/>
          <w:sz w:val="18"/>
          <w:szCs w:val="18"/>
          <w:color w:val="auto"/>
        </w:rPr>
      </w:pPr>
    </w:p>
    <w:p>
      <w:pPr>
        <w:ind w:right="60" w:firstLine="921"/>
        <w:spacing w:after="0" w:line="277" w:lineRule="auto"/>
        <w:tabs>
          <w:tab w:leader="none" w:pos="1158" w:val="left"/>
        </w:tabs>
        <w:numPr>
          <w:ilvl w:val="1"/>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President</w:t>
      </w:r>
      <w:r>
        <w:rPr>
          <w:rFonts w:ascii="Arial" w:cs="Arial" w:eastAsia="Arial" w:hAnsi="Arial"/>
          <w:sz w:val="17"/>
          <w:szCs w:val="17"/>
          <w:color w:val="auto"/>
        </w:rPr>
        <w:t>. The President shall preside at all meetings of the stockholders and at all meetings of the Board of Directors,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68" w:lineRule="exact"/>
        <w:rPr>
          <w:rFonts w:ascii="Arial" w:cs="Arial" w:eastAsia="Arial" w:hAnsi="Arial"/>
          <w:sz w:val="17"/>
          <w:szCs w:val="17"/>
          <w:b w:val="1"/>
          <w:bCs w:val="1"/>
          <w:color w:val="auto"/>
        </w:rPr>
      </w:pPr>
    </w:p>
    <w:p>
      <w:pPr>
        <w:jc w:val="both"/>
        <w:ind w:right="560" w:firstLine="921"/>
        <w:spacing w:after="0" w:line="314" w:lineRule="auto"/>
        <w:tabs>
          <w:tab w:leader="none" w:pos="1178" w:val="left"/>
        </w:tabs>
        <w:numPr>
          <w:ilvl w:val="1"/>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2" w:lineRule="exact"/>
        <w:rPr>
          <w:rFonts w:ascii="Arial" w:cs="Arial" w:eastAsia="Arial" w:hAnsi="Arial"/>
          <w:sz w:val="16"/>
          <w:szCs w:val="16"/>
          <w:b w:val="1"/>
          <w:bCs w:val="1"/>
          <w:color w:val="auto"/>
        </w:rPr>
      </w:pPr>
    </w:p>
    <w:p>
      <w:pPr>
        <w:ind w:firstLine="921"/>
        <w:spacing w:after="0" w:line="273" w:lineRule="auto"/>
        <w:tabs>
          <w:tab w:leader="none" w:pos="1158" w:val="left"/>
        </w:tabs>
        <w:numPr>
          <w:ilvl w:val="1"/>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Secretary</w:t>
      </w:r>
      <w:r>
        <w:rPr>
          <w:rFonts w:ascii="Arial" w:cs="Arial" w:eastAsia="Arial" w:hAnsi="Arial"/>
          <w:sz w:val="17"/>
          <w:szCs w:val="17"/>
          <w:color w:val="auto"/>
        </w:rPr>
        <w:t>. The Secretary shall attend all meetings of the stockholders and of the Board of Directors and shall record all acts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72" w:lineRule="exact"/>
        <w:rPr>
          <w:rFonts w:ascii="Arial" w:cs="Arial" w:eastAsia="Arial" w:hAnsi="Arial"/>
          <w:sz w:val="17"/>
          <w:szCs w:val="17"/>
          <w:b w:val="1"/>
          <w:bCs w:val="1"/>
          <w:color w:val="auto"/>
        </w:rPr>
      </w:pPr>
    </w:p>
    <w:p>
      <w:pPr>
        <w:ind w:right="100" w:firstLine="921"/>
        <w:spacing w:after="0" w:line="258" w:lineRule="auto"/>
        <w:tabs>
          <w:tab w:leader="none" w:pos="1138"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Chief Financial Officer</w:t>
      </w:r>
      <w:r>
        <w:rPr>
          <w:rFonts w:ascii="Arial" w:cs="Arial" w:eastAsia="Arial" w:hAnsi="Arial"/>
          <w:sz w:val="18"/>
          <w:szCs w:val="18"/>
          <w:color w:val="auto"/>
        </w:rPr>
        <w:t>. The Chief Financial Officer shall keep or cause to be kept the books of account of the corporation in a</w:t>
      </w:r>
      <w:r>
        <w:rPr>
          <w:rFonts w:ascii="Arial" w:cs="Arial" w:eastAsia="Arial" w:hAnsi="Arial"/>
          <w:sz w:val="18"/>
          <w:szCs w:val="18"/>
          <w:b w:val="1"/>
          <w:bCs w:val="1"/>
          <w:color w:val="auto"/>
        </w:rPr>
        <w:t xml:space="preserve"> </w:t>
      </w:r>
      <w:r>
        <w:rPr>
          <w:rFonts w:ascii="Arial" w:cs="Arial" w:eastAsia="Arial" w:hAnsi="Arial"/>
          <w:sz w:val="18"/>
          <w:szCs w:val="18"/>
          <w:color w:val="auto"/>
        </w:rPr>
        <w:t>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60" w:name="page261"/>
    <w:bookmarkEnd w:id="260"/>
    <w:p>
      <w:pPr>
        <w:jc w:val="both"/>
        <w:ind w:right="4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5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notwithstanding any provision hereof.</w:t>
      </w:r>
    </w:p>
    <w:p>
      <w:pPr>
        <w:spacing w:after="0" w:line="16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30. Resignations</w:t>
      </w:r>
      <w:r>
        <w:rPr>
          <w:rFonts w:ascii="Arial" w:cs="Arial" w:eastAsia="Arial" w:hAnsi="Arial"/>
          <w:sz w:val="18"/>
          <w:szCs w:val="18"/>
          <w:color w:val="auto"/>
        </w:rPr>
        <w:t>. Any officer may resign at any time by giving notice in writing or by electronic transmission notice to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office at the time, or by the unanimous written consent of the directors in office at the time, or by any committee or superior officers upon whom such power of removal may have been conferred by the Board of Directors.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Section 32. Execution of Corporate Instruments</w:t>
      </w:r>
      <w:r>
        <w:rPr>
          <w:rFonts w:ascii="Arial" w:cs="Arial" w:eastAsia="Arial" w:hAnsi="Arial"/>
          <w:sz w:val="17"/>
          <w:szCs w:val="17"/>
          <w:color w:val="auto"/>
        </w:rPr>
        <w:t>. The Board of Directors may, in its discretion, determine the method and designate the signatory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w:t>
      </w:r>
    </w:p>
    <w:p>
      <w:pPr>
        <w:spacing w:after="0" w:line="221"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 corporation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Section 34. Form and Execution of Certificates</w:t>
      </w:r>
      <w:r>
        <w:rPr>
          <w:rFonts w:ascii="Arial" w:cs="Arial" w:eastAsia="Arial" w:hAnsi="Arial"/>
          <w:sz w:val="16"/>
          <w:szCs w:val="16"/>
          <w:color w:val="auto"/>
        </w:rPr>
        <w:t>. Certificates for the shares of stock of the corporation shall be in such form as is 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and applicable law. Every holder of stock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powers, designations, preferences, and rights, and the limitations or restrictions of the shares authorized to be issued or shall; except as otherwise required by law, set forth on the face or back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or otherwise required by law or with respect to this section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35. Lost Certificates</w:t>
      </w:r>
      <w:r>
        <w:rPr>
          <w:rFonts w:ascii="Arial" w:cs="Arial" w:eastAsia="Arial" w:hAnsi="Arial"/>
          <w:sz w:val="18"/>
          <w:szCs w:val="18"/>
          <w:color w:val="auto"/>
        </w:rPr>
        <w:t>. 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62" w:name="page263"/>
    <w:bookmarkEnd w:id="26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and amount as it may direct as indemnity against any claim that may be made against the corporation with respect to the certificate alleged to have been lost, stolen, or destroyed.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36. Transfers.</w:t>
      </w:r>
    </w:p>
    <w:p>
      <w:pPr>
        <w:spacing w:after="0" w:line="121" w:lineRule="exact"/>
        <w:rPr>
          <w:sz w:val="20"/>
          <w:szCs w:val="20"/>
          <w:color w:val="auto"/>
        </w:rPr>
      </w:pPr>
    </w:p>
    <w:p>
      <w:pPr>
        <w:ind w:right="280" w:firstLine="921"/>
        <w:spacing w:after="0" w:line="277" w:lineRule="auto"/>
        <w:tabs>
          <w:tab w:leader="none" w:pos="1168"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w:t>
      </w:r>
    </w:p>
    <w:p>
      <w:pPr>
        <w:spacing w:after="0" w:line="170" w:lineRule="exact"/>
        <w:rPr>
          <w:rFonts w:ascii="Arial" w:cs="Arial" w:eastAsia="Arial" w:hAnsi="Arial"/>
          <w:sz w:val="18"/>
          <w:szCs w:val="18"/>
          <w:b w:val="1"/>
          <w:bCs w:val="1"/>
          <w:color w:val="auto"/>
        </w:rPr>
      </w:pPr>
    </w:p>
    <w:p>
      <w:pPr>
        <w:ind w:right="60" w:firstLine="921"/>
        <w:spacing w:after="0" w:line="264" w:lineRule="auto"/>
        <w:tabs>
          <w:tab w:leader="none" w:pos="1178"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37. Fixing Record Dates.</w:t>
      </w:r>
    </w:p>
    <w:p>
      <w:pPr>
        <w:spacing w:after="0" w:line="121" w:lineRule="exact"/>
        <w:rPr>
          <w:sz w:val="20"/>
          <w:szCs w:val="20"/>
          <w:color w:val="auto"/>
        </w:rPr>
      </w:pPr>
    </w:p>
    <w:p>
      <w:pPr>
        <w:ind w:right="100" w:firstLine="921"/>
        <w:spacing w:after="0" w:line="288" w:lineRule="auto"/>
        <w:tabs>
          <w:tab w:leader="none" w:pos="1168" w:val="left"/>
        </w:tabs>
        <w:numPr>
          <w:ilvl w:val="1"/>
          <w:numId w:val="218"/>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w:t>
      </w:r>
    </w:p>
    <w:p>
      <w:pPr>
        <w:ind w:right="20" w:firstLine="8"/>
        <w:spacing w:after="0" w:line="253" w:lineRule="auto"/>
        <w:tabs>
          <w:tab w:leader="none" w:pos="34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91" w:lineRule="exact"/>
        <w:rPr>
          <w:rFonts w:ascii="Arial" w:cs="Arial" w:eastAsia="Arial" w:hAnsi="Arial"/>
          <w:sz w:val="18"/>
          <w:szCs w:val="18"/>
          <w:color w:val="auto"/>
        </w:rPr>
      </w:pPr>
    </w:p>
    <w:p>
      <w:pPr>
        <w:ind w:firstLine="921"/>
        <w:spacing w:after="0" w:line="269" w:lineRule="auto"/>
        <w:tabs>
          <w:tab w:leader="none" w:pos="1178"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(l0)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(l0)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any officer or agent of the corporation having custody of the book in which proceedings of meetings of stockholders are recorded. Delivery made to the corporation’s registered office shall be by hand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3" w:name="page264"/>
    <w:bookmarkEnd w:id="263"/>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1" w:lineRule="exact"/>
        <w:rPr>
          <w:sz w:val="20"/>
          <w:szCs w:val="20"/>
          <w:color w:val="auto"/>
        </w:rPr>
      </w:pPr>
    </w:p>
    <w:p>
      <w:pPr>
        <w:ind w:firstLine="921"/>
        <w:spacing w:after="0" w:line="297" w:lineRule="auto"/>
        <w:tabs>
          <w:tab w:leader="none" w:pos="1158"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Section 38. Registered Stockholders</w:t>
      </w:r>
      <w:r>
        <w:rPr>
          <w:rFonts w:ascii="Arial" w:cs="Arial" w:eastAsia="Arial" w:hAnsi="Arial"/>
          <w:sz w:val="16"/>
          <w:szCs w:val="16"/>
          <w:color w:val="auto"/>
        </w:rPr>
        <w:t>. The corporation shall be entitled to recognize the exclusive right of a person registered on its books as the owner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Section 39. Execution of Other Securities</w:t>
      </w:r>
      <w:r>
        <w:rPr>
          <w:rFonts w:ascii="Arial" w:cs="Arial" w:eastAsia="Arial" w:hAnsi="Arial"/>
          <w:sz w:val="17"/>
          <w:szCs w:val="17"/>
          <w:color w:val="auto"/>
        </w:rPr>
        <w:t>. All bonds, debentures and other corporate securities of the corporation ,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hear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whose facsimile signature shall have been used thereon had not ceased to be such officer of the corporation.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Section 41. Dividend Reserve</w:t>
      </w:r>
      <w:r>
        <w:rPr>
          <w:rFonts w:ascii="Arial" w:cs="Arial" w:eastAsia="Arial" w:hAnsi="Arial"/>
          <w:sz w:val="16"/>
          <w:szCs w:val="16"/>
          <w:color w:val="auto"/>
        </w:rPr>
        <w:t>. Before payment of any dividend, there may be set aside out of any funds of the corporation available for dividends such</w:t>
      </w:r>
      <w:r>
        <w:rPr>
          <w:rFonts w:ascii="Arial" w:cs="Arial" w:eastAsia="Arial" w:hAnsi="Arial"/>
          <w:sz w:val="16"/>
          <w:szCs w:val="16"/>
          <w:b w:val="1"/>
          <w:bCs w:val="1"/>
          <w:color w:val="auto"/>
        </w:rPr>
        <w:t xml:space="preserve"> </w:t>
      </w:r>
      <w:r>
        <w:rPr>
          <w:rFonts w:ascii="Arial" w:cs="Arial" w:eastAsia="Arial" w:hAnsi="Arial"/>
          <w:sz w:val="16"/>
          <w:szCs w:val="16"/>
          <w:color w:val="auto"/>
        </w:rPr>
        <w:t>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 and the Board of Directors may modify or abolish any such reserve in the manner in which it was created.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42. Fiscal Year</w:t>
      </w:r>
      <w:r>
        <w:rPr>
          <w:rFonts w:ascii="Arial" w:cs="Arial" w:eastAsia="Arial" w:hAnsi="Arial"/>
          <w:sz w:val="18"/>
          <w:szCs w:val="18"/>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43. Indemnification of Directors, Executive Officers, Other Officers, Employees and Other Agents.</w:t>
      </w:r>
    </w:p>
    <w:p>
      <w:pPr>
        <w:spacing w:after="0" w:line="225" w:lineRule="exact"/>
        <w:rPr>
          <w:sz w:val="20"/>
          <w:szCs w:val="20"/>
          <w:color w:val="auto"/>
        </w:rPr>
      </w:pPr>
    </w:p>
    <w:p>
      <w:pPr>
        <w:ind w:right="40" w:firstLine="921"/>
        <w:spacing w:after="0" w:line="295" w:lineRule="auto"/>
        <w:tabs>
          <w:tab w:leader="none" w:pos="1168"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Executive Officers</w:t>
      </w:r>
      <w:r>
        <w:rPr>
          <w:rFonts w:ascii="Arial" w:cs="Arial" w:eastAsia="Arial" w:hAnsi="Arial"/>
          <w:sz w:val="16"/>
          <w:szCs w:val="16"/>
          <w:color w:val="auto"/>
        </w:rPr>
        <w:t>. The corporation shall indemnify its directors and executive officers (for the purposes of this Article XI,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officers” shall have the meaning defined in Rule 3b-7 promulgated under the 1934 Act) to the fullest extent not prohibited by the DGCL or any other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corporation may modify the extent of such indemnification by individual contracts with its directors and executive officers;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65" w:name="page266"/>
    <w:bookmarkEnd w:id="265"/>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vested in the corporation under the Delaware General Corporation Law or any other applicable law or (iv) such indemnification is required to be made under subsection (d).</w:t>
      </w:r>
    </w:p>
    <w:p>
      <w:pPr>
        <w:spacing w:after="0" w:line="166" w:lineRule="exact"/>
        <w:rPr>
          <w:sz w:val="20"/>
          <w:szCs w:val="20"/>
          <w:color w:val="auto"/>
        </w:rPr>
      </w:pPr>
    </w:p>
    <w:p>
      <w:pPr>
        <w:ind w:right="500" w:firstLine="921"/>
        <w:spacing w:after="0" w:line="289" w:lineRule="auto"/>
        <w:tabs>
          <w:tab w:leader="none" w:pos="1178"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Other Officers, Employees and Other Agents</w:t>
      </w:r>
      <w:r>
        <w:rPr>
          <w:rFonts w:ascii="Arial" w:cs="Arial" w:eastAsia="Arial" w:hAnsi="Arial"/>
          <w:sz w:val="17"/>
          <w:szCs w:val="17"/>
          <w:color w:val="auto"/>
        </w:rPr>
        <w:t>. The corporation shall have power to indemnify its other officers, employees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58" w:lineRule="exact"/>
        <w:rPr>
          <w:rFonts w:ascii="Arial" w:cs="Arial" w:eastAsia="Arial" w:hAnsi="Arial"/>
          <w:sz w:val="17"/>
          <w:szCs w:val="17"/>
          <w:b w:val="1"/>
          <w:bCs w:val="1"/>
          <w:color w:val="auto"/>
        </w:rPr>
      </w:pPr>
    </w:p>
    <w:p>
      <w:pPr>
        <w:ind w:firstLine="921"/>
        <w:spacing w:after="0" w:line="271" w:lineRule="auto"/>
        <w:tabs>
          <w:tab w:leader="none" w:pos="1158"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 pending or</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Notwithstanding the foregoing, unless otherwise determined pursuant to paragraph (e) of this Bylaw,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8" w:lineRule="exact"/>
        <w:rPr>
          <w:sz w:val="20"/>
          <w:szCs w:val="20"/>
          <w:color w:val="auto"/>
        </w:rPr>
      </w:pPr>
    </w:p>
    <w:p>
      <w:pPr>
        <w:ind w:right="20" w:firstLine="921"/>
        <w:spacing w:after="0" w:line="277" w:lineRule="auto"/>
        <w:tabs>
          <w:tab w:leader="none" w:pos="1178"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Enforcement</w:t>
      </w:r>
      <w:r>
        <w:rPr>
          <w:rFonts w:ascii="Arial" w:cs="Arial" w:eastAsia="Arial" w:hAnsi="Arial"/>
          <w:sz w:val="17"/>
          <w:szCs w:val="17"/>
          <w:color w:val="auto"/>
        </w:rPr>
        <w:t>. Without the necessity of entering into an express contract, all rights to indemnification and advances to directors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6" w:name="page267"/>
    <w:bookmarkEnd w:id="26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65" w:lineRule="exact"/>
        <w:rPr>
          <w:sz w:val="20"/>
          <w:szCs w:val="20"/>
          <w:color w:val="auto"/>
        </w:rPr>
      </w:pPr>
    </w:p>
    <w:p>
      <w:pPr>
        <w:ind w:right="40" w:firstLine="921"/>
        <w:spacing w:after="0" w:line="258" w:lineRule="auto"/>
        <w:tabs>
          <w:tab w:leader="none" w:pos="1158"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Rights</w:t>
      </w:r>
      <w:r>
        <w:rPr>
          <w:rFonts w:ascii="Arial" w:cs="Arial" w:eastAsia="Arial" w:hAnsi="Arial"/>
          <w:sz w:val="18"/>
          <w:szCs w:val="18"/>
          <w:color w:val="auto"/>
        </w:rPr>
        <w:t>. The rights conferred on any person by this Bylaw shall not be exclusive of any other right which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DGGL or any other applicable law.</w:t>
      </w:r>
    </w:p>
    <w:p>
      <w:pPr>
        <w:spacing w:after="0" w:line="183" w:lineRule="exact"/>
        <w:rPr>
          <w:rFonts w:ascii="Arial" w:cs="Arial" w:eastAsia="Arial" w:hAnsi="Arial"/>
          <w:sz w:val="18"/>
          <w:szCs w:val="18"/>
          <w:b w:val="1"/>
          <w:bCs w:val="1"/>
          <w:color w:val="auto"/>
        </w:rPr>
      </w:pPr>
    </w:p>
    <w:p>
      <w:pPr>
        <w:ind w:right="620" w:firstLine="921"/>
        <w:spacing w:after="0" w:line="282" w:lineRule="auto"/>
        <w:tabs>
          <w:tab w:leader="none" w:pos="1138"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Bylaw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right="680" w:firstLine="921"/>
        <w:spacing w:after="0" w:line="313" w:lineRule="auto"/>
        <w:tabs>
          <w:tab w:leader="none" w:pos="1168"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Bylaw.</w:t>
      </w:r>
    </w:p>
    <w:p>
      <w:pPr>
        <w:spacing w:after="0" w:line="138" w:lineRule="exact"/>
        <w:rPr>
          <w:rFonts w:ascii="Arial" w:cs="Arial" w:eastAsia="Arial" w:hAnsi="Arial"/>
          <w:sz w:val="17"/>
          <w:szCs w:val="17"/>
          <w:b w:val="1"/>
          <w:bCs w:val="1"/>
          <w:color w:val="auto"/>
        </w:rPr>
      </w:pPr>
    </w:p>
    <w:p>
      <w:pPr>
        <w:ind w:right="100" w:firstLine="921"/>
        <w:spacing w:after="0" w:line="313" w:lineRule="auto"/>
        <w:tabs>
          <w:tab w:leader="none" w:pos="1168"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w:t>
      </w:r>
      <w:r>
        <w:rPr>
          <w:rFonts w:ascii="Arial" w:cs="Arial" w:eastAsia="Arial" w:hAnsi="Arial"/>
          <w:sz w:val="17"/>
          <w:szCs w:val="17"/>
          <w:color w:val="auto"/>
        </w:rPr>
        <w:t>. Any repeal or modification of this Bylaw shall only be prospective and shall not affect the rights under this Bylaw in effect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of the alleged occurrence of any action or omission to act that is the cause of any proceeding against any agent of the corporation.</w:t>
      </w:r>
    </w:p>
    <w:p>
      <w:pPr>
        <w:spacing w:after="0" w:line="138" w:lineRule="exact"/>
        <w:rPr>
          <w:rFonts w:ascii="Arial" w:cs="Arial" w:eastAsia="Arial" w:hAnsi="Arial"/>
          <w:sz w:val="17"/>
          <w:szCs w:val="17"/>
          <w:b w:val="1"/>
          <w:bCs w:val="1"/>
          <w:color w:val="auto"/>
        </w:rPr>
      </w:pPr>
    </w:p>
    <w:p>
      <w:pPr>
        <w:ind w:right="600" w:firstLine="921"/>
        <w:spacing w:after="0" w:line="313" w:lineRule="auto"/>
        <w:tabs>
          <w:tab w:leader="none" w:pos="1128"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Saving Clause</w:t>
      </w:r>
      <w:r>
        <w:rPr>
          <w:rFonts w:ascii="Arial" w:cs="Arial" w:eastAsia="Arial" w:hAnsi="Arial"/>
          <w:sz w:val="17"/>
          <w:szCs w:val="17"/>
          <w:color w:val="auto"/>
        </w:rPr>
        <w:t>. 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and executive officer to the full extent not prohibited by any applicable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7" w:name="page268"/>
    <w:bookmarkEnd w:id="26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 of this Bylaw that shall not have been invalidated, or by any other applicable law. If this Section 43 shall be invalid due to the application of the indemnification provisions of another jurisdiction, then the corporation shall indemnify each director and executive officer to the full extent under applicable law.</w:t>
      </w:r>
    </w:p>
    <w:p>
      <w:pPr>
        <w:spacing w:after="0" w:line="177" w:lineRule="exact"/>
        <w:rPr>
          <w:sz w:val="20"/>
          <w:szCs w:val="20"/>
          <w:color w:val="auto"/>
        </w:rPr>
      </w:pPr>
    </w:p>
    <w:p>
      <w:pPr>
        <w:ind w:left="1140" w:hanging="219"/>
        <w:spacing w:after="0"/>
        <w:tabs>
          <w:tab w:leader="none" w:pos="11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Bylaw, the following definitions shall apply:</w:t>
      </w:r>
    </w:p>
    <w:p>
      <w:pPr>
        <w:spacing w:after="0" w:line="229" w:lineRule="exact"/>
        <w:rPr>
          <w:rFonts w:ascii="Arial" w:cs="Arial" w:eastAsia="Arial" w:hAnsi="Arial"/>
          <w:sz w:val="18"/>
          <w:szCs w:val="18"/>
          <w:b w:val="1"/>
          <w:bCs w:val="1"/>
          <w:color w:val="auto"/>
        </w:rPr>
      </w:pPr>
    </w:p>
    <w:p>
      <w:pPr>
        <w:jc w:val="both"/>
        <w:ind w:right="200" w:firstLine="1492"/>
        <w:spacing w:after="0" w:line="264" w:lineRule="auto"/>
        <w:tabs>
          <w:tab w:leader="none" w:pos="1738"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1" w:lineRule="exact"/>
        <w:rPr>
          <w:rFonts w:ascii="Arial" w:cs="Arial" w:eastAsia="Arial" w:hAnsi="Arial"/>
          <w:sz w:val="18"/>
          <w:szCs w:val="18"/>
          <w:b w:val="1"/>
          <w:bCs w:val="1"/>
          <w:color w:val="auto"/>
        </w:rPr>
      </w:pPr>
    </w:p>
    <w:p>
      <w:pPr>
        <w:ind w:right="120" w:firstLine="1492"/>
        <w:spacing w:after="0" w:line="308" w:lineRule="auto"/>
        <w:tabs>
          <w:tab w:leader="none" w:pos="1738" w:val="left"/>
        </w:tabs>
        <w:numPr>
          <w:ilvl w:val="1"/>
          <w:numId w:val="225"/>
        </w:numPr>
        <w:rPr>
          <w:rFonts w:ascii="Arial" w:cs="Arial" w:eastAsia="Arial" w:hAnsi="Arial"/>
          <w:sz w:val="17"/>
          <w:szCs w:val="17"/>
          <w:b w:val="1"/>
          <w:bCs w:val="1"/>
          <w:color w:val="auto"/>
        </w:rPr>
      </w:pPr>
      <w:r>
        <w:rPr>
          <w:rFonts w:ascii="Arial" w:cs="Arial" w:eastAsia="Arial" w:hAnsi="Arial"/>
          <w:sz w:val="17"/>
          <w:szCs w:val="17"/>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46" w:lineRule="exact"/>
        <w:rPr>
          <w:rFonts w:ascii="Arial" w:cs="Arial" w:eastAsia="Arial" w:hAnsi="Arial"/>
          <w:sz w:val="17"/>
          <w:szCs w:val="17"/>
          <w:b w:val="1"/>
          <w:bCs w:val="1"/>
          <w:color w:val="auto"/>
        </w:rPr>
      </w:pPr>
    </w:p>
    <w:p>
      <w:pPr>
        <w:ind w:firstLine="1492"/>
        <w:spacing w:after="0" w:line="273" w:lineRule="auto"/>
        <w:tabs>
          <w:tab w:leader="none" w:pos="1738" w:val="left"/>
        </w:tabs>
        <w:numPr>
          <w:ilvl w:val="1"/>
          <w:numId w:val="225"/>
        </w:numPr>
        <w:rPr>
          <w:rFonts w:ascii="Arial" w:cs="Arial" w:eastAsia="Arial" w:hAnsi="Arial"/>
          <w:sz w:val="17"/>
          <w:szCs w:val="17"/>
          <w:b w:val="1"/>
          <w:bCs w:val="1"/>
          <w:color w:val="auto"/>
        </w:rPr>
      </w:pPr>
      <w:r>
        <w:rPr>
          <w:rFonts w:ascii="Arial" w:cs="Arial" w:eastAsia="Arial" w:hAnsi="Arial"/>
          <w:sz w:val="17"/>
          <w:szCs w:val="17"/>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78" w:lineRule="exact"/>
        <w:rPr>
          <w:rFonts w:ascii="Arial" w:cs="Arial" w:eastAsia="Arial" w:hAnsi="Arial"/>
          <w:sz w:val="17"/>
          <w:szCs w:val="17"/>
          <w:b w:val="1"/>
          <w:bCs w:val="1"/>
          <w:color w:val="auto"/>
        </w:rPr>
      </w:pPr>
    </w:p>
    <w:p>
      <w:pPr>
        <w:ind w:right="120" w:firstLine="1492"/>
        <w:spacing w:after="0" w:line="264" w:lineRule="auto"/>
        <w:tabs>
          <w:tab w:leader="none" w:pos="1738"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1" w:lineRule="exact"/>
        <w:rPr>
          <w:rFonts w:ascii="Arial" w:cs="Arial" w:eastAsia="Arial" w:hAnsi="Arial"/>
          <w:sz w:val="18"/>
          <w:szCs w:val="18"/>
          <w:b w:val="1"/>
          <w:bCs w:val="1"/>
          <w:color w:val="auto"/>
        </w:rPr>
      </w:pPr>
    </w:p>
    <w:p>
      <w:pPr>
        <w:ind w:right="20" w:firstLine="1492"/>
        <w:spacing w:after="0" w:line="255" w:lineRule="auto"/>
        <w:tabs>
          <w:tab w:leader="none" w:pos="1738"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Notices.</w:t>
      </w:r>
    </w:p>
    <w:p>
      <w:pPr>
        <w:spacing w:after="0" w:line="117" w:lineRule="exact"/>
        <w:rPr>
          <w:sz w:val="20"/>
          <w:szCs w:val="20"/>
          <w:color w:val="auto"/>
        </w:rPr>
      </w:pPr>
    </w:p>
    <w:p>
      <w:pPr>
        <w:ind w:left="-20" w:right="40" w:firstLine="921"/>
        <w:spacing w:after="0" w:line="281" w:lineRule="auto"/>
        <w:tabs>
          <w:tab w:leader="none" w:pos="1148" w:val="left"/>
        </w:tabs>
        <w:numPr>
          <w:ilvl w:val="0"/>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64" w:lineRule="exact"/>
        <w:rPr>
          <w:rFonts w:ascii="Arial" w:cs="Arial" w:eastAsia="Arial" w:hAnsi="Arial"/>
          <w:sz w:val="17"/>
          <w:szCs w:val="17"/>
          <w:b w:val="1"/>
          <w:bCs w:val="1"/>
          <w:color w:val="auto"/>
        </w:rPr>
      </w:pPr>
    </w:p>
    <w:p>
      <w:pPr>
        <w:ind w:left="-20" w:right="160" w:firstLine="921"/>
        <w:spacing w:after="0" w:line="266" w:lineRule="auto"/>
        <w:tabs>
          <w:tab w:leader="none" w:pos="1158"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Directors</w:t>
      </w:r>
      <w:r>
        <w:rPr>
          <w:rFonts w:ascii="Arial" w:cs="Arial" w:eastAsia="Arial" w:hAnsi="Arial"/>
          <w:sz w:val="18"/>
          <w:szCs w:val="18"/>
          <w:color w:val="auto"/>
        </w:rPr>
        <w:t>. Any notice required to be given to any director may be given by the method stated in subsection (a), or as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76" w:lineRule="exact"/>
        <w:rPr>
          <w:rFonts w:ascii="Arial" w:cs="Arial" w:eastAsia="Arial" w:hAnsi="Arial"/>
          <w:sz w:val="18"/>
          <w:szCs w:val="18"/>
          <w:b w:val="1"/>
          <w:bCs w:val="1"/>
          <w:color w:val="auto"/>
        </w:rPr>
      </w:pPr>
    </w:p>
    <w:p>
      <w:pPr>
        <w:ind w:left="-20" w:right="40" w:firstLine="921"/>
        <w:spacing w:after="0" w:line="261" w:lineRule="auto"/>
        <w:tabs>
          <w:tab w:leader="none" w:pos="1138"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0" w:lineRule="exact"/>
        <w:rPr>
          <w:rFonts w:ascii="Arial" w:cs="Arial" w:eastAsia="Arial" w:hAnsi="Arial"/>
          <w:sz w:val="18"/>
          <w:szCs w:val="18"/>
          <w:b w:val="1"/>
          <w:bCs w:val="1"/>
          <w:color w:val="auto"/>
        </w:rPr>
      </w:pPr>
    </w:p>
    <w:p>
      <w:pPr>
        <w:ind w:left="-20" w:right="80" w:firstLine="921"/>
        <w:spacing w:after="0" w:line="266" w:lineRule="auto"/>
        <w:tabs>
          <w:tab w:leader="none" w:pos="1158"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 but one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method may be employed in respect of any one or more, and any other permissible method or methods may be employed in respect of any other or others.</w:t>
      </w:r>
    </w:p>
    <w:p>
      <w:pPr>
        <w:spacing w:after="0" w:line="176" w:lineRule="exact"/>
        <w:rPr>
          <w:rFonts w:ascii="Arial" w:cs="Arial" w:eastAsia="Arial" w:hAnsi="Arial"/>
          <w:sz w:val="18"/>
          <w:szCs w:val="18"/>
          <w:b w:val="1"/>
          <w:bCs w:val="1"/>
          <w:color w:val="auto"/>
        </w:rPr>
      </w:pPr>
    </w:p>
    <w:p>
      <w:pPr>
        <w:ind w:left="-20" w:firstLine="921"/>
        <w:spacing w:after="0" w:line="255" w:lineRule="auto"/>
        <w:tabs>
          <w:tab w:leader="none" w:pos="1138"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Person with Whom Communication Is Unlawful</w:t>
      </w:r>
      <w:r>
        <w:rPr>
          <w:rFonts w:ascii="Arial" w:cs="Arial" w:eastAsia="Arial" w:hAnsi="Arial"/>
          <w:sz w:val="18"/>
          <w:szCs w:val="18"/>
          <w:color w:val="auto"/>
        </w:rPr>
        <w:t>. Whenever notice is required to be given, under any provision of law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9" w:lineRule="exact"/>
        <w:rPr>
          <w:rFonts w:ascii="Arial" w:cs="Arial" w:eastAsia="Arial" w:hAnsi="Arial"/>
          <w:sz w:val="18"/>
          <w:szCs w:val="18"/>
          <w:b w:val="1"/>
          <w:bCs w:val="1"/>
          <w:color w:val="auto"/>
        </w:rPr>
      </w:pPr>
    </w:p>
    <w:p>
      <w:pPr>
        <w:ind w:left="-20" w:right="120" w:firstLine="921"/>
        <w:spacing w:after="0" w:line="282" w:lineRule="auto"/>
        <w:tabs>
          <w:tab w:leader="none" w:pos="1118"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Stockholders Sharing an Address</w:t>
      </w:r>
      <w:r>
        <w:rPr>
          <w:rFonts w:ascii="Arial" w:cs="Arial" w:eastAsia="Arial" w:hAnsi="Arial"/>
          <w:sz w:val="18"/>
          <w:szCs w:val="18"/>
          <w:color w:val="auto"/>
        </w:rPr>
        <w:t>. Except as otherwise prohibited under DGCL, any notice given under the provisions of DGCL,</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270" w:right="239" w:bottom="1440" w:gutter="0" w:footer="0" w:header="0"/>
        </w:sectPr>
      </w:pPr>
    </w:p>
    <w:bookmarkStart w:id="269" w:name="page270"/>
    <w:bookmarkEnd w:id="26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Section 45. Amendments</w:t>
      </w:r>
      <w:r>
        <w:rPr>
          <w:rFonts w:ascii="Arial" w:cs="Arial" w:eastAsia="Arial" w:hAnsi="Arial"/>
          <w:sz w:val="18"/>
          <w:szCs w:val="18"/>
          <w:color w:val="auto"/>
        </w:rPr>
        <w:t>. The Board of Directors is expressly empowered to adopt, amend or repeal Bylaws of the corporation. The stockholders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also have power to adopt, amend or repeal the Bylaws of the corporation; provided, however, that, in addition to any vote of the holders of any class or series of stock of the corporation required by law or by the Certificate of Incorporation, such action by stockholders shall requite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right="500" w:firstLine="456"/>
        <w:spacing w:after="0" w:line="266" w:lineRule="auto"/>
        <w:rPr>
          <w:sz w:val="20"/>
          <w:szCs w:val="20"/>
          <w:color w:val="auto"/>
        </w:rPr>
      </w:pPr>
      <w:r>
        <w:rPr>
          <w:rFonts w:ascii="Arial" w:cs="Arial" w:eastAsia="Arial" w:hAnsi="Arial"/>
          <w:sz w:val="18"/>
          <w:szCs w:val="18"/>
          <w:b w:val="1"/>
          <w:bCs w:val="1"/>
          <w:color w:val="auto"/>
        </w:rPr>
        <w:t>Section 46. Right of First Refusal</w:t>
      </w:r>
      <w:r>
        <w:rPr>
          <w:rFonts w:ascii="Arial" w:cs="Arial" w:eastAsia="Arial" w:hAnsi="Arial"/>
          <w:sz w:val="18"/>
          <w:szCs w:val="18"/>
          <w:color w:val="auto"/>
        </w:rPr>
        <w:t>. No stockholder shall sell, assign, pledge, or in any manner transfer any of the shares of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any right or interest therein, whether voluntarily or by operation of law, or by gift or otherwise, except by a transfer which meets the requirements hereinafter set forth in this bylaw:</w:t>
      </w:r>
    </w:p>
    <w:p>
      <w:pPr>
        <w:spacing w:after="0" w:line="180" w:lineRule="exact"/>
        <w:rPr>
          <w:sz w:val="20"/>
          <w:szCs w:val="20"/>
          <w:color w:val="auto"/>
        </w:rPr>
      </w:pPr>
    </w:p>
    <w:p>
      <w:pPr>
        <w:ind w:right="120" w:firstLine="921"/>
        <w:spacing w:after="0" w:line="264" w:lineRule="auto"/>
        <w:tabs>
          <w:tab w:leader="none" w:pos="1168"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shares of common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1" w:lineRule="exact"/>
        <w:rPr>
          <w:rFonts w:ascii="Arial" w:cs="Arial" w:eastAsia="Arial" w:hAnsi="Arial"/>
          <w:sz w:val="18"/>
          <w:szCs w:val="18"/>
          <w:b w:val="1"/>
          <w:bCs w:val="1"/>
          <w:color w:val="auto"/>
        </w:rPr>
      </w:pPr>
    </w:p>
    <w:p>
      <w:pPr>
        <w:ind w:right="40" w:firstLine="921"/>
        <w:spacing w:after="0" w:line="291" w:lineRule="auto"/>
        <w:tabs>
          <w:tab w:leader="none" w:pos="1178"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46,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0" w:name="page271"/>
    <w:bookmarkEnd w:id="270"/>
    <w:p>
      <w:pPr>
        <w:ind w:left="1140" w:hanging="239"/>
        <w:spacing w:after="0"/>
        <w:tabs>
          <w:tab w:leader="none" w:pos="114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may assign its rights hereunder.</w:t>
      </w:r>
    </w:p>
    <w:p>
      <w:pPr>
        <w:spacing w:after="0" w:line="225" w:lineRule="exact"/>
        <w:rPr>
          <w:rFonts w:ascii="Arial" w:cs="Arial" w:eastAsia="Arial" w:hAnsi="Arial"/>
          <w:sz w:val="18"/>
          <w:szCs w:val="18"/>
          <w:b w:val="1"/>
          <w:bCs w:val="1"/>
          <w:color w:val="auto"/>
        </w:rPr>
      </w:pPr>
    </w:p>
    <w:p>
      <w:pPr>
        <w:ind w:left="-20" w:right="140" w:firstLine="921"/>
        <w:spacing w:after="0" w:line="257" w:lineRule="auto"/>
        <w:tabs>
          <w:tab w:leader="none" w:pos="115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88" w:lineRule="exact"/>
        <w:rPr>
          <w:rFonts w:ascii="Arial" w:cs="Arial" w:eastAsia="Arial" w:hAnsi="Arial"/>
          <w:sz w:val="18"/>
          <w:szCs w:val="18"/>
          <w:b w:val="1"/>
          <w:bCs w:val="1"/>
          <w:color w:val="auto"/>
        </w:rPr>
      </w:pPr>
    </w:p>
    <w:p>
      <w:pPr>
        <w:ind w:left="-20" w:right="80" w:firstLine="921"/>
        <w:spacing w:after="0" w:line="257" w:lineRule="auto"/>
        <w:tabs>
          <w:tab w:leader="none" w:pos="113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88" w:lineRule="exact"/>
        <w:rPr>
          <w:rFonts w:ascii="Arial" w:cs="Arial" w:eastAsia="Arial" w:hAnsi="Arial"/>
          <w:sz w:val="18"/>
          <w:szCs w:val="18"/>
          <w:b w:val="1"/>
          <w:bCs w:val="1"/>
          <w:color w:val="auto"/>
        </w:rPr>
      </w:pPr>
    </w:p>
    <w:p>
      <w:pPr>
        <w:ind w:left="1120" w:hanging="219"/>
        <w:spacing w:after="0"/>
        <w:tabs>
          <w:tab w:leader="none" w:pos="1120"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Anything to the contrary contained herein notwithstanding, the following transactions shall be exempt from the provisions of this bylaw:</w:t>
      </w:r>
    </w:p>
    <w:p>
      <w:pPr>
        <w:spacing w:after="0" w:line="236" w:lineRule="exact"/>
        <w:rPr>
          <w:rFonts w:ascii="Arial" w:cs="Arial" w:eastAsia="Arial" w:hAnsi="Arial"/>
          <w:sz w:val="17"/>
          <w:szCs w:val="17"/>
          <w:b w:val="1"/>
          <w:bCs w:val="1"/>
          <w:color w:val="auto"/>
        </w:rPr>
      </w:pPr>
    </w:p>
    <w:p>
      <w:pPr>
        <w:ind w:left="-20" w:firstLine="1492"/>
        <w:spacing w:after="0" w:line="257" w:lineRule="auto"/>
        <w:tabs>
          <w:tab w:leader="none" w:pos="1718"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shares held either during such stockholder’ s lifetime or on death by will or intestacy to such stockholder’s immediate family or to any custodian or trustee for the account of such stockholder or such stockholder’ s immediate family or to any limited partnership of which the stockholder, members of such stockholder’s immediate family or any trust for the account of such stockholder or such stockholder’s immediate family will be the general of limited partner(s) of such partnership. “Immediate family” as used herein shall mean spouse, lineal descendant, father, mother, brother, or sister of the stockholder making such transfer.</w:t>
      </w:r>
    </w:p>
    <w:p>
      <w:pPr>
        <w:spacing w:after="0" w:line="188" w:lineRule="exact"/>
        <w:rPr>
          <w:rFonts w:ascii="Arial" w:cs="Arial" w:eastAsia="Arial" w:hAnsi="Arial"/>
          <w:sz w:val="18"/>
          <w:szCs w:val="18"/>
          <w:b w:val="1"/>
          <w:bCs w:val="1"/>
          <w:color w:val="auto"/>
        </w:rPr>
      </w:pPr>
    </w:p>
    <w:p>
      <w:pPr>
        <w:ind w:left="-20" w:right="440" w:firstLine="1492"/>
        <w:spacing w:after="0" w:line="277" w:lineRule="auto"/>
        <w:tabs>
          <w:tab w:leader="none" w:pos="1718"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70" w:lineRule="exact"/>
        <w:rPr>
          <w:rFonts w:ascii="Arial" w:cs="Arial" w:eastAsia="Arial" w:hAnsi="Arial"/>
          <w:sz w:val="18"/>
          <w:szCs w:val="18"/>
          <w:b w:val="1"/>
          <w:bCs w:val="1"/>
          <w:color w:val="auto"/>
        </w:rPr>
      </w:pPr>
    </w:p>
    <w:p>
      <w:pPr>
        <w:ind w:left="1720" w:hanging="248"/>
        <w:spacing w:after="0"/>
        <w:tabs>
          <w:tab w:leader="none" w:pos="1720" w:val="left"/>
        </w:tabs>
        <w:numPr>
          <w:ilvl w:val="1"/>
          <w:numId w:val="228"/>
        </w:numPr>
        <w:rPr>
          <w:rFonts w:ascii="Arial" w:cs="Arial" w:eastAsia="Arial" w:hAnsi="Arial"/>
          <w:sz w:val="16"/>
          <w:szCs w:val="16"/>
          <w:b w:val="1"/>
          <w:bCs w:val="1"/>
          <w:color w:val="auto"/>
        </w:rPr>
      </w:pPr>
      <w:r>
        <w:rPr>
          <w:rFonts w:ascii="Arial" w:cs="Arial" w:eastAsia="Arial" w:hAnsi="Arial"/>
          <w:sz w:val="16"/>
          <w:szCs w:val="16"/>
          <w:color w:val="auto"/>
        </w:rPr>
        <w:t>A stockholder’s transfer of any or all of such stockholder’s shares to the corporation or to any other stockholder of the corporation.</w:t>
      </w:r>
    </w:p>
    <w:p>
      <w:pPr>
        <w:spacing w:after="0" w:line="248" w:lineRule="exact"/>
        <w:rPr>
          <w:rFonts w:ascii="Arial" w:cs="Arial" w:eastAsia="Arial" w:hAnsi="Arial"/>
          <w:sz w:val="16"/>
          <w:szCs w:val="16"/>
          <w:b w:val="1"/>
          <w:bCs w:val="1"/>
          <w:color w:val="auto"/>
        </w:rPr>
      </w:pPr>
    </w:p>
    <w:p>
      <w:pPr>
        <w:ind w:left="-20" w:right="600" w:firstLine="1492"/>
        <w:spacing w:after="0" w:line="277" w:lineRule="auto"/>
        <w:tabs>
          <w:tab w:leader="none" w:pos="1718"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170" w:lineRule="exact"/>
        <w:rPr>
          <w:rFonts w:ascii="Arial" w:cs="Arial" w:eastAsia="Arial" w:hAnsi="Arial"/>
          <w:sz w:val="18"/>
          <w:szCs w:val="18"/>
          <w:b w:val="1"/>
          <w:bCs w:val="1"/>
          <w:color w:val="auto"/>
        </w:rPr>
      </w:pPr>
    </w:p>
    <w:p>
      <w:pPr>
        <w:ind w:left="-20" w:right="20" w:firstLine="1492"/>
        <w:spacing w:after="0" w:line="264" w:lineRule="auto"/>
        <w:tabs>
          <w:tab w:leader="none" w:pos="1718"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60" w:top="274" w:right="239" w:bottom="1440" w:gutter="0" w:footer="0" w:header="0"/>
        </w:sectPr>
      </w:pPr>
    </w:p>
    <w:bookmarkStart w:id="271" w:name="page272"/>
    <w:bookmarkEnd w:id="271"/>
    <w:p>
      <w:pPr>
        <w:ind w:left="1740" w:hanging="248"/>
        <w:spacing w:after="0"/>
        <w:tabs>
          <w:tab w:leader="none" w:pos="174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corporate stockholder’s transfer of any or all of its shares to any or all of its stockholders.</w:t>
      </w:r>
    </w:p>
    <w:p>
      <w:pPr>
        <w:spacing w:after="0" w:line="225" w:lineRule="exact"/>
        <w:rPr>
          <w:rFonts w:ascii="Arial" w:cs="Arial" w:eastAsia="Arial" w:hAnsi="Arial"/>
          <w:sz w:val="18"/>
          <w:szCs w:val="18"/>
          <w:b w:val="1"/>
          <w:bCs w:val="1"/>
          <w:color w:val="auto"/>
        </w:rPr>
      </w:pPr>
    </w:p>
    <w:p>
      <w:pPr>
        <w:ind w:left="1740" w:hanging="248"/>
        <w:spacing w:after="0"/>
        <w:tabs>
          <w:tab w:leader="none" w:pos="174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sz w:val="20"/>
          <w:szCs w:val="20"/>
          <w:color w:val="auto"/>
        </w:rPr>
      </w:pPr>
    </w:p>
    <w:p>
      <w:pPr>
        <w:ind w:firstLine="921"/>
        <w:spacing w:after="0" w:line="302" w:lineRule="auto"/>
        <w:tabs>
          <w:tab w:leader="none" w:pos="1168"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54" w:lineRule="exact"/>
        <w:rPr>
          <w:rFonts w:ascii="Arial" w:cs="Arial" w:eastAsia="Arial" w:hAnsi="Arial"/>
          <w:sz w:val="16"/>
          <w:szCs w:val="16"/>
          <w:b w:val="1"/>
          <w:bCs w:val="1"/>
          <w:color w:val="auto"/>
        </w:rPr>
      </w:pPr>
    </w:p>
    <w:p>
      <w:pPr>
        <w:ind w:right="400" w:firstLine="921"/>
        <w:spacing w:after="0" w:line="277" w:lineRule="auto"/>
        <w:tabs>
          <w:tab w:leader="none" w:pos="117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Any sale or transfer, or purported sale or transfer, of securities of the corporation shall be null and void unless the terms, conditions, and provisions of this bylaw are strictly observed and followed.</w:t>
      </w:r>
    </w:p>
    <w:p>
      <w:pPr>
        <w:spacing w:after="0" w:line="170"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on either of the following dates, whichever shall first occur:</w:t>
      </w:r>
    </w:p>
    <w:p>
      <w:pPr>
        <w:spacing w:after="0" w:line="225" w:lineRule="exact"/>
        <w:rPr>
          <w:rFonts w:ascii="Arial" w:cs="Arial" w:eastAsia="Arial" w:hAnsi="Arial"/>
          <w:sz w:val="18"/>
          <w:szCs w:val="18"/>
          <w:b w:val="1"/>
          <w:bCs w:val="1"/>
          <w:color w:val="auto"/>
        </w:rPr>
      </w:pPr>
    </w:p>
    <w:p>
      <w:pPr>
        <w:ind w:left="1740" w:hanging="248"/>
        <w:spacing w:after="0"/>
        <w:tabs>
          <w:tab w:leader="none" w:pos="1740"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On February 21, 2016; or</w:t>
      </w:r>
    </w:p>
    <w:p>
      <w:pPr>
        <w:spacing w:after="0" w:line="225" w:lineRule="exact"/>
        <w:rPr>
          <w:rFonts w:ascii="Arial" w:cs="Arial" w:eastAsia="Arial" w:hAnsi="Arial"/>
          <w:sz w:val="18"/>
          <w:szCs w:val="18"/>
          <w:b w:val="1"/>
          <w:bCs w:val="1"/>
          <w:color w:val="auto"/>
        </w:rPr>
      </w:pPr>
    </w:p>
    <w:p>
      <w:pPr>
        <w:ind w:right="140" w:firstLine="1492"/>
        <w:spacing w:after="0" w:line="277" w:lineRule="auto"/>
        <w:tabs>
          <w:tab w:leader="none" w:pos="1738"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70" w:lineRule="exact"/>
        <w:rPr>
          <w:rFonts w:ascii="Arial" w:cs="Arial" w:eastAsia="Arial" w:hAnsi="Arial"/>
          <w:sz w:val="18"/>
          <w:szCs w:val="18"/>
          <w:b w:val="1"/>
          <w:bCs w:val="1"/>
          <w:color w:val="auto"/>
        </w:rPr>
      </w:pPr>
    </w:p>
    <w:p>
      <w:pPr>
        <w:ind w:right="160" w:firstLine="921"/>
        <w:spacing w:after="0" w:line="277" w:lineRule="auto"/>
        <w:tabs>
          <w:tab w:leader="none" w:pos="113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stock of the corp0ration shall bear on their face the following legend so long as the foregoing right of first refusal remains in effect:</w:t>
      </w:r>
    </w:p>
    <w:p>
      <w:pPr>
        <w:spacing w:after="0" w:line="62"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THEBYLAWS OF THE CORPORATION.”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Section 47. Loans to Officers</w:t>
      </w:r>
      <w:r>
        <w:rPr>
          <w:rFonts w:ascii="Arial" w:cs="Arial" w:eastAsia="Arial" w:hAnsi="Arial"/>
          <w:sz w:val="18"/>
          <w:szCs w:val="18"/>
          <w:color w:val="auto"/>
        </w:rPr>
        <w:t>. Except as otherwise prohibited under applicable law, the corporation may lend money to, or guarantee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or otherwise assist any officer or other employee of the corporation or of its subsidiaries, including any officer or employee who is a Director of the corporation or its subsidiaries, whenever, in the judgment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72" w:name="page273"/>
    <w:bookmarkEnd w:id="272"/>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48. Annual Report.</w:t>
      </w:r>
    </w:p>
    <w:p>
      <w:pPr>
        <w:spacing w:after="0" w:line="229" w:lineRule="exact"/>
        <w:rPr>
          <w:sz w:val="20"/>
          <w:szCs w:val="20"/>
          <w:color w:val="auto"/>
        </w:rPr>
      </w:pPr>
    </w:p>
    <w:p>
      <w:pPr>
        <w:ind w:firstLine="921"/>
        <w:spacing w:after="0" w:line="284" w:lineRule="auto"/>
        <w:tabs>
          <w:tab w:leader="none" w:pos="1168"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w:t>
      </w:r>
    </w:p>
    <w:p>
      <w:pPr>
        <w:spacing w:after="0" w:line="2" w:lineRule="exact"/>
        <w:rPr>
          <w:rFonts w:ascii="Arial" w:cs="Arial" w:eastAsia="Arial" w:hAnsi="Arial"/>
          <w:sz w:val="16"/>
          <w:szCs w:val="16"/>
          <w:b w:val="1"/>
          <w:bCs w:val="1"/>
          <w:color w:val="auto"/>
        </w:rPr>
      </w:pPr>
    </w:p>
    <w:p>
      <w:pPr>
        <w:ind w:left="360" w:hanging="352"/>
        <w:spacing w:after="0"/>
        <w:tabs>
          <w:tab w:leader="none" w:pos="3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days prior to the next annual meeting of stockholders after the end of the fiscal year to which it relates.</w:t>
      </w:r>
    </w:p>
    <w:p>
      <w:pPr>
        <w:spacing w:after="0" w:line="210" w:lineRule="exact"/>
        <w:rPr>
          <w:rFonts w:ascii="Arial" w:cs="Arial" w:eastAsia="Arial" w:hAnsi="Arial"/>
          <w:sz w:val="18"/>
          <w:szCs w:val="18"/>
          <w:color w:val="auto"/>
        </w:rPr>
      </w:pPr>
    </w:p>
    <w:p>
      <w:pPr>
        <w:ind w:right="120" w:firstLine="921"/>
        <w:spacing w:after="0" w:line="277" w:lineRule="auto"/>
        <w:tabs>
          <w:tab w:leader="none" w:pos="1178" w:val="left"/>
        </w:tabs>
        <w:numPr>
          <w:ilvl w:val="1"/>
          <w:numId w:val="232"/>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1612265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1655445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ANAPTYSBIO, INC.,</w:t>
      </w:r>
    </w:p>
    <w:p>
      <w:pPr>
        <w:spacing w:after="0" w:line="1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ind w:left="4320"/>
              <w:spacing w:after="0"/>
              <w:rPr>
                <w:sz w:val="20"/>
                <w:szCs w:val="20"/>
                <w:color w:val="auto"/>
              </w:rPr>
            </w:pPr>
            <w:r>
              <w:rPr>
                <w:rFonts w:ascii="Arial" w:cs="Arial" w:eastAsia="Arial" w:hAnsi="Arial"/>
                <w:sz w:val="18"/>
                <w:szCs w:val="18"/>
                <w:color w:val="auto"/>
                <w:w w:val="94"/>
              </w:rPr>
              <w:t>As Adopted</w:t>
            </w:r>
          </w:p>
        </w:tc>
        <w:tc>
          <w:tcPr>
            <w:tcW w:w="6200" w:type="dxa"/>
            <w:vAlign w:val="bottom"/>
            <w:gridSpan w:val="2"/>
          </w:tcPr>
          <w:p>
            <w:pPr>
              <w:jc w:val="right"/>
              <w:ind w:right="4300"/>
              <w:spacing w:after="0"/>
              <w:rPr>
                <w:sz w:val="20"/>
                <w:szCs w:val="20"/>
                <w:color w:val="auto"/>
              </w:rPr>
            </w:pPr>
            <w:r>
              <w:rPr>
                <w:rFonts w:ascii="Arial" w:cs="Arial" w:eastAsia="Arial" w:hAnsi="Arial"/>
                <w:sz w:val="18"/>
                <w:szCs w:val="18"/>
                <w:color w:val="auto"/>
              </w:rPr>
              <w:t>, 2015</w:t>
            </w:r>
          </w:p>
        </w:tc>
      </w:tr>
      <w:tr>
        <w:trPr>
          <w:trHeight w:val="534"/>
        </w:trPr>
        <w:tc>
          <w:tcPr>
            <w:tcW w:w="5220" w:type="dxa"/>
            <w:vAlign w:val="bottom"/>
            <w:tcBorders>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48"/>
        </w:trPr>
        <w:tc>
          <w:tcPr>
            <w:tcW w:w="52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74" w:name="page275"/>
    <w:bookmarkEnd w:id="2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a Delaware Corporation</w:t>
            </w:r>
          </w:p>
        </w:tc>
      </w:tr>
      <w:tr>
        <w:trPr>
          <w:trHeight w:val="419"/>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AMENDED AND RESTATED BYLAWS</w:t>
            </w:r>
          </w:p>
        </w:tc>
      </w:tr>
      <w:tr>
        <w:trPr>
          <w:trHeight w:val="490"/>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22"/>
                <w:szCs w:val="22"/>
                <w:b w:val="1"/>
                <w:bCs w:val="1"/>
                <w:color w:val="auto"/>
                <w:w w:val="97"/>
              </w:rPr>
              <w:t>TABLE OF CONTENTS</w:t>
            </w:r>
          </w:p>
        </w:tc>
      </w:tr>
      <w:tr>
        <w:trPr>
          <w:trHeight w:val="449"/>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Article I—STOCKHOLDERS</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Annual Meetings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Special Meetings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Notice of Meetings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Adjournments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Quorum</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Organization</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Voting; Proxies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Fixing Date for Determination of Stockholders of Record</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List of Stockholders Entitled to Vote</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Inspectors of Elections</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Notice of Stockholder Business; Nominations</w:t>
            </w:r>
          </w:p>
        </w:tc>
      </w:tr>
      <w:tr>
        <w:trPr>
          <w:trHeight w:val="324"/>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Article II—BOARD OF DIRECTORS</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Number; Qualifications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Election; Resignation; Removal; Vacancies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Regular Meetings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Special Meetings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Remote Meetings Permitted</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Quorum; Vote Required for Action</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Organization</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Written Action by Directors</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Powers</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Compensation of Directors</w:t>
            </w:r>
          </w:p>
        </w:tc>
      </w:tr>
      <w:tr>
        <w:trPr>
          <w:trHeight w:val="324"/>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Article III—COMMITTEES</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Committees</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Committee Rules</w:t>
            </w:r>
          </w:p>
        </w:tc>
      </w:tr>
      <w:tr>
        <w:trPr>
          <w:trHeight w:val="324"/>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Article IV—OFFICERS</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Generally</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Chairperson of the Board</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President</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219"/>
          </w:cols>
          <w:pgMar w:left="240" w:top="270" w:right="1440" w:bottom="1440" w:gutter="0" w:footer="0" w:header="0"/>
        </w:sectPr>
      </w:pPr>
    </w:p>
    <w:bookmarkStart w:id="275" w:name="page276"/>
    <w:bookmarkEnd w:id="275"/>
    <w:p>
      <w:pPr>
        <w:ind w:left="360"/>
        <w:spacing w:after="0"/>
        <w:rPr>
          <w:sz w:val="20"/>
          <w:szCs w:val="20"/>
          <w:color w:val="auto"/>
        </w:rPr>
      </w:pPr>
      <w:r>
        <w:rPr>
          <w:rFonts w:ascii="Arial" w:cs="Arial" w:eastAsia="Arial" w:hAnsi="Arial"/>
          <w:sz w:val="18"/>
          <w:szCs w:val="18"/>
          <w:color w:val="auto"/>
        </w:rPr>
        <w:t>Section 4.6:</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4.10: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-208915</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Delegation of Authority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Removal</w:t>
      </w:r>
    </w:p>
    <w:p>
      <w:pPr>
        <w:spacing w:after="0" w:line="99" w:lineRule="exact"/>
        <w:rPr>
          <w:sz w:val="20"/>
          <w:szCs w:val="20"/>
          <w:color w:val="auto"/>
        </w:rPr>
      </w:pPr>
    </w:p>
    <w:p>
      <w:pPr>
        <w:sectPr>
          <w:pgSz w:w="11900" w:h="16838" w:orient="portrait"/>
          <w:cols w:equalWidth="0" w:num="2">
            <w:col w:w="1320" w:space="400"/>
            <w:col w:w="8499"/>
          </w:cols>
          <w:pgMar w:left="240" w:top="274" w:right="1440" w:bottom="1440" w:gutter="0" w:footer="0" w:header="0"/>
        </w:sectPr>
      </w:pPr>
    </w:p>
    <w:p>
      <w:pPr>
        <w:spacing w:after="0"/>
        <w:rPr>
          <w:sz w:val="20"/>
          <w:szCs w:val="20"/>
          <w:color w:val="auto"/>
        </w:rPr>
      </w:pPr>
      <w:r>
        <w:rPr>
          <w:rFonts w:ascii="Arial" w:cs="Arial" w:eastAsia="Arial" w:hAnsi="Arial"/>
          <w:sz w:val="17"/>
          <w:szCs w:val="17"/>
          <w:b w:val="1"/>
          <w:bCs w:val="1"/>
          <w:color w:val="auto"/>
        </w:rPr>
        <w:t>Article V—STOCK</w:t>
      </w:r>
    </w:p>
    <w:p>
      <w:pPr>
        <w:sectPr>
          <w:pgSz w:w="11900" w:h="16838" w:orient="portrait"/>
          <w:cols w:equalWidth="0" w:num="1">
            <w:col w:w="10219"/>
          </w:cols>
          <w:pgMar w:left="240" w:top="274" w:right="1440" w:bottom="1440" w:gutter="0" w:footer="0" w:header="0"/>
          <w:type w:val="continuous"/>
        </w:sectPr>
      </w:pPr>
    </w:p>
    <w:p>
      <w:pPr>
        <w:spacing w:after="0" w:line="13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Section 5.l:</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5.2:</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5.3:</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Certificates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Lost, Stolen or Destroyed Stock Certificates; Issuance of New Certificates or Uncertificated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Regulations</w:t>
      </w:r>
    </w:p>
    <w:p>
      <w:pPr>
        <w:spacing w:after="0" w:line="99" w:lineRule="exact"/>
        <w:rPr>
          <w:sz w:val="20"/>
          <w:szCs w:val="20"/>
          <w:color w:val="auto"/>
        </w:rPr>
      </w:pPr>
    </w:p>
    <w:p>
      <w:pPr>
        <w:sectPr>
          <w:pgSz w:w="11900" w:h="16838" w:orient="portrait"/>
          <w:cols w:equalWidth="0" w:num="2">
            <w:col w:w="1220" w:space="500"/>
            <w:col w:w="849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Article VI—INDEMNIFICATION</w:t>
      </w:r>
    </w:p>
    <w:p>
      <w:pPr>
        <w:sectPr>
          <w:pgSz w:w="11900" w:h="16838" w:orient="portrait"/>
          <w:cols w:equalWidth="0" w:num="1">
            <w:col w:w="10219"/>
          </w:cols>
          <w:pgMar w:left="240" w:top="274" w:right="1440" w:bottom="1440" w:gutter="0" w:footer="0" w:header="0"/>
          <w:type w:val="continuous"/>
        </w:sectPr>
      </w:pP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6.1:</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6.2:</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6.3:</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6.4:</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6.5:</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6.6:</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6.7: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of Officers and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Advancement of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Non-Exclusivity of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of Indemnitee to Bring Suit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Nature of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9" w:lineRule="exact"/>
        <w:rPr>
          <w:sz w:val="20"/>
          <w:szCs w:val="20"/>
          <w:color w:val="auto"/>
        </w:rPr>
      </w:pPr>
    </w:p>
    <w:p>
      <w:pPr>
        <w:sectPr>
          <w:pgSz w:w="11900" w:h="16838" w:orient="portrait"/>
          <w:cols w:equalWidth="0" w:num="2">
            <w:col w:w="1220" w:space="500"/>
            <w:col w:w="849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Article VII—NOTICES</w:t>
      </w:r>
    </w:p>
    <w:p>
      <w:pPr>
        <w:sectPr>
          <w:pgSz w:w="11900" w:h="16838" w:orient="portrait"/>
          <w:cols w:equalWidth="0" w:num="1">
            <w:col w:w="10219"/>
          </w:cols>
          <w:pgMar w:left="240" w:top="274" w:right="1440" w:bottom="1440" w:gutter="0" w:footer="0" w:header="0"/>
          <w:type w:val="continuous"/>
        </w:sectPr>
      </w:pP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Section 7.l:</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7.2:</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Waiver of Notice</w:t>
      </w:r>
    </w:p>
    <w:p>
      <w:pPr>
        <w:spacing w:after="0" w:line="122" w:lineRule="exact"/>
        <w:rPr>
          <w:sz w:val="20"/>
          <w:szCs w:val="20"/>
          <w:color w:val="auto"/>
        </w:rPr>
      </w:pPr>
    </w:p>
    <w:p>
      <w:pPr>
        <w:sectPr>
          <w:pgSz w:w="11900" w:h="16838" w:orient="portrait"/>
          <w:cols w:equalWidth="0" w:num="2">
            <w:col w:w="1220" w:space="500"/>
            <w:col w:w="849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Article VIII—INTERESTED DIRECTORS</w:t>
      </w:r>
    </w:p>
    <w:p>
      <w:pPr>
        <w:sectPr>
          <w:pgSz w:w="11900" w:h="16838" w:orient="portrait"/>
          <w:cols w:equalWidth="0" w:num="1">
            <w:col w:w="10219"/>
          </w:cols>
          <w:pgMar w:left="240" w:top="274" w:right="1440" w:bottom="1440" w:gutter="0" w:footer="0" w:header="0"/>
          <w:type w:val="continuous"/>
        </w:sectPr>
      </w:pP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8.1:</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8.2:</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Interested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Quorum</w:t>
      </w:r>
    </w:p>
    <w:p>
      <w:pPr>
        <w:spacing w:after="0" w:line="99" w:lineRule="exact"/>
        <w:rPr>
          <w:sz w:val="20"/>
          <w:szCs w:val="20"/>
          <w:color w:val="auto"/>
        </w:rPr>
      </w:pPr>
    </w:p>
    <w:p>
      <w:pPr>
        <w:sectPr>
          <w:pgSz w:w="11900" w:h="16838" w:orient="portrait"/>
          <w:cols w:equalWidth="0" w:num="2">
            <w:col w:w="1220" w:space="500"/>
            <w:col w:w="849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Article IX—MISCELLANEOUS</w:t>
      </w:r>
    </w:p>
    <w:p>
      <w:pPr>
        <w:sectPr>
          <w:pgSz w:w="11900" w:h="16838" w:orient="portrait"/>
          <w:cols w:equalWidth="0" w:num="1">
            <w:col w:w="10219"/>
          </w:cols>
          <w:pgMar w:left="240" w:top="274" w:right="1440" w:bottom="1440" w:gutter="0" w:footer="0" w:header="0"/>
          <w:type w:val="continuous"/>
        </w:sectPr>
      </w:pP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9.1:</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9.2:</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9.3:</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9.4:</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9.5:</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9.6:</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Records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Reliance Upon Books and Records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Incorporation Governs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Severability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Periods</w:t>
      </w:r>
    </w:p>
    <w:p>
      <w:pPr>
        <w:spacing w:after="0" w:line="99" w:lineRule="exact"/>
        <w:rPr>
          <w:sz w:val="20"/>
          <w:szCs w:val="20"/>
          <w:color w:val="auto"/>
        </w:rPr>
      </w:pPr>
    </w:p>
    <w:p>
      <w:pPr>
        <w:sectPr>
          <w:pgSz w:w="11900" w:h="16838" w:orient="portrait"/>
          <w:cols w:equalWidth="0" w:num="2">
            <w:col w:w="1220" w:space="500"/>
            <w:col w:w="849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Article X—AMENDMENT</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 ii -</w:t>
      </w:r>
    </w:p>
    <w:p>
      <w:pPr>
        <w:sectPr>
          <w:pgSz w:w="11900" w:h="16838" w:orient="portrait"/>
          <w:cols w:equalWidth="0" w:num="1">
            <w:col w:w="10219"/>
          </w:cols>
          <w:pgMar w:left="240" w:top="274" w:right="1440" w:bottom="1440" w:gutter="0" w:footer="0" w:header="0"/>
          <w:type w:val="continuous"/>
        </w:sectPr>
      </w:pPr>
    </w:p>
    <w:bookmarkStart w:id="276" w:name="page277"/>
    <w:bookmarkEnd w:id="276"/>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1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104" w:lineRule="exact"/>
        <w:rPr>
          <w:sz w:val="20"/>
          <w:szCs w:val="20"/>
          <w:color w:val="auto"/>
        </w:rPr>
      </w:pPr>
    </w:p>
    <w:tbl>
      <w:tblPr>
        <w:tblLayout w:type="fixed"/>
        <w:tblInd w:w="440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w w:val="96"/>
              </w:rPr>
              <w:t>As Adopted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0"/>
        </w:trPr>
        <w:tc>
          <w:tcPr>
            <w:tcW w:w="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 STOCKHOLDERS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meeting of stockholders shall be held for the election of directors at such date and time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each year fix. The meeting may be held either at a place, within or without the State of Delaware as permitted by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w:t>
      </w:r>
    </w:p>
    <w:p>
      <w:pPr>
        <w:spacing w:after="0" w:line="18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stockholders for any purpose or purposes may be called at any time by the Chairperson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Chief Executive Officer, the President or the Board acting pursuant to a resolution adopted by a majority of the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which shall mean the total number of authorized directors, whether or not there exist any vacancies in previously authorized directorships. Special meetings may not be called by any other person or persons. The special meeting may be held either at a place, within or without the State of Delaware, or by means of remote communication as the Board in its sole discretion may determine.</w:t>
      </w:r>
    </w:p>
    <w:p>
      <w:pPr>
        <w:spacing w:after="0" w:line="184"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Notice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all meetings of stockholders shall be given in writing or by electronic transmission in the manner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by law (including, without limitation, as set forth in Section 7.1.1 of these Amended and Restated Bylaws) stating the date, time and place, if any, of the meeting, the means of remote communications, if any, by which stockholders and proxyholders may be deemed to be present in person and vote at such meeting and, in the case of a special meeting, the purpose or purposes for which the meeting is called. Unless otherwise required by applicable law or the Restated Certificate of Incorporation of the Corporation, as amended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such notice shall be given not less than ten (10), nor more than sixty (60), days before the date of the meeting to each stockholder of record entitled to vote at such meeting.</w:t>
      </w:r>
    </w:p>
    <w:p>
      <w:pPr>
        <w:spacing w:after="0" w:line="15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meeting shall have the power to adjourn the meeting to another time, date and place (if any).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of stockholders may adjourn from time to time, and notice need not be given of any such adjourned meeting if the time, date and place (if any) thereof and the means of remote communications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w:t>
      </w:r>
    </w:p>
    <w:p>
      <w:pPr>
        <w:spacing w:after="0" w:line="3" w:lineRule="exact"/>
        <w:rPr>
          <w:sz w:val="20"/>
          <w:szCs w:val="20"/>
          <w:color w:val="auto"/>
        </w:rPr>
      </w:pPr>
    </w:p>
    <w:p>
      <w:pPr>
        <w:ind w:right="80" w:firstLine="8"/>
        <w:spacing w:after="0" w:line="254" w:lineRule="auto"/>
        <w:tabs>
          <w:tab w:leader="none" w:pos="34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 or annual meeting of stockholders before it is to be held, in which case notice shall be provided to</w:t>
      </w:r>
    </w:p>
    <w:p>
      <w:pPr>
        <w:sectPr>
          <w:pgSz w:w="11900" w:h="16838" w:orient="portrait"/>
          <w:cols w:equalWidth="0" w:num="1">
            <w:col w:w="11360"/>
          </w:cols>
          <w:pgMar w:left="240" w:top="270" w:right="29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stockholders of the new date, time and place, if any, of the meeting as provided in Section 1.3 above.</w:t>
      </w:r>
    </w:p>
    <w:p>
      <w:pPr>
        <w:spacing w:after="0" w:line="2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u w:val="single" w:color="auto"/>
          <w:color w:val="auto"/>
        </w:rPr>
        <w:t>Section 1.5</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At each meeting of stockholders the holders of a majority of the voting power of the shares of stock entitled to vote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present in person or represented by proxy, shall constitute a quorum for the transaction of business, unless otherwise required by applicable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foregoing shall not limit the right of the Corporation or any other corporation to vote any shares of the Corporation’s stock held by it in a fiduciary capacity and to count such shares for purposes of determining a quorum.</w:t>
      </w:r>
    </w:p>
    <w:p>
      <w:pPr>
        <w:spacing w:after="0" w:line="174" w:lineRule="exact"/>
        <w:rPr>
          <w:sz w:val="20"/>
          <w:szCs w:val="20"/>
          <w:color w:val="auto"/>
        </w:rPr>
      </w:pPr>
    </w:p>
    <w:p>
      <w:pPr>
        <w:ind w:right="140" w:firstLine="456"/>
        <w:spacing w:after="0" w:line="295" w:lineRule="auto"/>
        <w:rPr>
          <w:sz w:val="20"/>
          <w:szCs w:val="20"/>
          <w:color w:val="auto"/>
        </w:rPr>
      </w:pPr>
      <w:r>
        <w:rPr>
          <w:rFonts w:ascii="Arial" w:cs="Arial" w:eastAsia="Arial" w:hAnsi="Arial"/>
          <w:sz w:val="16"/>
          <w:szCs w:val="16"/>
          <w:b w:val="1"/>
          <w:bCs w:val="1"/>
          <w:u w:val="single" w:color="auto"/>
          <w:color w:val="auto"/>
        </w:rPr>
        <w:t>Section 1.6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of stockholders shall be presided over by such person as the Board may designate, or, in the absence of such a</w:t>
      </w:r>
      <w:r>
        <w:rPr>
          <w:rFonts w:ascii="Arial" w:cs="Arial" w:eastAsia="Arial" w:hAnsi="Arial"/>
          <w:sz w:val="16"/>
          <w:szCs w:val="16"/>
          <w:b w:val="1"/>
          <w:bCs w:val="1"/>
          <w:color w:val="auto"/>
        </w:rPr>
        <w:t xml:space="preserve"> </w:t>
      </w:r>
      <w:r>
        <w:rPr>
          <w:rFonts w:ascii="Arial" w:cs="Arial" w:eastAsia="Arial" w:hAnsi="Arial"/>
          <w:sz w:val="16"/>
          <w:szCs w:val="16"/>
          <w:color w:val="auto"/>
        </w:rPr>
        <w:t>person, the 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 Such person shall be chairperson of the meeting and, subject to Section 1.10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156"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u w:val="single" w:color="auto"/>
          <w:color w:val="auto"/>
        </w:rPr>
        <w:t>Section 1.7</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entitled to vote at a meeting of stockholders may authorize another person or persons to act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by proxy. Such a proxy may be prepared, transmitted and delivered in any manner permitted by applicable law. Except as may be required in the Certificate of Incorporation, directors shall be elected by a plurality of the votes of the shares present in person or represented by proxy at the meeting and entitled to vote on the election of directors. Unless otherwise provided by applicable law, the rules of any stock exchange upon which the Corporation’s securities are listed, the Certificate of Incorporation or these Amended and Restated Bylaws, every matter other than the election of directors shall be decided by a majority of the affirmative votes cast for or against the matter.</w:t>
      </w:r>
    </w:p>
    <w:p>
      <w:pPr>
        <w:spacing w:after="0" w:line="174"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u w:val="single" w:color="auto"/>
          <w:color w:val="auto"/>
        </w:rPr>
        <w:t>Section 1.8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Fixing Date for Determination of Stockholders of Record</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that the Corporation may determine the stockholders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or to vote at any meeting of stockholders or entitled to receive payment of any dividend or other distribution or allotment of any rights, or entitled to exercise any rights in respect of any change, conversion or exchange of stock or for the purpose of any other lawful action, unless otherwise required by law, the Board may fix, in advance, a record date, which shall not precede the date upon which the resolution fixing the record date is adopted by the Board and which shall not be more than sixty (60), nor less than ten (10), days before the date of such meeting, nor more than sixty (60) days prior to any other action. If no record date is fixed by the Board, then the record date shall be as provided by</w:t>
      </w:r>
    </w:p>
    <w:p>
      <w:pPr>
        <w:sectPr>
          <w:pgSz w:w="11900" w:h="16838" w:orient="portrait"/>
          <w:cols w:equalWidth="0" w:num="1">
            <w:col w:w="11420"/>
          </w:cols>
          <w:pgMar w:left="240" w:top="274" w:right="239" w:bottom="1440" w:gutter="0" w:footer="0" w:header="0"/>
        </w:sectPr>
      </w:pPr>
    </w:p>
    <w:bookmarkStart w:id="278" w:name="page279"/>
    <w:bookmarkEnd w:id="278"/>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applicable law. To the fullest extent permitted by law, a determination of stockholders of record entitled to notice of or to vote at a meeting of stockholders shall apply to any adjournment of the meeting;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fix a new record date for the adjourned meeting.</w:t>
      </w:r>
    </w:p>
    <w:p>
      <w:pPr>
        <w:spacing w:after="0" w:line="14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u w:val="single" w:color="auto"/>
          <w:color w:val="auto"/>
        </w:rPr>
        <w:t>Section 1.9</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stockholders entitled to vote at any meeting of stockholders, arranged in</w:t>
      </w:r>
      <w:r>
        <w:rPr>
          <w:rFonts w:ascii="Arial" w:cs="Arial" w:eastAsia="Arial" w:hAnsi="Arial"/>
          <w:sz w:val="17"/>
          <w:szCs w:val="17"/>
          <w:b w:val="1"/>
          <w:bCs w:val="1"/>
          <w:color w:val="auto"/>
        </w:rPr>
        <w:t xml:space="preserve"> </w:t>
      </w:r>
      <w:r>
        <w:rPr>
          <w:rFonts w:ascii="Arial" w:cs="Arial" w:eastAsia="Arial" w:hAnsi="Arial"/>
          <w:sz w:val="17"/>
          <w:szCs w:val="17"/>
          <w:color w:val="auto"/>
        </w:rPr>
        <w:t>alphabetical order 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Inspectors of Elections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the DGCL,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Appointment</w:t>
      </w:r>
      <w:r>
        <w:rPr>
          <w:rFonts w:ascii="Arial" w:cs="Arial" w:eastAsia="Arial" w:hAnsi="Arial"/>
          <w:sz w:val="16"/>
          <w:szCs w:val="16"/>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1.10.4 </w:t>
      </w:r>
      <w:r>
        <w:rPr>
          <w:rFonts w:ascii="Arial" w:cs="Arial" w:eastAsia="Arial" w:hAnsi="Arial"/>
          <w:sz w:val="17"/>
          <w:szCs w:val="17"/>
          <w:u w:val="single" w:color="auto"/>
          <w:color w:val="auto"/>
        </w:rPr>
        <w:t>Duties of Inspectors</w:t>
      </w:r>
      <w:r>
        <w:rPr>
          <w:rFonts w:ascii="Arial" w:cs="Arial" w:eastAsia="Arial" w:hAnsi="Arial"/>
          <w:sz w:val="17"/>
          <w:szCs w:val="17"/>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ectPr>
          <w:pgSz w:w="11900" w:h="16838" w:orient="portrait"/>
          <w:cols w:equalWidth="0" w:num="1">
            <w:col w:w="11380"/>
          </w:cols>
          <w:pgMar w:left="240" w:top="274" w:right="279" w:bottom="1440" w:gutter="0" w:footer="0" w:header="0"/>
        </w:sectPr>
      </w:pPr>
    </w:p>
    <w:bookmarkStart w:id="279" w:name="page280"/>
    <w:bookmarkEnd w:id="279"/>
    <w:p>
      <w:pPr>
        <w:ind w:right="28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1.10.5 </w:t>
      </w:r>
      <w:r>
        <w:rPr>
          <w:rFonts w:ascii="Arial" w:cs="Arial" w:eastAsia="Arial" w:hAnsi="Arial"/>
          <w:sz w:val="16"/>
          <w:szCs w:val="16"/>
          <w:u w:val="single" w:color="auto"/>
          <w:color w:val="auto"/>
        </w:rPr>
        <w:t>Opening and Closing of Polls</w:t>
      </w:r>
      <w:r>
        <w:rPr>
          <w:rFonts w:ascii="Arial" w:cs="Arial" w:eastAsia="Arial" w:hAnsi="Arial"/>
          <w:sz w:val="16"/>
          <w:szCs w:val="16"/>
          <w:color w:val="auto"/>
        </w:rPr>
        <w:t>.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in accordance with any information provided pursuant to Section 211(a)(2)(b)(i) or (iii) of the DGCL, or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Notice of Stockholder Business; Nominations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5" w:lineRule="auto"/>
        <w:tabs>
          <w:tab w:leader="none" w:pos="11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business to be considered by the stockholders shall be made at an annual meeting of stockholders (i) pursuant to the Corporation’s notice of such meeting, (ii) by or at the direction of the Board or (iii) by any stockholder of the Corporation who was a stockholder of record at the time of giving of the notice provided for in this Section 1.11, who is entitled to vote at such meeting and who complies with the notice procedures set forth in this Section 1.11.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at an annual meeting of stockholders.</w:t>
      </w:r>
    </w:p>
    <w:p>
      <w:pPr>
        <w:spacing w:after="0" w:line="189" w:lineRule="exact"/>
        <w:rPr>
          <w:rFonts w:ascii="Arial" w:cs="Arial" w:eastAsia="Arial" w:hAnsi="Arial"/>
          <w:sz w:val="18"/>
          <w:szCs w:val="18"/>
          <w:color w:val="auto"/>
        </w:rPr>
      </w:pPr>
    </w:p>
    <w:p>
      <w:pPr>
        <w:ind w:left="1180" w:hanging="259"/>
        <w:spacing w:after="0"/>
        <w:tabs>
          <w:tab w:leader="none" w:pos="11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stockholder pursuant to Section 1.11.1(a):</w:t>
      </w:r>
    </w:p>
    <w:p>
      <w:pPr>
        <w:spacing w:after="0" w:line="128" w:lineRule="exact"/>
        <w:rPr>
          <w:rFonts w:ascii="Arial" w:cs="Arial" w:eastAsia="Arial" w:hAnsi="Arial"/>
          <w:sz w:val="17"/>
          <w:szCs w:val="17"/>
          <w:color w:val="auto"/>
        </w:rPr>
      </w:pPr>
    </w:p>
    <w:p>
      <w:pPr>
        <w:ind w:left="920" w:right="460" w:firstLine="421"/>
        <w:spacing w:after="0" w:line="277" w:lineRule="auto"/>
        <w:tabs>
          <w:tab w:leader="none" w:pos="155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stockholder must have given timely notice thereof in writing to the Secretary of the Corporation, at the Corporation’s principal executive office;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such other business must otherwise be a proper matter for stockholder action;</w:t>
      </w:r>
    </w:p>
    <w:p>
      <w:pPr>
        <w:spacing w:after="0" w:line="117" w:lineRule="exact"/>
        <w:rPr>
          <w:rFonts w:ascii="Arial" w:cs="Arial" w:eastAsia="Arial" w:hAnsi="Arial"/>
          <w:sz w:val="18"/>
          <w:szCs w:val="18"/>
          <w:color w:val="auto"/>
        </w:rPr>
      </w:pPr>
    </w:p>
    <w:p>
      <w:pPr>
        <w:ind w:left="920" w:right="160" w:firstLine="421"/>
        <w:spacing w:after="0" w:line="259" w:lineRule="auto"/>
        <w:tabs>
          <w:tab w:leader="none" w:pos="165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if the stockholder, or the beneficial owner on whose behalf any such proposal or nomination is made, has provided the Corporation with a Solicitation Notice, as that term is defined in this Section, such stockholder or beneficial owner must, in the case of a proposal, have delivered a proxy statement and form of proxy to holders of at least the percentage of the Corporation’s voting shares required under applicable law to carry any such</w:t>
      </w:r>
    </w:p>
    <w:p>
      <w:pPr>
        <w:sectPr>
          <w:pgSz w:w="11900" w:h="16838" w:orient="portrait"/>
          <w:cols w:equalWidth="0" w:num="1">
            <w:col w:w="11400"/>
          </w:cols>
          <w:pgMar w:left="240" w:top="274" w:right="259" w:bottom="1440" w:gutter="0" w:footer="0" w:header="0"/>
        </w:sectPr>
      </w:pPr>
    </w:p>
    <w:bookmarkStart w:id="280" w:name="page281"/>
    <w:bookmarkEnd w:id="280"/>
    <w:p>
      <w:pPr>
        <w:ind w:left="920"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w:t>
      </w:r>
    </w:p>
    <w:p>
      <w:pPr>
        <w:spacing w:after="0" w:line="39" w:lineRule="exact"/>
        <w:rPr>
          <w:sz w:val="20"/>
          <w:szCs w:val="20"/>
          <w:color w:val="auto"/>
        </w:rPr>
      </w:pPr>
    </w:p>
    <w:p>
      <w:pPr>
        <w:ind w:left="920" w:right="60" w:firstLine="421"/>
        <w:spacing w:after="0" w:line="264" w:lineRule="auto"/>
        <w:tabs>
          <w:tab w:leader="none" w:pos="164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To be timely, a stockholder’s notice must be delivered to the Secretary at the principal executive offices of the Corporation not later than the close of business on the seventy-fifth (75th) day nor earlier than the close of business on the one hundred and fifth (105th)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1.11.2);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the event that the date of the annual meeting is more than thirty (30) days before or more than sixty (60) days after such anniversary date, notice by the stockholder to be timely must be so delivered (A) no earlier than the close of business on the one hundred and fifth (105th) day prior to currently proposed annual meeting and (B) no later than the close of business on the later of the seventy-fifth (75th) day prior to such annual meeting or the close of business on the tenth (10th) day following the day on which public announcement of the date of such meeting is first made by the Corporation. In no event shall an adjournment, or postponement of an annual meeting for which notice has been given, commence a new time period for the giving of a stockholder’s notice. Such stockholder’s notice shall set forth:</w:t>
      </w:r>
    </w:p>
    <w:p>
      <w:pPr>
        <w:spacing w:after="0" w:line="70" w:lineRule="exact"/>
        <w:rPr>
          <w:sz w:val="20"/>
          <w:szCs w:val="20"/>
          <w:color w:val="auto"/>
        </w:rPr>
      </w:pPr>
    </w:p>
    <w:p>
      <w:pPr>
        <w:jc w:val="both"/>
        <w:ind w:left="920" w:right="300" w:firstLine="421"/>
        <w:spacing w:after="0" w:line="259" w:lineRule="auto"/>
        <w:tabs>
          <w:tab w:leader="none" w:pos="15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would be required to be disclosed in solicitations of proxies for election of directors, or would be otherwise required, in each case pursuant to Regulation 14A under the Exchange Act, including such person’s written consent to being named in the proxy statement as a nominee and to serving as a director if elected;</w:t>
      </w:r>
    </w:p>
    <w:p>
      <w:pPr>
        <w:spacing w:after="0" w:line="78" w:lineRule="exact"/>
        <w:rPr>
          <w:rFonts w:ascii="Arial" w:cs="Arial" w:eastAsia="Arial" w:hAnsi="Arial"/>
          <w:sz w:val="18"/>
          <w:szCs w:val="18"/>
          <w:color w:val="auto"/>
        </w:rPr>
      </w:pPr>
    </w:p>
    <w:p>
      <w:pPr>
        <w:ind w:left="920" w:right="460" w:firstLine="421"/>
        <w:spacing w:after="0" w:line="264" w:lineRule="auto"/>
        <w:tabs>
          <w:tab w:leader="none" w:pos="15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w:t>
      </w:r>
    </w:p>
    <w:p>
      <w:pPr>
        <w:spacing w:after="0" w:line="73" w:lineRule="exact"/>
        <w:rPr>
          <w:rFonts w:ascii="Arial" w:cs="Arial" w:eastAsia="Arial" w:hAnsi="Arial"/>
          <w:sz w:val="18"/>
          <w:szCs w:val="18"/>
          <w:color w:val="auto"/>
        </w:rPr>
      </w:pPr>
    </w:p>
    <w:p>
      <w:pPr>
        <w:ind w:left="920" w:right="60" w:firstLine="421"/>
        <w:spacing w:after="0" w:line="273" w:lineRule="auto"/>
        <w:tabs>
          <w:tab w:leader="none" w:pos="158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 proposal is made, (aa) the name and address of such stockholder, as they appear on the Corporation’s books, and of such beneficial owner, (bb) the class and number of shares of the Corporation that are owned beneficially and held of record by such stockholder and such beneficial owner, (cc) a description of any agreement, arrangement or understanding with respect to the nomination or proposal between or among such stockholder and such beneficial owner, any of their respective affiliates or associates, and any others acting in concert with any of the foregoing, (dd) a description of any agreement, arrangement or understanding (including any derivative or</w:t>
      </w:r>
    </w:p>
    <w:p>
      <w:pPr>
        <w:sectPr>
          <w:pgSz w:w="11900" w:h="16838" w:orient="portrait"/>
          <w:cols w:equalWidth="0" w:num="1">
            <w:col w:w="11400"/>
          </w:cols>
          <w:pgMar w:left="240" w:top="274" w:right="259" w:bottom="1440" w:gutter="0" w:footer="0" w:header="0"/>
        </w:sectPr>
      </w:pPr>
    </w:p>
    <w:bookmarkStart w:id="281" w:name="page282"/>
    <w:bookmarkEnd w:id="281"/>
    <w:p>
      <w:pPr>
        <w:ind w:left="92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 positions, profit interests, options, warrants, stock appreciation or similar rights, hedging transactions, and borrowed or loaned shares) that has been entered into as of the date of the stockholder’s notice by, or on behalf of, such stockholder and such beneficial owners, the effect or intent of which is to mitigate loss to, manage risk or benefit of share price changes for, or increase or decrease the voting power of, such stockholder or such beneficial owner, with respect to shares of stock of the Corporation, (ee) a representation that the stockholder is a holder of record of stock of the Corporation entitled to vote at such meeting and intends to appear in person or by proxy at the meeting to propose such business or nomination and (ff) 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6"/>
          <w:szCs w:val="16"/>
          <w:b w:val="1"/>
          <w:bCs w:val="1"/>
          <w:i w:val="1"/>
          <w:iCs w:val="1"/>
          <w:color w:val="auto"/>
        </w:rPr>
        <w:t>Solicitation Notice</w:t>
      </w:r>
      <w:r>
        <w:rPr>
          <w:rFonts w:ascii="Arial" w:cs="Arial" w:eastAsia="Arial" w:hAnsi="Arial"/>
          <w:sz w:val="16"/>
          <w:szCs w:val="16"/>
          <w:color w:val="auto"/>
        </w:rPr>
        <w:t>”). If requested by the Corporation, the information required under clauses (bb), (cc) and (dd) of this subparagraph (z) shall be supplemented by such stockholder and beneficial owner, if any, not later than 10 days after the record date for the meeting to disclose such information as of the record date.</w:t>
      </w:r>
    </w:p>
    <w:p>
      <w:pPr>
        <w:spacing w:after="0" w:line="173" w:lineRule="exact"/>
        <w:rPr>
          <w:sz w:val="20"/>
          <w:szCs w:val="20"/>
          <w:color w:val="auto"/>
        </w:rPr>
      </w:pPr>
    </w:p>
    <w:p>
      <w:pPr>
        <w:jc w:val="both"/>
        <w:ind w:right="40" w:firstLine="921"/>
        <w:spacing w:after="0" w:line="288" w:lineRule="auto"/>
        <w:tabs>
          <w:tab w:leader="none" w:pos="115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Section 1.11.1(b) to the contrary, in the event that the number of directors to be elected to the Board is increased and there is no Public Announcement by the Corporation naming all of the nominees for director or specifying the size of the increased Board at least seventy five (75) days prior to the first anniversary of the preceding year’s annual meeting (or, if the annual meeting is held more than thirty</w:t>
      </w:r>
    </w:p>
    <w:p>
      <w:pPr>
        <w:ind w:firstLine="8"/>
        <w:spacing w:after="0" w:line="254" w:lineRule="auto"/>
        <w:tabs>
          <w:tab w:leader="none" w:pos="34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days before or sixty (60) days after such anniversary date, at least seventy five (75) days prior to such annual meeting), a stockholder’s notice required by this Section 1.11 shall also be considered timely, but only with respect to nominees for any new positions created by such increase, if it shall be delivered to the Secretary of the Corporation at the principal executive office of the Corporation no later than the close of business on the tenth (10th) day following the day on which such Public Announcement is first made by the Corporation.</w:t>
      </w:r>
    </w:p>
    <w:p>
      <w:pPr>
        <w:spacing w:after="0" w:line="19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Only such business shall be conducted at a special meeting of stockholders as shall have been brought before the meeting by or at the direction of the Board. Nominations of persons for election to the Board may be made at a special meeting of stockholders at which directors are to be elected pursuant to the Corporation’s notice of such meeting (a) by or at the direction of the Board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procedures set forth in this Section 1.11.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1.11.1(b) shall be delivered to the Secretary of the Corporation at the principal executive offices of the Corporation (i) no earlier than the one hundred fifth (105th) day prior to such special meeting and (ii) no later than the close of business on the later of the seventy fifth (75th) day prior to such special meeting or the tenth (10th) day following the day on which Public Announcement is first made of the date of the special meeting and of the nominees proposed by the Board to be elected at such meeting. In no</w:t>
      </w:r>
    </w:p>
    <w:p>
      <w:pPr>
        <w:sectPr>
          <w:pgSz w:w="11900" w:h="16838" w:orient="portrait"/>
          <w:cols w:equalWidth="0" w:num="1">
            <w:col w:w="11420"/>
          </w:cols>
          <w:pgMar w:left="240" w:top="274" w:right="239" w:bottom="1440" w:gutter="0" w:footer="0" w:header="0"/>
        </w:sectPr>
      </w:pPr>
    </w:p>
    <w:bookmarkStart w:id="282" w:name="page283"/>
    <w:bookmarkEnd w:id="282"/>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shall an adjournment, or postponement of a special meeting for which notice has been given, commence a new time period for the giving of a stockholder of record’s notice.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right="160" w:firstLine="921"/>
        <w:spacing w:after="0" w:line="255" w:lineRule="auto"/>
        <w:tabs>
          <w:tab w:leader="none" w:pos="115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Section 1.11 shall be eligible to serve as directors and only such business shall be conducted at a meeting of stockholders as shall have been brought before the meeting in accordance with the procedures set forth in this Section 1.11. Except as otherwise provided by law or these Amended and Restated Bylaws, the chairperson of the meeting shall have the power and duty to determine whether a nomination or any business proposed to be brought before the meeting was made or proposed, as the case may be, in accordance with the procedures set forth in this Section 1.11 and, if any proposed nomination or business is not in compliance herewith, to declare that such defective proposal or nomination shall be disregarded.</w:t>
      </w:r>
    </w:p>
    <w:p>
      <w:pPr>
        <w:spacing w:after="0" w:line="193" w:lineRule="exact"/>
        <w:rPr>
          <w:rFonts w:ascii="Arial" w:cs="Arial" w:eastAsia="Arial" w:hAnsi="Arial"/>
          <w:sz w:val="18"/>
          <w:szCs w:val="18"/>
          <w:color w:val="auto"/>
        </w:rPr>
      </w:pPr>
    </w:p>
    <w:p>
      <w:pPr>
        <w:ind w:firstLine="921"/>
        <w:spacing w:after="0" w:line="264" w:lineRule="auto"/>
        <w:tabs>
          <w:tab w:leader="none" w:pos="116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For purposes of this Section 1.11, the term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ind w:right="120" w:firstLine="921"/>
        <w:spacing w:after="0" w:line="312" w:lineRule="auto"/>
        <w:tabs>
          <w:tab w:leader="none" w:pos="115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1.11, a stockholder shall also comply with all applicable requirements of the Exchange Act and the rules and regulations thereunder with respect to the matters set forth herein. Nothing in this Section 1.11 shall be deemed to affect any rights of stockholders to request inclusion of proposals in the Corporation’s proxy statement pursuant to Rule 14a-8 under the Exchange Act.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BOARD OF DIRECTORS</w:t>
      </w:r>
    </w:p>
    <w:p>
      <w:pPr>
        <w:spacing w:after="0" w:line="22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u w:val="single" w:color="auto"/>
          <w:color w:val="auto"/>
        </w:rPr>
        <w:t>Section 2.1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Number; Qualifications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shall consist of one or more members. The initial number of directors shall be seven (7),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 unless otherwise required by law, be fixed from time to time as set forth in the Certificate of Incorporation. No decrease in the authorized number of directors constituting the Board shall shorten the term of any incumbent director. Directors need not be stockholders of the Corporation.</w:t>
      </w:r>
    </w:p>
    <w:p>
      <w:pPr>
        <w:spacing w:after="0" w:line="158"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Election; Resignation; Removal; 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shall be divided, with respect to the time for which they severally hold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into classes as provided in the Certificate of Incorporation, and vacancies occurring in the Board and any newly created directorships resulting from any increase in the authorized number of directors shall be filled, as provided in the Certificate of Incorporation.</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Board may from time to time determine. Notice of regular meetings need not be given if the date, times and places thereof are fixed by resolution of the Board.</w:t>
      </w:r>
    </w:p>
    <w:p>
      <w:pPr>
        <w:spacing w:after="0" w:line="17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u w:val="single" w:color="auto"/>
          <w:color w:val="auto"/>
        </w:rPr>
        <w:t>Section 2.4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Board may be called by the Chairperson of the Board, the Chief Executive Officer,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w:t>
      </w:r>
    </w:p>
    <w:p>
      <w:pPr>
        <w:sectPr>
          <w:pgSz w:w="11900" w:h="16838" w:orient="portrait"/>
          <w:cols w:equalWidth="0" w:num="1">
            <w:col w:w="11400"/>
          </w:cols>
          <w:pgMar w:left="240" w:top="274" w:right="259" w:bottom="1440" w:gutter="0" w:footer="0" w:header="0"/>
        </w:sectPr>
      </w:pPr>
    </w:p>
    <w:bookmarkStart w:id="283" w:name="page284"/>
    <w:bookmarkEnd w:id="283"/>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mail), by the person or persons calling the meeting to all directors at least four (4) days before the meeting if the notice is mailed, or at least twenty-four (24) hours before the meeting if such notice is given by telephone, hand delivery, overnight express mail, facsimile, electronic mail or other means of electronic transmission. Unless otherwise indicated in the notice, any and all business may be transacted at a special meeting.</w:t>
      </w:r>
    </w:p>
    <w:p>
      <w:pPr>
        <w:spacing w:after="0" w:line="162"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u w:val="single" w:color="auto"/>
          <w:color w:val="auto"/>
        </w:rPr>
        <w:t>Section 2.5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8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u w:val="single" w:color="auto"/>
          <w:color w:val="auto"/>
        </w:rPr>
        <w:t>Section 2.6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Certificate of Incorporation regarding the ability of members of the Board to fill a</w:t>
      </w:r>
      <w:r>
        <w:rPr>
          <w:rFonts w:ascii="Arial" w:cs="Arial" w:eastAsia="Arial" w:hAnsi="Arial"/>
          <w:sz w:val="18"/>
          <w:szCs w:val="18"/>
          <w:b w:val="1"/>
          <w:bCs w:val="1"/>
          <w:color w:val="auto"/>
        </w:rPr>
        <w:t xml:space="preserve"> </w:t>
      </w:r>
      <w:r>
        <w:rPr>
          <w:rFonts w:ascii="Arial" w:cs="Arial" w:eastAsia="Arial" w:hAnsi="Arial"/>
          <w:sz w:val="18"/>
          <w:szCs w:val="18"/>
          <w:color w:val="auto"/>
        </w:rPr>
        <w:t>vacancy occurring in the Board, a majority of the Whole Board shall constitute a 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affirmative vote of a majority of the directors present at a meeting at which a quorum is present shall be the act of the Board.</w:t>
      </w:r>
    </w:p>
    <w:p>
      <w:pPr>
        <w:spacing w:after="0" w:line="18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the Chairperson of the Board, or in such person’s absence by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or in such person’s absence by a chairperson chosen at the meeting. The Secretary shall act as secretary of the meeting, but in such person’s absence the chairperson of the meeting may appoint any person to act as secretary of the meeting.</w:t>
      </w:r>
    </w:p>
    <w:p>
      <w:pPr>
        <w:spacing w:after="0" w:line="17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Section 2.8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Written Action by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 any committee thereof,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18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u w:val="single" w:color="auto"/>
          <w:color w:val="auto"/>
        </w:rPr>
        <w:t>Section 2.9: Powers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except as otherwise required by law or the Certificate of Incorporation, exercise all such powers and manage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 all such acts and things as may be exercised or done by the Corporation.</w:t>
      </w:r>
    </w:p>
    <w:p>
      <w:pPr>
        <w:spacing w:after="0" w:line="162" w:lineRule="exact"/>
        <w:rPr>
          <w:sz w:val="20"/>
          <w:szCs w:val="20"/>
          <w:color w:val="auto"/>
        </w:rPr>
      </w:pPr>
    </w:p>
    <w:p>
      <w:pPr>
        <w:ind w:right="740" w:firstLine="456"/>
        <w:spacing w:after="0" w:line="313" w:lineRule="auto"/>
        <w:rPr>
          <w:sz w:val="20"/>
          <w:szCs w:val="20"/>
          <w:color w:val="auto"/>
        </w:rPr>
      </w:pPr>
      <w:r>
        <w:rPr>
          <w:rFonts w:ascii="Arial" w:cs="Arial" w:eastAsia="Arial" w:hAnsi="Arial"/>
          <w:sz w:val="17"/>
          <w:szCs w:val="17"/>
          <w:b w:val="1"/>
          <w:bCs w:val="1"/>
          <w:u w:val="single" w:color="auto"/>
          <w:color w:val="auto"/>
        </w:rPr>
        <w:t>Section 2.10</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Compensation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as such, may receive, pursuant to a resolution of the Board, fees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their services as directors, including without limitation their services as members of committees of the Board.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COMMITTEES</w:t>
      </w:r>
    </w:p>
    <w:p>
      <w:pPr>
        <w:spacing w:after="0" w:line="22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designate one or more committees, each committee to consist of one or more of the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w:t>
      </w:r>
    </w:p>
    <w:p>
      <w:pPr>
        <w:sectPr>
          <w:pgSz w:w="11900" w:h="16838" w:orient="portrait"/>
          <w:cols w:equalWidth="0" w:num="1">
            <w:col w:w="11420"/>
          </w:cols>
          <w:pgMar w:left="240" w:top="274" w:right="239" w:bottom="1440" w:gutter="0" w:footer="0" w:header="0"/>
        </w:sectPr>
      </w:pPr>
    </w:p>
    <w:bookmarkStart w:id="284" w:name="page285"/>
    <w:bookmarkEnd w:id="28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61"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 Rules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Board otherwise provides, each committee designated by the Board may make, alter and repeal rules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of its business. In the absence of such rules each committee shall conduct its business in the same manner as the Board conducts its business pursuant to Article II of these Amended and Restated Bylaws.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OFFICERS</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u w:val="single" w:color="auto"/>
          <w:color w:val="auto"/>
        </w:rPr>
        <w:t>Section 4.1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of the Corporation shall consist of a Chief Executive Officer (who may be the Chairperson of the Board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President), a Secretary and a Treasurer and may consist of such other officers, including a Chief Financial Officer and one or more Vice Presidents, as may from time to time be appointed by the Board. All officers shall be elected by the Board;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w:t>
      </w:r>
    </w:p>
    <w:p>
      <w:pPr>
        <w:spacing w:after="0" w:line="17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58" w:lineRule="exact"/>
        <w:rPr>
          <w:sz w:val="20"/>
          <w:szCs w:val="20"/>
          <w:color w:val="auto"/>
        </w:rPr>
      </w:pPr>
    </w:p>
    <w:p>
      <w:pPr>
        <w:ind w:left="460" w:right="180" w:firstLine="443"/>
        <w:spacing w:after="0" w:line="277" w:lineRule="auto"/>
        <w:tabs>
          <w:tab w:leader="none" w:pos="114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Subject to Article I, Section 1.6, to preside at all meetings of the stockholders;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4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Subject to Article I, Section 1.2, to call special meetings of the stockholders to be held at such times and, subject to the limitations prescribed by law or by these Amended and Restated Bylaws, at such places as he or she shall deem proper;</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w:t>
      </w:r>
    </w:p>
    <w:p>
      <w:pPr>
        <w:sectPr>
          <w:pgSz w:w="11900" w:h="16838" w:orient="portrait"/>
          <w:cols w:equalWidth="0" w:num="1">
            <w:col w:w="11400"/>
          </w:cols>
          <w:pgMar w:left="240" w:top="274" w:right="259" w:bottom="1440" w:gutter="0" w:footer="0" w:header="0"/>
        </w:sectPr>
      </w:pPr>
    </w:p>
    <w:bookmarkStart w:id="285" w:name="page286"/>
    <w:bookmarkEnd w:id="285"/>
    <w:p>
      <w:pPr>
        <w:jc w:val="both"/>
        <w:ind w:left="46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 and</w:t>
      </w:r>
    </w:p>
    <w:p>
      <w:pPr>
        <w:spacing w:after="0" w:line="73" w:lineRule="exact"/>
        <w:rPr>
          <w:sz w:val="20"/>
          <w:szCs w:val="20"/>
          <w:color w:val="auto"/>
        </w:rPr>
      </w:pPr>
    </w:p>
    <w:p>
      <w:pPr>
        <w:ind w:left="460" w:right="40" w:firstLine="443"/>
        <w:spacing w:after="0" w:line="259" w:lineRule="auto"/>
        <w:tabs>
          <w:tab w:leader="none" w:pos="114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vote and otherwise act on, or to authorize any officer to vote or otherwise act on, on behalf of the Corporation, in person or by proxy, at any meeting of stockholders of or with respect to any action of stockholders of any other corporation in which this Corporation may hold securities and otherwise to exercise, or authorize any officer otherwise to exercise, any and all rights and powers which this Corporation may possess by reason of its ownership of securities in such other corporation.</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177"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b w:val="1"/>
          <w:bCs w:val="1"/>
          <w:u w:val="single" w:color="auto"/>
          <w:color w:val="auto"/>
        </w:rPr>
        <w:t>Section 4.3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Chairperson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Chairperson of the Board shall have the power to preside at all meetings of the Board and shall have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powers and duties as provided in these Amended and Restated Bylaws and as the Board may from time to time prescribe.</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u w:val="single" w:color="auto"/>
          <w:color w:val="auto"/>
        </w:rPr>
        <w:t>Section 4.4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shall be the President of the Corporation unless the Board shall have designated one individual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and a different individual as the Chief Executive Officer of the Corporation. Subject to the provisions of these Amended and Restated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8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Vice President shall have all such powers and duties as are commonly incident to the office of Vice President,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delegated to him or her by the Board or the Chief Executive Officer. A Vice President may be designated by the Board to perform the duties and exercise the powers of the Chief Executive Officer in the event of the Chief Executive Officer’s absence or disability.</w:t>
      </w:r>
    </w:p>
    <w:p>
      <w:pPr>
        <w:spacing w:after="0" w:line="176"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b w:val="1"/>
          <w:bCs w:val="1"/>
          <w:u w:val="single" w:color="auto"/>
          <w:color w:val="auto"/>
        </w:rPr>
        <w:t>Section 4.6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Financial Officer shall be the Treasurer of the Corporation unless the Board shall have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76" w:lineRule="exact"/>
        <w:rPr>
          <w:sz w:val="20"/>
          <w:szCs w:val="20"/>
          <w:color w:val="auto"/>
        </w:rPr>
      </w:pPr>
    </w:p>
    <w:p>
      <w:pPr>
        <w:ind w:right="1040" w:firstLine="456"/>
        <w:spacing w:after="0" w:line="347" w:lineRule="auto"/>
        <w:rPr>
          <w:sz w:val="20"/>
          <w:szCs w:val="20"/>
          <w:color w:val="auto"/>
        </w:rPr>
      </w:pPr>
      <w:r>
        <w:rPr>
          <w:rFonts w:ascii="Arial" w:cs="Arial" w:eastAsia="Arial" w:hAnsi="Arial"/>
          <w:sz w:val="16"/>
          <w:szCs w:val="16"/>
          <w:b w:val="1"/>
          <w:bCs w:val="1"/>
          <w:u w:val="single" w:color="auto"/>
          <w:color w:val="auto"/>
        </w:rPr>
        <w:t>Section 4.7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The Treasurer shall have custody of all moneys and securities of the Corporation. The Treasurer shall make such</w:t>
      </w:r>
      <w:r>
        <w:rPr>
          <w:rFonts w:ascii="Arial" w:cs="Arial" w:eastAsia="Arial" w:hAnsi="Arial"/>
          <w:sz w:val="16"/>
          <w:szCs w:val="16"/>
          <w:b w:val="1"/>
          <w:bCs w:val="1"/>
          <w:color w:val="auto"/>
        </w:rPr>
        <w:t xml:space="preserve"> </w:t>
      </w:r>
      <w:r>
        <w:rPr>
          <w:rFonts w:ascii="Arial" w:cs="Arial" w:eastAsia="Arial" w:hAnsi="Arial"/>
          <w:sz w:val="16"/>
          <w:szCs w:val="16"/>
          <w:color w:val="auto"/>
        </w:rPr>
        <w:t>disbursements of the funds of the Corporation as are authorized and shall render from time to time an account of all such transactions. The</w:t>
      </w:r>
    </w:p>
    <w:p>
      <w:pPr>
        <w:sectPr>
          <w:pgSz w:w="11900" w:h="16838" w:orient="portrait"/>
          <w:cols w:equalWidth="0" w:num="1">
            <w:col w:w="11400"/>
          </w:cols>
          <w:pgMar w:left="240" w:top="274" w:right="259" w:bottom="1440" w:gutter="0" w:footer="0" w:header="0"/>
        </w:sectPr>
      </w:pPr>
    </w:p>
    <w:bookmarkStart w:id="286" w:name="page287"/>
    <w:bookmarkEnd w:id="286"/>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Treasurer shall also perform such other duties and have such other powers as are commonly incident to the office of Treasurer, or as the Board or the Chief Executive Officer may from time to time prescribe.</w:t>
      </w:r>
    </w:p>
    <w:p>
      <w:pPr>
        <w:spacing w:after="0" w:line="1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80"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u w:val="single" w:color="auto"/>
          <w:color w:val="auto"/>
        </w:rPr>
        <w:t>Section 4.9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from time to time delegate the powers or duties of any officer to any other officers or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hereof.</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u w:val="single" w:color="auto"/>
          <w:color w:val="auto"/>
        </w:rPr>
        <w:t>Section 4.10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STOCK</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u w:val="single" w:color="auto"/>
          <w:color w:val="auto"/>
        </w:rPr>
        <w:t>Section 5.1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capital stock of the Corporation shall be represented by certificates; provided, however, that the Board may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by resolution or resolutions that some or all of any or all classes or series of its stock may be uncertificated shares. Notwithstanding the adoption of such resolution by the Board, each holder of stock that is a certificated security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u w:val="single" w:color="auto"/>
          <w:color w:val="auto"/>
        </w:rPr>
        <w:t>Section 5.2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Lost, Stolen or Destroyed Stock Certificates; Issuance of New Certificates or Uncertificated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issue a</w:t>
      </w:r>
      <w:r>
        <w:rPr>
          <w:rFonts w:ascii="Arial" w:cs="Arial" w:eastAsia="Arial" w:hAnsi="Arial"/>
          <w:sz w:val="18"/>
          <w:szCs w:val="18"/>
          <w:b w:val="1"/>
          <w:bCs w:val="1"/>
          <w:color w:val="auto"/>
        </w:rPr>
        <w:t xml:space="preserve"> </w:t>
      </w:r>
      <w:r>
        <w:rPr>
          <w:rFonts w:ascii="Arial" w:cs="Arial" w:eastAsia="Arial" w:hAnsi="Arial"/>
          <w:sz w:val="18"/>
          <w:szCs w:val="18"/>
          <w:color w:val="auto"/>
        </w:rPr>
        <w:t>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ectPr>
          <w:pgSz w:w="11900" w:h="16838" w:orient="portrait"/>
          <w:cols w:equalWidth="0" w:num="1">
            <w:col w:w="11380"/>
          </w:cols>
          <w:pgMar w:left="240" w:top="274" w:right="279" w:bottom="1440" w:gutter="0" w:footer="0" w:header="0"/>
        </w:sectPr>
      </w:pPr>
    </w:p>
    <w:bookmarkStart w:id="287" w:name="page288"/>
    <w:bookmarkEnd w:id="287"/>
    <w:p>
      <w:pPr>
        <w:ind w:right="100" w:firstLine="456"/>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Other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 transfer, conversion and registration of stock certificates and uncertificated securities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regulations as the Board may establish.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INDEMNIFICATION</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u w:val="single" w:color="auto"/>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 is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any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of whom such person is the legal representative), is or was a member of the Board or officer of the Corporation or is or was serving at the request of the Corporation as a member of the board of directors, officer or trustee of another corporation, or of a partnership, joint venture, trust or other enterprise, including service with respect to employee benefit plans (for purposes of this Article VI,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7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u w:val="single" w:color="auto"/>
          <w:color w:val="auto"/>
        </w:rPr>
        <w:t>Section 6.2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a written indemnification agreement between the Corporation and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Indemnitee, the Corporation shall pay all expenses (including attorneys’ fees) incurred by such an Indemnitee in defending any such Proceeding as they are incurred in advance of its final disposition;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DGCL then so requires, the payment of such expenses incurred by such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 or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w:t>
      </w:r>
    </w:p>
    <w:p>
      <w:pPr>
        <w:sectPr>
          <w:pgSz w:w="11900" w:h="16838" w:orient="portrait"/>
          <w:cols w:equalWidth="0" w:num="1">
            <w:col w:w="11420"/>
          </w:cols>
          <w:pgMar w:left="240" w:top="270" w:right="239" w:bottom="1440" w:gutter="0" w:footer="0" w:header="0"/>
        </w:sectPr>
      </w:pPr>
    </w:p>
    <w:bookmarkStart w:id="288" w:name="page289"/>
    <w:bookmarkEnd w:id="288"/>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if any, as the corporation deems appropriate. The right to advancement of expenses shall not apply to any claim for which indemnity is excluded pursuant to these Amended and Restated Bylaws, but shall apply to any Proceeding referenced in Section 6.1 prior to a determination that the person is not entitled to be indemnified by the corporation.</w:t>
      </w:r>
    </w:p>
    <w:p>
      <w:pPr>
        <w:spacing w:after="0" w:line="177"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u w:val="single" w:color="auto"/>
          <w:color w:val="auto"/>
        </w:rPr>
        <w:t>Section 6.3: Non-Exclusivity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on any person in this Article VI shall not be exclusive of any other right that such person</w:t>
      </w:r>
      <w:r>
        <w:rPr>
          <w:rFonts w:ascii="Arial" w:cs="Arial" w:eastAsia="Arial" w:hAnsi="Arial"/>
          <w:sz w:val="17"/>
          <w:szCs w:val="17"/>
          <w:b w:val="1"/>
          <w:bCs w:val="1"/>
          <w:color w:val="auto"/>
        </w:rPr>
        <w:t xml:space="preserve"> </w:t>
      </w:r>
      <w:r>
        <w:rPr>
          <w:rFonts w:ascii="Arial" w:cs="Arial" w:eastAsia="Arial" w:hAnsi="Arial"/>
          <w:sz w:val="17"/>
          <w:szCs w:val="17"/>
          <w:color w:val="auto"/>
        </w:rPr>
        <w:t>may have or 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6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u w:val="single" w:color="auto"/>
          <w:color w:val="auto"/>
        </w:rPr>
        <w:t>Section 6.4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agent of the Corporation, or any person serving at the request of the Corporation as a director, officer, employee or agent of another corporation, partnership, joint venture, trust or other enterprise, including employee benefit plans, that provide indemnification or advancement rights to such person. Such rights may be greater than those provided in this Article VI.</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u w:val="single" w:color="auto"/>
          <w:color w:val="auto"/>
        </w:rPr>
        <w:t>Section 6.5: Right of Indemnitee to Bring Suit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shall apply to the extent not in conflict with any indemnification contract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6.4 above.</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Right to Bring Suit</w:t>
      </w:r>
      <w:r>
        <w:rPr>
          <w:rFonts w:ascii="Arial" w:cs="Arial" w:eastAsia="Arial" w:hAnsi="Arial"/>
          <w:sz w:val="18"/>
          <w:szCs w:val="18"/>
          <w:color w:val="auto"/>
        </w:rPr>
        <w:t>. If a claim under Section 6.1 or 6.2 of this Article VI is not paid in full by the Corporation within ninety (90) days after a written claim has been received by the Corporation,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9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6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6.5.3 </w:t>
      </w:r>
      <w:r>
        <w:rPr>
          <w:rFonts w:ascii="Arial" w:cs="Arial" w:eastAsia="Arial" w:hAnsi="Arial"/>
          <w:sz w:val="18"/>
          <w:szCs w:val="18"/>
          <w:u w:val="single" w:color="auto"/>
          <w:color w:val="auto"/>
        </w:rPr>
        <w:t>Burden of Proof</w:t>
      </w:r>
      <w:r>
        <w:rPr>
          <w:rFonts w:ascii="Arial" w:cs="Arial" w:eastAsia="Arial" w:hAnsi="Arial"/>
          <w:sz w:val="18"/>
          <w:szCs w:val="18"/>
          <w:color w:val="auto"/>
        </w:rPr>
        <w:t>. In any suit brought by the Indemnitee to enforce a right to indemnification or to an advancement of expenses hereunder, or brought by the Corporation to</w:t>
      </w:r>
    </w:p>
    <w:p>
      <w:pPr>
        <w:sectPr>
          <w:pgSz w:w="11900" w:h="16838" w:orient="portrait"/>
          <w:cols w:equalWidth="0" w:num="1">
            <w:col w:w="11400"/>
          </w:cols>
          <w:pgMar w:left="240" w:top="274" w:right="259" w:bottom="1440" w:gutter="0" w:footer="0" w:header="0"/>
        </w:sectPr>
      </w:pPr>
    </w:p>
    <w:bookmarkStart w:id="289" w:name="page290"/>
    <w:bookmarkEnd w:id="28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6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u w:val="single" w:color="auto"/>
          <w:color w:val="auto"/>
        </w:rPr>
        <w:t>Section 6.6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Nature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conferred upon Indemnitees in this Article VI shall be contract rights and such rights shall continue as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8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u w:val="single" w:color="auto"/>
          <w:color w:val="auto"/>
        </w:rPr>
        <w:t>Section 6.7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purchase and maintain insurance on behalf of any person who is or was a director, officer,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 NOTICES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7.1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Form and Delivery</w:t>
      </w:r>
      <w:r>
        <w:rPr>
          <w:rFonts w:ascii="Arial" w:cs="Arial" w:eastAsia="Arial" w:hAnsi="Arial"/>
          <w:sz w:val="16"/>
          <w:szCs w:val="16"/>
          <w:color w:val="auto"/>
        </w:rPr>
        <w:t>. Except as otherwise specifically required in these Amended and Restated Bylaws (including, without limitation, Section 7.1.2 below) or by law, all notices required to be given pursuant to these Amended and Restated Bylaws shall be in writing and may, (a) in every instance in connection with any delivery to a member of the Board, be effectively given by hand delivery (including use of a delivery service), by depositing such notice in the mail, postage prepaid, or by sending such notice by prepaid telegram, cablegram,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this Article VII by sending such notice by telegram, cablegram,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w:t>
      </w:r>
    </w:p>
    <w:p>
      <w:pPr>
        <w:spacing w:after="0" w:line="7" w:lineRule="exact"/>
        <w:rPr>
          <w:sz w:val="20"/>
          <w:szCs w:val="20"/>
          <w:color w:val="auto"/>
        </w:rPr>
      </w:pPr>
    </w:p>
    <w:p>
      <w:pPr>
        <w:ind w:right="40" w:firstLine="8"/>
        <w:spacing w:after="0" w:line="261" w:lineRule="auto"/>
        <w:tabs>
          <w:tab w:leader="none" w:pos="24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delivery by overnight express courier, when dispatched, and (d) in the case of delivery via telegram, cablegram, facsimile, electronic mail or other form of electronic transmission, when dispatched.</w:t>
      </w:r>
    </w:p>
    <w:p>
      <w:pPr>
        <w:spacing w:after="0" w:line="18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Without limiting the manner by which notice otherwise may be given effectively to stockholders, any notice to stockholders given by the Corporation under any provision of the DGCL, the Certificate of Incorporation, or these Amended and Restated Bylaws shall be effective if given by a form of electronic transmission consented to by the stockholder to whom the notice is given in accordance with Section 232 of the DGCL. Any</w:t>
      </w:r>
    </w:p>
    <w:p>
      <w:pPr>
        <w:sectPr>
          <w:pgSz w:w="11900" w:h="16838" w:orient="portrait"/>
          <w:cols w:equalWidth="0" w:num="1">
            <w:col w:w="11400"/>
          </w:cols>
          <w:pgMar w:left="240" w:top="274" w:right="259" w:bottom="1440" w:gutter="0" w:footer="0" w:header="0"/>
        </w:sectPr>
      </w:pPr>
    </w:p>
    <w:bookmarkStart w:id="290" w:name="page291"/>
    <w:bookmarkEnd w:id="29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 Notice given pursuant to this</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90"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Affidavit of Giving Notice</w:t>
      </w:r>
      <w:r>
        <w:rPr>
          <w:rFonts w:ascii="Arial" w:cs="Arial" w:eastAsia="Arial" w:hAnsi="Arial"/>
          <w:sz w:val="16"/>
          <w:szCs w:val="16"/>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0"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u w:val="single" w:color="auto"/>
          <w:color w:val="auto"/>
        </w:rPr>
        <w:t>Section 7.2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INTERESTED DIRECTORS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u w:val="single" w:color="auto"/>
          <w:color w:val="auto"/>
        </w:rPr>
        <w:t>Section 8.1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Interested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No contract or transaction between the Corporation and one or more of its members of the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ectPr>
          <w:pgSz w:w="11900" w:h="16838" w:orient="portrait"/>
          <w:cols w:equalWidth="0" w:num="1">
            <w:col w:w="11400"/>
          </w:cols>
          <w:pgMar w:left="240" w:top="274" w:right="259" w:bottom="1440" w:gutter="0" w:footer="0" w:header="0"/>
        </w:sectPr>
      </w:pPr>
    </w:p>
    <w:bookmarkStart w:id="291" w:name="page292"/>
    <w:bookmarkEnd w:id="291"/>
    <w:p>
      <w:pPr>
        <w:ind w:right="60" w:firstLine="456"/>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directors may be counted in determining the presence of a quorum at a meeting of the Board or of a committee which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authorizes the contract or transaction.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9.1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Corporation shall be determined by resolution of the Board.</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u w:val="single" w:color="auto"/>
          <w:color w:val="auto"/>
        </w:rPr>
        <w:t>Section 9.2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form as may be approved from time to time by the Board.</w:t>
      </w:r>
    </w:p>
    <w:p>
      <w:pPr>
        <w:spacing w:after="0" w:line="162"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u w:val="single" w:color="auto"/>
          <w:color w:val="auto"/>
        </w:rPr>
        <w:t>Section 9.3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Form of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Any records maintained by the Corporation in the regular course of its business, including its stock ledger, books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and 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u w:val="single" w:color="auto"/>
          <w:color w:val="auto"/>
        </w:rPr>
        <w:t>Section 9.4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4"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u w:val="single" w:color="auto"/>
          <w:color w:val="auto"/>
        </w:rPr>
        <w:t>Section 9.5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Bylaws, the provisions of the Certificate of Incorporation shall govern.</w:t>
      </w:r>
    </w:p>
    <w:p>
      <w:pPr>
        <w:spacing w:after="0" w:line="1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u w:val="single" w:color="auto"/>
          <w:color w:val="auto"/>
        </w:rPr>
        <w:t>Section 9.6</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these Amended and Restated Bylaws shall be held to be invalid, illegal, unenforceable or in conflict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the Certificate of Incorporation, then such provision shall nonetheless be enforced to the maximum extent possible consistent with such holding and the remaining provisions of these Amended and Restated Bylaws (including without limitation, all portions of any section of these Amended and Restated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68"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u w:val="single" w:color="auto"/>
          <w:color w:val="auto"/>
        </w:rPr>
        <w:t>Section 9.7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Amended and Restated Bylaws which requires that an act be done or not be done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number of days prior to an event or that an act be done during a period of a specified number of days prior to an event, calendar days shall be used, the day of the doing of the act shall be excluded, and the day of the event shall be included.</w:t>
      </w:r>
    </w:p>
    <w:p>
      <w:pPr>
        <w:sectPr>
          <w:pgSz w:w="11900" w:h="16838" w:orient="portrait"/>
          <w:cols w:equalWidth="0" w:num="1">
            <w:col w:w="11420"/>
          </w:cols>
          <w:pgMar w:left="240" w:top="270" w:right="239" w:bottom="1440" w:gutter="0" w:footer="0" w:header="0"/>
        </w:sectPr>
      </w:pPr>
    </w:p>
    <w:bookmarkStart w:id="292" w:name="page293"/>
    <w:bookmarkEnd w:id="29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 AMENDMENT</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Notwithstanding any other provision of these Amended and Restated Bylaws, any amendment or repeal of these Amended and Restated Bylaws, or adoption of Bylaws, shall require the approval of the Board or the stockholders of the Corporation as provided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80"/>
          </w:cols>
          <w:pgMar w:left="240" w:top="270" w:right="57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RIGHTS AGREEMENT</w:t>
      </w:r>
    </w:p>
    <w:p>
      <w:pPr>
        <w:spacing w:after="0" w:line="207"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July 13, 2015 by and among</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investors listed on</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hereto, referred to hereinafter as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individually as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certain of the Investors are purchasing shares of the Company’s Series D Preferred Stock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 pursuant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Series D Preferred Stock Purchase Agreement (as the same may be amended from time to time,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of even date herewith (the “</w:t>
      </w:r>
      <w:r>
        <w:rPr>
          <w:rFonts w:ascii="Arial" w:cs="Arial" w:eastAsia="Arial" w:hAnsi="Arial"/>
          <w:sz w:val="18"/>
          <w:szCs w:val="18"/>
          <w:b w:val="1"/>
          <w:bCs w:val="1"/>
          <w:i w:val="1"/>
          <w:iCs w:val="1"/>
          <w:color w:val="auto"/>
        </w:rPr>
        <w:t>Financing</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the obligations in the Purchase Agreement are conditioned upon the execution and delivery of this Agreement;</w:t>
      </w:r>
    </w:p>
    <w:p>
      <w:pPr>
        <w:spacing w:after="0" w:line="225"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certain of the Investors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are holders of the Company’s Series B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Series B-1 Preferred Stock (the “</w:t>
      </w:r>
      <w:r>
        <w:rPr>
          <w:rFonts w:ascii="Arial" w:cs="Arial" w:eastAsia="Arial" w:hAnsi="Arial"/>
          <w:sz w:val="17"/>
          <w:szCs w:val="17"/>
          <w:b w:val="1"/>
          <w:bCs w:val="1"/>
          <w:i w:val="1"/>
          <w:iCs w:val="1"/>
          <w:color w:val="auto"/>
        </w:rPr>
        <w:t>Series B-1 Preferred</w:t>
      </w:r>
      <w:r>
        <w:rPr>
          <w:rFonts w:ascii="Arial" w:cs="Arial" w:eastAsia="Arial" w:hAnsi="Arial"/>
          <w:sz w:val="17"/>
          <w:szCs w:val="17"/>
          <w:color w:val="auto"/>
        </w:rPr>
        <w:t>”), the Company’s Series B-2 Preferred Stock (the “</w:t>
      </w:r>
      <w:r>
        <w:rPr>
          <w:rFonts w:ascii="Arial" w:cs="Arial" w:eastAsia="Arial" w:hAnsi="Arial"/>
          <w:sz w:val="17"/>
          <w:szCs w:val="17"/>
          <w:b w:val="1"/>
          <w:bCs w:val="1"/>
          <w:i w:val="1"/>
          <w:iCs w:val="1"/>
          <w:color w:val="auto"/>
        </w:rPr>
        <w:t>Series B-2 Preferred</w:t>
      </w:r>
      <w:r>
        <w:rPr>
          <w:rFonts w:ascii="Arial" w:cs="Arial" w:eastAsia="Arial" w:hAnsi="Arial"/>
          <w:sz w:val="17"/>
          <w:szCs w:val="17"/>
          <w:color w:val="auto"/>
        </w:rPr>
        <w:t>”), the Company’s Series C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 and the Company’s Series C-1 Preferred Stock (the “</w:t>
      </w:r>
      <w:r>
        <w:rPr>
          <w:rFonts w:ascii="Arial" w:cs="Arial" w:eastAsia="Arial" w:hAnsi="Arial"/>
          <w:sz w:val="17"/>
          <w:szCs w:val="17"/>
          <w:b w:val="1"/>
          <w:bCs w:val="1"/>
          <w:i w:val="1"/>
          <w:iCs w:val="1"/>
          <w:color w:val="auto"/>
        </w:rPr>
        <w:t>Series C-1 Preferred</w:t>
      </w:r>
      <w:r>
        <w:rPr>
          <w:rFonts w:ascii="Arial" w:cs="Arial" w:eastAsia="Arial" w:hAnsi="Arial"/>
          <w:sz w:val="17"/>
          <w:szCs w:val="17"/>
          <w:color w:val="auto"/>
        </w:rPr>
        <w:t>,” and together with the Series B Preferred, Series B-1 Preferred, Series B-2 Preferred, Series C Preferred and Series D Preferred,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6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the Prior Investors and the Company are parties to that certain Third Amended and Restated Investor Rights Agreement dated July 15,</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the parties to the Prior Agreement desire to amend and restate the Prior Agreement and accept the rights and covenants hereof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rights and covenants under the Prior Agreement; and</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in connection with the consummation of the Financing, the Company and the Investors have agreed to the registration rights,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other rights as set forth below.</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color w:val="auto"/>
        </w:rPr>
        <w: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these premises and for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GENERAL.</w:t>
      </w:r>
    </w:p>
    <w:p>
      <w:pPr>
        <w:spacing w:after="0" w:line="11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1.1 Amendment and Restatement of Prior Agreement. </w:t>
      </w:r>
      <w:r>
        <w:rPr>
          <w:rFonts w:ascii="Arial" w:cs="Arial" w:eastAsia="Arial" w:hAnsi="Arial"/>
          <w:sz w:val="18"/>
          <w:szCs w:val="18"/>
          <w:color w:val="auto"/>
        </w:rPr>
        <w:t>The Prior Agreement is hereby amended in its entirety and restated herein. Such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restatement is effective upon the execution of this Agreement by the Company and the holders of a majority of the</w:t>
      </w:r>
    </w:p>
    <w:p>
      <w:pPr>
        <w:sectPr>
          <w:pgSz w:w="11900" w:h="16838" w:orient="portrait"/>
          <w:cols w:equalWidth="0" w:num="1">
            <w:col w:w="11420"/>
          </w:cols>
          <w:pgMar w:left="240" w:top="122" w:right="239" w:bottom="1440" w:gutter="0" w:footer="0" w:header="0"/>
        </w:sectPr>
      </w:pPr>
    </w:p>
    <w:bookmarkStart w:id="294" w:name="page295"/>
    <w:bookmarkEnd w:id="29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(as defined in the Prior Agreement) held by the Prior Investors outstanding as of the date of this Agreement. Upon such execution,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Purchase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Definitions. </w:t>
      </w:r>
      <w:r>
        <w:rPr>
          <w:rFonts w:ascii="Arial" w:cs="Arial" w:eastAsia="Arial" w:hAnsi="Arial"/>
          <w:sz w:val="18"/>
          <w:szCs w:val="18"/>
          <w:color w:val="auto"/>
        </w:rPr>
        <w:t>As used in this Agreement the following terms shall have the following respective meanings:</w:t>
      </w:r>
    </w:p>
    <w:p>
      <w:pPr>
        <w:spacing w:after="0" w:line="229" w:lineRule="exact"/>
        <w:rPr>
          <w:sz w:val="20"/>
          <w:szCs w:val="20"/>
          <w:color w:val="auto"/>
        </w:rPr>
      </w:pPr>
    </w:p>
    <w:p>
      <w:pPr>
        <w:ind w:left="1180" w:hanging="259"/>
        <w:spacing w:after="0"/>
        <w:tabs>
          <w:tab w:leader="none" w:pos="1180"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b w:val="1"/>
          <w:bCs w:val="1"/>
          <w:color w:val="auto"/>
        </w:rPr>
      </w:pPr>
    </w:p>
    <w:p>
      <w:pPr>
        <w:ind w:right="60" w:firstLine="921"/>
        <w:spacing w:after="0" w:line="264" w:lineRule="auto"/>
        <w:tabs>
          <w:tab w:leader="none" w:pos="117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81" w:lineRule="exact"/>
        <w:rPr>
          <w:rFonts w:ascii="Arial" w:cs="Arial" w:eastAsia="Arial" w:hAnsi="Arial"/>
          <w:sz w:val="18"/>
          <w:szCs w:val="18"/>
          <w:b w:val="1"/>
          <w:bCs w:val="1"/>
          <w:color w:val="auto"/>
        </w:rPr>
      </w:pPr>
    </w:p>
    <w:p>
      <w:pPr>
        <w:ind w:firstLine="921"/>
        <w:spacing w:after="0" w:line="259" w:lineRule="auto"/>
        <w:tabs>
          <w:tab w:leader="none" w:pos="1157"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owning of record Registrable Securities that have not been sold to the public or any assignee of record of such Registrable Securities in accordance with Section 2.9 hereof. In addition, for purposes of Sections 2.11 and 2.12 hereof, the term “Holder” shall also include any person owning of record shares of Common Stock of the Company issued as the result of a Special Mandatory Conversion event described in clause (i) of the definition of Registrable Securities.</w:t>
      </w:r>
    </w:p>
    <w:p>
      <w:pPr>
        <w:spacing w:after="0" w:line="186"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4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Company’s first firm commitment underwritten public offering of its Common Stock registered under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Securities Act.</w:t>
      </w:r>
    </w:p>
    <w:p>
      <w:pPr>
        <w:spacing w:after="0" w:line="102" w:lineRule="exact"/>
        <w:rPr>
          <w:rFonts w:ascii="Arial" w:cs="Arial" w:eastAsia="Arial" w:hAnsi="Arial"/>
          <w:sz w:val="17"/>
          <w:szCs w:val="17"/>
          <w:b w:val="1"/>
          <w:bCs w:val="1"/>
          <w:color w:val="auto"/>
        </w:rPr>
      </w:pPr>
    </w:p>
    <w:p>
      <w:pPr>
        <w:ind w:left="1160" w:hanging="239"/>
        <w:spacing w:after="0"/>
        <w:tabs>
          <w:tab w:leader="none" w:pos="1160"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IPO</w:t>
      </w:r>
      <w:r>
        <w:rPr>
          <w:rFonts w:ascii="Arial" w:cs="Arial" w:eastAsia="Arial" w:hAnsi="Arial"/>
          <w:sz w:val="18"/>
          <w:szCs w:val="18"/>
          <w:color w:val="auto"/>
        </w:rPr>
        <w:t>” shall have the meaning set forth in the Restated Charter.</w:t>
      </w:r>
    </w:p>
    <w:p>
      <w:pPr>
        <w:spacing w:after="0" w:line="225" w:lineRule="exact"/>
        <w:rPr>
          <w:rFonts w:ascii="Arial" w:cs="Arial" w:eastAsia="Arial" w:hAnsi="Arial"/>
          <w:sz w:val="18"/>
          <w:szCs w:val="18"/>
          <w:b w:val="1"/>
          <w:bCs w:val="1"/>
          <w:color w:val="auto"/>
        </w:rPr>
      </w:pPr>
    </w:p>
    <w:p>
      <w:pPr>
        <w:ind w:right="60" w:firstLine="921"/>
        <w:spacing w:after="0" w:line="277" w:lineRule="auto"/>
        <w:tabs>
          <w:tab w:leader="none" w:pos="113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effectiveness of such registration statement or document.</w:t>
      </w:r>
    </w:p>
    <w:p>
      <w:pPr>
        <w:spacing w:after="0" w:line="170" w:lineRule="exact"/>
        <w:rPr>
          <w:rFonts w:ascii="Arial" w:cs="Arial" w:eastAsia="Arial" w:hAnsi="Arial"/>
          <w:sz w:val="18"/>
          <w:szCs w:val="18"/>
          <w:b w:val="1"/>
          <w:bCs w:val="1"/>
          <w:color w:val="auto"/>
        </w:rPr>
      </w:pPr>
    </w:p>
    <w:p>
      <w:pPr>
        <w:ind w:right="100" w:firstLine="921"/>
        <w:spacing w:after="0" w:line="293" w:lineRule="auto"/>
        <w:tabs>
          <w:tab w:leader="none" w:pos="1168" w:val="left"/>
        </w:tabs>
        <w:numPr>
          <w:ilvl w:val="0"/>
          <w:numId w:val="24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means (a) Common Stock of the Company issuable or issued upon conversion of the Shares and (b) 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issued upon the conversion of Shares pursuant to a Special Mandatory Conversion as set forth in Article IV.D, Section 5(i) of the Company’s Amended and Restated Certificate of Incorporation dated July 15, 2013, (ii) sold by a person to the public either pursuant to a registration statement or Rule 144 or (iii) sold in a private transaction in which the transferor’s rights under Section 2 of this Agreement are not assigned.</w:t>
      </w:r>
    </w:p>
    <w:p>
      <w:pPr>
        <w:spacing w:after="0" w:line="164" w:lineRule="exact"/>
        <w:rPr>
          <w:rFonts w:ascii="Arial" w:cs="Arial" w:eastAsia="Arial" w:hAnsi="Arial"/>
          <w:sz w:val="16"/>
          <w:szCs w:val="16"/>
          <w:b w:val="1"/>
          <w:bCs w:val="1"/>
          <w:color w:val="auto"/>
        </w:rPr>
      </w:pPr>
    </w:p>
    <w:p>
      <w:pPr>
        <w:ind w:firstLine="921"/>
        <w:spacing w:after="0" w:line="277" w:lineRule="auto"/>
        <w:tabs>
          <w:tab w:leader="none" w:pos="117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 then outstanding</w:t>
      </w:r>
      <w:r>
        <w:rPr>
          <w:rFonts w:ascii="Arial" w:cs="Arial" w:eastAsia="Arial" w:hAnsi="Arial"/>
          <w:sz w:val="18"/>
          <w:szCs w:val="18"/>
          <w:color w:val="auto"/>
        </w:rPr>
        <w:t>” shall be the number of shares of the Company’s Common Stock that are Registrable Securities and either (a) are then issued and outstanding or (b) are issuable pursuant to then exercisable or convertible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95" w:name="page296"/>
    <w:bookmarkEnd w:id="295"/>
    <w:p>
      <w:pPr>
        <w:ind w:right="120" w:firstLine="921"/>
        <w:spacing w:after="0" w:line="302" w:lineRule="auto"/>
        <w:tabs>
          <w:tab w:leader="none" w:pos="1128"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Registration Expenses</w:t>
      </w:r>
      <w:r>
        <w:rPr>
          <w:rFonts w:ascii="Arial" w:cs="Arial" w:eastAsia="Arial" w:hAnsi="Arial"/>
          <w:sz w:val="16"/>
          <w:szCs w:val="16"/>
          <w:color w:val="auto"/>
        </w:rPr>
        <w:t>” shall mean all expenses incurred by the Company in complying with Sections 2.2, 2.3 and 2.4 hereof, including, without limitation, all registration and filing fees, printing expenses, fees and disbursements of counsel for the Company, reasonable fees and disbursements not to exceed $35,000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54" w:lineRule="exact"/>
        <w:rPr>
          <w:rFonts w:ascii="Arial" w:cs="Arial" w:eastAsia="Arial" w:hAnsi="Arial"/>
          <w:sz w:val="16"/>
          <w:szCs w:val="16"/>
          <w:b w:val="1"/>
          <w:bCs w:val="1"/>
          <w:color w:val="auto"/>
        </w:rPr>
      </w:pPr>
    </w:p>
    <w:p>
      <w:pPr>
        <w:ind w:left="1140" w:hanging="219"/>
        <w:spacing w:after="0"/>
        <w:tabs>
          <w:tab w:leader="none" w:pos="1140"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Restated Charter</w:t>
      </w:r>
      <w:r>
        <w:rPr>
          <w:rFonts w:ascii="Arial" w:cs="Arial" w:eastAsia="Arial" w:hAnsi="Arial"/>
          <w:sz w:val="18"/>
          <w:szCs w:val="18"/>
          <w:color w:val="auto"/>
        </w:rPr>
        <w:t>” shall have the meaning set forth in the Purchase Agreement.</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rFonts w:ascii="Arial" w:cs="Arial" w:eastAsia="Arial" w:hAnsi="Arial"/>
          <w:sz w:val="18"/>
          <w:szCs w:val="18"/>
          <w:b w:val="1"/>
          <w:bCs w:val="1"/>
          <w:color w:val="auto"/>
        </w:rPr>
      </w:pPr>
    </w:p>
    <w:p>
      <w:pPr>
        <w:ind w:left="1240" w:hanging="319"/>
        <w:spacing w:after="0"/>
        <w:tabs>
          <w:tab w:leader="none" w:pos="1240"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and selling commissions applicable to the sale.</w:t>
      </w:r>
    </w:p>
    <w:p>
      <w:pPr>
        <w:spacing w:after="0" w:line="221" w:lineRule="exact"/>
        <w:rPr>
          <w:rFonts w:ascii="Arial" w:cs="Arial" w:eastAsia="Arial" w:hAnsi="Arial"/>
          <w:sz w:val="18"/>
          <w:szCs w:val="18"/>
          <w:b w:val="1"/>
          <w:bCs w:val="1"/>
          <w:color w:val="auto"/>
        </w:rPr>
      </w:pPr>
    </w:p>
    <w:p>
      <w:pPr>
        <w:ind w:right="220" w:firstLine="921"/>
        <w:spacing w:after="0" w:line="282" w:lineRule="auto"/>
        <w:tabs>
          <w:tab w:leader="none" w:pos="117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shall mean the Preferred Stock held from time to time by the Investors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and their permitted assigns and the Preferred Stock issuable upon exercise of the Warrants.</w:t>
      </w:r>
    </w:p>
    <w:p>
      <w:pPr>
        <w:spacing w:after="0" w:line="165" w:lineRule="exact"/>
        <w:rPr>
          <w:rFonts w:ascii="Arial" w:cs="Arial" w:eastAsia="Arial" w:hAnsi="Arial"/>
          <w:sz w:val="18"/>
          <w:szCs w:val="18"/>
          <w:b w:val="1"/>
          <w:bCs w:val="1"/>
          <w:color w:val="auto"/>
        </w:rPr>
      </w:pPr>
    </w:p>
    <w:p>
      <w:pPr>
        <w:ind w:firstLine="921"/>
        <w:spacing w:after="0" w:line="264" w:lineRule="auto"/>
        <w:tabs>
          <w:tab w:leader="none" w:pos="116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Registration Statement</w:t>
      </w:r>
      <w:r>
        <w:rPr>
          <w:rFonts w:ascii="Arial" w:cs="Arial" w:eastAsia="Arial" w:hAnsi="Arial"/>
          <w:sz w:val="18"/>
          <w:szCs w:val="18"/>
          <w:color w:val="auto"/>
        </w:rPr>
        <w:t>” shall mean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shall mean the warrants to purchase Series C Preferred held by the Investors.</w:t>
      </w:r>
    </w:p>
    <w:p>
      <w:pPr>
        <w:spacing w:after="0" w:line="3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REGISTRATION; RESTRICTIONS ON TRANSFER.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Restrictions on Transfer.</w:t>
      </w:r>
    </w:p>
    <w:p>
      <w:pPr>
        <w:spacing w:after="0" w:line="229" w:lineRule="exact"/>
        <w:rPr>
          <w:sz w:val="20"/>
          <w:szCs w:val="20"/>
          <w:color w:val="auto"/>
        </w:rPr>
      </w:pPr>
    </w:p>
    <w:p>
      <w:pPr>
        <w:ind w:left="1180" w:hanging="259"/>
        <w:spacing w:after="0"/>
        <w:tabs>
          <w:tab w:leader="none" w:pos="118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Each Holder agrees not to make any disposition of all or any portion of the Shares or Registrable Securities unless and until:</w:t>
      </w:r>
    </w:p>
    <w:p>
      <w:pPr>
        <w:spacing w:after="0" w:line="225" w:lineRule="exact"/>
        <w:rPr>
          <w:rFonts w:ascii="Arial" w:cs="Arial" w:eastAsia="Arial" w:hAnsi="Arial"/>
          <w:sz w:val="18"/>
          <w:szCs w:val="18"/>
          <w:b w:val="1"/>
          <w:bCs w:val="1"/>
          <w:color w:val="auto"/>
        </w:rPr>
      </w:pPr>
    </w:p>
    <w:p>
      <w:pPr>
        <w:ind w:right="400" w:firstLine="1492"/>
        <w:spacing w:after="0" w:line="277" w:lineRule="auto"/>
        <w:tabs>
          <w:tab w:leader="none" w:pos="1698" w:val="left"/>
        </w:tabs>
        <w:numPr>
          <w:ilvl w:val="1"/>
          <w:numId w:val="245"/>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70" w:lineRule="exact"/>
        <w:rPr>
          <w:rFonts w:ascii="Arial" w:cs="Arial" w:eastAsia="Arial" w:hAnsi="Arial"/>
          <w:sz w:val="18"/>
          <w:szCs w:val="18"/>
          <w:b w:val="1"/>
          <w:bCs w:val="1"/>
          <w:color w:val="auto"/>
        </w:rPr>
      </w:pPr>
    </w:p>
    <w:p>
      <w:pPr>
        <w:jc w:val="both"/>
        <w:ind w:right="640" w:firstLine="1492"/>
        <w:spacing w:after="0" w:line="259" w:lineRule="auto"/>
        <w:tabs>
          <w:tab w:leader="none" w:pos="1748" w:val="left"/>
        </w:tabs>
        <w:numPr>
          <w:ilvl w:val="1"/>
          <w:numId w:val="245"/>
        </w:numPr>
        <w:rPr>
          <w:rFonts w:ascii="Arial" w:cs="Arial" w:eastAsia="Arial" w:hAnsi="Arial"/>
          <w:sz w:val="18"/>
          <w:szCs w:val="18"/>
          <w:b w:val="1"/>
          <w:bCs w:val="1"/>
          <w:color w:val="auto"/>
        </w:rPr>
      </w:pPr>
      <w:r>
        <w:rPr>
          <w:rFonts w:ascii="Arial" w:cs="Arial" w:eastAsia="Arial" w:hAnsi="Arial"/>
          <w:sz w:val="18"/>
          <w:szCs w:val="18"/>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reasonably satisfactory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96" w:name="page297"/>
    <w:bookmarkEnd w:id="29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87" w:lineRule="exact"/>
        <w:rPr>
          <w:sz w:val="20"/>
          <w:szCs w:val="20"/>
          <w:color w:val="auto"/>
        </w:rPr>
      </w:pPr>
    </w:p>
    <w:p>
      <w:pPr>
        <w:ind w:right="40" w:firstLine="921"/>
        <w:spacing w:after="0" w:line="255" w:lineRule="auto"/>
        <w:tabs>
          <w:tab w:leader="none" w:pos="1178"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provisions of subsection (a) above, no such restriction shall apply to a transfer by a Holder that is (A) a partnership transferring to its partners or former partners in accordance with partnership interests, (B) a partnership or fund transferring Series D Preferred to one or more of its affiliated partnerships or funds managed by it or any of its respective directors, officers or partners, (C) a corporation transferring to a wholly-owned subsidiary or a parent corporation that owns all of the capital stock of the Holder, (D) a limited liability company transferring to its members or former members in accordance with their interest in the limited liability company, or (E) an individual transferring to the Holder’s family member or trust for the benefit of an individual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transferee will agree in writing to be subject to the terms of this Agreement to the same extent as if he were an original Holder hereunder.</w:t>
      </w:r>
    </w:p>
    <w:p>
      <w:pPr>
        <w:spacing w:after="0" w:line="189" w:lineRule="exact"/>
        <w:rPr>
          <w:rFonts w:ascii="Arial" w:cs="Arial" w:eastAsia="Arial" w:hAnsi="Arial"/>
          <w:sz w:val="18"/>
          <w:szCs w:val="18"/>
          <w:b w:val="1"/>
          <w:bCs w:val="1"/>
          <w:color w:val="auto"/>
        </w:rPr>
      </w:pPr>
    </w:p>
    <w:p>
      <w:pPr>
        <w:ind w:firstLine="921"/>
        <w:spacing w:after="0" w:line="277" w:lineRule="auto"/>
        <w:tabs>
          <w:tab w:leader="none" w:pos="1158"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62"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63"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SALE, PLEDGE, HYPOTHECATION OR TRANSFER OF THE SECURITIES REPRESENTED BY THIS CERTIFICATE IS SUBJECT TO THE TERMS AND CONDITIONS OF A CERTAIN AMENDED AND RESTATED INVESTOR RIGHTS AGREEMENT BY AND BETWEEN THE STOCKHOLDER AND THE COMPANY. COPIES OF SUCH AGREEMENT MAY BE OBTAINED UPON WRITTEN REQUEST TO THE SECRETARY OF THE COMPANY.</w:t>
      </w:r>
    </w:p>
    <w:p>
      <w:pPr>
        <w:spacing w:after="0" w:line="187" w:lineRule="exact"/>
        <w:rPr>
          <w:sz w:val="20"/>
          <w:szCs w:val="20"/>
          <w:color w:val="auto"/>
        </w:rPr>
      </w:pPr>
    </w:p>
    <w:p>
      <w:pPr>
        <w:ind w:right="200" w:firstLine="921"/>
        <w:spacing w:after="0" w:line="259" w:lineRule="auto"/>
        <w:tabs>
          <w:tab w:leader="none" w:pos="1178"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The Company shall be obligated to reissue promptly unlegended certificates at the request of any Holder thereof if the Company has completed its Initial Offering and the Holder shall have obtained an opinion of counsel (which counsel may be counsel to the Company) reasonably acceptable to the Company to the effect that the securities proposed to be disposed of may lawfully be so disposed of without registration, qualification and legend;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97" w:name="page298"/>
    <w:bookmarkEnd w:id="297"/>
    <w:p>
      <w:pPr>
        <w:ind w:right="5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w:t>
      </w:r>
      <w:r>
        <w:rPr>
          <w:rFonts w:ascii="Arial" w:cs="Arial" w:eastAsia="Arial" w:hAnsi="Arial"/>
          <w:sz w:val="18"/>
          <w:szCs w:val="18"/>
          <w:color w:val="auto"/>
        </w:rPr>
        <w:t>the second legend listed above shall be removed only at such time as the Holder of such certificate is no longer subject to any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w:t>
      </w:r>
    </w:p>
    <w:p>
      <w:pPr>
        <w:spacing w:after="0" w:line="170" w:lineRule="exact"/>
        <w:rPr>
          <w:sz w:val="20"/>
          <w:szCs w:val="20"/>
          <w:color w:val="auto"/>
        </w:rPr>
      </w:pPr>
    </w:p>
    <w:p>
      <w:pPr>
        <w:ind w:right="460" w:firstLine="921"/>
        <w:spacing w:after="0" w:line="308" w:lineRule="auto"/>
        <w:tabs>
          <w:tab w:leader="none" w:pos="1158" w:val="left"/>
        </w:tabs>
        <w:numPr>
          <w:ilvl w:val="0"/>
          <w:numId w:val="248"/>
        </w:numPr>
        <w:rPr>
          <w:rFonts w:ascii="Arial" w:cs="Arial" w:eastAsia="Arial" w:hAnsi="Arial"/>
          <w:sz w:val="17"/>
          <w:szCs w:val="17"/>
          <w:b w:val="1"/>
          <w:bCs w:val="1"/>
          <w:color w:val="auto"/>
        </w:rPr>
      </w:pPr>
      <w:r>
        <w:rPr>
          <w:rFonts w:ascii="Arial" w:cs="Arial" w:eastAsia="Arial" w:hAnsi="Arial"/>
          <w:sz w:val="17"/>
          <w:szCs w:val="17"/>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Demand Registration.</w:t>
      </w:r>
    </w:p>
    <w:p>
      <w:pPr>
        <w:spacing w:after="0" w:line="229" w:lineRule="exact"/>
        <w:rPr>
          <w:sz w:val="20"/>
          <w:szCs w:val="20"/>
          <w:color w:val="auto"/>
        </w:rPr>
      </w:pPr>
    </w:p>
    <w:p>
      <w:pPr>
        <w:ind w:right="80" w:firstLine="921"/>
        <w:spacing w:after="0" w:line="257" w:lineRule="auto"/>
        <w:tabs>
          <w:tab w:leader="none" w:pos="1168"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Subject to the conditions of this Section 2.2, if the Company shall receive a written request from the Holders of a majority of the Registrable Securities (the “</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that the Company file a registration statement under the Securities Act covering the registration of at least a majority of the Registrable Securities then outstanding, then the Company shall, within 30 days of the receipt thereof, give written notice of such request to all Holders, and subject to the limitations of this Section 2.2, effect, as expeditiously as possible, the registration under the Securities Act of all Registrable Securities that all Holders request to be registered.</w:t>
      </w:r>
    </w:p>
    <w:p>
      <w:pPr>
        <w:spacing w:after="0" w:line="188" w:lineRule="exact"/>
        <w:rPr>
          <w:rFonts w:ascii="Arial" w:cs="Arial" w:eastAsia="Arial" w:hAnsi="Arial"/>
          <w:sz w:val="18"/>
          <w:szCs w:val="18"/>
          <w:b w:val="1"/>
          <w:bCs w:val="1"/>
          <w:color w:val="auto"/>
        </w:rPr>
      </w:pPr>
    </w:p>
    <w:p>
      <w:pPr>
        <w:ind w:firstLine="921"/>
        <w:spacing w:after="0" w:line="268" w:lineRule="auto"/>
        <w:tabs>
          <w:tab w:leader="none" w:pos="1178" w:val="left"/>
        </w:tabs>
        <w:numPr>
          <w:ilvl w:val="0"/>
          <w:numId w:val="249"/>
        </w:numPr>
        <w:rPr>
          <w:rFonts w:ascii="Arial" w:cs="Arial" w:eastAsia="Arial" w:hAnsi="Arial"/>
          <w:sz w:val="17"/>
          <w:szCs w:val="17"/>
          <w:b w:val="1"/>
          <w:bCs w:val="1"/>
          <w:color w:val="auto"/>
        </w:rPr>
      </w:pPr>
      <w:r>
        <w:rPr>
          <w:rFonts w:ascii="Arial" w:cs="Arial" w:eastAsia="Arial" w:hAnsi="Arial"/>
          <w:sz w:val="17"/>
          <w:szCs w:val="17"/>
          <w:color w:val="auto"/>
        </w:rPr>
        <w:t xml:space="preserve">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number of shares of Registrable Securities to be included in such underwriting and registration shall not be reduced unless such underwriting and registration does not include shares of any other selling stockholders. Any Registrable Securities excluded or withdrawn from such underwriting shall be withdrawn from the registration.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98" w:name="page299"/>
    <w:bookmarkEnd w:id="298"/>
    <w:p>
      <w:pPr>
        <w:ind w:left="1160" w:hanging="239"/>
        <w:spacing w:after="0"/>
        <w:tabs>
          <w:tab w:leader="none" w:pos="116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be required to effect a registration pursuant to this Section 2.2:</w:t>
      </w:r>
    </w:p>
    <w:p>
      <w:pPr>
        <w:spacing w:after="0" w:line="225" w:lineRule="exact"/>
        <w:rPr>
          <w:rFonts w:ascii="Arial" w:cs="Arial" w:eastAsia="Arial" w:hAnsi="Arial"/>
          <w:sz w:val="18"/>
          <w:szCs w:val="18"/>
          <w:b w:val="1"/>
          <w:bCs w:val="1"/>
          <w:color w:val="auto"/>
        </w:rPr>
      </w:pPr>
    </w:p>
    <w:p>
      <w:pPr>
        <w:ind w:right="360" w:firstLine="1492"/>
        <w:spacing w:after="0" w:line="277" w:lineRule="auto"/>
        <w:tabs>
          <w:tab w:leader="none" w:pos="1698"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prior to the earlier of (A) the fifth anniversary of the date of this Agreement or (B) the expiration of the restrictions on transfer set forth in Section 2.11 following the Initial Offering;</w:t>
      </w:r>
    </w:p>
    <w:p>
      <w:pPr>
        <w:spacing w:after="0" w:line="170" w:lineRule="exact"/>
        <w:rPr>
          <w:rFonts w:ascii="Arial" w:cs="Arial" w:eastAsia="Arial" w:hAnsi="Arial"/>
          <w:sz w:val="18"/>
          <w:szCs w:val="18"/>
          <w:b w:val="1"/>
          <w:bCs w:val="1"/>
          <w:color w:val="auto"/>
        </w:rPr>
      </w:pPr>
    </w:p>
    <w:p>
      <w:pPr>
        <w:ind w:left="1760" w:hanging="268"/>
        <w:spacing w:after="0"/>
        <w:tabs>
          <w:tab w:leader="none" w:pos="1760" w:val="left"/>
        </w:tabs>
        <w:numPr>
          <w:ilvl w:val="1"/>
          <w:numId w:val="250"/>
        </w:numPr>
        <w:rPr>
          <w:rFonts w:ascii="Arial" w:cs="Arial" w:eastAsia="Arial" w:hAnsi="Arial"/>
          <w:sz w:val="16"/>
          <w:szCs w:val="16"/>
          <w:b w:val="1"/>
          <w:bCs w:val="1"/>
          <w:color w:val="auto"/>
        </w:rPr>
      </w:pPr>
      <w:r>
        <w:rPr>
          <w:rFonts w:ascii="Arial" w:cs="Arial" w:eastAsia="Arial" w:hAnsi="Arial"/>
          <w:sz w:val="16"/>
          <w:szCs w:val="16"/>
          <w:color w:val="auto"/>
        </w:rPr>
        <w:t>after the Company has effected two registrations pursuant to this Section 2.2, and such registrations have been declared or ordered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w:t>
      </w:r>
    </w:p>
    <w:p>
      <w:pPr>
        <w:spacing w:after="0" w:line="210" w:lineRule="exact"/>
        <w:rPr>
          <w:rFonts w:ascii="Arial" w:cs="Arial" w:eastAsia="Arial" w:hAnsi="Arial"/>
          <w:sz w:val="16"/>
          <w:szCs w:val="16"/>
          <w:b w:val="1"/>
          <w:bCs w:val="1"/>
          <w:color w:val="auto"/>
        </w:rPr>
      </w:pPr>
    </w:p>
    <w:p>
      <w:pPr>
        <w:jc w:val="both"/>
        <w:ind w:right="180" w:firstLine="1492"/>
        <w:spacing w:after="0" w:line="264" w:lineRule="auto"/>
        <w:tabs>
          <w:tab w:leader="none" w:pos="1798"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 xml:space="preserve">during the period starting with the date of filing of, and ending on the date 180 days following the effective date of the registration statement pertaining to the Initial Offering (or such longer period as may be determined pursuant to Section 2.11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w:t>
      </w:r>
    </w:p>
    <w:p>
      <w:pPr>
        <w:spacing w:after="0" w:line="181" w:lineRule="exact"/>
        <w:rPr>
          <w:rFonts w:ascii="Arial" w:cs="Arial" w:eastAsia="Arial" w:hAnsi="Arial"/>
          <w:sz w:val="18"/>
          <w:szCs w:val="18"/>
          <w:b w:val="1"/>
          <w:bCs w:val="1"/>
          <w:color w:val="auto"/>
        </w:rPr>
      </w:pPr>
    </w:p>
    <w:p>
      <w:pPr>
        <w:ind w:right="180" w:firstLine="1492"/>
        <w:spacing w:after="0" w:line="277" w:lineRule="auto"/>
        <w:tabs>
          <w:tab w:leader="none" w:pos="1788"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if within 30 days of receipt of a written request from Initiating Holders pursuant to Section 2.2(a), the Company gives notice to the Holders of the Company’s intention to file a registration statement for its Initial Offering within 90 days;</w:t>
      </w:r>
    </w:p>
    <w:p>
      <w:pPr>
        <w:spacing w:after="0" w:line="170" w:lineRule="exact"/>
        <w:rPr>
          <w:rFonts w:ascii="Arial" w:cs="Arial" w:eastAsia="Arial" w:hAnsi="Arial"/>
          <w:sz w:val="18"/>
          <w:szCs w:val="18"/>
          <w:b w:val="1"/>
          <w:bCs w:val="1"/>
          <w:color w:val="auto"/>
        </w:rPr>
      </w:pPr>
    </w:p>
    <w:p>
      <w:pPr>
        <w:ind w:right="60" w:firstLine="1492"/>
        <w:spacing w:after="0" w:line="257" w:lineRule="auto"/>
        <w:tabs>
          <w:tab w:leader="none" w:pos="1738"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if the Company shall furnish to Holders requesting a registration statement pursuant to this Section 2.2 a certificate signed by the Chairman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90 days after receipt of the request of the Initiating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 to delay a request shall be exercised by the Company not more than once in any 12 month period;</w:t>
      </w:r>
    </w:p>
    <w:p>
      <w:pPr>
        <w:spacing w:after="0" w:line="188" w:lineRule="exact"/>
        <w:rPr>
          <w:rFonts w:ascii="Arial" w:cs="Arial" w:eastAsia="Arial" w:hAnsi="Arial"/>
          <w:sz w:val="18"/>
          <w:szCs w:val="18"/>
          <w:b w:val="1"/>
          <w:bCs w:val="1"/>
          <w:color w:val="auto"/>
        </w:rPr>
      </w:pPr>
    </w:p>
    <w:p>
      <w:pPr>
        <w:ind w:right="480" w:firstLine="1492"/>
        <w:spacing w:after="0" w:line="277" w:lineRule="auto"/>
        <w:tabs>
          <w:tab w:leader="none" w:pos="1788"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170" w:lineRule="exact"/>
        <w:rPr>
          <w:rFonts w:ascii="Arial" w:cs="Arial" w:eastAsia="Arial" w:hAnsi="Arial"/>
          <w:sz w:val="18"/>
          <w:szCs w:val="18"/>
          <w:b w:val="1"/>
          <w:bCs w:val="1"/>
          <w:color w:val="auto"/>
        </w:rPr>
      </w:pPr>
    </w:p>
    <w:p>
      <w:pPr>
        <w:ind w:right="220" w:firstLine="1492"/>
        <w:spacing w:after="0" w:line="277" w:lineRule="auto"/>
        <w:tabs>
          <w:tab w:leader="none" w:pos="1838"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2.3 Piggyback Registrations. </w:t>
      </w:r>
      <w:r>
        <w:rPr>
          <w:rFonts w:ascii="Arial" w:cs="Arial" w:eastAsia="Arial" w:hAnsi="Arial"/>
          <w:sz w:val="17"/>
          <w:szCs w:val="17"/>
          <w:color w:val="auto"/>
        </w:rPr>
        <w:t>The Company shall notify all Holders of Registrable Securities in writing at least 15 days prior to the filing of any</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15 days after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99" w:name="page300"/>
    <w:bookmarkEnd w:id="299"/>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43" w:lineRule="exact"/>
        <w:rPr>
          <w:sz w:val="20"/>
          <w:szCs w:val="20"/>
          <w:color w:val="auto"/>
        </w:rPr>
      </w:pPr>
    </w:p>
    <w:p>
      <w:pPr>
        <w:ind w:right="60" w:firstLine="921"/>
        <w:spacing w:after="0" w:line="285" w:lineRule="auto"/>
        <w:tabs>
          <w:tab w:leader="none" w:pos="1168"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Underwriting. </w:t>
      </w:r>
      <w:r>
        <w:rPr>
          <w:rFonts w:ascii="Arial" w:cs="Arial" w:eastAsia="Arial" w:hAnsi="Arial"/>
          <w:sz w:val="16"/>
          <w:szCs w:val="16"/>
          <w:color w:val="auto"/>
        </w:rPr>
        <w:t>If the registration statement of which the Company gives notice under this Section 2.3 is for an underwritten offering,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Company determines in good faith, based on consultation with the underwriter,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such reduction shall reduce the amount of securities of the selling Holders included in the registration below 30% of the total amount of securities included in such registration, unless such offering is the Initial Offering and such registration does not include shares of any other selling stockholders, in which event any or all of the Registrable Securities of the Holders may be excluded in accordance with the immediately preceding clause. In no event will shares of any other selling stockholder be included in such registration that would reduce the number of shares which may be included by Holders without the written consent of Holders of not less than 60% of the Registrable Securities proposed to be sold in the offering. If any Holder disapproves of the terms of any such underwriting, such Holder may elect to withdraw therefrom by written notice to the Company and the underwriter, delivered at least 10 business days prior to the effective date of the registration statement. Any Registrable Securities excluded or withdrawn from such underwriting shall be excluded and withdrawn from the registration. For any Holder which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68" w:lineRule="exact"/>
        <w:rPr>
          <w:rFonts w:ascii="Arial" w:cs="Arial" w:eastAsia="Arial" w:hAnsi="Arial"/>
          <w:sz w:val="16"/>
          <w:szCs w:val="16"/>
          <w:b w:val="1"/>
          <w:bCs w:val="1"/>
          <w:color w:val="auto"/>
        </w:rPr>
      </w:pPr>
    </w:p>
    <w:p>
      <w:pPr>
        <w:ind w:right="200" w:firstLine="921"/>
        <w:spacing w:after="0" w:line="261" w:lineRule="auto"/>
        <w:tabs>
          <w:tab w:leader="none" w:pos="1178"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Terminate Registration. </w:t>
      </w:r>
      <w:r>
        <w:rPr>
          <w:rFonts w:ascii="Arial" w:cs="Arial" w:eastAsia="Arial" w:hAnsi="Arial"/>
          <w:sz w:val="18"/>
          <w:szCs w:val="18"/>
          <w:color w:val="auto"/>
        </w:rPr>
        <w:t>The Company shall have the right to terminate or withdraw any registration initiated by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2.3 whether or not any Holder has elected to include securities in such registration, and shall promptly notify any Holder that has elected to include shares in such registration of such termination or withdrawal. The Registration Expenses of such withdrawn registration shall be borne by the Company in accordance with Section 2.5 hereof</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2.4 Form S-3 Registration. </w:t>
      </w:r>
      <w:r>
        <w:rPr>
          <w:rFonts w:ascii="Arial" w:cs="Arial" w:eastAsia="Arial" w:hAnsi="Arial"/>
          <w:sz w:val="18"/>
          <w:szCs w:val="18"/>
          <w:color w:val="auto"/>
        </w:rPr>
        <w:t>In case the Company shall receive from any Holder or Holders of Registrable Securities a written request or requests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effect 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00" w:name="page301"/>
    <w:bookmarkEnd w:id="300"/>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170" w:lineRule="exact"/>
        <w:rPr>
          <w:sz w:val="20"/>
          <w:szCs w:val="20"/>
          <w:color w:val="auto"/>
        </w:rPr>
      </w:pPr>
    </w:p>
    <w:p>
      <w:pPr>
        <w:ind w:left="1180" w:hanging="259"/>
        <w:spacing w:after="0"/>
        <w:tabs>
          <w:tab w:leader="none" w:pos="1180" w:val="left"/>
        </w:tabs>
        <w:numPr>
          <w:ilvl w:val="0"/>
          <w:numId w:val="252"/>
        </w:numPr>
        <w:rPr>
          <w:rFonts w:ascii="Arial" w:cs="Arial" w:eastAsia="Arial" w:hAnsi="Arial"/>
          <w:sz w:val="17"/>
          <w:szCs w:val="17"/>
          <w:b w:val="1"/>
          <w:bCs w:val="1"/>
          <w:color w:val="auto"/>
        </w:rPr>
      </w:pPr>
      <w:r>
        <w:rPr>
          <w:rFonts w:ascii="Arial" w:cs="Arial" w:eastAsia="Arial" w:hAnsi="Arial"/>
          <w:sz w:val="17"/>
          <w:szCs w:val="17"/>
          <w:color w:val="auto"/>
        </w:rPr>
        <w:t>promptly give written notice of the proposed registration, and any related qualification or compliance, to all other Holders of Registrable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7"/>
          <w:szCs w:val="17"/>
          <w:b w:val="1"/>
          <w:bCs w:val="1"/>
          <w:color w:val="auto"/>
        </w:rPr>
      </w:pPr>
    </w:p>
    <w:p>
      <w:pPr>
        <w:ind w:right="160" w:firstLine="921"/>
        <w:spacing w:after="0" w:line="257" w:lineRule="auto"/>
        <w:tabs>
          <w:tab w:leader="none" w:pos="1178"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days after receipt of such written notice from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to effect any such registration, qualification or compliance pursuant to this Section 2.4:</w:t>
      </w:r>
    </w:p>
    <w:p>
      <w:pPr>
        <w:spacing w:after="0" w:line="188" w:lineRule="exact"/>
        <w:rPr>
          <w:rFonts w:ascii="Arial" w:cs="Arial" w:eastAsia="Arial" w:hAnsi="Arial"/>
          <w:sz w:val="18"/>
          <w:szCs w:val="18"/>
          <w:b w:val="1"/>
          <w:bCs w:val="1"/>
          <w:color w:val="auto"/>
        </w:rPr>
      </w:pPr>
    </w:p>
    <w:p>
      <w:pPr>
        <w:ind w:left="1700" w:hanging="208"/>
        <w:spacing w:after="0"/>
        <w:tabs>
          <w:tab w:leader="none" w:pos="1700"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w:t>
      </w:r>
    </w:p>
    <w:p>
      <w:pPr>
        <w:spacing w:after="0" w:line="225" w:lineRule="exact"/>
        <w:rPr>
          <w:rFonts w:ascii="Arial" w:cs="Arial" w:eastAsia="Arial" w:hAnsi="Arial"/>
          <w:sz w:val="18"/>
          <w:szCs w:val="18"/>
          <w:b w:val="1"/>
          <w:bCs w:val="1"/>
          <w:color w:val="auto"/>
        </w:rPr>
      </w:pPr>
    </w:p>
    <w:p>
      <w:pPr>
        <w:ind w:right="180" w:firstLine="1492"/>
        <w:spacing w:after="0" w:line="264" w:lineRule="auto"/>
        <w:tabs>
          <w:tab w:leader="none" w:pos="174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at an aggregate price to the public of less than $2,000,000, net of Registration Expenses and Selling Expenses;</w:t>
      </w:r>
    </w:p>
    <w:p>
      <w:pPr>
        <w:spacing w:after="0" w:line="181" w:lineRule="exact"/>
        <w:rPr>
          <w:rFonts w:ascii="Arial" w:cs="Arial" w:eastAsia="Arial" w:hAnsi="Arial"/>
          <w:sz w:val="18"/>
          <w:szCs w:val="18"/>
          <w:b w:val="1"/>
          <w:bCs w:val="1"/>
          <w:color w:val="auto"/>
        </w:rPr>
      </w:pPr>
    </w:p>
    <w:p>
      <w:pPr>
        <w:ind w:firstLine="1492"/>
        <w:spacing w:after="0" w:line="342" w:lineRule="auto"/>
        <w:tabs>
          <w:tab w:leader="none" w:pos="1798"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if within 30 days of receipt of a written request from any Holder or Holders pursuant to this Section 2.4, the Company gives notice to such Holder or Holders of the Company’s intention to make a public offering within 90 days, other than pursuant to a Special Registration Statement;</w:t>
      </w:r>
    </w:p>
    <w:p>
      <w:pPr>
        <w:spacing w:after="0" w:line="123" w:lineRule="exact"/>
        <w:rPr>
          <w:rFonts w:ascii="Arial" w:cs="Arial" w:eastAsia="Arial" w:hAnsi="Arial"/>
          <w:sz w:val="16"/>
          <w:szCs w:val="16"/>
          <w:b w:val="1"/>
          <w:bCs w:val="1"/>
          <w:color w:val="auto"/>
        </w:rPr>
      </w:pPr>
    </w:p>
    <w:p>
      <w:pPr>
        <w:ind w:right="100" w:firstLine="1492"/>
        <w:spacing w:after="0" w:line="257" w:lineRule="auto"/>
        <w:tabs>
          <w:tab w:leader="none" w:pos="178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 xml:space="preserve">if the Company shall furnish to the Holders a certificate signed by the Chairman of the Board stating that in the good faith judgment of the Board, it would be materially detrimental to the Company and its stockholders for such Form S-3 registration to be effected at such time, in which event the Company shall have the right to defer the filing of the Form S-3 registration statement for a period of not more than 90 days after receipt of the request of the Holder or Holders under this Section 2.4; </w:t>
      </w:r>
      <w:r>
        <w:rPr>
          <w:rFonts w:ascii="Arial" w:cs="Arial" w:eastAsia="Arial" w:hAnsi="Arial"/>
          <w:sz w:val="18"/>
          <w:szCs w:val="18"/>
          <w:i w:val="1"/>
          <w:iCs w:val="1"/>
          <w:color w:val="auto"/>
        </w:rPr>
        <w:t>provided</w:t>
      </w:r>
      <w:r>
        <w:rPr>
          <w:rFonts w:ascii="Arial" w:cs="Arial" w:eastAsia="Arial" w:hAnsi="Arial"/>
          <w:sz w:val="18"/>
          <w:szCs w:val="18"/>
          <w:color w:val="auto"/>
        </w:rPr>
        <w:t>, that such right to delay a request shall be exercised by the Company not more than once in any 12 month period;</w:t>
      </w:r>
    </w:p>
    <w:p>
      <w:pPr>
        <w:spacing w:after="0" w:line="188" w:lineRule="exact"/>
        <w:rPr>
          <w:rFonts w:ascii="Arial" w:cs="Arial" w:eastAsia="Arial" w:hAnsi="Arial"/>
          <w:sz w:val="18"/>
          <w:szCs w:val="18"/>
          <w:b w:val="1"/>
          <w:bCs w:val="1"/>
          <w:color w:val="auto"/>
        </w:rPr>
      </w:pPr>
    </w:p>
    <w:p>
      <w:pPr>
        <w:ind w:firstLine="1492"/>
        <w:spacing w:after="0" w:line="277" w:lineRule="auto"/>
        <w:tabs>
          <w:tab w:leader="none" w:pos="173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if the Company has, within the 12 month period preceding the date of such request, already effected two registrations on Form S-3 for the Holders pursuant to this Section 2.4; or</w:t>
      </w:r>
    </w:p>
    <w:p>
      <w:pPr>
        <w:spacing w:after="0" w:line="170" w:lineRule="exact"/>
        <w:rPr>
          <w:rFonts w:ascii="Arial" w:cs="Arial" w:eastAsia="Arial" w:hAnsi="Arial"/>
          <w:sz w:val="18"/>
          <w:szCs w:val="18"/>
          <w:b w:val="1"/>
          <w:bCs w:val="1"/>
          <w:color w:val="auto"/>
        </w:rPr>
      </w:pPr>
    </w:p>
    <w:p>
      <w:pPr>
        <w:ind w:right="260" w:firstLine="1492"/>
        <w:spacing w:after="0" w:line="277" w:lineRule="auto"/>
        <w:tabs>
          <w:tab w:leader="none" w:pos="178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70" w:lineRule="exact"/>
        <w:rPr>
          <w:rFonts w:ascii="Arial" w:cs="Arial" w:eastAsia="Arial" w:hAnsi="Arial"/>
          <w:sz w:val="18"/>
          <w:szCs w:val="18"/>
          <w:b w:val="1"/>
          <w:bCs w:val="1"/>
          <w:color w:val="auto"/>
        </w:rPr>
      </w:pPr>
    </w:p>
    <w:p>
      <w:pPr>
        <w:ind w:right="120" w:firstLine="921"/>
        <w:spacing w:after="0" w:line="308" w:lineRule="auto"/>
        <w:tabs>
          <w:tab w:leader="none" w:pos="1158" w:val="left"/>
        </w:tabs>
        <w:numPr>
          <w:ilvl w:val="0"/>
          <w:numId w:val="252"/>
        </w:numPr>
        <w:rPr>
          <w:rFonts w:ascii="Arial" w:cs="Arial" w:eastAsia="Arial" w:hAnsi="Arial"/>
          <w:sz w:val="17"/>
          <w:szCs w:val="17"/>
          <w:b w:val="1"/>
          <w:bCs w:val="1"/>
          <w:color w:val="auto"/>
        </w:rPr>
      </w:pPr>
      <w:r>
        <w:rPr>
          <w:rFonts w:ascii="Arial" w:cs="Arial" w:eastAsia="Arial" w:hAnsi="Arial"/>
          <w:sz w:val="17"/>
          <w:szCs w:val="17"/>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2.4 shall not be counted as demands for registration or registrations effected pursuant to Section 2.2.</w:t>
      </w:r>
    </w:p>
    <w:p>
      <w:pPr>
        <w:spacing w:after="0" w:line="2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2.5 Expenses of Registration. </w:t>
      </w:r>
      <w:r>
        <w:rPr>
          <w:rFonts w:ascii="Arial" w:cs="Arial" w:eastAsia="Arial" w:hAnsi="Arial"/>
          <w:sz w:val="16"/>
          <w:szCs w:val="16"/>
          <w:color w:val="auto"/>
        </w:rPr>
        <w:t>Except as specifically provided herein, all Registration Expenses incurred in connection with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 or 2.4(b)(5),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or 2.4(b)(5), as applicable, to undertake any subsequent registration.</w:t>
      </w:r>
    </w:p>
    <w:p>
      <w:pPr>
        <w:spacing w:after="0" w:line="169"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2.6 Obligations of the Company. </w:t>
      </w:r>
      <w:r>
        <w:rPr>
          <w:rFonts w:ascii="Arial" w:cs="Arial" w:eastAsia="Arial" w:hAnsi="Arial"/>
          <w:sz w:val="18"/>
          <w:szCs w:val="18"/>
          <w:color w:val="auto"/>
        </w:rPr>
        <w:t>Whenever required to effect the registration of any Registrable Securities, the Company shall, as expeditiously as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possible:</w:t>
      </w:r>
    </w:p>
    <w:p>
      <w:pPr>
        <w:spacing w:after="0" w:line="166" w:lineRule="exact"/>
        <w:rPr>
          <w:sz w:val="20"/>
          <w:szCs w:val="20"/>
          <w:color w:val="auto"/>
        </w:rPr>
      </w:pPr>
    </w:p>
    <w:p>
      <w:pPr>
        <w:ind w:right="60" w:firstLine="921"/>
        <w:spacing w:after="0" w:line="268" w:lineRule="auto"/>
        <w:tabs>
          <w:tab w:leader="none" w:pos="1168" w:val="left"/>
        </w:tabs>
        <w:numPr>
          <w:ilvl w:val="0"/>
          <w:numId w:val="253"/>
        </w:numPr>
        <w:rPr>
          <w:rFonts w:ascii="Arial" w:cs="Arial" w:eastAsia="Arial" w:hAnsi="Arial"/>
          <w:sz w:val="17"/>
          <w:szCs w:val="17"/>
          <w:b w:val="1"/>
          <w:bCs w:val="1"/>
          <w:color w:val="auto"/>
        </w:rPr>
      </w:pPr>
      <w:r>
        <w:rPr>
          <w:rFonts w:ascii="Arial" w:cs="Arial" w:eastAsia="Arial" w:hAnsi="Arial"/>
          <w:sz w:val="17"/>
          <w:szCs w:val="17"/>
          <w:color w:val="auto"/>
        </w:rPr>
        <w:t xml:space="preserve">prepare and file with the SEC a registration statement with respect to such Registrable Securities and use all efforts to cause such registration statement to become effective, and, upon the request of the Holders of a majority of the Registrable Securities registered thereunder, keep such registration statement effective for up to 90 days or, if earlier, until the Holder or Holders have completed the distribution related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upon written notice to the participating Holders and for a period not to exceed 60 days thereafter (the “</w:t>
      </w:r>
      <w:r>
        <w:rPr>
          <w:rFonts w:ascii="Arial" w:cs="Arial" w:eastAsia="Arial" w:hAnsi="Arial"/>
          <w:sz w:val="17"/>
          <w:szCs w:val="17"/>
          <w:b w:val="1"/>
          <w:bCs w:val="1"/>
          <w:i w:val="1"/>
          <w:iCs w:val="1"/>
          <w:color w:val="auto"/>
        </w:rPr>
        <w:t>Suspension Period</w:t>
      </w:r>
      <w:r>
        <w:rPr>
          <w:rFonts w:ascii="Arial" w:cs="Arial" w:eastAsia="Arial" w:hAnsi="Arial"/>
          <w:sz w:val="17"/>
          <w:szCs w:val="17"/>
          <w:color w:val="auto"/>
        </w:rPr>
        <w:t>”), the Company may delay the filing or effectiveness of any registration statement or suspend the use or effectiveness of any 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60 days with the consent of the holders of a majority of the Registrable Securities registered under the applicable registration statement, which consent shall not be unreasonably withheld. No more than two such Suspension Periods shall occur in any 12 month period. If so directed by the Company, all Holders registering shares under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02" w:name="page303"/>
    <w:bookmarkEnd w:id="30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93" w:lineRule="exact"/>
        <w:rPr>
          <w:sz w:val="20"/>
          <w:szCs w:val="20"/>
          <w:color w:val="auto"/>
        </w:rPr>
      </w:pPr>
    </w:p>
    <w:p>
      <w:pPr>
        <w:ind w:firstLine="921"/>
        <w:spacing w:after="0" w:line="264" w:lineRule="auto"/>
        <w:tabs>
          <w:tab w:leader="none" w:pos="1178"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1" w:lineRule="exact"/>
        <w:rPr>
          <w:rFonts w:ascii="Arial" w:cs="Arial" w:eastAsia="Arial" w:hAnsi="Arial"/>
          <w:sz w:val="18"/>
          <w:szCs w:val="18"/>
          <w:b w:val="1"/>
          <w:bCs w:val="1"/>
          <w:color w:val="auto"/>
        </w:rPr>
      </w:pPr>
    </w:p>
    <w:p>
      <w:pPr>
        <w:ind w:right="40" w:firstLine="921"/>
        <w:spacing w:after="0" w:line="342" w:lineRule="auto"/>
        <w:tabs>
          <w:tab w:leader="none" w:pos="1158"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23" w:lineRule="exact"/>
        <w:rPr>
          <w:rFonts w:ascii="Arial" w:cs="Arial" w:eastAsia="Arial" w:hAnsi="Arial"/>
          <w:sz w:val="16"/>
          <w:szCs w:val="16"/>
          <w:b w:val="1"/>
          <w:bCs w:val="1"/>
          <w:color w:val="auto"/>
        </w:rPr>
      </w:pPr>
    </w:p>
    <w:p>
      <w:pPr>
        <w:ind w:right="40" w:firstLine="921"/>
        <w:spacing w:after="0" w:line="286" w:lineRule="auto"/>
        <w:tabs>
          <w:tab w:leader="none" w:pos="1178" w:val="left"/>
        </w:tabs>
        <w:numPr>
          <w:ilvl w:val="0"/>
          <w:numId w:val="254"/>
        </w:numPr>
        <w:rPr>
          <w:rFonts w:ascii="Arial" w:cs="Arial" w:eastAsia="Arial" w:hAnsi="Arial"/>
          <w:sz w:val="17"/>
          <w:szCs w:val="17"/>
          <w:b w:val="1"/>
          <w:bCs w:val="1"/>
          <w:color w:val="auto"/>
        </w:rPr>
      </w:pPr>
      <w:r>
        <w:rPr>
          <w:rFonts w:ascii="Arial" w:cs="Arial" w:eastAsia="Arial" w:hAnsi="Arial"/>
          <w:sz w:val="17"/>
          <w:szCs w:val="17"/>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65" w:lineRule="exact"/>
        <w:rPr>
          <w:rFonts w:ascii="Arial" w:cs="Arial" w:eastAsia="Arial" w:hAnsi="Arial"/>
          <w:sz w:val="17"/>
          <w:szCs w:val="17"/>
          <w:b w:val="1"/>
          <w:bCs w:val="1"/>
          <w:color w:val="auto"/>
        </w:rPr>
      </w:pPr>
    </w:p>
    <w:p>
      <w:pPr>
        <w:ind w:right="440" w:firstLine="921"/>
        <w:spacing w:after="0" w:line="264" w:lineRule="auto"/>
        <w:tabs>
          <w:tab w:leader="none" w:pos="1158"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81" w:lineRule="exact"/>
        <w:rPr>
          <w:rFonts w:ascii="Arial" w:cs="Arial" w:eastAsia="Arial" w:hAnsi="Arial"/>
          <w:sz w:val="18"/>
          <w:szCs w:val="18"/>
          <w:b w:val="1"/>
          <w:bCs w:val="1"/>
          <w:color w:val="auto"/>
        </w:rPr>
      </w:pPr>
    </w:p>
    <w:p>
      <w:pPr>
        <w:ind w:right="20" w:firstLine="921"/>
        <w:spacing w:after="0" w:line="273" w:lineRule="auto"/>
        <w:tabs>
          <w:tab w:leader="none" w:pos="1138" w:val="left"/>
        </w:tabs>
        <w:numPr>
          <w:ilvl w:val="0"/>
          <w:numId w:val="254"/>
        </w:numPr>
        <w:rPr>
          <w:rFonts w:ascii="Arial" w:cs="Arial" w:eastAsia="Arial" w:hAnsi="Arial"/>
          <w:sz w:val="17"/>
          <w:szCs w:val="17"/>
          <w:b w:val="1"/>
          <w:bCs w:val="1"/>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78" w:lineRule="exact"/>
        <w:rPr>
          <w:rFonts w:ascii="Arial" w:cs="Arial" w:eastAsia="Arial" w:hAnsi="Arial"/>
          <w:sz w:val="17"/>
          <w:szCs w:val="17"/>
          <w:b w:val="1"/>
          <w:bCs w:val="1"/>
          <w:color w:val="auto"/>
        </w:rPr>
      </w:pPr>
    </w:p>
    <w:p>
      <w:pPr>
        <w:jc w:val="both"/>
        <w:ind w:right="180" w:firstLine="921"/>
        <w:spacing w:after="0" w:line="264" w:lineRule="auto"/>
        <w:tabs>
          <w:tab w:leader="none" w:pos="1168"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Use its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303" w:name="page304"/>
    <w:bookmarkEnd w:id="303"/>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Delay of Registration; Furnishing Information.</w:t>
      </w:r>
    </w:p>
    <w:p>
      <w:pPr>
        <w:spacing w:after="0" w:line="229" w:lineRule="exact"/>
        <w:rPr>
          <w:sz w:val="20"/>
          <w:szCs w:val="20"/>
          <w:color w:val="auto"/>
        </w:rPr>
      </w:pPr>
    </w:p>
    <w:p>
      <w:pPr>
        <w:ind w:right="380" w:firstLine="921"/>
        <w:spacing w:after="0" w:line="277" w:lineRule="auto"/>
        <w:tabs>
          <w:tab w:leader="none" w:pos="1168"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70" w:lineRule="exact"/>
        <w:rPr>
          <w:rFonts w:ascii="Arial" w:cs="Arial" w:eastAsia="Arial" w:hAnsi="Arial"/>
          <w:sz w:val="18"/>
          <w:szCs w:val="18"/>
          <w:b w:val="1"/>
          <w:bCs w:val="1"/>
          <w:color w:val="auto"/>
        </w:rPr>
      </w:pPr>
    </w:p>
    <w:p>
      <w:pPr>
        <w:ind w:right="60" w:firstLine="921"/>
        <w:spacing w:after="0" w:line="264" w:lineRule="auto"/>
        <w:tabs>
          <w:tab w:leader="none" w:pos="1178"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81" w:lineRule="exact"/>
        <w:rPr>
          <w:rFonts w:ascii="Arial" w:cs="Arial" w:eastAsia="Arial" w:hAnsi="Arial"/>
          <w:sz w:val="18"/>
          <w:szCs w:val="18"/>
          <w:b w:val="1"/>
          <w:bCs w:val="1"/>
          <w:color w:val="auto"/>
        </w:rPr>
      </w:pPr>
    </w:p>
    <w:p>
      <w:pPr>
        <w:ind w:right="20" w:firstLine="921"/>
        <w:spacing w:after="0" w:line="259" w:lineRule="auto"/>
        <w:tabs>
          <w:tab w:leader="none" w:pos="1158"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Indemnification. </w:t>
      </w:r>
      <w:r>
        <w:rPr>
          <w:rFonts w:ascii="Arial" w:cs="Arial" w:eastAsia="Arial" w:hAnsi="Arial"/>
          <w:sz w:val="18"/>
          <w:szCs w:val="18"/>
          <w:color w:val="auto"/>
        </w:rPr>
        <w:t>In the event any Registrable Securities are included in a registration statement under Sections 2.2, 2.3 or 2.4:</w:t>
      </w:r>
    </w:p>
    <w:p>
      <w:pPr>
        <w:spacing w:after="0" w:line="229" w:lineRule="exact"/>
        <w:rPr>
          <w:sz w:val="20"/>
          <w:szCs w:val="20"/>
          <w:color w:val="auto"/>
        </w:rPr>
      </w:pPr>
    </w:p>
    <w:p>
      <w:pPr>
        <w:ind w:firstLine="921"/>
        <w:spacing w:after="0" w:line="287" w:lineRule="auto"/>
        <w:tabs>
          <w:tab w:leader="none" w:pos="116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indemnity agreement contained in this Section 2.8(a) shall not apply to</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04" w:name="page305"/>
    <w:bookmarkEnd w:id="30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171" w:lineRule="exact"/>
        <w:rPr>
          <w:sz w:val="20"/>
          <w:szCs w:val="20"/>
          <w:color w:val="auto"/>
        </w:rPr>
      </w:pPr>
    </w:p>
    <w:p>
      <w:pPr>
        <w:ind w:firstLine="921"/>
        <w:spacing w:after="0" w:line="285" w:lineRule="auto"/>
        <w:tabs>
          <w:tab w:leader="none" w:pos="1178" w:val="left"/>
        </w:tabs>
        <w:numPr>
          <w:ilvl w:val="0"/>
          <w:numId w:val="257"/>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(collectively, a “</w:t>
      </w:r>
      <w:r>
        <w:rPr>
          <w:rFonts w:ascii="Arial" w:cs="Arial" w:eastAsia="Arial" w:hAnsi="Arial"/>
          <w:sz w:val="16"/>
          <w:szCs w:val="16"/>
          <w:b w:val="1"/>
          <w:bCs w:val="1"/>
          <w:i w:val="1"/>
          <w:iCs w:val="1"/>
          <w:color w:val="auto"/>
        </w:rPr>
        <w:t>Holder Violation</w:t>
      </w:r>
      <w:r>
        <w:rPr>
          <w:rFonts w:ascii="Arial" w:cs="Arial" w:eastAsia="Arial" w:hAnsi="Arial"/>
          <w:sz w:val="16"/>
          <w:szCs w:val="16"/>
          <w:color w:val="auto"/>
        </w:rPr>
        <w:t xml:space="preserve">”), in each case to the extent (and only to the extent) that such Holder Violation occurs in reliance upon and in conformity with written 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no event shall any indemnity under this Section 2.8 exceed the net proceeds from the offering received by such Holder.</w:t>
      </w:r>
    </w:p>
    <w:p>
      <w:pPr>
        <w:spacing w:after="0" w:line="172" w:lineRule="exact"/>
        <w:rPr>
          <w:rFonts w:ascii="Arial" w:cs="Arial" w:eastAsia="Arial" w:hAnsi="Arial"/>
          <w:sz w:val="16"/>
          <w:szCs w:val="16"/>
          <w:b w:val="1"/>
          <w:bCs w:val="1"/>
          <w:color w:val="auto"/>
        </w:rPr>
      </w:pPr>
    </w:p>
    <w:p>
      <w:pPr>
        <w:ind w:firstLine="921"/>
        <w:spacing w:after="0" w:line="276" w:lineRule="auto"/>
        <w:tabs>
          <w:tab w:leader="none" w:pos="1157" w:val="left"/>
        </w:tabs>
        <w:numPr>
          <w:ilvl w:val="0"/>
          <w:numId w:val="257"/>
        </w:numPr>
        <w:rPr>
          <w:rFonts w:ascii="Arial" w:cs="Arial" w:eastAsia="Arial" w:hAnsi="Arial"/>
          <w:sz w:val="17"/>
          <w:szCs w:val="17"/>
          <w:b w:val="1"/>
          <w:bCs w:val="1"/>
          <w:color w:val="auto"/>
        </w:rPr>
      </w:pPr>
      <w:r>
        <w:rPr>
          <w:rFonts w:ascii="Arial" w:cs="Arial" w:eastAsia="Arial" w:hAnsi="Arial"/>
          <w:sz w:val="17"/>
          <w:szCs w:val="17"/>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 indemnified party shall have the right to retain its own counsel, with the fees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305" w:name="page306"/>
    <w:bookmarkEnd w:id="30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93" w:lineRule="exact"/>
        <w:rPr>
          <w:sz w:val="20"/>
          <w:szCs w:val="20"/>
          <w:color w:val="auto"/>
        </w:rPr>
      </w:pPr>
    </w:p>
    <w:p>
      <w:pPr>
        <w:ind w:right="20" w:firstLine="921"/>
        <w:spacing w:after="0" w:line="253" w:lineRule="auto"/>
        <w:tabs>
          <w:tab w:leader="none" w:pos="1178"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in no event shall any contribution by a Holder hereunder exceed the net proceeds from the offering received by such Holder.</w:t>
      </w:r>
    </w:p>
    <w:p>
      <w:pPr>
        <w:spacing w:after="0" w:line="194" w:lineRule="exact"/>
        <w:rPr>
          <w:rFonts w:ascii="Arial" w:cs="Arial" w:eastAsia="Arial" w:hAnsi="Arial"/>
          <w:sz w:val="18"/>
          <w:szCs w:val="18"/>
          <w:b w:val="1"/>
          <w:bCs w:val="1"/>
          <w:color w:val="auto"/>
        </w:rPr>
      </w:pPr>
    </w:p>
    <w:p>
      <w:pPr>
        <w:ind w:right="60" w:firstLine="921"/>
        <w:spacing w:after="0" w:line="276" w:lineRule="auto"/>
        <w:tabs>
          <w:tab w:leader="none" w:pos="1158"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6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2.9 Assignment of Registration Rights. </w:t>
      </w:r>
      <w:r>
        <w:rPr>
          <w:rFonts w:ascii="Arial" w:cs="Arial" w:eastAsia="Arial" w:hAnsi="Arial"/>
          <w:sz w:val="17"/>
          <w:szCs w:val="17"/>
          <w:color w:val="auto"/>
        </w:rPr>
        <w:t>The rights to cause the Company to register Registrable Securities pursuant to this Section 2 may be assigned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 Holder to a transferee or assignee of Registrable Securities (for so long as such shares remain Registrable Securities) that (a) is a subsidiary, parent, general partner, limited partner, retired partner, member or retired member, or stockholder of a Holder that is a corporation, partnership or limited liability company, (b) is a Holder’s family member or trust for the benefit of an individual Holder, (c) is an entity affiliated by common control (or other related entity) with such Holder or (d) is a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 the transferor shall, within 10 days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306" w:name="page307"/>
    <w:bookmarkEnd w:id="306"/>
    <w:p>
      <w:pPr>
        <w:ind w:right="8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2.10 Limitation on Subsequent Registration Rights. </w:t>
      </w:r>
      <w:r>
        <w:rPr>
          <w:rFonts w:ascii="Arial" w:cs="Arial" w:eastAsia="Arial" w:hAnsi="Arial"/>
          <w:sz w:val="18"/>
          <w:szCs w:val="18"/>
          <w:color w:val="auto"/>
        </w:rPr>
        <w:t>Other than as provided in Section 5.10, after the date of this Agreement, the Company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2.11 “Market Stand-Off” Agreement. </w:t>
      </w:r>
      <w:r>
        <w:rPr>
          <w:rFonts w:ascii="Arial" w:cs="Arial" w:eastAsia="Arial" w:hAnsi="Arial"/>
          <w:sz w:val="17"/>
          <w:szCs w:val="17"/>
          <w:color w:val="auto"/>
        </w:rPr>
        <w:t>Each Holder hereby agrees that such Holder shall not sell, transfer, make any short sale of, grant any option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purchase of, or enter into any hedging or similar transaction with the same economic effect as a sale, any Common Stock (or other securities) of the Company held by such Holder (other than those included in the registration) during the 180-day period following the effective date of the Initial Offering (or such longer period as the underwriter of the Company shall request in order to facilitate compliance with NASD Rule 2711 or NYSE Member Rule 472 or any successor or similar rule or regulation);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officers and directors of the Company and all holders of 1.0% or more of the Company’s capital stock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17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2.12 Agreement to Furnish Information. </w:t>
      </w:r>
      <w:r>
        <w:rPr>
          <w:rFonts w:ascii="Arial" w:cs="Arial" w:eastAsia="Arial" w:hAnsi="Arial"/>
          <w:sz w:val="16"/>
          <w:szCs w:val="16"/>
          <w:color w:val="auto"/>
        </w:rPr>
        <w:t>Each Holder agrees to execute and deliver such other agreements as may be reasonably requested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6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2.13 Rule 144 Reporting. </w:t>
      </w:r>
      <w:r>
        <w:rPr>
          <w:rFonts w:ascii="Arial" w:cs="Arial" w:eastAsia="Arial" w:hAnsi="Arial"/>
          <w:sz w:val="18"/>
          <w:szCs w:val="18"/>
          <w:color w:val="auto"/>
        </w:rPr>
        <w:t>With a view to making available to the Holders the benefits of certain rules and regulations of the SEC which may permit</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the Registrable Securities to the public without registration, the Company agrees to use its best efforts to:</w:t>
      </w:r>
    </w:p>
    <w:p>
      <w:pPr>
        <w:spacing w:after="0" w:line="166" w:lineRule="exact"/>
        <w:rPr>
          <w:sz w:val="20"/>
          <w:szCs w:val="20"/>
          <w:color w:val="auto"/>
        </w:rPr>
      </w:pPr>
    </w:p>
    <w:p>
      <w:pPr>
        <w:ind w:right="200" w:firstLine="921"/>
        <w:spacing w:after="0" w:line="264" w:lineRule="auto"/>
        <w:tabs>
          <w:tab w:leader="none" w:pos="1168"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307" w:name="page308"/>
    <w:bookmarkEnd w:id="307"/>
    <w:p>
      <w:pPr>
        <w:ind w:left="1180" w:hanging="259"/>
        <w:spacing w:after="0"/>
        <w:tabs>
          <w:tab w:leader="none" w:pos="118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 with the SEC, in a timely manner, all reports and other documents required of the Company under the Exchange Act; and</w:t>
      </w:r>
    </w:p>
    <w:p>
      <w:pPr>
        <w:spacing w:after="0" w:line="225" w:lineRule="exact"/>
        <w:rPr>
          <w:rFonts w:ascii="Arial" w:cs="Arial" w:eastAsia="Arial" w:hAnsi="Arial"/>
          <w:sz w:val="18"/>
          <w:szCs w:val="18"/>
          <w:b w:val="1"/>
          <w:bCs w:val="1"/>
          <w:color w:val="auto"/>
        </w:rPr>
      </w:pPr>
    </w:p>
    <w:p>
      <w:pPr>
        <w:ind w:firstLine="921"/>
        <w:spacing w:after="0" w:line="257" w:lineRule="auto"/>
        <w:tabs>
          <w:tab w:leader="none" w:pos="1158"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2.14 Termination of Registration Rights. </w:t>
      </w:r>
      <w:r>
        <w:rPr>
          <w:rFonts w:ascii="Arial" w:cs="Arial" w:eastAsia="Arial" w:hAnsi="Arial"/>
          <w:sz w:val="18"/>
          <w:szCs w:val="18"/>
          <w:color w:val="auto"/>
        </w:rPr>
        <w:t>The right of any Holder to request registration or inclusion of Registrable Securities in any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2.2, 2.3 or 2.4 hereof shall terminate upon the earlier of: (i) the date five years following the closing of a Qualified IPO; (ii) such time as such Holder holds less than 1% of the Company’s outstanding Common Stock (treating all shares of Preferred Stock on an as-if-converted basis), the Company has completed its Initial Offering and all Registrable Securities issuable or issued upon conversion of the Shares held by and issuable to such Holder (and its affiliates) may be sold pursuant to Rule 144 during any 90-day period. Upon such termination, such shares shall cease to be “Registrable Securities” hereunder for all purposes.</w:t>
      </w:r>
    </w:p>
    <w:p>
      <w:pPr>
        <w:spacing w:after="0" w:line="33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COVENANTS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Basic Financial Information and Reporting.</w:t>
      </w:r>
    </w:p>
    <w:p>
      <w:pPr>
        <w:spacing w:after="0" w:line="229" w:lineRule="exact"/>
        <w:rPr>
          <w:sz w:val="20"/>
          <w:szCs w:val="20"/>
          <w:color w:val="auto"/>
        </w:rPr>
      </w:pPr>
    </w:p>
    <w:p>
      <w:pPr>
        <w:ind w:right="160" w:firstLine="921"/>
        <w:spacing w:after="0" w:line="259" w:lineRule="auto"/>
        <w:tabs>
          <w:tab w:leader="none" w:pos="1168"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and will set aside on its books all such proper accruals and reserves as shall be required under generally accepted accounting principles consistently applied.</w:t>
      </w:r>
    </w:p>
    <w:p>
      <w:pPr>
        <w:spacing w:after="0" w:line="186" w:lineRule="exact"/>
        <w:rPr>
          <w:rFonts w:ascii="Arial" w:cs="Arial" w:eastAsia="Arial" w:hAnsi="Arial"/>
          <w:sz w:val="18"/>
          <w:szCs w:val="18"/>
          <w:b w:val="1"/>
          <w:bCs w:val="1"/>
          <w:color w:val="auto"/>
        </w:rPr>
      </w:pPr>
    </w:p>
    <w:p>
      <w:pPr>
        <w:ind w:right="120" w:firstLine="921"/>
        <w:spacing w:after="0" w:line="273" w:lineRule="auto"/>
        <w:tabs>
          <w:tab w:leader="none" w:pos="1178"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So long as an Investor (with its affiliates) owns not less than 1,000,000 Registrable Securities (as adjusted for stock splits and combinations) (a “</w:t>
      </w:r>
      <w:r>
        <w:rPr>
          <w:rFonts w:ascii="Arial" w:cs="Arial" w:eastAsia="Arial" w:hAnsi="Arial"/>
          <w:sz w:val="17"/>
          <w:szCs w:val="17"/>
          <w:b w:val="1"/>
          <w:bCs w:val="1"/>
          <w:i w:val="1"/>
          <w:iCs w:val="1"/>
          <w:color w:val="auto"/>
        </w:rPr>
        <w:t>Major Investor</w:t>
      </w:r>
      <w:r>
        <w:rPr>
          <w:rFonts w:ascii="Arial" w:cs="Arial" w:eastAsia="Arial" w:hAnsi="Arial"/>
          <w:sz w:val="17"/>
          <w:szCs w:val="17"/>
          <w:color w:val="auto"/>
        </w:rPr>
        <w:t>”), as soon as practicable after the end of each fiscal year of the Company, and in any event within 180 days thereafter, the Company will furnish each Major Investor a balance sheet of the Company, as at the end of such fiscal year, and a statement of income and a statement of cash flows of the Company, for such year, all prepared in accordance with generally accepted accounting principles consistently applied (except as noted therein) and setting forth in each case in comparative form the figures for the previous fiscal year, all in reasonable detail. Such financial statements shall be accompanied by a report and opinion thereon by independent public accountants selected by the Board.</w:t>
      </w:r>
    </w:p>
    <w:p>
      <w:pPr>
        <w:spacing w:after="0" w:line="178" w:lineRule="exact"/>
        <w:rPr>
          <w:rFonts w:ascii="Arial" w:cs="Arial" w:eastAsia="Arial" w:hAnsi="Arial"/>
          <w:sz w:val="17"/>
          <w:szCs w:val="17"/>
          <w:b w:val="1"/>
          <w:bCs w:val="1"/>
          <w:color w:val="auto"/>
        </w:rPr>
      </w:pPr>
    </w:p>
    <w:p>
      <w:pPr>
        <w:ind w:right="80" w:firstLine="921"/>
        <w:spacing w:after="0" w:line="264" w:lineRule="auto"/>
        <w:tabs>
          <w:tab w:leader="none" w:pos="1158"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The Company will furnish each Major Investor, as soon as practicable after the end of the first, second and third quarterly accounting periods in each fiscal year of the Company, and in any event within 45 days thereafter, a balance sheet of the Company as of the end of each such quarterly period, and a statement of income and a statement of cash flows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08" w:name="page309"/>
    <w:bookmarkEnd w:id="308"/>
    <w:p>
      <w:pPr>
        <w:ind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for such period and for the current fiscal year to date, prepared in accordance with generally accepted accounting principles consistently applied (except as noted therein), with the exception that no notes need be attached to such statements and year-end audit adjustments may not have been made.</w:t>
      </w:r>
    </w:p>
    <w:p>
      <w:pPr>
        <w:spacing w:after="0" w:line="124" w:lineRule="exact"/>
        <w:rPr>
          <w:sz w:val="20"/>
          <w:szCs w:val="20"/>
          <w:color w:val="auto"/>
        </w:rPr>
      </w:pPr>
    </w:p>
    <w:p>
      <w:pPr>
        <w:ind w:firstLine="921"/>
        <w:spacing w:after="0" w:line="259" w:lineRule="auto"/>
        <w:tabs>
          <w:tab w:leader="none" w:pos="1178"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The Company will furnish each Major Investor: (i) at least 30 days prior to the beginning of each fiscal year an annual budget and operating plans for such fiscal year (and as soon as available, any subsequent written revisions thereto); and (ii) as soon as practicable after the end of each fiscal year of the Company, and in any event within 180 days thereafter, a report setting forth a comparison of the prior fiscal year’s annual budget with the audited financial statements for the corresponding fiscal year.</w:t>
      </w:r>
    </w:p>
    <w:p>
      <w:pPr>
        <w:spacing w:after="0" w:line="18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3.2 Inspection Rights. </w:t>
      </w:r>
      <w:r>
        <w:rPr>
          <w:rFonts w:ascii="Arial" w:cs="Arial" w:eastAsia="Arial" w:hAnsi="Arial"/>
          <w:sz w:val="18"/>
          <w:szCs w:val="18"/>
          <w:color w:val="auto"/>
        </w:rPr>
        <w:t>Each Major Investor shall have the right to visit and inspect any of the properties of the Company or any of its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under this Section 3.2 with respect to a competitor of the Company or with respect to information which the Board determines in good faith is attorney-client privileged and should not, therefore, be disclosed.</w:t>
      </w:r>
    </w:p>
    <w:p>
      <w:pPr>
        <w:spacing w:after="0" w:line="18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3.3 Confidentiality of Records. </w:t>
      </w:r>
      <w:r>
        <w:rPr>
          <w:rFonts w:ascii="Arial" w:cs="Arial" w:eastAsia="Arial" w:hAnsi="Arial"/>
          <w:sz w:val="17"/>
          <w:szCs w:val="17"/>
          <w:color w:val="auto"/>
        </w:rPr>
        <w:t>Each Investor agrees to use the same degree of care as such Investor uses to protect its own confidential information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keep confidential any information furnished to such Investor that the Company identifies as being confidential or proprietary (so long as such information is not in the public domain), except that such Investor may disclose such proprietary or confidential information: (i) to any partner, subsidiary or parent of such Investor as long as such partner, subsidiary or parent is 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by the Company; or (v) as required by applicable law.</w:t>
      </w:r>
    </w:p>
    <w:p>
      <w:pPr>
        <w:spacing w:after="0" w:line="17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3.4 Reservation of Common Stock. </w:t>
      </w:r>
      <w:r>
        <w:rPr>
          <w:rFonts w:ascii="Arial" w:cs="Arial" w:eastAsia="Arial" w:hAnsi="Arial"/>
          <w:sz w:val="18"/>
          <w:szCs w:val="18"/>
          <w:color w:val="auto"/>
        </w:rPr>
        <w:t>The Company will at all times reserve and keep available, solely for issuance and delivery upon the conversion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Preferred Stock, all Common Stock issuable from time to time upon such conversion.</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3.5 Stock Vesting. </w:t>
      </w:r>
      <w:r>
        <w:rPr>
          <w:rFonts w:ascii="Arial" w:cs="Arial" w:eastAsia="Arial" w:hAnsi="Arial"/>
          <w:sz w:val="18"/>
          <w:szCs w:val="18"/>
          <w:color w:val="auto"/>
        </w:rPr>
        <w:t>Unless otherwise approved by the Board, all stock options, restricted stock and other stock equivalents issued after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to employees shall be subject to vesting as follows: (a) 25% of such stock shall vest at the end of the first year following the earlier of the date of issuance or such employee’s services commencement date with the company; and (b) 75% of such stock shall vest monthly over the remaining three years;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vesting shall be subject to a double trigger acceleration provision in the event of a change in control of the Company and,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stock options are subject to early exercise, the Company shall retain a repurchase option at cost (or the lesser of cost or fair market value) with respect to any unvested shares of the Company’s Common Stock issued upon early exercise of such stock option. For the avoidance of doubt, the vesting of stock options,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09" w:name="page310"/>
    <w:bookmarkEnd w:id="30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and stock equivalents issued to directors, consultants and other service providers of the Company, including any acceleration terms of such vesting, shall be as determined by the Board at the time of grant.</w:t>
      </w:r>
    </w:p>
    <w:p>
      <w:pPr>
        <w:spacing w:after="0" w:line="166"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3.6 Director and Officer Insurance. </w:t>
      </w:r>
      <w:r>
        <w:rPr>
          <w:rFonts w:ascii="Arial" w:cs="Arial" w:eastAsia="Arial" w:hAnsi="Arial"/>
          <w:sz w:val="18"/>
          <w:szCs w:val="18"/>
          <w:color w:val="auto"/>
        </w:rPr>
        <w:t>The Company will use its best efforts to obtain and maintain in full force and effect director and officer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available coverage limits of at least $5,000,000 and on terms reasonably acceptable to the Investors.</w:t>
      </w:r>
    </w:p>
    <w:p>
      <w:pPr>
        <w:spacing w:after="0" w:line="162"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3.7 Proprietary Information and Inventions Agreement. </w:t>
      </w:r>
      <w:r>
        <w:rPr>
          <w:rFonts w:ascii="Arial" w:cs="Arial" w:eastAsia="Arial" w:hAnsi="Arial"/>
          <w:sz w:val="18"/>
          <w:szCs w:val="18"/>
          <w:color w:val="auto"/>
        </w:rPr>
        <w:t>The Company shall require all employees and consultants to execute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substantially in a form approved by the Company’s counsel or Board.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3.8 Assignment of Right of First Refusal.</w:t>
      </w:r>
    </w:p>
    <w:p>
      <w:pPr>
        <w:spacing w:after="0" w:line="229" w:lineRule="exact"/>
        <w:rPr>
          <w:sz w:val="20"/>
          <w:szCs w:val="20"/>
          <w:color w:val="auto"/>
        </w:rPr>
      </w:pPr>
    </w:p>
    <w:p>
      <w:pPr>
        <w:ind w:firstLine="921"/>
        <w:spacing w:after="0" w:line="255" w:lineRule="auto"/>
        <w:tabs>
          <w:tab w:leader="none" w:pos="1168"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the Company elects not to exercise any right of first refusal or right of first offer the Company may have on a proposed transfer of any of the Company’s outstanding capital stock pursuant to the Company’s Bylaws, by contract or otherwise, the Company shall assign such right of first refusal or right of first offer to each Major Investor. In the event of such assignment, each Major Investor shall have a right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capital stock proposed to be transferred. Each such Major Investor’s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shall be equal to the product obtained by multiplying (i) the aggregate number of shares proposed to be transferred by (ii) a fraction, the numerator of which is the number of shares of Registrable Securities held by such Major Investor at the time of the proposed transfer and the denominator of which is the total number of Registrable Securities owned by all Major Investors at the time of such proposed transfer.</w:t>
      </w:r>
    </w:p>
    <w:p>
      <w:pPr>
        <w:spacing w:after="0" w:line="189" w:lineRule="exact"/>
        <w:rPr>
          <w:rFonts w:ascii="Arial" w:cs="Arial" w:eastAsia="Arial" w:hAnsi="Arial"/>
          <w:sz w:val="18"/>
          <w:szCs w:val="18"/>
          <w:b w:val="1"/>
          <w:bCs w:val="1"/>
          <w:color w:val="auto"/>
        </w:rPr>
      </w:pPr>
    </w:p>
    <w:p>
      <w:pPr>
        <w:ind w:right="320" w:firstLine="921"/>
        <w:spacing w:after="0" w:line="257" w:lineRule="auto"/>
        <w:tabs>
          <w:tab w:leader="none" w:pos="1178"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that not all of the Major Investors elect to purchase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capital stock proposed to be transferred, each such Major Investor that does initially elect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shall also have the right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unsubscribed shares. For purposes of this Section 3.8(b), the denominator described in clause (ii) of subsection 3.8(a) above shall be the total number of shares of Registrable Securities owned by all such Major Investors who do initially elect to purchase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capital stock proposed to be transferred.</w:t>
      </w:r>
    </w:p>
    <w:p>
      <w:pPr>
        <w:spacing w:after="0" w:line="188" w:lineRule="exact"/>
        <w:rPr>
          <w:rFonts w:ascii="Arial" w:cs="Arial" w:eastAsia="Arial" w:hAnsi="Arial"/>
          <w:sz w:val="18"/>
          <w:szCs w:val="18"/>
          <w:b w:val="1"/>
          <w:bCs w:val="1"/>
          <w:color w:val="auto"/>
        </w:rPr>
      </w:pPr>
    </w:p>
    <w:p>
      <w:pPr>
        <w:ind w:right="80" w:firstLine="921"/>
        <w:spacing w:after="0" w:line="264" w:lineRule="auto"/>
        <w:tabs>
          <w:tab w:leader="none" w:pos="1158"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The provisions of this Section 3.8 shall not apply to any transfer of stock by a stockholder of the Company that is governed by the provisions of that certain Amended and Restated Right of First Refusal and Co-Sale Agreement of even date herewith, as the same may be amended from time to time, where the provisions of such agreement would be in conflict with the provisions of this Section 3.8.</w:t>
      </w:r>
    </w:p>
    <w:p>
      <w:pPr>
        <w:spacing w:after="0" w:line="177"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 xml:space="preserve">3.9 Directors’ Liability and Indemnification. </w:t>
      </w:r>
      <w:r>
        <w:rPr>
          <w:rFonts w:ascii="Arial" w:cs="Arial" w:eastAsia="Arial" w:hAnsi="Arial"/>
          <w:sz w:val="17"/>
          <w:szCs w:val="17"/>
          <w:color w:val="auto"/>
        </w:rPr>
        <w:t>The Restated Charter and the Company’s Bylaws shall provide (a) for elimination of the liability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to the maximum extent permitted by law and (b) for indemnification of directors for acts on behalf of the Company to the maximum extent permitted by law. In addition, the Company shall enter into and use its best efforts to at all times maintain indemnification agreements reasonably acceptable to Investors with each of its directors to indemnify such directors to the maximum extent permissible under applicable law.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310" w:name="page311"/>
    <w:bookmarkEnd w:id="310"/>
    <w:p>
      <w:pPr>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3.10 Qualified Small Business. </w:t>
      </w:r>
      <w:r>
        <w:rPr>
          <w:rFonts w:ascii="Arial" w:cs="Arial" w:eastAsia="Arial" w:hAnsi="Arial"/>
          <w:sz w:val="18"/>
          <w:szCs w:val="18"/>
          <w:color w:val="auto"/>
        </w:rPr>
        <w:t>For so long as any of the Shares are held by an Investor (or a transferee in whose hands such Shares are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qualify as “Qualified Small Business Stock” as defined in Section 1202(c)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Company will use its reasonable efforts to comply with the reporting and recordkeeping requirements of Section 1202 of the Code, any regulations promulgated thereunder and any similar state laws and regulations.</w:t>
      </w:r>
    </w:p>
    <w:p>
      <w:pPr>
        <w:spacing w:after="0" w:line="180"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 xml:space="preserve">3.11 Directors’ Expenses. </w:t>
      </w:r>
      <w:r>
        <w:rPr>
          <w:rFonts w:ascii="Arial" w:cs="Arial" w:eastAsia="Arial" w:hAnsi="Arial"/>
          <w:sz w:val="16"/>
          <w:szCs w:val="16"/>
          <w:color w:val="auto"/>
        </w:rPr>
        <w:t>The Company shall reimburse members of the Board for reasonable out of pocket expenses (i) associated with Board or</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meeting attendance and (ii) for conducting other pre-approved Company business in such person’s capacity as a director of the Company.</w:t>
      </w:r>
    </w:p>
    <w:p>
      <w:pPr>
        <w:spacing w:after="0" w:line="116" w:lineRule="exact"/>
        <w:rPr>
          <w:sz w:val="20"/>
          <w:szCs w:val="20"/>
          <w:color w:val="auto"/>
        </w:rPr>
      </w:pPr>
    </w:p>
    <w:p>
      <w:pPr>
        <w:ind w:right="260" w:firstLine="456"/>
        <w:spacing w:after="0" w:line="289" w:lineRule="auto"/>
        <w:rPr>
          <w:sz w:val="20"/>
          <w:szCs w:val="20"/>
          <w:color w:val="auto"/>
        </w:rPr>
      </w:pPr>
      <w:r>
        <w:rPr>
          <w:rFonts w:ascii="Arial" w:cs="Arial" w:eastAsia="Arial" w:hAnsi="Arial"/>
          <w:sz w:val="17"/>
          <w:szCs w:val="17"/>
          <w:b w:val="1"/>
          <w:bCs w:val="1"/>
          <w:color w:val="auto"/>
        </w:rPr>
        <w:t xml:space="preserve">3.12 Board Committee Membership; Establishment of Compensation Committee. </w:t>
      </w:r>
      <w:r>
        <w:rPr>
          <w:rFonts w:ascii="Arial" w:cs="Arial" w:eastAsia="Arial" w:hAnsi="Arial"/>
          <w:sz w:val="17"/>
          <w:szCs w:val="17"/>
          <w:color w:val="auto"/>
        </w:rPr>
        <w:t>The member of the Board designated by Novo A/S (“</w:t>
      </w:r>
      <w:r>
        <w:rPr>
          <w:rFonts w:ascii="Arial" w:cs="Arial" w:eastAsia="Arial" w:hAnsi="Arial"/>
          <w:sz w:val="17"/>
          <w:szCs w:val="17"/>
          <w:b w:val="1"/>
          <w:bCs w:val="1"/>
          <w:i w:val="1"/>
          <w:iCs w:val="1"/>
          <w:color w:val="auto"/>
        </w:rPr>
        <w:t>Novo</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that certain Fourth Amended and Restated Voting Agreement of even date herewith, as the same may be amended from time to time, shall be offered the right to join any existing Board committee or any committee that the Board may constitute at any time in the future.</w:t>
      </w:r>
    </w:p>
    <w:p>
      <w:pPr>
        <w:spacing w:after="0" w:line="15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3.13 Drag Along Liability Limitation. </w:t>
      </w:r>
      <w:r>
        <w:rPr>
          <w:rFonts w:ascii="Arial" w:cs="Arial" w:eastAsia="Arial" w:hAnsi="Arial"/>
          <w:sz w:val="17"/>
          <w:szCs w:val="17"/>
          <w:color w:val="auto"/>
        </w:rPr>
        <w:t>In no event shall the Company enter into any agreement, nor permit any agreement to which the Company is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be amended in any manner, pursuant to which Novo, Frazier Healthcare V, L.P. (“</w:t>
      </w:r>
      <w:r>
        <w:rPr>
          <w:rFonts w:ascii="Arial" w:cs="Arial" w:eastAsia="Arial" w:hAnsi="Arial"/>
          <w:sz w:val="17"/>
          <w:szCs w:val="17"/>
          <w:b w:val="1"/>
          <w:bCs w:val="1"/>
          <w:i w:val="1"/>
          <w:iCs w:val="1"/>
          <w:color w:val="auto"/>
        </w:rPr>
        <w:t>Frazier</w:t>
      </w:r>
      <w:r>
        <w:rPr>
          <w:rFonts w:ascii="Arial" w:cs="Arial" w:eastAsia="Arial" w:hAnsi="Arial"/>
          <w:sz w:val="17"/>
          <w:szCs w:val="17"/>
          <w:color w:val="auto"/>
        </w:rPr>
        <w:t>”) or Alloy Ventures (“</w:t>
      </w:r>
      <w:r>
        <w:rPr>
          <w:rFonts w:ascii="Arial" w:cs="Arial" w:eastAsia="Arial" w:hAnsi="Arial"/>
          <w:sz w:val="17"/>
          <w:szCs w:val="17"/>
          <w:b w:val="1"/>
          <w:bCs w:val="1"/>
          <w:i w:val="1"/>
          <w:iCs w:val="1"/>
          <w:color w:val="auto"/>
        </w:rPr>
        <w:t>Alloy</w:t>
      </w:r>
      <w:r>
        <w:rPr>
          <w:rFonts w:ascii="Arial" w:cs="Arial" w:eastAsia="Arial" w:hAnsi="Arial"/>
          <w:sz w:val="17"/>
          <w:szCs w:val="17"/>
          <w:color w:val="auto"/>
        </w:rPr>
        <w:t xml:space="preserve">”) would be compelled to transfer its ownership interest in the Company (whether directly or indirectly by way of merger or otherwise) to any acquirer thereof, unless such agreement expressly provides (and requires to be binding on Novo, Frazier and Alloy) that in no event will any Investor be required to agree to sell, transfer, convey (whether by merger, operation of law or otherwise) its ownership interest in the Company unless the liability of stockholders for indemnification in connection with such transaction, if any, of such Investor in such sale of the Company is several, not joint, is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such Investor’s relative stock ownership of the Company, and will not exceed the consideration paid to such Investor, if any, in such transaction (except in the case of potential liability for fraud or willful misconduct by such Investor).</w:t>
      </w:r>
    </w:p>
    <w:p>
      <w:pPr>
        <w:spacing w:after="0" w:line="172"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3.14 Initial Offering. </w:t>
      </w:r>
      <w:r>
        <w:rPr>
          <w:rFonts w:ascii="Arial" w:cs="Arial" w:eastAsia="Arial" w:hAnsi="Arial"/>
          <w:sz w:val="18"/>
          <w:szCs w:val="18"/>
          <w:color w:val="auto"/>
        </w:rPr>
        <w:t>Unless otherwise determined by the Investors holding a majority of the outstanding shares of Series D Preferred,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Closing (as defined in the Purchase Agreement) the Company shall use its best efforts to consummate an Initial Offering that constitutes a Qualified IPO;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Section 3.14 shall only apply to the extent such Initial Offering is approved by the Board and determined to be in the best interests of the Company and the stockholders of the Company.</w:t>
      </w:r>
    </w:p>
    <w:p>
      <w:pPr>
        <w:spacing w:after="0" w:line="180"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 xml:space="preserve">3.15 FCPA. </w:t>
      </w:r>
      <w:r>
        <w:rPr>
          <w:rFonts w:ascii="Arial" w:cs="Arial" w:eastAsia="Arial" w:hAnsi="Arial"/>
          <w:sz w:val="17"/>
          <w:szCs w:val="17"/>
          <w:color w:val="auto"/>
        </w:rPr>
        <w:t>The Company represents that it shall not (and shall not permit any of its subsidiaries or affiliates or any of its or their respective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represents that it shall (and shall cause each of its subsidiaries and affiliates to) cease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69" w:right="259" w:bottom="1440" w:gutter="0" w:footer="0" w:header="0"/>
        </w:sectPr>
      </w:pPr>
    </w:p>
    <w:bookmarkStart w:id="311" w:name="page312"/>
    <w:bookmarkEnd w:id="31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allegation, voluntary disclosure, investigation, prosecution or other enforcement action related to the FCPA or any other anti-corruption law.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7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 xml:space="preserve">3.16 Observation Rights. </w:t>
      </w:r>
      <w:r>
        <w:rPr>
          <w:rFonts w:ascii="Arial" w:cs="Arial" w:eastAsia="Arial" w:hAnsi="Arial"/>
          <w:sz w:val="17"/>
          <w:szCs w:val="17"/>
          <w:color w:val="auto"/>
        </w:rPr>
        <w:t>In the event that any of Alloy, Frazier or Novo is a Major Investor but does not have a representative on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shall allow one representative designated by such Major Investor to attend all meetings of the Board and meetings of committees of the Board in a nonvoting capacity, and in connection therewith, the Company shall give such representatives copies of all notices, minutes, consents and other materials, financial or otherwise, which the Company provides to the Board or committee at the same time it provides such materials to the Board or committee,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reserves the right to exclude such representative from access to any material or meeting or portion thereof if the Company believes upon advice of counsel that such exclusion is reasonably necessary to preserve the attorney-client privilege or to protect confidential proprietary information. Each Major Investor agrees, and any representatives of such Major Investor will agree, to hold in confidence and trust and not use or disclose any confidential information provided to or learned by it in connection with the rights set forth in this Section 3.16. The Company shall not be responsible for reimbursement of any expenses incurred by such representatives in connection with attending meetings of the Board or committees of the Board.</w:t>
      </w:r>
    </w:p>
    <w:p>
      <w:pPr>
        <w:spacing w:after="0" w:line="17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3.17 Pay to Play Provisions</w:t>
      </w:r>
      <w:r>
        <w:rPr>
          <w:rFonts w:ascii="Arial" w:cs="Arial" w:eastAsia="Arial" w:hAnsi="Arial"/>
          <w:sz w:val="18"/>
          <w:szCs w:val="18"/>
          <w:color w:val="auto"/>
        </w:rPr>
        <w:t>. The Company hereby covenants and agrees that the holders of Series D Preferred will not be subject to any pay-to-play or</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obligations or provisions with respect to their shares of Series D Preferred.</w:t>
      </w:r>
    </w:p>
    <w:p>
      <w:pPr>
        <w:spacing w:after="0" w:line="162"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3.18 Right to Conduct Activities</w:t>
      </w:r>
      <w:r>
        <w:rPr>
          <w:rFonts w:ascii="Arial" w:cs="Arial" w:eastAsia="Arial" w:hAnsi="Arial"/>
          <w:sz w:val="17"/>
          <w:szCs w:val="17"/>
          <w:color w:val="auto"/>
        </w:rPr>
        <w:t>. The Company hereby agrees and acknowledges that each of Alloy, Frazier and Novo is a professional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fund, and as such invests in numerous portfolio companies, some of which may be deemed competitive with the Company’s business (as currently conducted or as currently proposed to be conducted). The Company hereby agrees that, to the extent permitted under applicable law, neither Alloy, nor Frazier nor Novo shall be liable to the Company for any claim arising out of, or based upon, (a) the investment by Alloy, Frazier or Novo, respectively, in any entity competitive with the Company, or (b) actions taken by any partner, officer or other representative of Alloy, Frazier or Novo, as applicable, to assist any such competitive company, whether or not such action was taken as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12" w:name="page313"/>
    <w:bookmarkEnd w:id="31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 of the board of directors of such competitive company or otherwise, and whether or not such action has a detrimental effect on the Company; provided, however that the foregoing shall not relieve (x) Alloy, Frazier or Novo or any party from liability associated with the willful misuse of the Company’s confidential information obtained pursuant to Section 3, or (ii) any director or officer of the Company from any liability associated with his or her fiduciary duties to the Company.</w:t>
      </w:r>
    </w:p>
    <w:p>
      <w:pPr>
        <w:spacing w:after="0" w:line="183"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3.19 Termination of Covenants. </w:t>
      </w:r>
      <w:r>
        <w:rPr>
          <w:rFonts w:ascii="Arial" w:cs="Arial" w:eastAsia="Arial" w:hAnsi="Arial"/>
          <w:sz w:val="18"/>
          <w:szCs w:val="18"/>
          <w:color w:val="auto"/>
        </w:rPr>
        <w:t>All covenants of the Company contained in Section 3 of this Agreement (other than the provisions of Sections 3.3,</w:t>
      </w:r>
      <w:r>
        <w:rPr>
          <w:rFonts w:ascii="Arial" w:cs="Arial" w:eastAsia="Arial" w:hAnsi="Arial"/>
          <w:sz w:val="18"/>
          <w:szCs w:val="18"/>
          <w:b w:val="1"/>
          <w:bCs w:val="1"/>
          <w:color w:val="auto"/>
        </w:rPr>
        <w:t xml:space="preserve"> </w:t>
      </w:r>
      <w:r>
        <w:rPr>
          <w:rFonts w:ascii="Arial" w:cs="Arial" w:eastAsia="Arial" w:hAnsi="Arial"/>
          <w:sz w:val="18"/>
          <w:szCs w:val="18"/>
          <w:color w:val="auto"/>
        </w:rPr>
        <w:t>3.6, 3.9, 3.11, 3.13, 3.15 and 3.18) shall expire and terminate as to each Investor upon the earlier of the closing of (i) a Qualified IPO or (ii) an Asset Transfer or Acquisition (each as defined in the Restated Charter).</w:t>
      </w:r>
    </w:p>
    <w:p>
      <w:pPr>
        <w:spacing w:after="0" w:line="3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RIGHTS OF FIRST REFUSAL.</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4.1 Subsequent Offerings. </w:t>
      </w:r>
      <w:r>
        <w:rPr>
          <w:rFonts w:ascii="Arial" w:cs="Arial" w:eastAsia="Arial" w:hAnsi="Arial"/>
          <w:sz w:val="16"/>
          <w:szCs w:val="16"/>
          <w:color w:val="auto"/>
        </w:rPr>
        <w:t>Subject to applicable securities laws, each Major Investor shall have a right of first refusal to purchase its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Equity Securities, as defined below, that the Company may, from time to time, propose to sell and issue after the date of this Agreement, other than the Equity Securities excluded by Section 4.7 hereof. Each Major Investor’s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is equal to the ratio of (a) the number of shares of the Company’s Common Stock (including all shares of Common Stock issuable or issued upon conversion of the Shares or upon the exercise of outstanding warrants or options) of which such Major Investor is deemed to be a holder immediately prior to the issuance of such Equity Securities to (b) the total number of shares of the Company’s outstanding Common Stock (including all shares of Common Stock issued or issuable upon conversion of the Shares or upon the exercise of any outstanding warrants or options) immediately prior to the issuance of the Equity Securities. The term “</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shall mean (i) any Common Stock, Preferred Stock or other security of the Company, (ii) any security convertible into or exercisable or exchangeable for, with or without consideration, any Common Stock, Preferred Stock or other security (including any option to purchase such a convertible security), (iii) any security carrying any warrant or right to subscribe to or purchase any Common Stock, Preferred Stock or other security or (iv) any such warrant or right.</w:t>
      </w:r>
    </w:p>
    <w:p>
      <w:pPr>
        <w:spacing w:after="0" w:line="16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4.2 Exercise of Rights. </w:t>
      </w:r>
      <w:r>
        <w:rPr>
          <w:rFonts w:ascii="Arial" w:cs="Arial" w:eastAsia="Arial" w:hAnsi="Arial"/>
          <w:sz w:val="18"/>
          <w:szCs w:val="18"/>
          <w:color w:val="auto"/>
        </w:rPr>
        <w:t>If the Company proposes to issue any Equity Securities, it shall give each Major Investor written notice of its intention,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describing the Equity Securities, the price and the terms and conditions upon which the Company proposes to issue the same. Each Major Investor shall have 15 days from the giving of such notice to agree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88"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4.3 Issuance of Equity Securities to Other Persons. </w:t>
      </w:r>
      <w:r>
        <w:rPr>
          <w:rFonts w:ascii="Arial" w:cs="Arial" w:eastAsia="Arial" w:hAnsi="Arial"/>
          <w:sz w:val="16"/>
          <w:szCs w:val="16"/>
          <w:color w:val="auto"/>
        </w:rPr>
        <w:t>If not all of the Major Investors elect to purchase their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Equity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then the Company shall promptly notify in writing the Major Investors who do so elect and shall offer such Major Investors the right to acquire such unsubscribed shares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Major Investors shall have five days after receipt of such notice to notify the Company of its election to purchase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13" w:name="page314"/>
    <w:bookmarkEnd w:id="31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or a portion thereof of the unsubscribed shares. The Company shall have 90 days thereafter to sell the Equity Securities in respect of which the Major Investor’s rights were not exercised, at a price and upon general terms and conditions not materially more favorable to the purchasers thereof than specified in the Company’s notice to the Major Investors pursuant to Section 4.2 hereof. If the Company has not sold such Equity Securities within 90 days of the notice provided pursuant to Section 4.2, the Company shall not thereafter issue or sell any Equity Securities, without first offering such securities to the Major Investors in the manner provided above.</w:t>
      </w:r>
    </w:p>
    <w:p>
      <w:pPr>
        <w:spacing w:after="0" w:line="18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4.4 Sale Without Notice. </w:t>
      </w:r>
      <w:r>
        <w:rPr>
          <w:rFonts w:ascii="Arial" w:cs="Arial" w:eastAsia="Arial" w:hAnsi="Arial"/>
          <w:sz w:val="17"/>
          <w:szCs w:val="17"/>
          <w:color w:val="auto"/>
        </w:rPr>
        <w:t>In lieu of giving notice to the Major Investors prior to the issuance of Equity Securities as provided in Section 4.2,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may elect to give notice to the Major Investors within 30 days after the issuance of Equity Securities. Such notice shall describe the type, price and terms of the Equity Securities, which shall be the same as were offered in the prior issuance of Equity Securities in respect of which the notice if being given. Each Major Investor shall have 20 days from the date of receipt of such notice to elect to purchase up to the number of shares that would, if purchased by such Major Investor, maintain such Major Investor’s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(as set forth in Section 4.1) of the Company’s equity securities after giving effect to all such purchases. The closing of such sale shall occur within 60 days of the date of notice to the Major Investors, subject to extension in the event that the Company is unable or unwilling to proceed with such sale.</w:t>
      </w:r>
    </w:p>
    <w:p>
      <w:pPr>
        <w:spacing w:after="0" w:line="17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4.5 Termination and Waiver of Rights of First Refusal. </w:t>
      </w:r>
      <w:r>
        <w:rPr>
          <w:rFonts w:ascii="Arial" w:cs="Arial" w:eastAsia="Arial" w:hAnsi="Arial"/>
          <w:sz w:val="18"/>
          <w:szCs w:val="18"/>
          <w:color w:val="auto"/>
        </w:rPr>
        <w:t>The rights of first refusal established by this Section 4 shall not apply to, and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earlier of the closing of (i) a Qualified IPO or (ii) an Asset Sale or Acquisition. Notwithstanding Section 5.5 hereof, the rights of first refusal established by this Section 4 may be amended, or any provision waived with and only with the written consent of the Company and the Major Investors holding a majority of the Registrable Securities held by all Major Investors, or as permitted by Section 5.5.</w:t>
      </w:r>
    </w:p>
    <w:p>
      <w:pPr>
        <w:spacing w:after="0" w:line="180"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4.6 Assignment of Rights of First Refusal. </w:t>
      </w:r>
      <w:r>
        <w:rPr>
          <w:rFonts w:ascii="Arial" w:cs="Arial" w:eastAsia="Arial" w:hAnsi="Arial"/>
          <w:sz w:val="18"/>
          <w:szCs w:val="18"/>
          <w:color w:val="auto"/>
        </w:rPr>
        <w:t>The rights of first refusal of each Major Investor under this Section 4 may be assigned to the same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same restrictions as any transfer of registration rights pursuant to Section 2.9.</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4.7 Excluded Securities. </w:t>
      </w:r>
      <w:r>
        <w:rPr>
          <w:rFonts w:ascii="Arial" w:cs="Arial" w:eastAsia="Arial" w:hAnsi="Arial"/>
          <w:sz w:val="16"/>
          <w:szCs w:val="16"/>
          <w:color w:val="auto"/>
        </w:rPr>
        <w:t>The rights of first refusal established by this Section 4 shall have no application to any of the following Equity Securities:</w:t>
      </w:r>
    </w:p>
    <w:p>
      <w:pPr>
        <w:spacing w:after="0" w:line="252" w:lineRule="exact"/>
        <w:rPr>
          <w:sz w:val="20"/>
          <w:szCs w:val="20"/>
          <w:color w:val="auto"/>
        </w:rPr>
      </w:pPr>
    </w:p>
    <w:p>
      <w:pPr>
        <w:ind w:left="1180" w:hanging="259"/>
        <w:spacing w:after="0"/>
        <w:tabs>
          <w:tab w:leader="none" w:pos="11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Preferred Stock;</w:t>
      </w:r>
    </w:p>
    <w:p>
      <w:pPr>
        <w:spacing w:after="0" w:line="225" w:lineRule="exact"/>
        <w:rPr>
          <w:rFonts w:ascii="Arial" w:cs="Arial" w:eastAsia="Arial" w:hAnsi="Arial"/>
          <w:sz w:val="18"/>
          <w:szCs w:val="18"/>
          <w:b w:val="1"/>
          <w:bCs w:val="1"/>
          <w:color w:val="auto"/>
        </w:rPr>
      </w:pPr>
    </w:p>
    <w:p>
      <w:pPr>
        <w:ind w:right="140" w:firstLine="921"/>
        <w:spacing w:after="0" w:line="259" w:lineRule="auto"/>
        <w:tabs>
          <w:tab w:leader="none" w:pos="1178"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shares of Common Stock and/or options, warrants or other Common Stock purchase rights and the Common Stock issued pursuant to such options, warrants or other rights (as adjusted for any stock dividends, combinations, splits, recapitalizations and the like after the date hereof) issued or to be issued after the date hereof to employees, officers or directors of, or consultants or advisors to the Company or any subsidiary pursuant to stock purchase or stock option plans or other arrangements that are approved by the Board;</w:t>
      </w:r>
    </w:p>
    <w:p>
      <w:pPr>
        <w:spacing w:after="0" w:line="186" w:lineRule="exact"/>
        <w:rPr>
          <w:rFonts w:ascii="Arial" w:cs="Arial" w:eastAsia="Arial" w:hAnsi="Arial"/>
          <w:sz w:val="18"/>
          <w:szCs w:val="18"/>
          <w:b w:val="1"/>
          <w:bCs w:val="1"/>
          <w:color w:val="auto"/>
        </w:rPr>
      </w:pPr>
    </w:p>
    <w:p>
      <w:pPr>
        <w:ind w:right="60" w:firstLine="921"/>
        <w:spacing w:after="0" w:line="264" w:lineRule="auto"/>
        <w:tabs>
          <w:tab w:leader="none" w:pos="1158"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any Equity Securities issued or issuable pursuant to any rights or agreements, options, warrants or convertible securities outstanding as of the date of this Agreement; and Equity Securities issued pursuant to any such rights or agreements granted after the date of this Agreement, so long as the rights of first refusal established by this Section 4 were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14" w:name="page315"/>
    <w:bookmarkEnd w:id="314"/>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complied with, waived or were inapplicable pursuant to any provision of this Section 4.7 with respect to the initial sale or grant by the Company of such rights or agreements;</w:t>
      </w:r>
    </w:p>
    <w:p>
      <w:pPr>
        <w:spacing w:after="0" w:line="170" w:lineRule="exact"/>
        <w:rPr>
          <w:sz w:val="20"/>
          <w:szCs w:val="20"/>
          <w:color w:val="auto"/>
        </w:rPr>
      </w:pPr>
    </w:p>
    <w:p>
      <w:pPr>
        <w:ind w:right="260" w:firstLine="921"/>
        <w:spacing w:after="0" w:line="277" w:lineRule="auto"/>
        <w:tabs>
          <w:tab w:leader="none" w:pos="1178"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any Equity Securities issued for consideration other than cash pursuant to a merger, consolidation, acquisition, strategic alliance or similar business combination approved by the Board;</w:t>
      </w:r>
    </w:p>
    <w:p>
      <w:pPr>
        <w:spacing w:after="0" w:line="170"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any stock split, stock dividend or recapitalization by the Company;</w:t>
      </w:r>
    </w:p>
    <w:p>
      <w:pPr>
        <w:spacing w:after="0" w:line="225" w:lineRule="exact"/>
        <w:rPr>
          <w:rFonts w:ascii="Arial" w:cs="Arial" w:eastAsia="Arial" w:hAnsi="Arial"/>
          <w:sz w:val="18"/>
          <w:szCs w:val="18"/>
          <w:b w:val="1"/>
          <w:bCs w:val="1"/>
          <w:color w:val="auto"/>
        </w:rPr>
      </w:pPr>
    </w:p>
    <w:p>
      <w:pPr>
        <w:ind w:firstLine="921"/>
        <w:spacing w:after="0" w:line="277" w:lineRule="auto"/>
        <w:tabs>
          <w:tab w:leader="none" w:pos="1138"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any equipment loan or leasing arrangement, real property leasing arrangement or debt financing from a bank or similar financial or lending institution approved by the Board;</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1"/>
          <w:numId w:val="265"/>
        </w:numPr>
        <w:rPr>
          <w:rFonts w:ascii="Arial" w:cs="Arial" w:eastAsia="Arial" w:hAnsi="Arial"/>
          <w:sz w:val="16"/>
          <w:szCs w:val="16"/>
          <w:b w:val="1"/>
          <w:bCs w:val="1"/>
          <w:color w:val="auto"/>
        </w:rPr>
      </w:pPr>
      <w:r>
        <w:rPr>
          <w:rFonts w:ascii="Arial" w:cs="Arial" w:eastAsia="Arial" w:hAnsi="Arial"/>
          <w:sz w:val="16"/>
          <w:szCs w:val="16"/>
          <w:color w:val="auto"/>
        </w:rPr>
        <w:t>any Equity Securities issued to third-party service providers in exchange for or as partial consideration for services rendered to the Company;</w:t>
      </w:r>
    </w:p>
    <w:p>
      <w:pPr>
        <w:spacing w:after="0" w:line="248" w:lineRule="exact"/>
        <w:rPr>
          <w:rFonts w:ascii="Arial" w:cs="Arial" w:eastAsia="Arial" w:hAnsi="Arial"/>
          <w:sz w:val="16"/>
          <w:szCs w:val="16"/>
          <w:b w:val="1"/>
          <w:bCs w:val="1"/>
          <w:color w:val="auto"/>
        </w:rPr>
      </w:pPr>
    </w:p>
    <w:p>
      <w:pPr>
        <w:ind w:left="1180" w:hanging="259"/>
        <w:spacing w:after="0"/>
        <w:tabs>
          <w:tab w:leader="none" w:pos="1180"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the Initial Offering;</w:t>
      </w:r>
    </w:p>
    <w:p>
      <w:pPr>
        <w:spacing w:after="0" w:line="225" w:lineRule="exact"/>
        <w:rPr>
          <w:rFonts w:ascii="Arial" w:cs="Arial" w:eastAsia="Arial" w:hAnsi="Arial"/>
          <w:sz w:val="18"/>
          <w:szCs w:val="18"/>
          <w:b w:val="1"/>
          <w:bCs w:val="1"/>
          <w:color w:val="auto"/>
        </w:rPr>
      </w:pPr>
    </w:p>
    <w:p>
      <w:pPr>
        <w:ind w:left="1140" w:hanging="219"/>
        <w:spacing w:after="0"/>
        <w:tabs>
          <w:tab w:leader="none" w:pos="1140" w:val="left"/>
        </w:tabs>
        <w:numPr>
          <w:ilvl w:val="1"/>
          <w:numId w:val="265"/>
        </w:numPr>
        <w:rPr>
          <w:rFonts w:ascii="Arial" w:cs="Arial" w:eastAsia="Arial" w:hAnsi="Arial"/>
          <w:sz w:val="16"/>
          <w:szCs w:val="16"/>
          <w:b w:val="1"/>
          <w:bCs w:val="1"/>
          <w:color w:val="auto"/>
        </w:rPr>
      </w:pPr>
      <w:r>
        <w:rPr>
          <w:rFonts w:ascii="Arial" w:cs="Arial" w:eastAsia="Arial" w:hAnsi="Arial"/>
          <w:sz w:val="16"/>
          <w:szCs w:val="16"/>
          <w:color w:val="auto"/>
        </w:rPr>
        <w:t>any Equity Securities issued in connection with strategic transactions involving the Company and other entities, including, without limitation,</w:t>
      </w:r>
    </w:p>
    <w:p>
      <w:pPr>
        <w:spacing w:after="0" w:line="46" w:lineRule="exact"/>
        <w:rPr>
          <w:rFonts w:ascii="Arial" w:cs="Arial" w:eastAsia="Arial" w:hAnsi="Arial"/>
          <w:sz w:val="16"/>
          <w:szCs w:val="16"/>
          <w:b w:val="1"/>
          <w:bCs w:val="1"/>
          <w:color w:val="auto"/>
        </w:rPr>
      </w:pPr>
    </w:p>
    <w:p>
      <w:pPr>
        <w:ind w:right="80" w:firstLine="8"/>
        <w:spacing w:after="0" w:line="261" w:lineRule="auto"/>
        <w:tabs>
          <w:tab w:leader="none" w:pos="21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joint ventures, manufacturing, marketing or distribution arrangements or (ii) technology transfer or development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issuance of shares therein has been approved by the Board;</w:t>
      </w:r>
    </w:p>
    <w:p>
      <w:pPr>
        <w:spacing w:after="0" w:line="183" w:lineRule="exact"/>
        <w:rPr>
          <w:rFonts w:ascii="Arial" w:cs="Arial" w:eastAsia="Arial" w:hAnsi="Arial"/>
          <w:sz w:val="18"/>
          <w:szCs w:val="18"/>
          <w:color w:val="auto"/>
        </w:rPr>
      </w:pPr>
    </w:p>
    <w:p>
      <w:pPr>
        <w:ind w:left="1140" w:hanging="219"/>
        <w:spacing w:after="0"/>
        <w:tabs>
          <w:tab w:leader="none" w:pos="1140"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the Purchase Agreement; or</w:t>
      </w:r>
    </w:p>
    <w:p>
      <w:pPr>
        <w:spacing w:after="0" w:line="225" w:lineRule="exact"/>
        <w:rPr>
          <w:rFonts w:ascii="Arial" w:cs="Arial" w:eastAsia="Arial" w:hAnsi="Arial"/>
          <w:sz w:val="18"/>
          <w:szCs w:val="18"/>
          <w:b w:val="1"/>
          <w:bCs w:val="1"/>
          <w:color w:val="auto"/>
        </w:rPr>
      </w:pPr>
    </w:p>
    <w:p>
      <w:pPr>
        <w:ind w:right="320" w:firstLine="921"/>
        <w:spacing w:after="0" w:line="277" w:lineRule="auto"/>
        <w:tabs>
          <w:tab w:leader="none" w:pos="1178"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any Equity Securities that the holders of at least a majority of the then-outstanding Registrable Securities agree shall not be subject to the rights of first refusal set forth in this Section 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total number of shares excluded from the rights of first refusal established by this Section 4 pursuant to subsections (d), (f),</w:t>
      </w:r>
    </w:p>
    <w:p>
      <w:pPr>
        <w:spacing w:after="0" w:line="35" w:lineRule="exact"/>
        <w:rPr>
          <w:sz w:val="20"/>
          <w:szCs w:val="20"/>
          <w:color w:val="auto"/>
        </w:rPr>
      </w:pPr>
    </w:p>
    <w:p>
      <w:pPr>
        <w:ind w:right="200" w:firstLine="8"/>
        <w:spacing w:after="0" w:line="261" w:lineRule="auto"/>
        <w:tabs>
          <w:tab w:leader="none" w:pos="2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and (i) above shall not exceed 3,000,000 shares in the aggregate (as adjusted for any stock dividends, combinations, splits, recapitalizations and the like after the date hereof).</w:t>
      </w:r>
    </w:p>
    <w:p>
      <w:pPr>
        <w:spacing w:after="0" w:line="32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5.1 Governing Law. </w:t>
      </w:r>
      <w:r>
        <w:rPr>
          <w:rFonts w:ascii="Arial" w:cs="Arial" w:eastAsia="Arial" w:hAnsi="Arial"/>
          <w:sz w:val="18"/>
          <w:szCs w:val="18"/>
          <w:color w:val="auto"/>
        </w:rPr>
        <w:t>This Agreement shall be governed by and construed under the laws of the State of California in all respects as such laws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agreements among California residents entered into and to be performed entirely within California, without reference to conflicts of laws or principles thereof.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state or federal court located in the County of San Diego, California.</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3" w:right="279" w:bottom="1440" w:gutter="0" w:footer="0" w:header="0"/>
        </w:sectPr>
      </w:pPr>
    </w:p>
    <w:bookmarkStart w:id="315" w:name="page316"/>
    <w:bookmarkEnd w:id="315"/>
    <w:p>
      <w:pPr>
        <w:ind w:right="8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Successors and Assigns. </w:t>
      </w:r>
      <w:r>
        <w:rPr>
          <w:rFonts w:ascii="Arial" w:cs="Arial" w:eastAsia="Arial" w:hAnsi="Arial"/>
          <w:sz w:val="18"/>
          <w:szCs w:val="18"/>
          <w:color w:val="auto"/>
        </w:rPr>
        <w:t>Except as otherwise expressly provided herein, the provisions hereof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88" w:lineRule="exact"/>
        <w:rPr>
          <w:sz w:val="20"/>
          <w:szCs w:val="20"/>
          <w:color w:val="auto"/>
        </w:rPr>
      </w:pPr>
    </w:p>
    <w:p>
      <w:pPr>
        <w:ind w:right="400" w:firstLine="456"/>
        <w:spacing w:after="0" w:line="313" w:lineRule="auto"/>
        <w:rPr>
          <w:sz w:val="20"/>
          <w:szCs w:val="20"/>
          <w:color w:val="auto"/>
        </w:rPr>
      </w:pPr>
      <w:r>
        <w:rPr>
          <w:rFonts w:ascii="Arial" w:cs="Arial" w:eastAsia="Arial" w:hAnsi="Arial"/>
          <w:sz w:val="17"/>
          <w:szCs w:val="17"/>
          <w:b w:val="1"/>
          <w:bCs w:val="1"/>
          <w:color w:val="auto"/>
        </w:rPr>
        <w:t xml:space="preserve">5.3 Entire Agreement. </w:t>
      </w:r>
      <w:r>
        <w:rPr>
          <w:rFonts w:ascii="Arial" w:cs="Arial" w:eastAsia="Arial" w:hAnsi="Arial"/>
          <w:sz w:val="17"/>
          <w:szCs w:val="17"/>
          <w:color w:val="auto"/>
        </w:rPr>
        <w:t>This Agreement, the Exhibits and Schedules hereto, the Purchase Agreement and the other documents delivered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constitute the full and entire understanding and agreement between the parties with regard to the subjects hereof.</w:t>
      </w:r>
    </w:p>
    <w:p>
      <w:pPr>
        <w:spacing w:after="0" w:line="138"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 xml:space="preserve">5.4 Severability. </w:t>
      </w:r>
      <w:r>
        <w:rPr>
          <w:rFonts w:ascii="Arial" w:cs="Arial" w:eastAsia="Arial" w:hAnsi="Arial"/>
          <w:sz w:val="18"/>
          <w:szCs w:val="18"/>
          <w:color w:val="auto"/>
        </w:rPr>
        <w:t>In the event one or more of the provisions of this Agreement should, for any reason, be held to be invalid, illegal or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respect, such invalidity, illegality, or unenforceability shall not affect any other provisions of this Agreement, and this Agreement shall be construed as if such invalid, illegal or unenforceable provision had never been contained herein.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Amendment, Termination or Waiver.</w:t>
      </w:r>
    </w:p>
    <w:p>
      <w:pPr>
        <w:spacing w:after="0" w:line="229" w:lineRule="exact"/>
        <w:rPr>
          <w:sz w:val="20"/>
          <w:szCs w:val="20"/>
          <w:color w:val="auto"/>
        </w:rPr>
      </w:pPr>
    </w:p>
    <w:p>
      <w:pPr>
        <w:ind w:right="140" w:firstLine="921"/>
        <w:spacing w:after="0" w:line="264" w:lineRule="auto"/>
        <w:tabs>
          <w:tab w:leader="none" w:pos="1168" w:val="left"/>
        </w:tabs>
        <w:numPr>
          <w:ilvl w:val="1"/>
          <w:numId w:val="268"/>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this Agreement may be amended, modified or terminated, and the obligations of the Company and the rights of the Holders under this Agreement may be waived, only upon the written consent of the Company and the holders of at least a majority of the then-outstanding Registrable Securities.</w:t>
      </w:r>
    </w:p>
    <w:p>
      <w:pPr>
        <w:spacing w:after="0" w:line="181" w:lineRule="exact"/>
        <w:rPr>
          <w:rFonts w:ascii="Arial" w:cs="Arial" w:eastAsia="Arial" w:hAnsi="Arial"/>
          <w:sz w:val="18"/>
          <w:szCs w:val="18"/>
          <w:b w:val="1"/>
          <w:bCs w:val="1"/>
          <w:color w:val="auto"/>
        </w:rPr>
      </w:pPr>
    </w:p>
    <w:p>
      <w:pPr>
        <w:ind w:right="140" w:firstLine="921"/>
        <w:spacing w:after="0" w:line="277" w:lineRule="auto"/>
        <w:tabs>
          <w:tab w:leader="none" w:pos="1178" w:val="left"/>
        </w:tabs>
        <w:numPr>
          <w:ilvl w:val="1"/>
          <w:numId w:val="268"/>
        </w:numPr>
        <w:rPr>
          <w:rFonts w:ascii="Arial" w:cs="Arial" w:eastAsia="Arial" w:hAnsi="Arial"/>
          <w:sz w:val="18"/>
          <w:szCs w:val="18"/>
          <w:b w:val="1"/>
          <w:bCs w:val="1"/>
          <w:color w:val="auto"/>
        </w:rPr>
      </w:pPr>
      <w:r>
        <w:rPr>
          <w:rFonts w:ascii="Arial" w:cs="Arial" w:eastAsia="Arial" w:hAnsi="Arial"/>
          <w:sz w:val="18"/>
          <w:szCs w:val="18"/>
          <w:color w:val="auto"/>
        </w:rPr>
        <w:t>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170" w:lineRule="exact"/>
        <w:rPr>
          <w:rFonts w:ascii="Arial" w:cs="Arial" w:eastAsia="Arial" w:hAnsi="Arial"/>
          <w:sz w:val="18"/>
          <w:szCs w:val="18"/>
          <w:b w:val="1"/>
          <w:bCs w:val="1"/>
          <w:color w:val="auto"/>
        </w:rPr>
      </w:pPr>
    </w:p>
    <w:p>
      <w:pPr>
        <w:ind w:right="120" w:firstLine="921"/>
        <w:spacing w:after="0" w:line="288" w:lineRule="auto"/>
        <w:tabs>
          <w:tab w:leader="none" w:pos="1158" w:val="left"/>
        </w:tabs>
        <w:numPr>
          <w:ilvl w:val="1"/>
          <w:numId w:val="268"/>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(1) Sections 5.5(a), (b) and (c), 3.13, 3.16 and 3.18 may not be amended without (i) compliance with Sections 5.5(a) and (b) and (ii) for so long as such party is a Holder, the express written consent of each of Novo, Frazier and Alloy, (2) Section 3.12 cannot be amended without (i) compliance with Sections 5.5(a) and (b) and (ii) the express consent of Novo, and (3) Section 3.17 cannot be amended without</w:t>
      </w:r>
    </w:p>
    <w:p>
      <w:pPr>
        <w:ind w:right="600" w:firstLine="8"/>
        <w:spacing w:after="0" w:line="261" w:lineRule="auto"/>
        <w:tabs>
          <w:tab w:leader="none" w:pos="21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compliance with Sections 5.5(a) and (b) and (ii) the express consent of the holders of at least a majority of the then-outstanding shares of Series D Preferred.</w:t>
      </w:r>
    </w:p>
    <w:p>
      <w:pPr>
        <w:spacing w:after="0" w:line="183" w:lineRule="exact"/>
        <w:rPr>
          <w:rFonts w:ascii="Arial" w:cs="Arial" w:eastAsia="Arial" w:hAnsi="Arial"/>
          <w:sz w:val="18"/>
          <w:szCs w:val="18"/>
          <w:color w:val="auto"/>
        </w:rPr>
      </w:pPr>
    </w:p>
    <w:p>
      <w:pPr>
        <w:ind w:firstLine="921"/>
        <w:spacing w:after="0" w:line="259" w:lineRule="auto"/>
        <w:tabs>
          <w:tab w:leader="none" w:pos="1178"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this Agreement may not be amended, modified or terminated, and the observance of any term hereunder may not be waived with respect to any Holder without the written consent of such Holder if such amendment, modification, termination or waiver adversely effects such Holder in a manner that is different than and disproportionate to the effect of such amendment, modification termination or waiver on the rights of all Holders hereunder.</w:t>
      </w:r>
    </w:p>
    <w:p>
      <w:pPr>
        <w:spacing w:after="0" w:line="183"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5.6 Delays or Omissions. </w:t>
      </w:r>
      <w:r>
        <w:rPr>
          <w:rFonts w:ascii="Arial" w:cs="Arial" w:eastAsia="Arial" w:hAnsi="Arial"/>
          <w:sz w:val="18"/>
          <w:szCs w:val="18"/>
          <w:color w:val="auto"/>
        </w:rPr>
        <w:t>It is agreed that no delay or omission to exercise any right, power, or remedy accruing to any party, upon any breach,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or noncompliance by another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69" w:right="319" w:bottom="1440" w:gutter="0" w:footer="0" w:header="0"/>
        </w:sectPr>
      </w:pPr>
    </w:p>
    <w:bookmarkStart w:id="316" w:name="page317"/>
    <w:bookmarkEnd w:id="316"/>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b w:val="1"/>
          <w:bCs w:val="1"/>
          <w:color w:val="auto"/>
        </w:rPr>
        <w:t xml:space="preserve">5.7 Notices. </w:t>
      </w:r>
      <w:r>
        <w:rPr>
          <w:rFonts w:ascii="Arial" w:cs="Arial" w:eastAsia="Arial" w:hAnsi="Arial"/>
          <w:sz w:val="17"/>
          <w:szCs w:val="17"/>
          <w:color w:val="auto"/>
        </w:rPr>
        <w:t>All notices required or permitted hereunder shall be in writing and shall be deemed effectively given: (a) upon personal delivery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to be notified, (b) when sent by confirmed electronic mail or facsimile if sent during normal business hours of the recipient; if not,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All communications shall be sent to the party to be notified at the address as set forth on the signature pages hereof or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or at such other address or electronic mail address as such party may designate by 10 days advance written notice to the other parties hereto; provided, however, that if the notice being provided under this Section 5.7 is to an address outside the United States, such notice shall be set using the methods specified in (b) and (d) above.</w:t>
      </w:r>
    </w:p>
    <w:p>
      <w:pPr>
        <w:spacing w:after="0" w:line="17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5.8 Attorneys’ Fees. </w:t>
      </w:r>
      <w:r>
        <w:rPr>
          <w:rFonts w:ascii="Arial" w:cs="Arial" w:eastAsia="Arial" w:hAnsi="Arial"/>
          <w:sz w:val="18"/>
          <w:szCs w:val="18"/>
          <w:color w:val="auto"/>
        </w:rPr>
        <w:t>In the event that any suit or action is instituted under or in relation to this Agreement, including without limitation to enforce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5.9 Titles and Subtitles. </w:t>
      </w:r>
      <w:r>
        <w:rPr>
          <w:rFonts w:ascii="Arial" w:cs="Arial" w:eastAsia="Arial" w:hAnsi="Arial"/>
          <w:sz w:val="18"/>
          <w:szCs w:val="18"/>
          <w:color w:val="auto"/>
        </w:rPr>
        <w:t>The titles of the sections and subsections of this Agreement are for convenience of reference only and are not to be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construing this Agreement.</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5.10 Additional Investors. </w:t>
      </w:r>
      <w:r>
        <w:rPr>
          <w:rFonts w:ascii="Arial" w:cs="Arial" w:eastAsia="Arial" w:hAnsi="Arial"/>
          <w:sz w:val="18"/>
          <w:szCs w:val="18"/>
          <w:color w:val="auto"/>
        </w:rPr>
        <w:t>Notwithstanding anything to the contrary contained herein, if the Company shall issue Equity Securities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4.7(d), (f), (g), (i) or (j) of this Agreement, any purchaser of such Equity Securities may become a party to this Agreement by executing and delivering an additional counterpart signature page to this Agreement and shall be deemed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for issuances under Section 4.7(j) of this Agreement, such purchaser shall not be deemed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under Sections 2.3 and 2.4 hereof without the written consent of the holders of at least a majority of the then-outstanding Registrable Securities.</w:t>
      </w:r>
    </w:p>
    <w:p>
      <w:pPr>
        <w:spacing w:after="0" w:line="184" w:lineRule="exact"/>
        <w:rPr>
          <w:sz w:val="20"/>
          <w:szCs w:val="20"/>
          <w:color w:val="auto"/>
        </w:rPr>
      </w:pPr>
    </w:p>
    <w:p>
      <w:pPr>
        <w:jc w:val="both"/>
        <w:ind w:right="20" w:firstLine="456"/>
        <w:spacing w:after="0" w:line="281" w:lineRule="auto"/>
        <w:rPr>
          <w:sz w:val="20"/>
          <w:szCs w:val="20"/>
          <w:color w:val="auto"/>
        </w:rPr>
      </w:pPr>
      <w:r>
        <w:rPr>
          <w:rFonts w:ascii="Arial" w:cs="Arial" w:eastAsia="Arial" w:hAnsi="Arial"/>
          <w:sz w:val="17"/>
          <w:szCs w:val="17"/>
          <w:b w:val="1"/>
          <w:bCs w:val="1"/>
          <w:color w:val="auto"/>
        </w:rPr>
        <w:t xml:space="preserve">5.11 Counterparts; Facsimile and PDF Signatures. </w:t>
      </w:r>
      <w:r>
        <w:rPr>
          <w:rFonts w:ascii="Arial" w:cs="Arial" w:eastAsia="Arial" w:hAnsi="Arial"/>
          <w:sz w:val="17"/>
          <w:szCs w:val="17"/>
          <w:color w:val="auto"/>
        </w:rPr>
        <w:t>This Agreement may be executed in two (2) or more counterparts, each of which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17" w:name="page318"/>
    <w:bookmarkEnd w:id="317"/>
    <w:p>
      <w:pPr>
        <w:ind w:firstLine="456"/>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Aggregation of Stock. </w:t>
      </w:r>
      <w:r>
        <w:rPr>
          <w:rFonts w:ascii="Arial" w:cs="Arial" w:eastAsia="Arial" w:hAnsi="Arial"/>
          <w:sz w:val="17"/>
          <w:szCs w:val="17"/>
          <w:color w:val="auto"/>
        </w:rPr>
        <w:t>All shares of Registrable Securities held or acquired by affiliated entities or persons or persons or entities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or control shall be aggregated together for the purpose of determining the availability of any rights under this Agreement.</w:t>
      </w:r>
    </w:p>
    <w:p>
      <w:pPr>
        <w:spacing w:after="0" w:line="13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5.13 Pronouns. </w:t>
      </w:r>
      <w:r>
        <w:rPr>
          <w:rFonts w:ascii="Arial" w:cs="Arial" w:eastAsia="Arial" w:hAnsi="Arial"/>
          <w:sz w:val="18"/>
          <w:szCs w:val="18"/>
          <w:color w:val="auto"/>
        </w:rPr>
        <w:t>All pronouns contained herein, and any variations thereof, shall be deemed to refer to the masculine, feminine or neutral, singular or</w:t>
      </w:r>
      <w:r>
        <w:rPr>
          <w:rFonts w:ascii="Arial" w:cs="Arial" w:eastAsia="Arial" w:hAnsi="Arial"/>
          <w:sz w:val="18"/>
          <w:szCs w:val="18"/>
          <w:b w:val="1"/>
          <w:bCs w:val="1"/>
          <w:color w:val="auto"/>
        </w:rPr>
        <w:t xml:space="preserve"> </w:t>
      </w:r>
      <w:r>
        <w:rPr>
          <w:rFonts w:ascii="Arial" w:cs="Arial" w:eastAsia="Arial" w:hAnsi="Arial"/>
          <w:sz w:val="18"/>
          <w:szCs w:val="18"/>
          <w:color w:val="auto"/>
        </w:rPr>
        <w:t>plural, as to the identity of the parties hereto may require.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5.14 Term. </w:t>
      </w:r>
      <w:r>
        <w:rPr>
          <w:rFonts w:ascii="Arial" w:cs="Arial" w:eastAsia="Arial" w:hAnsi="Arial"/>
          <w:sz w:val="16"/>
          <w:szCs w:val="16"/>
          <w:color w:val="auto"/>
        </w:rPr>
        <w:t>This Agreement shall terminate and be of no further force or effect upon the earlier of (i) the closing of an Asset Transfer or Acquisition,</w:t>
      </w:r>
    </w:p>
    <w:p>
      <w:pPr>
        <w:spacing w:after="0" w:line="50" w:lineRule="exact"/>
        <w:rPr>
          <w:sz w:val="20"/>
          <w:szCs w:val="20"/>
          <w:color w:val="auto"/>
        </w:rPr>
      </w:pPr>
    </w:p>
    <w:p>
      <w:pPr>
        <w:ind w:right="320" w:firstLine="8"/>
        <w:spacing w:after="0" w:line="261" w:lineRule="auto"/>
        <w:tabs>
          <w:tab w:leader="none" w:pos="2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date five years following the closing of a Qualified IPO, or (ii) the date as of which this Agreement is terminated in accordance with Section 5.5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Sections 3.3, 3.6, 3.9, 3.11, 3.13, 3.15 and 3.18 shall survive such termination.</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269" w:right="419" w:bottom="1440" w:gutter="0" w:footer="0" w:header="0"/>
        </w:sectPr>
      </w:pPr>
    </w:p>
    <w:bookmarkStart w:id="318" w:name="page319"/>
    <w:bookmarkEnd w:id="31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Hamza Suria</w:t>
      </w:r>
    </w:p>
    <w:p>
      <w:pPr>
        <w:spacing w:after="0" w:line="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&amp; CEO</w:t>
      </w:r>
    </w:p>
    <w:p>
      <w:pPr>
        <w:spacing w:after="0" w:line="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10421 Pacific Center Court, Suite 200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San Diego, CA 92121</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19" w:name="page320"/>
    <w:bookmarkEnd w:id="31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OVO</w:t>
            </w:r>
            <w:r>
              <w:rPr>
                <w:rFonts w:ascii="Arial" w:cs="Arial" w:eastAsia="Arial" w:hAnsi="Arial"/>
                <w:sz w:val="18"/>
                <w:szCs w:val="18"/>
                <w:b w:val="1"/>
                <w:bCs w:val="1"/>
                <w:color w:val="auto"/>
              </w:rPr>
              <w:t xml:space="preserve"> A/S</w:t>
            </w:r>
          </w:p>
        </w:tc>
        <w:tc>
          <w:tcPr>
            <w:tcW w:w="342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B. Nielsen</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Jack B. Nielsen</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Partner</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20" w:name="page321"/>
    <w:bookmarkEnd w:id="320"/>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RAZIER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EALTHCARE</w:t>
      </w:r>
      <w:r>
        <w:rPr>
          <w:rFonts w:ascii="Arial" w:cs="Arial" w:eastAsia="Arial" w:hAnsi="Arial"/>
          <w:sz w:val="18"/>
          <w:szCs w:val="18"/>
          <w:b w:val="1"/>
          <w:bCs w:val="1"/>
          <w:color w:val="auto"/>
        </w:rPr>
        <w:t xml:space="preserve">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FHM V, LP,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Topper, Authorized Representative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21" w:name="page322"/>
    <w:bookmarkEnd w:id="321"/>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RAZIER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EALTHCARE</w:t>
      </w:r>
      <w:r>
        <w:rPr>
          <w:rFonts w:ascii="Arial" w:cs="Arial" w:eastAsia="Arial" w:hAnsi="Arial"/>
          <w:sz w:val="18"/>
          <w:szCs w:val="18"/>
          <w:b w:val="1"/>
          <w:bCs w:val="1"/>
          <w:color w:val="auto"/>
        </w:rPr>
        <w:t xml:space="preserve"> VII,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Topper, Authorized Representative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22" w:name="page323"/>
    <w:bookmarkEnd w:id="32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RAZIER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EALTHCARE</w:t>
      </w:r>
      <w:r>
        <w:rPr>
          <w:rFonts w:ascii="Arial" w:cs="Arial" w:eastAsia="Arial" w:hAnsi="Arial"/>
          <w:sz w:val="18"/>
          <w:szCs w:val="18"/>
          <w:b w:val="1"/>
          <w:bCs w:val="1"/>
          <w:color w:val="auto"/>
        </w:rPr>
        <w:t xml:space="preserve"> VII-A,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Topper, Authorized Representative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69" w:right="399" w:bottom="1440" w:gutter="0" w:footer="0" w:header="0"/>
        </w:sectPr>
      </w:pPr>
    </w:p>
    <w:bookmarkStart w:id="323" w:name="page324"/>
    <w:bookmarkEnd w:id="32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ALLOY VENTURES 2005,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Alloy Ventures 2005, LLC,</w:t>
            </w:r>
          </w:p>
        </w:tc>
      </w:tr>
      <w:tr>
        <w:trPr>
          <w:trHeight w:val="234"/>
        </w:trPr>
        <w:tc>
          <w:tcPr>
            <w:tcW w:w="660" w:type="dxa"/>
            <w:vAlign w:val="bottom"/>
          </w:tcPr>
          <w:p>
            <w:pPr>
              <w:spacing w:after="0"/>
              <w:rPr>
                <w:sz w:val="20"/>
                <w:szCs w:val="20"/>
                <w:color w:val="auto"/>
              </w:rPr>
            </w:pPr>
          </w:p>
        </w:tc>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its General Partner</w:t>
            </w:r>
          </w:p>
        </w:tc>
      </w:tr>
      <w:tr>
        <w:trPr>
          <w:trHeight w:val="44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C. Taylor</w:t>
            </w:r>
          </w:p>
        </w:tc>
        <w:tc>
          <w:tcPr>
            <w:tcW w:w="388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Craig C. Taylor</w:t>
            </w:r>
          </w:p>
        </w:tc>
        <w:tc>
          <w:tcPr>
            <w:tcW w:w="3880" w:type="dxa"/>
            <w:vAlign w:val="bottom"/>
          </w:tcPr>
          <w:p>
            <w:pPr>
              <w:spacing w:after="0"/>
              <w:rPr>
                <w:sz w:val="24"/>
                <w:szCs w:val="24"/>
                <w:color w:val="auto"/>
              </w:rPr>
            </w:pPr>
          </w:p>
        </w:tc>
      </w:tr>
      <w:tr>
        <w:trPr>
          <w:trHeight w:val="31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7800" w:type="dxa"/>
            <w:vAlign w:val="bottom"/>
            <w:gridSpan w:val="2"/>
          </w:tcPr>
          <w:p>
            <w:pPr>
              <w:spacing w:after="0"/>
              <w:rPr>
                <w:sz w:val="20"/>
                <w:szCs w:val="20"/>
                <w:color w:val="auto"/>
              </w:rPr>
            </w:pPr>
            <w:r>
              <w:rPr>
                <w:rFonts w:ascii="Arial" w:cs="Arial" w:eastAsia="Arial" w:hAnsi="Arial"/>
                <w:sz w:val="18"/>
                <w:szCs w:val="18"/>
                <w:color w:val="auto"/>
              </w:rPr>
              <w:t>Managing Member of Alloy Ventures</w:t>
            </w:r>
          </w:p>
        </w:tc>
      </w:tr>
      <w:tr>
        <w:trPr>
          <w:trHeight w:val="216"/>
        </w:trPr>
        <w:tc>
          <w:tcPr>
            <w:tcW w:w="66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2005, LLC, the General Partner of Alloy</w:t>
            </w:r>
          </w:p>
        </w:tc>
      </w:tr>
      <w:tr>
        <w:trPr>
          <w:trHeight w:val="230"/>
        </w:trPr>
        <w:tc>
          <w:tcPr>
            <w:tcW w:w="660" w:type="dxa"/>
            <w:vAlign w:val="bottom"/>
          </w:tcPr>
          <w:p>
            <w:pPr>
              <w:spacing w:after="0"/>
              <w:rPr>
                <w:sz w:val="20"/>
                <w:szCs w:val="20"/>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Ventures 2005, L.P.</w:t>
            </w:r>
          </w:p>
        </w:tc>
      </w:tr>
      <w:tr>
        <w:trPr>
          <w:trHeight w:val="378"/>
        </w:trPr>
        <w:tc>
          <w:tcPr>
            <w:tcW w:w="660" w:type="dxa"/>
            <w:vAlign w:val="bottom"/>
          </w:tcPr>
          <w:p>
            <w:pPr>
              <w:spacing w:after="0"/>
              <w:rPr>
                <w:sz w:val="24"/>
                <w:szCs w:val="24"/>
                <w:color w:val="auto"/>
              </w:rPr>
            </w:pP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w w:val="89"/>
              </w:rPr>
              <w:t>Signature Page to Fourth Amended and Restated Investor Rights Agreement</w:t>
            </w:r>
          </w:p>
        </w:tc>
      </w:tr>
    </w:tbl>
    <w:p>
      <w:pPr>
        <w:sectPr>
          <w:pgSz w:w="11900" w:h="16838" w:orient="portrait"/>
          <w:cols w:equalWidth="0" w:num="1">
            <w:col w:w="11260"/>
          </w:cols>
          <w:pgMar w:left="240" w:top="269" w:right="399" w:bottom="1440" w:gutter="0" w:footer="0" w:header="0"/>
        </w:sectPr>
      </w:pPr>
    </w:p>
    <w:bookmarkStart w:id="324" w:name="page325"/>
    <w:bookmarkEnd w:id="324"/>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Nicholas B. Lydon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ICHOLAS</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YDON</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25" w:name="page326"/>
    <w:bookmarkEnd w:id="325"/>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26" w:name="page327"/>
    <w:bookmarkEnd w:id="32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Carol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AROL</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ALLAGHER</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27" w:name="page328"/>
    <w:bookmarkEnd w:id="327"/>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Stephen Turkowiak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 Turkowiak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69" w:right="399" w:bottom="1440" w:gutter="0" w:footer="0" w:header="0"/>
        </w:sectPr>
      </w:pPr>
    </w:p>
    <w:bookmarkStart w:id="328" w:name="page329"/>
    <w:bookmarkEnd w:id="32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Robert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Hoffman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69" w:right="399" w:bottom="1440" w:gutter="0" w:footer="0" w:header="0"/>
        </w:sectPr>
      </w:pPr>
    </w:p>
    <w:bookmarkStart w:id="329" w:name="page330"/>
    <w:bookmarkEnd w:id="32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BMV DIRECT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Wolfe</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Wolfe</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30" w:name="page331"/>
    <w:bookmarkEnd w:id="330"/>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10,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Attorney-in-fact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MSI BVF SPV,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Attorney-in-fact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31" w:name="page332"/>
    <w:bookmarkEnd w:id="331"/>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LONGWOOD VENTURES,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Manfred Yu</w:t>
            </w:r>
          </w:p>
        </w:tc>
        <w:tc>
          <w:tcPr>
            <w:tcW w:w="3880" w:type="dxa"/>
            <w:vAlign w:val="bottom"/>
          </w:tcPr>
          <w:p>
            <w:pPr>
              <w:spacing w:after="0"/>
              <w:rPr>
                <w:sz w:val="20"/>
                <w:szCs w:val="20"/>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Manfred Yu</w:t>
            </w:r>
          </w:p>
        </w:tc>
        <w:tc>
          <w:tcPr>
            <w:tcW w:w="3880" w:type="dxa"/>
            <w:vAlign w:val="bottom"/>
          </w:tcPr>
          <w:p>
            <w:pPr>
              <w:spacing w:after="0"/>
              <w:rPr>
                <w:sz w:val="24"/>
                <w:szCs w:val="24"/>
                <w:color w:val="auto"/>
              </w:rPr>
            </w:pPr>
          </w:p>
        </w:tc>
      </w:tr>
      <w:tr>
        <w:trPr>
          <w:trHeight w:val="317"/>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7300" w:type="dxa"/>
            <w:vAlign w:val="bottom"/>
            <w:gridSpan w:val="2"/>
          </w:tcPr>
          <w:p>
            <w:pPr>
              <w:spacing w:after="0"/>
              <w:rPr>
                <w:sz w:val="20"/>
                <w:szCs w:val="20"/>
                <w:color w:val="auto"/>
              </w:rPr>
            </w:pPr>
            <w:r>
              <w:rPr>
                <w:rFonts w:ascii="Arial" w:cs="Arial" w:eastAsia="Arial" w:hAnsi="Arial"/>
                <w:sz w:val="18"/>
                <w:szCs w:val="18"/>
                <w:color w:val="auto"/>
              </w:rPr>
              <w:t>Chief Operation Officer of Longwood Capital</w:t>
            </w:r>
          </w:p>
        </w:tc>
      </w:tr>
      <w:tr>
        <w:trPr>
          <w:trHeight w:val="230"/>
        </w:trPr>
        <w:tc>
          <w:tcPr>
            <w:tcW w:w="116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Partners, LLC, its general partner</w:t>
            </w:r>
          </w:p>
        </w:tc>
      </w:tr>
      <w:tr>
        <w:trPr>
          <w:trHeight w:val="365"/>
        </w:trPr>
        <w:tc>
          <w:tcPr>
            <w:tcW w:w="1160" w:type="dxa"/>
            <w:vAlign w:val="bottom"/>
          </w:tcPr>
          <w:p>
            <w:pPr>
              <w:spacing w:after="0"/>
              <w:rPr>
                <w:sz w:val="24"/>
                <w:szCs w:val="24"/>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color w:val="auto"/>
                <w:w w:val="89"/>
              </w:rPr>
              <w:t>Signature Page to Fourth Amended and Restated Investor Rights Agreement</w:t>
            </w:r>
          </w:p>
        </w:tc>
      </w:tr>
    </w:tbl>
    <w:p>
      <w:pPr>
        <w:sectPr>
          <w:pgSz w:w="11900" w:h="16838" w:orient="portrait"/>
          <w:cols w:equalWidth="0" w:num="1">
            <w:col w:w="11260"/>
          </w:cols>
          <w:pgMar w:left="240" w:top="270" w:right="399" w:bottom="1440" w:gutter="0" w:footer="0" w:header="0"/>
        </w:sectPr>
      </w:pPr>
    </w:p>
    <w:bookmarkStart w:id="332" w:name="page333"/>
    <w:bookmarkEnd w:id="33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CORMORANT GLOBAL HEALTHCARE MASTER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69" w:right="399" w:bottom="1440" w:gutter="0" w:footer="0" w:header="0"/>
        </w:sectPr>
      </w:pPr>
    </w:p>
    <w:bookmarkStart w:id="333" w:name="page334"/>
    <w:bookmarkEnd w:id="33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BIOBRIT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 Bradbury</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M. Bradbury</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69" w:right="399" w:bottom="1440" w:gutter="0" w:footer="0" w:header="0"/>
        </w:sectPr>
      </w:pPr>
    </w:p>
    <w:bookmarkStart w:id="334" w:name="page335"/>
    <w:bookmarkEnd w:id="334"/>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w:t>
      </w:r>
      <w:r>
        <w:rPr>
          <w:rFonts w:ascii="Arial" w:cs="Arial" w:eastAsia="Arial" w:hAnsi="Arial"/>
          <w:sz w:val="15"/>
          <w:szCs w:val="15"/>
          <w:b w:val="1"/>
          <w:bCs w:val="1"/>
          <w:color w:val="auto"/>
        </w:rPr>
        <w:t>AUL</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ETTY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Williams</w:t>
            </w:r>
          </w:p>
        </w:tc>
        <w:tc>
          <w:tcPr>
            <w:tcW w:w="3880" w:type="dxa"/>
            <w:vAlign w:val="bottom"/>
          </w:tcPr>
          <w:p>
            <w:pPr>
              <w:spacing w:after="0"/>
              <w:rPr>
                <w:sz w:val="20"/>
                <w:szCs w:val="20"/>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M. Williams</w:t>
            </w:r>
          </w:p>
        </w:tc>
        <w:tc>
          <w:tcPr>
            <w:tcW w:w="3880" w:type="dxa"/>
            <w:vAlign w:val="bottom"/>
          </w:tcPr>
          <w:p>
            <w:pPr>
              <w:spacing w:after="0"/>
              <w:rPr>
                <w:sz w:val="24"/>
                <w:szCs w:val="24"/>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Investment Officer + V.P.</w:t>
            </w:r>
          </w:p>
        </w:tc>
        <w:tc>
          <w:tcPr>
            <w:tcW w:w="3880" w:type="dxa"/>
            <w:vAlign w:val="bottom"/>
          </w:tcPr>
          <w:p>
            <w:pPr>
              <w:spacing w:after="0"/>
              <w:rPr>
                <w:sz w:val="24"/>
                <w:szCs w:val="24"/>
                <w:color w:val="auto"/>
              </w:rPr>
            </w:pPr>
          </w:p>
        </w:tc>
      </w:tr>
      <w:tr>
        <w:trPr>
          <w:trHeight w:val="372"/>
        </w:trPr>
        <w:tc>
          <w:tcPr>
            <w:tcW w:w="1160" w:type="dxa"/>
            <w:vAlign w:val="bottom"/>
          </w:tcPr>
          <w:p>
            <w:pPr>
              <w:spacing w:after="0"/>
              <w:rPr>
                <w:sz w:val="24"/>
                <w:szCs w:val="24"/>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color w:val="auto"/>
                <w:w w:val="89"/>
              </w:rPr>
              <w:t>Signature Page to Fourth Amended and Restated Investor Rights Agreement</w:t>
            </w:r>
          </w:p>
        </w:tc>
      </w:tr>
    </w:tbl>
    <w:p>
      <w:pPr>
        <w:sectPr>
          <w:pgSz w:w="11900" w:h="16838" w:orient="portrait"/>
          <w:cols w:equalWidth="0" w:num="1">
            <w:col w:w="11260"/>
          </w:cols>
          <w:pgMar w:left="240" w:top="270" w:right="399" w:bottom="1440" w:gutter="0" w:footer="0" w:header="0"/>
        </w:sectPr>
      </w:pPr>
    </w:p>
    <w:bookmarkStart w:id="335" w:name="page336"/>
    <w:bookmarkEnd w:id="335"/>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Marco Londei</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36" w:name="page337"/>
    <w:bookmarkEnd w:id="33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LeSieur</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Jean-Marc LeSieur</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37" w:name="page338"/>
    <w:bookmarkEnd w:id="3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INVESTORS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22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AFOS,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Alloy Ventures 2005,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Avalon Ventures VII,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CFO Connect,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Rhonda Frank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Frazier Healthcare V,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Frazier Healthcare VII,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Frazier Healthcare VII-A,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Carol Gallagher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GC&amp;H Investments,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 Scott Greer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69" w:right="1440" w:bottom="1440" w:gutter="0" w:footer="0" w:header="0"/>
        </w:sectPr>
      </w:pPr>
    </w:p>
    <w:bookmarkStart w:id="338" w:name="page339"/>
    <w:bookmarkEnd w:id="338"/>
    <w:p>
      <w:pPr>
        <w:ind w:left="38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Guise Management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Nick Lydon</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Granite Biopharma LLC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John Macomber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Michael Neuberger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Novo A/S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Numenor Ventures,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Michael O’Donnell</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Wilson Sonsini Goodrich &amp; Rosati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Maria Grazia Roncarolo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Square 1 Bank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Mary Ann Stretch</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Wilson Sonsini Goodrich &amp; Rosati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Hamza Suria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019"/>
          </w:cols>
          <w:pgMar w:left="1440" w:top="265" w:right="1440" w:bottom="1440" w:gutter="0" w:footer="0" w:header="0"/>
        </w:sectPr>
      </w:pPr>
    </w:p>
    <w:bookmarkStart w:id="339" w:name="page340"/>
    <w:bookmarkEnd w:id="339"/>
    <w:p>
      <w:pPr>
        <w:jc w:val="center"/>
        <w:ind w:right="-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Geoff Tomlinson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WS Investment Company (2007A),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WS Investment Company (2007C),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BMV Direct 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BioBrit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Marco Londei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Steve Turkowiak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Robert Hoffman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Biotechnology Value Fund,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Biotechnology Value Fund 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Investment 10,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MSI BVP SPV,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 Paul Getty Trust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019"/>
          </w:cols>
          <w:pgMar w:left="1440" w:top="266" w:right="1440" w:bottom="1440" w:gutter="0" w:footer="0" w:header="0"/>
        </w:sectPr>
      </w:pPr>
    </w:p>
    <w:bookmarkStart w:id="340" w:name="page341"/>
    <w:bookmarkEnd w:id="340"/>
    <w:p>
      <w:pPr>
        <w:ind w:left="38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HBM Healthcare Investments (Cayman) Ltd.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Longwood Ventures, LP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Longwood Capital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Cormorant Global Healthcare Master Fund,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9019"/>
          </w:cols>
          <w:pgMar w:left="1440" w:top="265" w:right="1440"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560" w:type="dxa"/>
            <w:vAlign w:val="bottom"/>
          </w:tcPr>
          <w:p>
            <w:pPr>
              <w:ind w:left="5620"/>
              <w:spacing w:after="0"/>
              <w:rPr>
                <w:sz w:val="20"/>
                <w:szCs w:val="20"/>
                <w:color w:val="auto"/>
              </w:rPr>
            </w:pPr>
            <w:r>
              <w:rPr>
                <w:rFonts w:ascii="Arial" w:cs="Arial" w:eastAsia="Arial" w:hAnsi="Arial"/>
                <w:sz w:val="18"/>
                <w:szCs w:val="18"/>
                <w:b w:val="1"/>
                <w:bCs w:val="1"/>
                <w:color w:val="auto"/>
                <w:w w:val="91"/>
              </w:rPr>
              <w:t>Exhibit 10.1</w:t>
            </w:r>
          </w:p>
        </w:tc>
      </w:tr>
      <w:tr>
        <w:trPr>
          <w:trHeight w:val="432"/>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40" w:type="dxa"/>
            <w:vAlign w:val="bottom"/>
            <w:gridSpan w:val="2"/>
          </w:tcPr>
          <w:p>
            <w:pPr>
              <w:ind w:left="780"/>
              <w:spacing w:after="0"/>
              <w:rPr>
                <w:sz w:val="20"/>
                <w:szCs w:val="20"/>
                <w:color w:val="auto"/>
              </w:rPr>
            </w:pPr>
            <w:r>
              <w:rPr>
                <w:rFonts w:ascii="Arial" w:cs="Arial" w:eastAsia="Arial" w:hAnsi="Arial"/>
                <w:sz w:val="18"/>
                <w:szCs w:val="18"/>
                <w:b w:val="1"/>
                <w:bCs w:val="1"/>
                <w:color w:val="auto"/>
              </w:rPr>
              <w:t>INDEMNITY AGREEMENT</w:t>
            </w:r>
          </w:p>
        </w:tc>
      </w:tr>
      <w:tr>
        <w:trPr>
          <w:trHeight w:val="392"/>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gridSpan w:val="3"/>
          </w:tcPr>
          <w:p>
            <w:pPr>
              <w:ind w:left="80"/>
              <w:spacing w:after="0"/>
              <w:rPr>
                <w:sz w:val="20"/>
                <w:szCs w:val="20"/>
                <w:color w:val="auto"/>
              </w:rPr>
            </w:pPr>
            <w:r>
              <w:rPr>
                <w:rFonts w:ascii="Arial" w:cs="Arial" w:eastAsia="Arial" w:hAnsi="Arial"/>
                <w:sz w:val="18"/>
                <w:szCs w:val="18"/>
                <w:color w:val="auto"/>
                <w:w w:val="91"/>
              </w:rPr>
              <w:t>This Indemnity Agreement, dated as of</w:t>
            </w:r>
          </w:p>
        </w:tc>
        <w:tc>
          <w:tcPr>
            <w:tcW w:w="1080" w:type="dxa"/>
            <w:vAlign w:val="bottom"/>
            <w:tcBorders>
              <w:bottom w:val="single" w:sz="8" w:color="auto"/>
            </w:tcBorders>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 2015 is made by and between AnaptysBio, Inc., a Delaware corporation (the</w:t>
            </w:r>
          </w:p>
        </w:tc>
      </w:tr>
      <w:tr>
        <w:trPr>
          <w:trHeight w:val="196"/>
        </w:trPr>
        <w:tc>
          <w:tcPr>
            <w:tcW w:w="1380" w:type="dxa"/>
            <w:vAlign w:val="bottom"/>
            <w:gridSpan w:val="3"/>
          </w:tcPr>
          <w:p>
            <w:pPr>
              <w:spacing w:after="0" w:line="196" w:lineRule="exact"/>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Company</w:t>
            </w:r>
            <w:r>
              <w:rPr>
                <w:rFonts w:ascii="Arial" w:cs="Arial" w:eastAsia="Arial" w:hAnsi="Arial"/>
                <w:sz w:val="18"/>
                <w:szCs w:val="18"/>
                <w:color w:val="auto"/>
                <w:w w:val="97"/>
              </w:rPr>
              <w:t>”), and</w:t>
            </w:r>
          </w:p>
        </w:tc>
        <w:tc>
          <w:tcPr>
            <w:tcW w:w="10040" w:type="dxa"/>
            <w:vAlign w:val="bottom"/>
            <w:gridSpan w:val="4"/>
          </w:tcPr>
          <w:p>
            <w:pPr>
              <w:ind w:left="1080"/>
              <w:spacing w:after="0" w:line="196" w:lineRule="exact"/>
              <w:rPr>
                <w:sz w:val="20"/>
                <w:szCs w:val="20"/>
                <w:color w:val="auto"/>
              </w:rPr>
            </w:pPr>
            <w:r>
              <w:rPr>
                <w:rFonts w:ascii="Arial" w:cs="Arial" w:eastAsia="Arial" w:hAnsi="Arial"/>
                <w:sz w:val="18"/>
                <w:szCs w:val="18"/>
                <w:color w:val="auto"/>
                <w:w w:val="93"/>
              </w:rPr>
              <w:t>, a director, officer or key employee of the Company or one of the Company’s subsidiaries or other service provider who</w:t>
            </w:r>
          </w:p>
        </w:tc>
      </w:tr>
      <w:tr>
        <w:trPr>
          <w:trHeight w:val="20"/>
        </w:trPr>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satisfies the definition of Indemnifiable Person set forth below (“</w:t>
      </w:r>
      <w:r>
        <w:rPr>
          <w:rFonts w:ascii="Arial" w:cs="Arial" w:eastAsia="Arial" w:hAnsi="Arial"/>
          <w:sz w:val="18"/>
          <w:szCs w:val="18"/>
          <w:b w:val="1"/>
          <w:bCs w:val="1"/>
          <w:u w:val="single" w:color="auto"/>
          <w:color w:val="auto"/>
        </w:rPr>
        <w:t>Indemnitee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A. 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62" w:lineRule="exact"/>
        <w:rPr>
          <w:sz w:val="20"/>
          <w:szCs w:val="20"/>
          <w:color w:val="auto"/>
        </w:rPr>
      </w:pPr>
    </w:p>
    <w:p>
      <w:pPr>
        <w:ind w:right="420" w:firstLine="913"/>
        <w:spacing w:after="0" w:line="298" w:lineRule="auto"/>
        <w:rPr>
          <w:sz w:val="20"/>
          <w:szCs w:val="20"/>
          <w:color w:val="auto"/>
        </w:rPr>
      </w:pPr>
      <w:r>
        <w:rPr>
          <w:rFonts w:ascii="Arial" w:cs="Arial" w:eastAsia="Arial" w:hAnsi="Arial"/>
          <w:sz w:val="16"/>
          <w:szCs w:val="16"/>
          <w:color w:val="auto"/>
        </w:rPr>
        <w:t>B. The members of the Board of Directors of the Company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in connection with claims against such representatives in connection with their service to the Company and its Subsidiaries and Affiliates;</w:t>
      </w:r>
    </w:p>
    <w:p>
      <w:pPr>
        <w:spacing w:after="0" w:line="154" w:lineRule="exact"/>
        <w:rPr>
          <w:sz w:val="20"/>
          <w:szCs w:val="20"/>
          <w:color w:val="auto"/>
        </w:rPr>
      </w:pPr>
    </w:p>
    <w:p>
      <w:pPr>
        <w:jc w:val="both"/>
        <w:ind w:right="440" w:firstLine="913"/>
        <w:spacing w:after="0" w:line="314" w:lineRule="auto"/>
        <w:rPr>
          <w:sz w:val="20"/>
          <w:szCs w:val="20"/>
          <w:color w:val="auto"/>
        </w:rPr>
      </w:pPr>
      <w:r>
        <w:rPr>
          <w:rFonts w:ascii="Arial" w:cs="Arial" w:eastAsia="Arial" w:hAnsi="Arial"/>
          <w:sz w:val="16"/>
          <w:szCs w:val="16"/>
          <w:color w:val="auto"/>
        </w:rPr>
        <w:t>C. Section 145 of the Delaware General Corporation Law (“</w:t>
      </w:r>
      <w:r>
        <w:rPr>
          <w:rFonts w:ascii="Arial" w:cs="Arial" w:eastAsia="Arial" w:hAnsi="Arial"/>
          <w:sz w:val="16"/>
          <w:szCs w:val="16"/>
          <w:b w:val="1"/>
          <w:bCs w:val="1"/>
          <w:u w:val="single" w:color="auto"/>
          <w:color w:val="auto"/>
        </w:rPr>
        <w:t>Section 145</w:t>
      </w:r>
      <w:r>
        <w:rPr>
          <w:rFonts w:ascii="Arial" w:cs="Arial" w:eastAsia="Arial" w:hAnsi="Arial"/>
          <w:sz w:val="16"/>
          <w:szCs w:val="16"/>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4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D. 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left="640" w:hanging="176"/>
        <w:spacing w:after="0"/>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921"/>
        <w:spacing w:after="0" w:line="277" w:lineRule="auto"/>
        <w:tabs>
          <w:tab w:leader="none" w:pos="1157"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For purposes of this Agreement, “Affiliate” of the Company means any corporation, partnership, limited liability company, joint venture, trust or other</w:t>
      </w:r>
    </w:p>
    <w:p>
      <w:pPr>
        <w:sectPr>
          <w:pgSz w:w="11900" w:h="16838" w:orient="portrait"/>
          <w:cols w:equalWidth="0" w:num="1">
            <w:col w:w="11420"/>
          </w:cols>
          <w:pgMar w:left="240" w:top="121" w:right="239" w:bottom="1440" w:gutter="0" w:footer="0" w:header="0"/>
        </w:sectPr>
      </w:pPr>
    </w:p>
    <w:bookmarkStart w:id="342" w:name="page343"/>
    <w:bookmarkEnd w:id="34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enterprise in respect of which Indemnitee is or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187" w:lineRule="exact"/>
        <w:rPr>
          <w:sz w:val="20"/>
          <w:szCs w:val="20"/>
          <w:color w:val="auto"/>
        </w:rPr>
      </w:pPr>
    </w:p>
    <w:p>
      <w:pPr>
        <w:ind w:right="100" w:firstLine="921"/>
        <w:spacing w:after="0" w:line="268" w:lineRule="auto"/>
        <w:tabs>
          <w:tab w:leader="none" w:pos="1168"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For purposes of this Agreement, “Change in Control” means (i) any “person” (as such term is used in Sections 13(d) and 14(d) of the Exchange Act), other than a Subsidiary or a trustee or other fiduciary holding securities under an employee benefit plan of the Company or Subsidiary, is or becomes the “Beneficial Owner” (as defined in Rule 13d-3 under said Act), directly or indirectly, of securities of the Company representing 30% or more of the total voting power represented by the Company’s then outstanding capital stock, or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70% of the total voting power represented by the capital stock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87" w:lineRule="exact"/>
        <w:rPr>
          <w:rFonts w:ascii="Arial" w:cs="Arial" w:eastAsia="Arial" w:hAnsi="Arial"/>
          <w:sz w:val="17"/>
          <w:szCs w:val="17"/>
          <w:color w:val="auto"/>
        </w:rPr>
      </w:pPr>
    </w:p>
    <w:p>
      <w:pPr>
        <w:ind w:right="140" w:firstLine="921"/>
        <w:spacing w:after="0" w:line="276" w:lineRule="auto"/>
        <w:tabs>
          <w:tab w:leader="none" w:pos="1157"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For purposes of this Agreement, “Expenses” means all direct and indirect costs of any type or nature whatsoever (including, without limitation, all attorneys’ fees and related disbursements, and other out-of-pocket costs), paid or incurred by Indemnitee in connection with either the investigation, defense or appeal of, or being a witness in, a Proceeding (as defined below), or establishing or enforcing a right to indemnification under this Agreement, Section 145 or otherwise; provided, however, that Expenses shall not include any judgments, fines, excise taxes or penalties in respect of the Employee Retirement Income Security Act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or amounts paid in settlement of a Proceeding.</w:t>
      </w:r>
    </w:p>
    <w:p>
      <w:pPr>
        <w:spacing w:after="0" w:line="172" w:lineRule="exact"/>
        <w:rPr>
          <w:rFonts w:ascii="Arial" w:cs="Arial" w:eastAsia="Arial" w:hAnsi="Arial"/>
          <w:sz w:val="17"/>
          <w:szCs w:val="17"/>
          <w:color w:val="auto"/>
        </w:rPr>
      </w:pPr>
    </w:p>
    <w:p>
      <w:pPr>
        <w:ind w:left="1180" w:hanging="259"/>
        <w:spacing w:after="0"/>
        <w:tabs>
          <w:tab w:leader="none" w:pos="118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For purposes of this Agreement, “Exchange Act” means the Securities Exchange Act of 1934, as amended.</w:t>
      </w:r>
    </w:p>
    <w:p>
      <w:pPr>
        <w:spacing w:after="0" w:line="225" w:lineRule="exact"/>
        <w:rPr>
          <w:rFonts w:ascii="Arial" w:cs="Arial" w:eastAsia="Arial" w:hAnsi="Arial"/>
          <w:sz w:val="18"/>
          <w:szCs w:val="18"/>
          <w:color w:val="auto"/>
        </w:rPr>
      </w:pPr>
    </w:p>
    <w:p>
      <w:pPr>
        <w:ind w:right="140" w:firstLine="921"/>
        <w:spacing w:after="0" w:line="264" w:lineRule="auto"/>
        <w:tabs>
          <w:tab w:leader="none" w:pos="115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Indemnifiable Event</w:t>
      </w:r>
      <w:r>
        <w:rPr>
          <w:rFonts w:ascii="Arial" w:cs="Arial" w:eastAsia="Arial" w:hAnsi="Arial"/>
          <w:sz w:val="18"/>
          <w:szCs w:val="18"/>
          <w:color w:val="auto"/>
        </w:rPr>
        <w:t>. For purposes of this Agreement, “Indemnifiable Event”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181" w:lineRule="exact"/>
        <w:rPr>
          <w:rFonts w:ascii="Arial" w:cs="Arial" w:eastAsia="Arial" w:hAnsi="Arial"/>
          <w:sz w:val="18"/>
          <w:szCs w:val="18"/>
          <w:color w:val="auto"/>
        </w:rPr>
      </w:pPr>
    </w:p>
    <w:p>
      <w:pPr>
        <w:ind w:right="20" w:firstLine="921"/>
        <w:spacing w:after="0" w:line="277" w:lineRule="auto"/>
        <w:tabs>
          <w:tab w:leader="none" w:pos="1138"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Indemnifiable Person</w:t>
      </w:r>
      <w:r>
        <w:rPr>
          <w:rFonts w:ascii="Arial" w:cs="Arial" w:eastAsia="Arial" w:hAnsi="Arial"/>
          <w:sz w:val="18"/>
          <w:szCs w:val="18"/>
          <w:color w:val="auto"/>
        </w:rPr>
        <w:t>. For the purposes of this Agreement, “Indemnifiable Person” means any person who is or was a director, officer, trustee, manager, member, partner,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43" w:name="page344"/>
    <w:bookmarkEnd w:id="343"/>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170" w:lineRule="exact"/>
        <w:rPr>
          <w:sz w:val="20"/>
          <w:szCs w:val="20"/>
          <w:color w:val="auto"/>
        </w:rPr>
      </w:pPr>
    </w:p>
    <w:p>
      <w:pPr>
        <w:ind w:right="200" w:firstLine="921"/>
        <w:spacing w:after="0" w:line="264" w:lineRule="auto"/>
        <w:tabs>
          <w:tab w:leader="none" w:pos="116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For purposes of this Agreement, “Independent Counsel” means legal counsel that has not performed services for the Company or Indemnitee in the five years preceding the time in question and that would not, under applicable standards of professional conduct, have a conflict of interest in representing either the Company or Indemnitee.</w:t>
      </w:r>
    </w:p>
    <w:p>
      <w:pPr>
        <w:spacing w:after="0" w:line="181" w:lineRule="exact"/>
        <w:rPr>
          <w:rFonts w:ascii="Arial" w:cs="Arial" w:eastAsia="Arial" w:hAnsi="Arial"/>
          <w:sz w:val="18"/>
          <w:szCs w:val="18"/>
          <w:color w:val="auto"/>
        </w:rPr>
      </w:pPr>
    </w:p>
    <w:p>
      <w:pPr>
        <w:ind w:right="40" w:firstLine="921"/>
        <w:spacing w:after="0" w:line="259" w:lineRule="auto"/>
        <w:tabs>
          <w:tab w:leader="none" w:pos="116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Other Liabilities</w:t>
      </w:r>
      <w:r>
        <w:rPr>
          <w:rFonts w:ascii="Arial" w:cs="Arial" w:eastAsia="Arial" w:hAnsi="Arial"/>
          <w:sz w:val="18"/>
          <w:szCs w:val="18"/>
          <w:color w:val="auto"/>
        </w:rPr>
        <w:t>. For purposes of this Agreement, “Other Liabilities” means any and all liabilities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ERISA (or other benefit plan related) excise taxes or penalties, or amounts paid in settlement).</w:t>
      </w:r>
    </w:p>
    <w:p>
      <w:pPr>
        <w:spacing w:after="0" w:line="186" w:lineRule="exact"/>
        <w:rPr>
          <w:rFonts w:ascii="Arial" w:cs="Arial" w:eastAsia="Arial" w:hAnsi="Arial"/>
          <w:sz w:val="18"/>
          <w:szCs w:val="18"/>
          <w:color w:val="auto"/>
        </w:rPr>
      </w:pPr>
    </w:p>
    <w:p>
      <w:pPr>
        <w:ind w:right="80" w:firstLine="921"/>
        <w:spacing w:after="0" w:line="264" w:lineRule="auto"/>
        <w:tabs>
          <w:tab w:leader="none" w:pos="112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For the purposes of this Agreement, “Proceeding”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181" w:lineRule="exact"/>
        <w:rPr>
          <w:rFonts w:ascii="Arial" w:cs="Arial" w:eastAsia="Arial" w:hAnsi="Arial"/>
          <w:sz w:val="18"/>
          <w:szCs w:val="18"/>
          <w:color w:val="auto"/>
        </w:rPr>
      </w:pPr>
    </w:p>
    <w:p>
      <w:pPr>
        <w:ind w:right="240" w:firstLine="921"/>
        <w:spacing w:after="0" w:line="277" w:lineRule="auto"/>
        <w:tabs>
          <w:tab w:leader="none" w:pos="112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For purposes of this Agreement, “Subsidiary” means any entity of which more than 50% of the outstanding voting securities is owned directly or indirectly by the Company.</w:t>
      </w:r>
    </w:p>
    <w:p>
      <w:pPr>
        <w:spacing w:after="0" w:line="170" w:lineRule="exact"/>
        <w:rPr>
          <w:rFonts w:ascii="Arial" w:cs="Arial" w:eastAsia="Arial" w:hAnsi="Arial"/>
          <w:sz w:val="18"/>
          <w:szCs w:val="18"/>
          <w:color w:val="auto"/>
        </w:rPr>
      </w:pPr>
    </w:p>
    <w:p>
      <w:pPr>
        <w:ind w:firstLine="464"/>
        <w:spacing w:after="0" w:line="257" w:lineRule="auto"/>
        <w:tabs>
          <w:tab w:leader="none" w:pos="63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Agreement to Serve</w:t>
      </w:r>
      <w:r>
        <w:rPr>
          <w:rFonts w:ascii="Arial" w:cs="Arial" w:eastAsia="Arial" w:hAnsi="Arial"/>
          <w:sz w:val="18"/>
          <w:szCs w:val="18"/>
          <w:color w:val="auto"/>
        </w:rPr>
        <w:t>. The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188" w:lineRule="exact"/>
        <w:rPr>
          <w:rFonts w:ascii="Arial" w:cs="Arial" w:eastAsia="Arial" w:hAnsi="Arial"/>
          <w:sz w:val="18"/>
          <w:szCs w:val="18"/>
          <w:color w:val="auto"/>
        </w:rPr>
      </w:pPr>
    </w:p>
    <w:p>
      <w:pPr>
        <w:ind w:left="640" w:hanging="17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00" w:firstLine="921"/>
        <w:spacing w:after="0" w:line="297" w:lineRule="auto"/>
        <w:tabs>
          <w:tab w:leader="none" w:pos="1157"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Agreement to Indemnify</w:t>
      </w:r>
      <w:r>
        <w:rPr>
          <w:rFonts w:ascii="Arial" w:cs="Arial" w:eastAsia="Arial" w:hAnsi="Arial"/>
          <w:sz w:val="16"/>
          <w:szCs w:val="16"/>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not prohibited by the provisions of the Delaware General Corporation Law (“</w:t>
      </w:r>
      <w:r>
        <w:rPr>
          <w:rFonts w:ascii="Arial" w:cs="Arial" w:eastAsia="Arial" w:hAnsi="Arial"/>
          <w:sz w:val="16"/>
          <w:szCs w:val="16"/>
          <w:b w:val="1"/>
          <w:bCs w:val="1"/>
          <w:u w:val="single" w:color="auto"/>
          <w:color w:val="auto"/>
        </w:rPr>
        <w:t>DGCL</w:t>
      </w:r>
      <w:r>
        <w:rPr>
          <w:rFonts w:ascii="Arial" w:cs="Arial" w:eastAsia="Arial" w:hAnsi="Arial"/>
          <w:sz w:val="16"/>
          <w:szCs w:val="16"/>
          <w:color w:val="auto"/>
        </w:rPr>
        <w:t>”), as the same may be amended from time to time (but only to the extent that such amendment permits the Company to provide broader indemnification rights than the DGCL permitted prior to the adoption of such amendment).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3" w:right="299" w:bottom="1440" w:gutter="0" w:footer="0" w:header="0"/>
        </w:sectPr>
      </w:pPr>
    </w:p>
    <w:bookmarkStart w:id="344" w:name="page345"/>
    <w:bookmarkEnd w:id="344"/>
    <w:p>
      <w:pPr>
        <w:ind w:right="80" w:firstLine="921"/>
        <w:spacing w:after="0" w:line="253" w:lineRule="auto"/>
        <w:tabs>
          <w:tab w:leader="none" w:pos="116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Exception for Amounts Covered by Insurance and Other Sources</w:t>
      </w:r>
      <w:r>
        <w:rPr>
          <w:rFonts w:ascii="Arial" w:cs="Arial" w:eastAsia="Arial" w:hAnsi="Arial"/>
          <w:sz w:val="18"/>
          <w:szCs w:val="18"/>
          <w:color w:val="auto"/>
        </w:rPr>
        <w:t xml:space="preserve">. Notwithstanding the foregoing,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by any directors and officers, or other type, of insurance maintained by the Company. Further, </w:t>
      </w:r>
      <w:r>
        <w:rPr>
          <w:rFonts w:ascii="Arial" w:cs="Arial" w:eastAsia="Arial" w:hAnsi="Arial"/>
          <w:sz w:val="18"/>
          <w:szCs w:val="18"/>
          <w:b w:val="1"/>
          <w:bCs w:val="1"/>
          <w:color w:val="auto"/>
        </w:rPr>
        <w:t>[except as provided in Section 3(c),]</w:t>
      </w:r>
      <w:r>
        <w:rPr>
          <w:rFonts w:ascii="Arial" w:cs="Arial" w:eastAsia="Arial" w:hAnsi="Arial"/>
          <w:sz w:val="18"/>
          <w:szCs w:val="18"/>
          <w:color w:val="auto"/>
        </w:rPr>
        <w:t xml:space="preserve">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pursuant to any indemnification arrangement for the benefit of Indemnitee provided by any third party; provided however that this provision shall not limit any such third party’s equitable rights to contribution or indemnification from the Company with respect to amounts so paid by the third party.</w:t>
      </w:r>
    </w:p>
    <w:p>
      <w:pPr>
        <w:spacing w:after="0" w:line="193" w:lineRule="exact"/>
        <w:rPr>
          <w:rFonts w:ascii="Arial" w:cs="Arial" w:eastAsia="Arial" w:hAnsi="Arial"/>
          <w:sz w:val="18"/>
          <w:szCs w:val="18"/>
          <w:color w:val="auto"/>
        </w:rPr>
      </w:pPr>
    </w:p>
    <w:p>
      <w:pPr>
        <w:ind w:left="1160" w:hanging="239"/>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[WHERE SUCH DIRECTOR IS AFFILIATED WITH A VENTURE FUND OR SIMILAR SPONSORING ORGANIZATION]</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Obligations Primary</w:t>
      </w:r>
      <w:r>
        <w:rPr>
          <w:rFonts w:ascii="Arial" w:cs="Arial" w:eastAsia="Arial" w:hAnsi="Arial"/>
          <w:sz w:val="16"/>
          <w:szCs w:val="16"/>
          <w:color w:val="auto"/>
        </w:rPr>
        <w:t>. The Company hereby acknowledges that Indemnitee has or may from time to time obtain certain rights to indemnification for or advancement of Expenses and Other Liabilities and/or insurance provided by [name of VC or other sponsoring organization] (“</w:t>
      </w:r>
      <w:r>
        <w:rPr>
          <w:rFonts w:ascii="Arial" w:cs="Arial" w:eastAsia="Arial" w:hAnsi="Arial"/>
          <w:sz w:val="16"/>
          <w:szCs w:val="16"/>
          <w:b w:val="1"/>
          <w:bCs w:val="1"/>
          <w:u w:val="single" w:color="auto"/>
          <w:color w:val="auto"/>
        </w:rPr>
        <w:t>Other Indemnitor</w:t>
      </w:r>
      <w:r>
        <w:rPr>
          <w:rFonts w:ascii="Arial" w:cs="Arial" w:eastAsia="Arial" w:hAnsi="Arial"/>
          <w:sz w:val="16"/>
          <w:szCs w:val="16"/>
          <w:color w:val="auto"/>
        </w:rPr>
        <w:t>”). The Company agrees with Indemnitee that the Company is the indemnitor of first resort of Indemnitee with respect to matters for which indemnification is provided under this Agreement (i.e., its obligations to Indemnitee are primary and any obligation of the Other Indemnitor to advance of expenses or to provide indemnification for the same expenses or liabilities incurred by Indemnitee are secondary) and that the Company will be obligated to make all payments due to or for the benefit of Indemnitee under this Agreement without regard to any rights that Indemnitee may have against the Other Indemnitor.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indemnify Indemnitee for such Expenses or Other Liabilities hereunder. In the event that the Company provides any such repayment to the Other Indemnitor, the Company shall not be obligated to reimburse the Indemnitee for any Expenses or Other Liabilities related to such repayments. The Company will not assert that the Indemnitee must seek expense advancement or reimbursement, or indemnification, from the Other Indemnitor before the Company must perform its expense advancement and reimbursement, and indemnification obligations, under this Agreement. No advancement or payment by the Other Indemnitor on behalf of Indemnitee with respect to any claim for which Indemnitee has sought indemnification from the Company shall affect the foregoing. The Other Indemnitor shall be subrogated to the extent of such advancement or payment to all of the rights of recovery which Indemnitee would have had against the Company if the Other Indemnitor had not advanced or paid any amount to or on behalf of Indemnitee. If for any reason a court of competent jurisdiction determines that the Other Indemnitor is not entitled to the subrogation rights described in the preceding sentence, the Other Indemnitor shall have the right of contribution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to the Other Indemnitor with respect to any advance or payment by the Other Indemnitor to or on behalf of the Indemnitee.]</w:t>
      </w:r>
    </w:p>
    <w:p>
      <w:pPr>
        <w:spacing w:after="0" w:line="225" w:lineRule="exact"/>
        <w:rPr>
          <w:sz w:val="20"/>
          <w:szCs w:val="20"/>
          <w:color w:val="auto"/>
        </w:rPr>
      </w:pPr>
    </w:p>
    <w:p>
      <w:pPr>
        <w:ind w:right="80" w:firstLine="464"/>
        <w:spacing w:after="0" w:line="255" w:lineRule="auto"/>
        <w:tabs>
          <w:tab w:leader="none" w:pos="636"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the provisions of the DGCL.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93" w:lineRule="exact"/>
        <w:rPr>
          <w:rFonts w:ascii="Arial" w:cs="Arial" w:eastAsia="Arial" w:hAnsi="Arial"/>
          <w:sz w:val="18"/>
          <w:szCs w:val="18"/>
          <w:color w:val="auto"/>
        </w:rPr>
      </w:pPr>
    </w:p>
    <w:p>
      <w:pPr>
        <w:ind w:firstLine="464"/>
        <w:spacing w:after="0" w:line="288" w:lineRule="auto"/>
        <w:tabs>
          <w:tab w:leader="none" w:pos="636"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Liability Insurance</w:t>
      </w:r>
      <w:r>
        <w:rPr>
          <w:rFonts w:ascii="Arial" w:cs="Arial" w:eastAsia="Arial" w:hAnsi="Arial"/>
          <w:sz w:val="16"/>
          <w:szCs w:val="16"/>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 (i) 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replacement or substitute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w:t>
      </w:r>
    </w:p>
    <w:p>
      <w:pPr>
        <w:spacing w:after="0" w:line="169" w:lineRule="exact"/>
        <w:rPr>
          <w:rFonts w:ascii="Arial" w:cs="Arial" w:eastAsia="Arial" w:hAnsi="Arial"/>
          <w:sz w:val="16"/>
          <w:szCs w:val="16"/>
          <w:color w:val="auto"/>
        </w:rPr>
      </w:pPr>
    </w:p>
    <w:p>
      <w:pPr>
        <w:ind w:right="100" w:firstLine="464"/>
        <w:spacing w:after="0" w:line="270" w:lineRule="auto"/>
        <w:tabs>
          <w:tab w:leader="none" w:pos="636"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Mandatory Advancement of Expenses</w:t>
      </w:r>
      <w:r>
        <w:rPr>
          <w:rFonts w:ascii="Arial" w:cs="Arial" w:eastAsia="Arial" w:hAnsi="Arial"/>
          <w:sz w:val="17"/>
          <w:szCs w:val="17"/>
          <w:color w:val="auto"/>
        </w:rPr>
        <w:t>. If requested by Indemnitee, the Company shall advance prior to the final disposition of the Proceeding all Expenses reasonably incurred by Indemnitee in connection with (including in preparation for) a Proceeding related to an Indemnifiable Event. Indemnitee hereby undertakes to repay such amounts advanced if, and only if and to the extent that, it shall ultimately be determined that Indemnitee is not entitled to be indemnified by the Company under the provisions of this Agreement, the Company’s Bylaws or the DGCL; it being understood that if Indemnitee is entitled to be indemnified by the Company under any of this Agreement, the Company’s Bylaws or the DGCL, Indemnitee shall not be required to repay such amounts advanced to the extent they relate to such matter(s) for which Indemnitee is entitled to such indemnification. The advances to be made hereunder shall be paid by the Company to Indemnitee or directly to a third party designated by Indemnitee within thirty (30) days following delivery of a written request therefor by Indemnitee to the Company. Indemnitee’s undertaking to repay any Expenses advanced to Indemnitee hereunder shall be unsecured and shall not be subject to the accrual or payment of any interest thereon.</w:t>
      </w:r>
    </w:p>
    <w:p>
      <w:pPr>
        <w:spacing w:after="0" w:line="181" w:lineRule="exact"/>
        <w:rPr>
          <w:rFonts w:ascii="Arial" w:cs="Arial" w:eastAsia="Arial" w:hAnsi="Arial"/>
          <w:sz w:val="17"/>
          <w:szCs w:val="17"/>
          <w:color w:val="auto"/>
        </w:rPr>
      </w:pPr>
    </w:p>
    <w:p>
      <w:pPr>
        <w:ind w:left="640" w:hanging="17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Notice and Other Indemnification Procedures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46" w:name="page347"/>
    <w:bookmarkEnd w:id="346"/>
    <w:p>
      <w:pPr>
        <w:ind w:right="100" w:firstLine="921"/>
        <w:spacing w:after="0" w:line="257" w:lineRule="auto"/>
        <w:tabs>
          <w:tab w:leader="none" w:pos="1157"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w:t>
      </w:r>
      <w:r>
        <w:rPr>
          <w:rFonts w:ascii="Arial" w:cs="Arial" w:eastAsia="Arial" w:hAnsi="Arial"/>
          <w:sz w:val="18"/>
          <w:szCs w:val="18"/>
          <w:color w:val="auto"/>
        </w:rPr>
        <w:t>. Promptly after receipt by Indemnitee of notice of the commencement of or the threat of commencement of any Proceeding, Indemnitee shall, if Indemnitee believes that indemnification or advancement of Expenses with respect thereto may be sought from the Company under this Agreement, notify the Company of the commencement or threat of commencement thereof. However, a failure so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w:t>
      </w:r>
    </w:p>
    <w:p>
      <w:pPr>
        <w:spacing w:after="0" w:line="188" w:lineRule="exact"/>
        <w:rPr>
          <w:rFonts w:ascii="Arial" w:cs="Arial" w:eastAsia="Arial" w:hAnsi="Arial"/>
          <w:sz w:val="18"/>
          <w:szCs w:val="18"/>
          <w:color w:val="auto"/>
        </w:rPr>
      </w:pPr>
    </w:p>
    <w:p>
      <w:pPr>
        <w:ind w:right="40" w:firstLine="921"/>
        <w:spacing w:after="0" w:line="302" w:lineRule="auto"/>
        <w:tabs>
          <w:tab w:leader="none" w:pos="1168"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Insurance and Other Matters</w:t>
      </w:r>
      <w:r>
        <w:rPr>
          <w:rFonts w:ascii="Arial" w:cs="Arial" w:eastAsia="Arial" w:hAnsi="Arial"/>
          <w:sz w:val="16"/>
          <w:szCs w:val="16"/>
          <w:color w:val="auto"/>
        </w:rPr>
        <w:t>. If, at the time of the receipt of a notice of the commencement of a Proceeding pursuant to Section 7(a) above, the Company has director and officer liability insurance in effect, the Company shall give prompt notice of the commencement of such Proceeding to the issuers in accordance with the procedures set forth in the respective policies. The Company shall thereafter take all reasonable action to cause such insurers to pay, on behalf of Indemnitee, all amounts payable as a result of such Proceeding in accordance with the terms of such insurance policies.</w:t>
      </w:r>
    </w:p>
    <w:p>
      <w:pPr>
        <w:spacing w:after="0" w:line="154" w:lineRule="exact"/>
        <w:rPr>
          <w:rFonts w:ascii="Arial" w:cs="Arial" w:eastAsia="Arial" w:hAnsi="Arial"/>
          <w:sz w:val="16"/>
          <w:szCs w:val="16"/>
          <w:color w:val="auto"/>
        </w:rPr>
      </w:pPr>
    </w:p>
    <w:p>
      <w:pPr>
        <w:ind w:firstLine="921"/>
        <w:spacing w:after="0" w:line="284" w:lineRule="auto"/>
        <w:tabs>
          <w:tab w:leader="none" w:pos="1157"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Assumption of Defense</w:t>
      </w:r>
      <w:r>
        <w:rPr>
          <w:rFonts w:ascii="Arial" w:cs="Arial" w:eastAsia="Arial" w:hAnsi="Arial"/>
          <w:sz w:val="16"/>
          <w:szCs w:val="16"/>
          <w:color w:val="auto"/>
        </w:rPr>
        <w:t>. In the event the Company shall be obligated to advance the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conditioned or delayed) of counsel designated by the Company and the retention of such counsel by the Company, the Company will not be liable to Indemnitee under this Agreement for any fees and expenses of counsel subsequently incurred by Indemnitee with respect to the same Proceeding. If (i) the employment of counsel by Indemnitee has been previously authorized by the Company,</w:t>
      </w:r>
    </w:p>
    <w:p>
      <w:pPr>
        <w:spacing w:after="0" w:line="2" w:lineRule="exact"/>
        <w:rPr>
          <w:rFonts w:ascii="Arial" w:cs="Arial" w:eastAsia="Arial" w:hAnsi="Arial"/>
          <w:sz w:val="16"/>
          <w:szCs w:val="16"/>
          <w:color w:val="auto"/>
        </w:rPr>
      </w:pPr>
    </w:p>
    <w:p>
      <w:pPr>
        <w:ind w:right="40" w:firstLine="8"/>
        <w:spacing w:after="0" w:line="254" w:lineRule="auto"/>
        <w:tabs>
          <w:tab w:leader="none" w:pos="26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Indemnitee shall have notified the Board in writing that Indemnitee has reasonably concluded that there is likely to be a conflict of interest between the Company and Indemnitee in the conduct of any such defense, or (iii) the Company fails to employ counsel to assume the defense of such Proceeding, the fees and expenses of Indemnitee’s counsel shall be subject to indemnification and/or advancement pursuant to the terms of this Agreement. Nothing herein shall prevent Indemnitee from employing counsel for any such Proceeding at Indemnitee’s expense.</w:t>
      </w:r>
    </w:p>
    <w:p>
      <w:pPr>
        <w:spacing w:after="0" w:line="189" w:lineRule="exact"/>
        <w:rPr>
          <w:rFonts w:ascii="Arial" w:cs="Arial" w:eastAsia="Arial" w:hAnsi="Arial"/>
          <w:sz w:val="18"/>
          <w:szCs w:val="18"/>
          <w:color w:val="auto"/>
        </w:rPr>
      </w:pPr>
    </w:p>
    <w:p>
      <w:pPr>
        <w:ind w:right="80" w:firstLine="921"/>
        <w:spacing w:after="0" w:line="291" w:lineRule="auto"/>
        <w:tabs>
          <w:tab w:leader="none" w:pos="1168"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The Company shall not be liable to indemnify Indemnitee under this Agreement or otherwise for any amounts paid in settlement of any Proceeding effected without the Company’s written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in Control has occurred, the Company shall be liable for indemnification of Indemnitee for amounts paid in settlement if the Independent Counsel (selected in accordance with Section 8(c) below)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unless such settlement is purely monetary, fully releases Indemnitee of all liability associated with such Proceeding and has been consented to by the Independent Directors. Neither the Company nor Indemnitee shall unreasonably withhold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47" w:name="page348"/>
    <w:bookmarkEnd w:id="347"/>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from any settlement of any Proceeding. The Company shall not, on its own behalf, settle any part of any Proceeding to which Indemnitee is party with respect to other parties (including the Company) without the written consent of Indemnitee if any portion of such settlement is to be funded from insurance proceeds from insurance policies as to which Indemnitee is an insured party unless approved by either (i) the written consent of Indemnitee or (ii) a majority of the Independent Directors; provided, however, that the right to constrain the Company’s use of corporate insurance as described in this section shall terminate at the time the Company concludes (per the terms of this Agreement) that (x) Indemnitee is not entitled to indemnification pursuant to this Agreement, or (y) such indemnification obligation to Indemnitee has been fully discharged by the Company.</w:t>
      </w:r>
    </w:p>
    <w:p>
      <w:pPr>
        <w:spacing w:after="0" w:line="178" w:lineRule="exact"/>
        <w:rPr>
          <w:sz w:val="20"/>
          <w:szCs w:val="20"/>
          <w:color w:val="auto"/>
        </w:rPr>
      </w:pPr>
    </w:p>
    <w:p>
      <w:pPr>
        <w:ind w:left="640" w:hanging="176"/>
        <w:spacing w:after="0"/>
        <w:tabs>
          <w:tab w:leader="none" w:pos="64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40" w:firstLine="921"/>
        <w:spacing w:after="0" w:line="264" w:lineRule="auto"/>
        <w:tabs>
          <w:tab w:leader="none" w:pos="1157"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Success on the Merits or Otherwise</w:t>
      </w:r>
      <w:r>
        <w:rPr>
          <w:rFonts w:ascii="Arial" w:cs="Arial" w:eastAsia="Arial" w:hAnsi="Arial"/>
          <w:sz w:val="18"/>
          <w:szCs w:val="18"/>
          <w:color w:val="auto"/>
        </w:rPr>
        <w:t>. To the extent that Indemnitee has been successful on the merits or otherwise in defense of any Proceeding referred to in Section 3(a) above or in the defense of any claim, issue or matter described therein, the Company shall indemnify Indemnitee against Expenses actually and reasonably incurred in connection therewith.</w:t>
      </w:r>
    </w:p>
    <w:p>
      <w:pPr>
        <w:spacing w:after="0" w:line="181" w:lineRule="exact"/>
        <w:rPr>
          <w:rFonts w:ascii="Arial" w:cs="Arial" w:eastAsia="Arial" w:hAnsi="Arial"/>
          <w:sz w:val="18"/>
          <w:szCs w:val="18"/>
          <w:color w:val="auto"/>
        </w:rPr>
      </w:pPr>
    </w:p>
    <w:p>
      <w:pPr>
        <w:ind w:firstLine="921"/>
        <w:spacing w:after="0" w:line="342" w:lineRule="auto"/>
        <w:tabs>
          <w:tab w:leader="none" w:pos="1168"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Indemnification in Other Situations</w:t>
      </w:r>
      <w:r>
        <w:rPr>
          <w:rFonts w:ascii="Arial" w:cs="Arial" w:eastAsia="Arial" w:hAnsi="Arial"/>
          <w:sz w:val="16"/>
          <w:szCs w:val="16"/>
          <w:color w:val="auto"/>
        </w:rPr>
        <w:t>. In the event that Section 8(a) is inapplicable, the Company shall also indemnify Indemnitee if Indemnitee has not failed to meet the applicable standard of conduct for indemnification, as determined by the process set forth in Sections 8(c) and 8(d) below.</w:t>
      </w:r>
    </w:p>
    <w:p>
      <w:pPr>
        <w:spacing w:after="0" w:line="123" w:lineRule="exact"/>
        <w:rPr>
          <w:rFonts w:ascii="Arial" w:cs="Arial" w:eastAsia="Arial" w:hAnsi="Arial"/>
          <w:sz w:val="16"/>
          <w:szCs w:val="16"/>
          <w:color w:val="auto"/>
        </w:rPr>
      </w:pPr>
    </w:p>
    <w:p>
      <w:pPr>
        <w:ind w:right="140" w:firstLine="921"/>
        <w:spacing w:after="0" w:line="277" w:lineRule="auto"/>
        <w:tabs>
          <w:tab w:leader="none" w:pos="1157"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Forum</w:t>
      </w:r>
      <w:r>
        <w:rPr>
          <w:rFonts w:ascii="Arial" w:cs="Arial" w:eastAsia="Arial" w:hAnsi="Arial"/>
          <w:sz w:val="18"/>
          <w:szCs w:val="18"/>
          <w:color w:val="auto"/>
        </w:rPr>
        <w:t>. Indemnitee shall be entitled to select the forum in which determination of whether or not Indemnitee has met the applicable standard of conduct shall be decided, and such election will be made from among the following:</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Those members of the Board who are Independent Directors even though less than a quorum;</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2"/>
          <w:numId w:val="279"/>
        </w:numPr>
        <w:rPr>
          <w:rFonts w:ascii="Arial" w:cs="Arial" w:eastAsia="Arial" w:hAnsi="Arial"/>
          <w:sz w:val="16"/>
          <w:szCs w:val="16"/>
          <w:color w:val="auto"/>
        </w:rPr>
      </w:pPr>
      <w:r>
        <w:rPr>
          <w:rFonts w:ascii="Arial" w:cs="Arial" w:eastAsia="Arial" w:hAnsi="Arial"/>
          <w:sz w:val="16"/>
          <w:szCs w:val="16"/>
          <w:color w:val="auto"/>
        </w:rPr>
        <w:t>A committee of Independent Directors designated by a majority vote of Independent Directors, even though less than a quorum; or</w:t>
      </w:r>
    </w:p>
    <w:p>
      <w:pPr>
        <w:spacing w:after="0" w:line="248" w:lineRule="exact"/>
        <w:rPr>
          <w:rFonts w:ascii="Arial" w:cs="Arial" w:eastAsia="Arial" w:hAnsi="Arial"/>
          <w:sz w:val="16"/>
          <w:szCs w:val="16"/>
          <w:color w:val="auto"/>
        </w:rPr>
      </w:pPr>
    </w:p>
    <w:p>
      <w:pPr>
        <w:ind w:right="680" w:firstLine="1492"/>
        <w:spacing w:after="0" w:line="277" w:lineRule="auto"/>
        <w:tabs>
          <w:tab w:leader="none" w:pos="1738" w:val="left"/>
        </w:tabs>
        <w:numPr>
          <w:ilvl w:val="2"/>
          <w:numId w:val="279"/>
        </w:numPr>
        <w:rPr>
          <w:rFonts w:ascii="Arial" w:cs="Arial" w:eastAsia="Arial" w:hAnsi="Arial"/>
          <w:sz w:val="18"/>
          <w:szCs w:val="18"/>
          <w:color w:val="auto"/>
        </w:rPr>
      </w:pPr>
      <w:r>
        <w:rPr>
          <w:rFonts w:ascii="Arial" w:cs="Arial" w:eastAsia="Arial" w:hAnsi="Arial"/>
          <w:sz w:val="18"/>
          <w:szCs w:val="18"/>
          <w:color w:val="auto"/>
        </w:rPr>
        <w:t>Independent Counsel selected by Indemnitee and approved by the Board, which approval may not be unreasonably withheld, conditioned or delayed, which counsel shall make such determination in a written opinion.</w:t>
      </w:r>
    </w:p>
    <w:p>
      <w:pPr>
        <w:spacing w:after="0" w:line="170"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If Indemnitee is an officer or a director of the Company at the time that Indemnitee is selecting the forum, then Indemnitee shall not select Independent Counsel as such forum unless there are no Independent Directors or unless the Independent Directors agree to the selection of Independent Counsel as the forum.</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selected forum shall be referred to herein as the “Reviewing Party”. Notwithstanding the foregoing, following any Change in Control, the Reviewing Party shall be Independent Counsel selected in the manner provided in (3) above.</w:t>
      </w:r>
    </w:p>
    <w:p>
      <w:pPr>
        <w:spacing w:after="0" w:line="170" w:lineRule="exact"/>
        <w:rPr>
          <w:sz w:val="20"/>
          <w:szCs w:val="20"/>
          <w:color w:val="auto"/>
        </w:rPr>
      </w:pPr>
    </w:p>
    <w:p>
      <w:pPr>
        <w:ind w:right="340" w:firstLine="921"/>
        <w:spacing w:after="0" w:line="277" w:lineRule="auto"/>
        <w:tabs>
          <w:tab w:leader="none" w:pos="1168"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Decision Timing and Expenses</w:t>
      </w:r>
      <w:r>
        <w:rPr>
          <w:rFonts w:ascii="Arial" w:cs="Arial" w:eastAsia="Arial" w:hAnsi="Arial"/>
          <w:sz w:val="18"/>
          <w:szCs w:val="18"/>
          <w:color w:val="auto"/>
        </w:rPr>
        <w:t>. As soon as practicable, and in no event later than thirty (30) days after receipt by the Company of written notice of Indemnitee’s choice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48" w:name="page349"/>
    <w:bookmarkEnd w:id="348"/>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forum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58" w:lineRule="exact"/>
        <w:rPr>
          <w:sz w:val="20"/>
          <w:szCs w:val="20"/>
          <w:color w:val="auto"/>
        </w:rPr>
      </w:pPr>
    </w:p>
    <w:p>
      <w:pPr>
        <w:ind w:firstLine="921"/>
        <w:spacing w:after="0" w:line="279" w:lineRule="auto"/>
        <w:tabs>
          <w:tab w:leader="none" w:pos="1157"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Delaware Court of Chancery</w:t>
      </w:r>
      <w:r>
        <w:rPr>
          <w:rFonts w:ascii="Arial" w:cs="Arial" w:eastAsia="Arial" w:hAnsi="Arial"/>
          <w:sz w:val="17"/>
          <w:szCs w:val="17"/>
          <w:color w:val="auto"/>
        </w:rPr>
        <w:t>. Notwithstanding a final determination by any Reviewing Party that Indemnitee is not entitled to indemnification with respect to a specific Proceeding, Indemnitee shall have the right to apply to the Court of Chancery, for the purpose of enforcing Indemnitee’s right to indemnification pursuant to this Agreement; it being understood that the Court of Chancery shall be the exclusive forum for enforcing Indemnitee’s right to indemnification pursuant to this Agreement following the determination by the Reviewing Party.</w:t>
      </w:r>
    </w:p>
    <w:p>
      <w:pPr>
        <w:spacing w:after="0" w:line="171" w:lineRule="exact"/>
        <w:rPr>
          <w:rFonts w:ascii="Arial" w:cs="Arial" w:eastAsia="Arial" w:hAnsi="Arial"/>
          <w:sz w:val="17"/>
          <w:szCs w:val="17"/>
          <w:color w:val="auto"/>
        </w:rPr>
      </w:pPr>
    </w:p>
    <w:p>
      <w:pPr>
        <w:ind w:right="40" w:firstLine="921"/>
        <w:spacing w:after="0" w:line="279" w:lineRule="auto"/>
        <w:tabs>
          <w:tab w:leader="none" w:pos="1138"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indemnify Indemnitee against all Expenses incurred by Indemnitee in connection with any hearing or Proceeding under this Section 8 involving Indemnitee and against all Expenses and Other Liabilities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171" w:lineRule="exact"/>
        <w:rPr>
          <w:rFonts w:ascii="Arial" w:cs="Arial" w:eastAsia="Arial" w:hAnsi="Arial"/>
          <w:sz w:val="17"/>
          <w:szCs w:val="17"/>
          <w:color w:val="auto"/>
        </w:rPr>
      </w:pPr>
    </w:p>
    <w:p>
      <w:pPr>
        <w:ind w:right="100" w:firstLine="921"/>
        <w:spacing w:after="0" w:line="286" w:lineRule="auto"/>
        <w:tabs>
          <w:tab w:leader="none" w:pos="1168"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Determination of “Good Faith”</w:t>
      </w:r>
      <w:r>
        <w:rPr>
          <w:rFonts w:ascii="Arial" w:cs="Arial" w:eastAsia="Arial" w:hAnsi="Arial"/>
          <w:sz w:val="16"/>
          <w:szCs w:val="16"/>
          <w:color w:val="auto"/>
        </w:rPr>
        <w:t>. For purposes of any determination of whether Indemnitee acted in “good faith,” Indemnitee shall be deemed to have acted in good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Indemnifiable Person shall not be imputed to Indemnitee for purposes of determining the right to indemnification hereunder.</w:t>
      </w:r>
    </w:p>
    <w:p>
      <w:pPr>
        <w:spacing w:after="0" w:line="225" w:lineRule="exact"/>
        <w:rPr>
          <w:sz w:val="20"/>
          <w:szCs w:val="20"/>
          <w:color w:val="auto"/>
        </w:rPr>
      </w:pPr>
    </w:p>
    <w:p>
      <w:pPr>
        <w:ind w:left="640" w:hanging="176"/>
        <w:spacing w:after="0"/>
        <w:tabs>
          <w:tab w:leader="none" w:pos="64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Any other provision herein to the contrary notwithstanding,</w:t>
      </w:r>
    </w:p>
    <w:p>
      <w:pPr>
        <w:spacing w:after="0" w:line="225" w:lineRule="exact"/>
        <w:rPr>
          <w:rFonts w:ascii="Arial" w:cs="Arial" w:eastAsia="Arial" w:hAnsi="Arial"/>
          <w:sz w:val="18"/>
          <w:szCs w:val="18"/>
          <w:color w:val="auto"/>
        </w:rPr>
      </w:pPr>
    </w:p>
    <w:p>
      <w:pPr>
        <w:ind w:right="220" w:firstLine="921"/>
        <w:spacing w:after="0" w:line="271" w:lineRule="auto"/>
        <w:tabs>
          <w:tab w:leader="none" w:pos="1157"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Claims Initiated by Indemnitee</w:t>
      </w:r>
      <w:r>
        <w:rPr>
          <w:rFonts w:ascii="Arial" w:cs="Arial" w:eastAsia="Arial" w:hAnsi="Arial"/>
          <w:sz w:val="17"/>
          <w:szCs w:val="17"/>
          <w:color w:val="auto"/>
        </w:rPr>
        <w:t>. The Company shall not be obligated pursuant to the terms of this Agreement to indemnify or advance Expenses to Indemnitee with respect to Proceedings or claims initiated or brought voluntarily by Indemnitee and not by way of defense, except (i) with respect to Proceedings brought to establish or enforce a right to indemnification under this Agreement, any other statute or law, as permitted under Section 145, or otherwise, (ii) where the Board has consented to the initiation of such Proceeding, or (iii) with respect to Proceedings brought to discharge Indemnitee’s fiduciary responsibilities, whether under ERISA or otherwise, but such indemnification or advancement of Expenses may be provided by the Company in specific cases if the Board finds it to be appropriate; provided that these exceptions shall not apply to Proceedings in which Indemnitee is engaged in conduct protected by any whistleblower statute, the up-the-ladder provisions of Section 307 of the Sarbanes-Oxley Act of 2002 (the “</w:t>
      </w:r>
      <w:r>
        <w:rPr>
          <w:rFonts w:ascii="Arial" w:cs="Arial" w:eastAsia="Arial" w:hAnsi="Arial"/>
          <w:sz w:val="17"/>
          <w:szCs w:val="17"/>
          <w:b w:val="1"/>
          <w:bCs w:val="1"/>
          <w:i w:val="1"/>
          <w:iCs w:val="1"/>
          <w:color w:val="auto"/>
        </w:rPr>
        <w:t>Sarbanes-Oxley Act</w:t>
      </w:r>
      <w:r>
        <w:rPr>
          <w:rFonts w:ascii="Arial" w:cs="Arial" w:eastAsia="Arial" w:hAnsi="Arial"/>
          <w:sz w:val="17"/>
          <w:szCs w:val="17"/>
          <w:color w:val="auto"/>
        </w:rPr>
        <w:t>”), or any similar provision of any applicable federal, state or foreign securities law; or</w:t>
      </w:r>
    </w:p>
    <w:p>
      <w:pPr>
        <w:spacing w:after="0" w:line="178" w:lineRule="exact"/>
        <w:rPr>
          <w:rFonts w:ascii="Arial" w:cs="Arial" w:eastAsia="Arial" w:hAnsi="Arial"/>
          <w:sz w:val="17"/>
          <w:szCs w:val="17"/>
          <w:color w:val="auto"/>
        </w:rPr>
      </w:pPr>
    </w:p>
    <w:p>
      <w:pPr>
        <w:ind w:right="160" w:firstLine="921"/>
        <w:spacing w:after="0" w:line="259" w:lineRule="auto"/>
        <w:tabs>
          <w:tab w:leader="none" w:pos="1168"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Section 16(b) Actions</w:t>
      </w:r>
      <w:r>
        <w:rPr>
          <w:rFonts w:ascii="Arial" w:cs="Arial" w:eastAsia="Arial" w:hAnsi="Arial"/>
          <w:sz w:val="18"/>
          <w:szCs w:val="18"/>
          <w:color w:val="auto"/>
        </w:rPr>
        <w:t>. The Company shall not be obligated pursuant to the terms of this Agreement to indemnify Indemnitee on account of any suit in which judgment is rendered against Indemnitee for an accounting of profits made from the purchase or sale by Indemnitee of securities of the Company pursuant to the provisions of Section 16(b) of the Securities Exchange Act of l934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amendments thereto or similar provisions of any federal, state or local statutory law; or</w:t>
      </w:r>
    </w:p>
    <w:p>
      <w:pPr>
        <w:spacing w:after="0" w:line="186" w:lineRule="exact"/>
        <w:rPr>
          <w:rFonts w:ascii="Arial" w:cs="Arial" w:eastAsia="Arial" w:hAnsi="Arial"/>
          <w:sz w:val="18"/>
          <w:szCs w:val="18"/>
          <w:color w:val="auto"/>
        </w:rPr>
      </w:pPr>
    </w:p>
    <w:p>
      <w:pPr>
        <w:ind w:right="100" w:firstLine="921"/>
        <w:spacing w:after="0" w:line="273" w:lineRule="auto"/>
        <w:tabs>
          <w:tab w:leader="none" w:pos="1157"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Exchange Act Reimbursement</w:t>
      </w:r>
      <w:r>
        <w:rPr>
          <w:rFonts w:ascii="Arial" w:cs="Arial" w:eastAsia="Arial" w:hAnsi="Arial"/>
          <w:sz w:val="17"/>
          <w:szCs w:val="17"/>
          <w:color w:val="auto"/>
        </w:rPr>
        <w:t>. The Company shall not be obligated pursuant to the terms of this Agreement to indemnify Indemnitee on account of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or Section 954 of the Dodd Frank Wall Street Reform and Consumer Protection Act (“</w:t>
      </w:r>
      <w:r>
        <w:rPr>
          <w:rFonts w:ascii="Arial" w:cs="Arial" w:eastAsia="Arial" w:hAnsi="Arial"/>
          <w:sz w:val="17"/>
          <w:szCs w:val="17"/>
          <w:b w:val="1"/>
          <w:bCs w:val="1"/>
          <w:i w:val="1"/>
          <w:iCs w:val="1"/>
          <w:color w:val="auto"/>
        </w:rPr>
        <w:t>Dodd Frank Act</w:t>
      </w:r>
      <w:r>
        <w:rPr>
          <w:rFonts w:ascii="Arial" w:cs="Arial" w:eastAsia="Arial" w:hAnsi="Arial"/>
          <w:sz w:val="17"/>
          <w:szCs w:val="17"/>
          <w:color w:val="auto"/>
        </w:rPr>
        <w:t>”), or the payment to the Company of profits arising from the purchase and sale by Indemnitee of securities in violation of Section 306 of the Sarbanes-Oxley Act); or</w:t>
      </w:r>
    </w:p>
    <w:p>
      <w:pPr>
        <w:spacing w:after="0" w:line="178" w:lineRule="exact"/>
        <w:rPr>
          <w:rFonts w:ascii="Arial" w:cs="Arial" w:eastAsia="Arial" w:hAnsi="Arial"/>
          <w:sz w:val="17"/>
          <w:szCs w:val="17"/>
          <w:color w:val="auto"/>
        </w:rPr>
      </w:pPr>
    </w:p>
    <w:p>
      <w:pPr>
        <w:jc w:val="both"/>
        <w:ind w:right="120" w:firstLine="921"/>
        <w:spacing w:after="0" w:line="264" w:lineRule="auto"/>
        <w:tabs>
          <w:tab w:leader="none" w:pos="1168"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Unlawful Indemnification</w:t>
      </w:r>
      <w:r>
        <w:rPr>
          <w:rFonts w:ascii="Arial" w:cs="Arial" w:eastAsia="Arial" w:hAnsi="Arial"/>
          <w:sz w:val="18"/>
          <w:szCs w:val="18"/>
          <w:color w:val="auto"/>
        </w:rPr>
        <w:t>. The Company shall not be obligated pursuant to the terms of this Agreement to indemnify Indemnitee for Other Liabilities if such indemnification is prohibited by law, if so established by a non-appealable judgment or other final non-appealable adjudication adverse to Indemnitee.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 of the foregoing, (i) Indemnitee is entitled to receive advancement of Expenses for the defense of any Proceeding referenced in subsections (b) or (c) above; and (ii) if Indemnitee is required to make a payment in a Proceeding described in subsection (c), and no court in any such Proceeding has found that Indemnitee personally engaged in acts or omissions outside the scope of indemnification, Indemnitee shall not be required to repay such advancement of Expenses.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350" w:name="page351"/>
    <w:bookmarkEnd w:id="350"/>
    <w:p>
      <w:pPr>
        <w:ind w:left="-8" w:right="20" w:firstLine="464"/>
        <w:spacing w:after="0" w:line="255" w:lineRule="auto"/>
        <w:tabs>
          <w:tab w:leader="none" w:pos="718"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Non-exclusivity</w:t>
      </w:r>
      <w:r>
        <w:rPr>
          <w:rFonts w:ascii="Arial" w:cs="Arial" w:eastAsia="Arial" w:hAnsi="Arial"/>
          <w:sz w:val="18"/>
          <w:szCs w:val="18"/>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 and Indemnitee’s rights hereunder shall continue after Indemnitee has ceased serving the Company or a Subsidiary or Affiliate as an Indemnifiable Person and shall inure to the benefit of the heirs, executors and administrators of Indemnitee.</w:t>
      </w:r>
    </w:p>
    <w:p>
      <w:pPr>
        <w:spacing w:after="0" w:line="193" w:lineRule="exact"/>
        <w:rPr>
          <w:rFonts w:ascii="Arial" w:cs="Arial" w:eastAsia="Arial" w:hAnsi="Arial"/>
          <w:sz w:val="18"/>
          <w:szCs w:val="18"/>
          <w:color w:val="auto"/>
        </w:rPr>
      </w:pPr>
    </w:p>
    <w:p>
      <w:pPr>
        <w:ind w:left="-8" w:firstLine="464"/>
        <w:spacing w:after="0" w:line="273" w:lineRule="auto"/>
        <w:tabs>
          <w:tab w:leader="none" w:pos="712"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78" w:lineRule="exact"/>
        <w:rPr>
          <w:rFonts w:ascii="Arial" w:cs="Arial" w:eastAsia="Arial" w:hAnsi="Arial"/>
          <w:sz w:val="17"/>
          <w:szCs w:val="17"/>
          <w:color w:val="auto"/>
        </w:rPr>
      </w:pPr>
    </w:p>
    <w:p>
      <w:pPr>
        <w:ind w:left="-8" w:firstLine="464"/>
        <w:spacing w:after="0" w:line="264" w:lineRule="auto"/>
        <w:tabs>
          <w:tab w:leader="none" w:pos="718"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81" w:lineRule="exact"/>
        <w:rPr>
          <w:rFonts w:ascii="Arial" w:cs="Arial" w:eastAsia="Arial" w:hAnsi="Arial"/>
          <w:sz w:val="18"/>
          <w:szCs w:val="18"/>
          <w:color w:val="auto"/>
        </w:rPr>
      </w:pPr>
    </w:p>
    <w:p>
      <w:pPr>
        <w:ind w:left="-8" w:right="140" w:firstLine="464"/>
        <w:spacing w:after="0" w:line="270" w:lineRule="auto"/>
        <w:tabs>
          <w:tab w:leader="none" w:pos="718"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In the event of a Change in Control, the Company shall maintain in force any and all directors’ and officers’ liability insurance policies and fiduciary liability insurance policies then maintained by the Company in a manner that will continue to provide coverage to the individual insureds under these policies for a period of six years after such Change of Control.</w:t>
      </w:r>
    </w:p>
    <w:p>
      <w:pPr>
        <w:spacing w:after="0" w:line="181" w:lineRule="exact"/>
        <w:rPr>
          <w:rFonts w:ascii="Arial" w:cs="Arial" w:eastAsia="Arial" w:hAnsi="Arial"/>
          <w:sz w:val="17"/>
          <w:szCs w:val="17"/>
          <w:color w:val="auto"/>
        </w:rPr>
      </w:pPr>
    </w:p>
    <w:p>
      <w:pPr>
        <w:ind w:left="-8" w:right="160" w:firstLine="464"/>
        <w:spacing w:after="0" w:line="288" w:lineRule="auto"/>
        <w:tabs>
          <w:tab w:leader="none" w:pos="718"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requests, demands and other communications under this Agreement shall be in writing and shall be deemed duly given (i) 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w:t>
      </w:r>
    </w:p>
    <w:p>
      <w:pPr>
        <w:ind w:left="312" w:hanging="312"/>
        <w:spacing w:after="0"/>
        <w:tabs>
          <w:tab w:leader="none" w:pos="31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personal service by a process server, or (iv) delivery to the recipient’s address by overnight delivery (e.g.,</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351" w:name="page352"/>
    <w:bookmarkEnd w:id="351"/>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FedEx, UPS or DHL) or other commercial delivery service. Addresses for notice to either party are as shown on the signature page of this Agreement, or as subsequently modified by written notice complying with the provisions of this Section 14. Delivery of communications to the Company with respect to this Agreement shall be sent to the attention of the Company’s General Counsel.</w:t>
      </w:r>
    </w:p>
    <w:p>
      <w:pPr>
        <w:spacing w:after="0" w:line="181" w:lineRule="exact"/>
        <w:rPr>
          <w:sz w:val="20"/>
          <w:szCs w:val="20"/>
          <w:color w:val="auto"/>
        </w:rPr>
      </w:pPr>
    </w:p>
    <w:p>
      <w:pPr>
        <w:ind w:firstLine="464"/>
        <w:spacing w:after="0" w:line="268" w:lineRule="auto"/>
        <w:tabs>
          <w:tab w:leader="none" w:pos="726"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No Presumptions</w:t>
      </w:r>
      <w:r>
        <w:rPr>
          <w:rFonts w:ascii="Arial" w:cs="Arial" w:eastAsia="Arial" w:hAnsi="Arial"/>
          <w:sz w:val="17"/>
          <w:szCs w:val="17"/>
          <w:color w:val="auto"/>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 Additionally, any admission of liability by the Company in connection with any settlement by the Company with a regulatory agency shall not, of itself, create a presumption that Indemnitee did not meet any particular standard of conduct or have any particular belief or that a court has determined that indemnification is not permitted by applicable law or otherwise. Moreover, the conviction of or plea of guilty or nolo contendere (or its equivalent) by Indemnitee in a jurisdiction outside the United States and its territories, shall not, of itself, create a presumption that Indemnitee did not meet any particular standard of conduct or have any particular belief or that a court has determined that indemnification is not permitted by applicable law or otherwise, unless the underlying act or omission relating to such conviction or plea would be deemed a criminal offense within the United States and its territories or any subdivision thereof having jurisdiction over Indemnitee.</w:t>
      </w:r>
    </w:p>
    <w:p>
      <w:pPr>
        <w:spacing w:after="0" w:line="183" w:lineRule="exact"/>
        <w:rPr>
          <w:rFonts w:ascii="Arial" w:cs="Arial" w:eastAsia="Arial" w:hAnsi="Arial"/>
          <w:sz w:val="17"/>
          <w:szCs w:val="17"/>
          <w:color w:val="auto"/>
        </w:rPr>
      </w:pPr>
    </w:p>
    <w:p>
      <w:pPr>
        <w:ind w:right="320" w:firstLine="464"/>
        <w:spacing w:after="0" w:line="342" w:lineRule="auto"/>
        <w:tabs>
          <w:tab w:leader="none" w:pos="72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123" w:lineRule="exact"/>
        <w:rPr>
          <w:rFonts w:ascii="Arial" w:cs="Arial" w:eastAsia="Arial" w:hAnsi="Arial"/>
          <w:sz w:val="16"/>
          <w:szCs w:val="16"/>
          <w:color w:val="auto"/>
        </w:rPr>
      </w:pPr>
    </w:p>
    <w:p>
      <w:pPr>
        <w:ind w:left="740" w:hanging="276"/>
        <w:spacing w:after="0"/>
        <w:tabs>
          <w:tab w:leader="none" w:pos="74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Subrogation and Contribution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140" w:firstLine="921"/>
        <w:spacing w:after="0" w:line="266" w:lineRule="auto"/>
        <w:tabs>
          <w:tab w:leader="none" w:pos="1157" w:val="left"/>
        </w:tabs>
        <w:numPr>
          <w:ilvl w:val="1"/>
          <w:numId w:val="285"/>
        </w:numPr>
        <w:rPr>
          <w:rFonts w:ascii="Arial" w:cs="Arial" w:eastAsia="Arial" w:hAnsi="Arial"/>
          <w:sz w:val="18"/>
          <w:szCs w:val="18"/>
          <w:color w:val="auto"/>
        </w:rPr>
      </w:pPr>
      <w:r>
        <w:rPr>
          <w:rFonts w:ascii="Arial" w:cs="Arial" w:eastAsia="Arial" w:hAnsi="Arial"/>
          <w:sz w:val="18"/>
          <w:szCs w:val="18"/>
          <w:b w:val="1"/>
          <w:bCs w:val="1"/>
          <w:color w:val="auto"/>
        </w:rPr>
        <w:t xml:space="preserve">[Except as provided in Section 3(c),] </w:t>
      </w:r>
      <w:r>
        <w:rPr>
          <w:rFonts w:ascii="Arial" w:cs="Arial" w:eastAsia="Arial" w:hAnsi="Arial"/>
          <w:sz w:val="18"/>
          <w:szCs w:val="18"/>
          <w:color w:val="auto"/>
        </w:rPr>
        <w:t>in the event of payment under this Agreement, the Company shall be subrogated to the extent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all of the rights of recovery of Indemnitee, who shall execute all documents required and shall do all acts that may be necessary to secure such rights and to enable the Company effectively to bring suit to enforce such rights.</w:t>
      </w:r>
    </w:p>
    <w:p>
      <w:pPr>
        <w:spacing w:after="0" w:line="180" w:lineRule="exact"/>
        <w:rPr>
          <w:rFonts w:ascii="Arial" w:cs="Arial" w:eastAsia="Arial" w:hAnsi="Arial"/>
          <w:sz w:val="18"/>
          <w:szCs w:val="18"/>
          <w:color w:val="auto"/>
        </w:rPr>
      </w:pPr>
    </w:p>
    <w:p>
      <w:pPr>
        <w:ind w:right="140" w:firstLine="921"/>
        <w:spacing w:after="0" w:line="277" w:lineRule="auto"/>
        <w:tabs>
          <w:tab w:leader="none" w:pos="116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52" w:name="page353"/>
    <w:bookmarkEnd w:id="35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sz w:val="20"/>
          <w:szCs w:val="20"/>
          <w:color w:val="auto"/>
        </w:rPr>
      </w:pPr>
    </w:p>
    <w:p>
      <w:pPr>
        <w:ind w:firstLine="464"/>
        <w:spacing w:after="0" w:line="259" w:lineRule="auto"/>
        <w:tabs>
          <w:tab w:leader="none" w:pos="72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86" w:lineRule="exact"/>
        <w:rPr>
          <w:rFonts w:ascii="Arial" w:cs="Arial" w:eastAsia="Arial" w:hAnsi="Arial"/>
          <w:sz w:val="18"/>
          <w:szCs w:val="18"/>
          <w:color w:val="auto"/>
        </w:rPr>
      </w:pPr>
    </w:p>
    <w:p>
      <w:pPr>
        <w:ind w:right="240" w:firstLine="464"/>
        <w:spacing w:after="0" w:line="264" w:lineRule="auto"/>
        <w:tabs>
          <w:tab w:leader="none" w:pos="72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1" w:lineRule="exact"/>
        <w:rPr>
          <w:rFonts w:ascii="Arial" w:cs="Arial" w:eastAsia="Arial" w:hAnsi="Arial"/>
          <w:sz w:val="18"/>
          <w:szCs w:val="18"/>
          <w:color w:val="auto"/>
        </w:rPr>
      </w:pPr>
    </w:p>
    <w:p>
      <w:pPr>
        <w:ind w:right="200" w:firstLine="464"/>
        <w:spacing w:after="0" w:line="277" w:lineRule="auto"/>
        <w:tabs>
          <w:tab w:leader="none" w:pos="72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170" w:lineRule="exact"/>
        <w:rPr>
          <w:rFonts w:ascii="Arial" w:cs="Arial" w:eastAsia="Arial" w:hAnsi="Arial"/>
          <w:sz w:val="18"/>
          <w:szCs w:val="18"/>
          <w:color w:val="auto"/>
        </w:rPr>
      </w:pPr>
    </w:p>
    <w:p>
      <w:pPr>
        <w:ind w:right="440" w:firstLine="464"/>
        <w:spacing w:after="0" w:line="277" w:lineRule="auto"/>
        <w:tabs>
          <w:tab w:leader="none" w:pos="72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exclusively by and construed according to the laws of the State of Delaware, as applied to contracts between Delaware residents entered into and to be performed entirely with Delaware.</w:t>
      </w:r>
    </w:p>
    <w:p>
      <w:pPr>
        <w:spacing w:after="0" w:line="170" w:lineRule="exact"/>
        <w:rPr>
          <w:rFonts w:ascii="Arial" w:cs="Arial" w:eastAsia="Arial" w:hAnsi="Arial"/>
          <w:sz w:val="18"/>
          <w:szCs w:val="18"/>
          <w:color w:val="auto"/>
        </w:rPr>
      </w:pPr>
    </w:p>
    <w:p>
      <w:pPr>
        <w:ind w:right="60" w:firstLine="464"/>
        <w:spacing w:after="0" w:line="277" w:lineRule="auto"/>
        <w:tabs>
          <w:tab w:leader="none" w:pos="72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70" w:lineRule="exact"/>
        <w:rPr>
          <w:rFonts w:ascii="Arial" w:cs="Arial" w:eastAsia="Arial" w:hAnsi="Arial"/>
          <w:sz w:val="18"/>
          <w:szCs w:val="18"/>
          <w:color w:val="auto"/>
        </w:rPr>
      </w:pPr>
    </w:p>
    <w:p>
      <w:pPr>
        <w:ind w:right="500" w:firstLine="464"/>
        <w:spacing w:after="0" w:line="277" w:lineRule="auto"/>
        <w:tabs>
          <w:tab w:leader="none" w:pos="72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closing date of the Company’s initial public offering pursuant to a Registration Statement on Form S-1 (the “Effective Date”).</w:t>
      </w:r>
    </w:p>
    <w:p>
      <w:pPr>
        <w:spacing w:after="0" w:line="170" w:lineRule="exact"/>
        <w:rPr>
          <w:rFonts w:ascii="Arial" w:cs="Arial" w:eastAsia="Arial" w:hAnsi="Arial"/>
          <w:sz w:val="18"/>
          <w:szCs w:val="18"/>
          <w:color w:val="auto"/>
        </w:rPr>
      </w:pPr>
    </w:p>
    <w:p>
      <w:pPr>
        <w:ind w:firstLine="464"/>
        <w:spacing w:after="0" w:line="312" w:lineRule="auto"/>
        <w:tabs>
          <w:tab w:leader="none" w:pos="726"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documents referred to herein constitute the entire agreement and understanding of the parties with respect to the subject matter of this Agreement, and, upon the Effective Date, this Agreement and the documents referred to herein supersede any and all prior understandings and agreements, whether oral or written, between or among the parties hereto with respect to the specific subject matter hereof.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353" w:name="page354"/>
    <w:bookmarkEnd w:id="3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entered into this Indemnity Agreement effective as of the date first above written.</w:t>
      </w:r>
    </w:p>
    <w:p>
      <w:pPr>
        <w:spacing w:after="0" w:line="3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289560</wp:posOffset>
            </wp:positionV>
            <wp:extent cx="356743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289560</wp:posOffset>
            </wp:positionV>
            <wp:extent cx="356743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56743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14605</wp:posOffset>
            </wp:positionV>
            <wp:extent cx="356743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74" w:right="1440"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APRIL 24, 2006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MAY 26,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MARCH 19,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MAY 18,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JUNE 28,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JUNE 28,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JULY 11,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APRIL 29,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JULY 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JULY 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DATE: APRIL 24, 2016</w:t>
      </w:r>
    </w:p>
    <w:p>
      <w:pPr>
        <w:spacing w:after="0" w:line="234"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The persons eligible to receive Stock Awards are Employees, Directors, and Consultants.</w:t>
      </w:r>
    </w:p>
    <w:p>
      <w:pPr>
        <w:spacing w:after="0" w:line="117" w:lineRule="exact"/>
        <w:rPr>
          <w:rFonts w:ascii="Arial" w:cs="Arial" w:eastAsia="Arial" w:hAnsi="Arial"/>
          <w:sz w:val="18"/>
          <w:szCs w:val="18"/>
          <w:b w:val="1"/>
          <w:bCs w:val="1"/>
          <w:color w:val="auto"/>
        </w:rPr>
      </w:pPr>
    </w:p>
    <w:p>
      <w:pPr>
        <w:ind w:right="480" w:firstLine="464"/>
        <w:spacing w:after="0" w:line="282" w:lineRule="auto"/>
        <w:tabs>
          <w:tab w:leader="none" w:pos="721"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Stock Awards</w:t>
      </w:r>
      <w:r>
        <w:rPr>
          <w:rFonts w:ascii="Arial" w:cs="Arial" w:eastAsia="Arial" w:hAnsi="Arial"/>
          <w:sz w:val="18"/>
          <w:szCs w:val="18"/>
          <w:color w:val="auto"/>
        </w:rPr>
        <w:t>. The Plan provides for the grant of the following Stock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Restricted Stock Awards, and (iv) Stock Appreciation Rights.</w:t>
      </w:r>
    </w:p>
    <w:p>
      <w:pPr>
        <w:spacing w:after="0" w:line="53" w:lineRule="exact"/>
        <w:rPr>
          <w:rFonts w:ascii="Arial" w:cs="Arial" w:eastAsia="Arial" w:hAnsi="Arial"/>
          <w:sz w:val="18"/>
          <w:szCs w:val="18"/>
          <w:b w:val="1"/>
          <w:bCs w:val="1"/>
          <w:color w:val="auto"/>
        </w:rPr>
      </w:pPr>
    </w:p>
    <w:p>
      <w:pPr>
        <w:ind w:right="20" w:firstLine="464"/>
        <w:spacing w:after="0" w:line="261" w:lineRule="auto"/>
        <w:tabs>
          <w:tab w:leader="none" w:pos="701"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Company, by means of the Plan, seeks to secure and retain the services of the group of persons eligible to receive Stock Awards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207" w:lineRule="exact"/>
        <w:rPr>
          <w:rFonts w:ascii="Arial" w:cs="Arial" w:eastAsia="Arial" w:hAnsi="Arial"/>
          <w:sz w:val="18"/>
          <w:szCs w:val="18"/>
          <w:b w:val="1"/>
          <w:bCs w:val="1"/>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used in the Plan, the following definitions shall apply to the capitalized terms indicated below:</w:t>
      </w:r>
    </w:p>
    <w:p>
      <w:pPr>
        <w:spacing w:after="0" w:line="117" w:lineRule="exact"/>
        <w:rPr>
          <w:rFonts w:ascii="Arial" w:cs="Arial" w:eastAsia="Arial" w:hAnsi="Arial"/>
          <w:sz w:val="18"/>
          <w:szCs w:val="18"/>
          <w:b w:val="1"/>
          <w:bCs w:val="1"/>
          <w:color w:val="auto"/>
        </w:rPr>
      </w:pPr>
    </w:p>
    <w:p>
      <w:pPr>
        <w:ind w:right="20" w:firstLine="464"/>
        <w:spacing w:after="0" w:line="342" w:lineRule="auto"/>
        <w:tabs>
          <w:tab w:leader="none" w:pos="711" w:val="left"/>
        </w:tabs>
        <w:numPr>
          <w:ilvl w:val="1"/>
          <w:numId w:val="28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Securities Act. The Board shall have the authority to determine the time or times at which “parent” or “subsidiary” status is determined within the foregoing definition.</w:t>
      </w:r>
    </w:p>
    <w:p>
      <w:pPr>
        <w:spacing w:after="0" w:line="15" w:lineRule="exact"/>
        <w:rPr>
          <w:rFonts w:ascii="Arial" w:cs="Arial" w:eastAsia="Arial" w:hAnsi="Arial"/>
          <w:sz w:val="16"/>
          <w:szCs w:val="16"/>
          <w:b w:val="1"/>
          <w:bCs w:val="1"/>
          <w:color w:val="auto"/>
        </w:rPr>
      </w:pPr>
    </w:p>
    <w:p>
      <w:pPr>
        <w:ind w:left="720" w:hanging="256"/>
        <w:spacing w:after="0"/>
        <w:tabs>
          <w:tab w:leader="none" w:pos="720"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has the meaning ascribed to that term in Section 10(a).</w:t>
      </w:r>
    </w:p>
    <w:p>
      <w:pPr>
        <w:spacing w:after="0" w:line="117" w:lineRule="exact"/>
        <w:rPr>
          <w:rFonts w:ascii="Arial" w:cs="Arial" w:eastAsia="Arial" w:hAnsi="Arial"/>
          <w:sz w:val="18"/>
          <w:szCs w:val="18"/>
          <w:b w:val="1"/>
          <w:bCs w:val="1"/>
          <w:color w:val="auto"/>
        </w:rPr>
      </w:pPr>
    </w:p>
    <w:p>
      <w:pPr>
        <w:ind w:left="5660" w:right="60" w:hanging="5196"/>
        <w:spacing w:after="0" w:line="449" w:lineRule="auto"/>
        <w:tabs>
          <w:tab w:leader="none" w:pos="720"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 1</w:t>
      </w:r>
    </w:p>
    <w:p>
      <w:pPr>
        <w:sectPr>
          <w:pgSz w:w="11900" w:h="16838" w:orient="portrait"/>
          <w:cols w:equalWidth="0" w:num="1">
            <w:col w:w="11420"/>
          </w:cols>
          <w:pgMar w:left="240" w:top="121" w:right="239" w:bottom="1440" w:gutter="0" w:footer="0" w:header="0"/>
        </w:sectPr>
      </w:pPr>
    </w:p>
    <w:bookmarkStart w:id="355" w:name="page356"/>
    <w:bookmarkEnd w:id="355"/>
    <w:p>
      <w:pPr>
        <w:ind w:firstLine="921"/>
        <w:spacing w:after="0" w:line="269" w:lineRule="auto"/>
        <w:tabs>
          <w:tab w:leader="none" w:pos="1128"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74" w:lineRule="exact"/>
        <w:rPr>
          <w:rFonts w:ascii="Arial" w:cs="Arial" w:eastAsia="Arial" w:hAnsi="Arial"/>
          <w:sz w:val="17"/>
          <w:szCs w:val="17"/>
          <w:b w:val="1"/>
          <w:bCs w:val="1"/>
          <w:color w:val="auto"/>
        </w:rPr>
      </w:pPr>
    </w:p>
    <w:p>
      <w:pPr>
        <w:ind w:firstLine="921"/>
        <w:spacing w:after="0" w:line="273" w:lineRule="auto"/>
        <w:tabs>
          <w:tab w:leader="none" w:pos="1178"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70" w:lineRule="exact"/>
        <w:rPr>
          <w:rFonts w:ascii="Arial" w:cs="Arial" w:eastAsia="Arial" w:hAnsi="Arial"/>
          <w:sz w:val="17"/>
          <w:szCs w:val="17"/>
          <w:b w:val="1"/>
          <w:bCs w:val="1"/>
          <w:color w:val="auto"/>
        </w:rPr>
      </w:pPr>
    </w:p>
    <w:p>
      <w:pPr>
        <w:ind w:right="40" w:firstLine="921"/>
        <w:spacing w:after="0" w:line="257" w:lineRule="auto"/>
        <w:tabs>
          <w:tab w:leader="none" w:pos="1228"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Notwithstanding the foregoing or any other provision of this Plan,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definition of Change in Control or any analogous term is set forth in such an individual written agreement, the foregoing definition shall apply.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56" w:name="page357"/>
    <w:bookmarkEnd w:id="356"/>
    <w:p>
      <w:pPr>
        <w:ind w:left="700" w:hanging="236"/>
        <w:spacing w:after="0"/>
        <w:tabs>
          <w:tab w:leader="none" w:pos="70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0"/>
          <w:numId w:val="28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 3(c).</w:t>
      </w:r>
    </w:p>
    <w:p>
      <w:pPr>
        <w:spacing w:after="0" w:line="140" w:lineRule="exact"/>
        <w:rPr>
          <w:rFonts w:ascii="Arial" w:cs="Arial" w:eastAsia="Arial" w:hAnsi="Arial"/>
          <w:sz w:val="16"/>
          <w:szCs w:val="16"/>
          <w:b w:val="1"/>
          <w:bCs w:val="1"/>
          <w:color w:val="auto"/>
        </w:rPr>
      </w:pPr>
    </w:p>
    <w:p>
      <w:pPr>
        <w:ind w:left="720" w:hanging="256"/>
        <w:spacing w:after="0"/>
        <w:tabs>
          <w:tab w:leader="none" w:pos="72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Anaptys Biosciences, Inc., a Delaware corporation.</w:t>
      </w:r>
    </w:p>
    <w:p>
      <w:pPr>
        <w:spacing w:after="0" w:line="117" w:lineRule="exact"/>
        <w:rPr>
          <w:rFonts w:ascii="Arial" w:cs="Arial" w:eastAsia="Arial" w:hAnsi="Arial"/>
          <w:sz w:val="18"/>
          <w:szCs w:val="18"/>
          <w:b w:val="1"/>
          <w:bCs w:val="1"/>
          <w:color w:val="auto"/>
        </w:rPr>
      </w:pPr>
    </w:p>
    <w:p>
      <w:pPr>
        <w:ind w:right="160" w:firstLine="464"/>
        <w:spacing w:after="0" w:line="312" w:lineRule="auto"/>
        <w:tabs>
          <w:tab w:leader="none" w:pos="671" w:val="left"/>
        </w:tabs>
        <w:numPr>
          <w:ilvl w:val="0"/>
          <w:numId w:val="28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38" w:lineRule="exact"/>
        <w:rPr>
          <w:rFonts w:ascii="Arial" w:cs="Arial" w:eastAsia="Arial" w:hAnsi="Arial"/>
          <w:sz w:val="16"/>
          <w:szCs w:val="16"/>
          <w:b w:val="1"/>
          <w:bCs w:val="1"/>
          <w:color w:val="auto"/>
        </w:rPr>
      </w:pPr>
    </w:p>
    <w:p>
      <w:pPr>
        <w:ind w:firstLine="464"/>
        <w:spacing w:after="0" w:line="269" w:lineRule="auto"/>
        <w:tabs>
          <w:tab w:leader="none" w:pos="681"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if the corporation for which a Participant is rendering service ceases to qualify as an Affiliate, as determined by the Board in its sole discretion, such Participant’s Continuous Service shall be considered to have terminated on the date such corporation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or in the written terms of the Participant’s leave of absence.</w:t>
      </w:r>
    </w:p>
    <w:p>
      <w:pPr>
        <w:spacing w:after="0" w:line="74" w:lineRule="exact"/>
        <w:rPr>
          <w:rFonts w:ascii="Arial" w:cs="Arial" w:eastAsia="Arial" w:hAnsi="Arial"/>
          <w:sz w:val="17"/>
          <w:szCs w:val="17"/>
          <w:b w:val="1"/>
          <w:bCs w:val="1"/>
          <w:color w:val="auto"/>
        </w:rPr>
      </w:pPr>
    </w:p>
    <w:p>
      <w:pPr>
        <w:ind w:left="720" w:hanging="256"/>
        <w:spacing w:after="0"/>
        <w:tabs>
          <w:tab w:leader="none" w:pos="720" w:val="left"/>
        </w:tabs>
        <w:numPr>
          <w:ilvl w:val="0"/>
          <w:numId w:val="28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right="680" w:firstLine="921"/>
        <w:spacing w:after="0" w:line="277" w:lineRule="auto"/>
        <w:tabs>
          <w:tab w:leader="none" w:pos="1128"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7" w:name="page358"/>
    <w:bookmarkEnd w:id="357"/>
    <w:p>
      <w:pPr>
        <w:ind w:left="1240" w:hanging="319"/>
        <w:spacing w:after="0"/>
        <w:tabs>
          <w:tab w:leader="none" w:pos="1240" w:val="left"/>
        </w:tabs>
        <w:numPr>
          <w:ilvl w:val="2"/>
          <w:numId w:val="29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consolidation or similar transaction following which the Company is not the surviving corporation; or</w:t>
      </w:r>
    </w:p>
    <w:p>
      <w:pPr>
        <w:spacing w:after="0" w:line="128" w:lineRule="exact"/>
        <w:rPr>
          <w:rFonts w:ascii="Arial" w:cs="Arial" w:eastAsia="Arial" w:hAnsi="Arial"/>
          <w:sz w:val="17"/>
          <w:szCs w:val="17"/>
          <w:b w:val="1"/>
          <w:bCs w:val="1"/>
          <w:color w:val="auto"/>
        </w:rPr>
      </w:pPr>
    </w:p>
    <w:p>
      <w:pPr>
        <w:ind w:right="40" w:firstLine="921"/>
        <w:spacing w:after="0" w:line="264" w:lineRule="auto"/>
        <w:tabs>
          <w:tab w:leader="none" w:pos="1218" w:val="left"/>
        </w:tabs>
        <w:numPr>
          <w:ilvl w:val="2"/>
          <w:numId w:val="290"/>
        </w:numPr>
        <w:rPr>
          <w:rFonts w:ascii="Arial" w:cs="Arial" w:eastAsia="Arial" w:hAnsi="Arial"/>
          <w:sz w:val="18"/>
          <w:szCs w:val="18"/>
          <w:b w:val="1"/>
          <w:bCs w:val="1"/>
          <w:color w:val="auto"/>
        </w:rPr>
      </w:pPr>
      <w:r>
        <w:rPr>
          <w:rFonts w:ascii="Arial" w:cs="Arial" w:eastAsia="Arial" w:hAnsi="Arial"/>
          <w:sz w:val="18"/>
          <w:szCs w:val="18"/>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rFonts w:ascii="Arial" w:cs="Arial" w:eastAsia="Arial" w:hAnsi="Arial"/>
          <w:sz w:val="18"/>
          <w:szCs w:val="18"/>
          <w:b w:val="1"/>
          <w:bCs w:val="1"/>
          <w:color w:val="auto"/>
        </w:rPr>
      </w:pPr>
    </w:p>
    <w:p>
      <w:pPr>
        <w:ind w:left="680" w:hanging="216"/>
        <w:spacing w:after="0"/>
        <w:tabs>
          <w:tab w:leader="none" w:pos="680"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right="40" w:firstLine="464"/>
        <w:spacing w:after="0" w:line="291" w:lineRule="auto"/>
        <w:tabs>
          <w:tab w:leader="none" w:pos="771"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w:t>
      </w:r>
    </w:p>
    <w:p>
      <w:pPr>
        <w:ind w:left="360" w:hanging="352"/>
        <w:spacing w:after="0"/>
        <w:tabs>
          <w:tab w:leader="none" w:pos="3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months, and shall be determined by the Board on the basis of such medical evidence as the Board deems warranted under the circumstances.</w:t>
      </w:r>
    </w:p>
    <w:p>
      <w:pPr>
        <w:spacing w:after="0" w:line="114" w:lineRule="exact"/>
        <w:rPr>
          <w:rFonts w:ascii="Arial" w:cs="Arial" w:eastAsia="Arial" w:hAnsi="Arial"/>
          <w:sz w:val="17"/>
          <w:szCs w:val="17"/>
          <w:color w:val="auto"/>
        </w:rPr>
      </w:pPr>
    </w:p>
    <w:p>
      <w:pPr>
        <w:ind w:right="500" w:firstLine="464"/>
        <w:spacing w:after="0" w:line="277" w:lineRule="auto"/>
        <w:tabs>
          <w:tab w:leader="none" w:pos="721"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b w:val="1"/>
          <w:bCs w:val="1"/>
          <w:color w:val="auto"/>
        </w:rPr>
      </w:pPr>
    </w:p>
    <w:p>
      <w:pPr>
        <w:ind w:firstLine="464"/>
        <w:spacing w:after="0" w:line="254" w:lineRule="auto"/>
        <w:tabs>
          <w:tab w:leader="none" w:pos="721"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the Plan as set forth in Section 13, is the Owner, directly or indirectly, of securities of the Company representing more than fifty percent (50%) of the combined voting power of the Company’s then outstanding securities.</w:t>
      </w:r>
    </w:p>
    <w:p>
      <w:pPr>
        <w:spacing w:after="0" w:line="84" w:lineRule="exact"/>
        <w:rPr>
          <w:rFonts w:ascii="Arial" w:cs="Arial" w:eastAsia="Arial" w:hAnsi="Arial"/>
          <w:sz w:val="18"/>
          <w:szCs w:val="18"/>
          <w:b w:val="1"/>
          <w:bCs w:val="1"/>
          <w:color w:val="auto"/>
        </w:rPr>
      </w:pPr>
    </w:p>
    <w:p>
      <w:pPr>
        <w:ind w:left="700" w:hanging="236"/>
        <w:spacing w:after="0"/>
        <w:tabs>
          <w:tab w:leader="none" w:pos="700" w:val="left"/>
        </w:tabs>
        <w:numPr>
          <w:ilvl w:val="1"/>
          <w:numId w:val="2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by the Board and (i) in a manner consistent with</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Section 260.140.50 of Title 10 of the California Code of Regulations, and (ii) in compliance with Section 409A of the Code or, in the case of an Incentive Stock Option, in compliance with Section 422 of the Code.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58" w:name="page359"/>
    <w:bookmarkEnd w:id="358"/>
    <w:p>
      <w:pPr>
        <w:ind w:right="440" w:firstLine="464"/>
        <w:spacing w:after="0" w:line="277" w:lineRule="auto"/>
        <w:tabs>
          <w:tab w:leader="none" w:pos="691"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62" w:lineRule="exact"/>
        <w:rPr>
          <w:rFonts w:ascii="Arial" w:cs="Arial" w:eastAsia="Arial" w:hAnsi="Arial"/>
          <w:sz w:val="18"/>
          <w:szCs w:val="18"/>
          <w:b w:val="1"/>
          <w:bCs w:val="1"/>
          <w:color w:val="auto"/>
        </w:rPr>
      </w:pPr>
    </w:p>
    <w:p>
      <w:pPr>
        <w:ind w:left="680" w:hanging="216"/>
        <w:spacing w:after="0"/>
        <w:tabs>
          <w:tab w:leader="none" w:pos="68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140" w:lineRule="exact"/>
        <w:rPr>
          <w:rFonts w:ascii="Arial" w:cs="Arial" w:eastAsia="Arial" w:hAnsi="Arial"/>
          <w:sz w:val="16"/>
          <w:szCs w:val="16"/>
          <w:b w:val="1"/>
          <w:bCs w:val="1"/>
          <w:color w:val="auto"/>
        </w:rPr>
      </w:pPr>
    </w:p>
    <w:p>
      <w:pPr>
        <w:ind w:right="240" w:firstLine="464"/>
        <w:spacing w:after="0" w:line="277" w:lineRule="auto"/>
        <w:tabs>
          <w:tab w:leader="none" w:pos="751"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2" w:lineRule="exact"/>
        <w:rPr>
          <w:rFonts w:ascii="Arial" w:cs="Arial" w:eastAsia="Arial" w:hAnsi="Arial"/>
          <w:sz w:val="16"/>
          <w:szCs w:val="16"/>
          <w:b w:val="1"/>
          <w:bCs w:val="1"/>
          <w:color w:val="auto"/>
        </w:rPr>
      </w:pPr>
    </w:p>
    <w:p>
      <w:pPr>
        <w:ind w:right="400" w:firstLine="464"/>
        <w:spacing w:after="0" w:line="286" w:lineRule="auto"/>
        <w:tabs>
          <w:tab w:leader="none" w:pos="711" w:val="left"/>
        </w:tabs>
        <w:numPr>
          <w:ilvl w:val="0"/>
          <w:numId w:val="29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firstLine="464"/>
        <w:spacing w:after="0" w:line="277" w:lineRule="auto"/>
        <w:tabs>
          <w:tab w:leader="none" w:pos="701"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62" w:lineRule="exact"/>
        <w:rPr>
          <w:sz w:val="20"/>
          <w:szCs w:val="20"/>
          <w:color w:val="auto"/>
        </w:rPr>
      </w:pPr>
    </w:p>
    <w:p>
      <w:pPr>
        <w:ind w:left="800" w:hanging="336"/>
        <w:spacing w:after="0"/>
        <w:tabs>
          <w:tab w:leader="none" w:pos="800" w:val="left"/>
        </w:tabs>
        <w:numPr>
          <w:ilvl w:val="0"/>
          <w:numId w:val="2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Anaptys Biosciences, Inc. 2006 Equity Incentive Plan.</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7(a).</w:t>
      </w:r>
    </w:p>
    <w:p>
      <w:pPr>
        <w:spacing w:after="0" w:line="140" w:lineRule="exact"/>
        <w:rPr>
          <w:rFonts w:ascii="Arial" w:cs="Arial" w:eastAsia="Arial" w:hAnsi="Arial"/>
          <w:sz w:val="16"/>
          <w:szCs w:val="16"/>
          <w:b w:val="1"/>
          <w:bCs w:val="1"/>
          <w:color w:val="auto"/>
        </w:rPr>
      </w:pPr>
    </w:p>
    <w:p>
      <w:pPr>
        <w:ind w:right="20" w:firstLine="464"/>
        <w:spacing w:after="0" w:line="342" w:lineRule="auto"/>
        <w:tabs>
          <w:tab w:leader="none" w:pos="781"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15" w:lineRule="exact"/>
        <w:rPr>
          <w:rFonts w:ascii="Arial" w:cs="Arial" w:eastAsia="Arial" w:hAnsi="Arial"/>
          <w:sz w:val="16"/>
          <w:szCs w:val="16"/>
          <w:b w:val="1"/>
          <w:bCs w:val="1"/>
          <w:color w:val="auto"/>
        </w:rPr>
      </w:pPr>
    </w:p>
    <w:p>
      <w:pPr>
        <w:ind w:left="820" w:hanging="356"/>
        <w:spacing w:after="0"/>
        <w:tabs>
          <w:tab w:leader="none" w:pos="820" w:val="left"/>
        </w:tabs>
        <w:numPr>
          <w:ilvl w:val="0"/>
          <w:numId w:val="2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right="140" w:firstLine="464"/>
        <w:spacing w:after="0" w:line="308" w:lineRule="auto"/>
        <w:tabs>
          <w:tab w:leader="none" w:pos="781"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 right to receive the appreciation on Common Stock, that is granted pursuant to the terms and conditions of Section 7(b).</w:t>
      </w:r>
    </w:p>
    <w:p>
      <w:pPr>
        <w:spacing w:after="0" w:line="38" w:lineRule="exact"/>
        <w:rPr>
          <w:rFonts w:ascii="Arial" w:cs="Arial" w:eastAsia="Arial" w:hAnsi="Arial"/>
          <w:sz w:val="17"/>
          <w:szCs w:val="17"/>
          <w:b w:val="1"/>
          <w:bCs w:val="1"/>
          <w:color w:val="auto"/>
        </w:rPr>
      </w:pPr>
    </w:p>
    <w:p>
      <w:pPr>
        <w:ind w:right="40" w:firstLine="464"/>
        <w:spacing w:after="0" w:line="264" w:lineRule="auto"/>
        <w:tabs>
          <w:tab w:leader="none" w:pos="741" w:val="left"/>
        </w:tabs>
        <w:numPr>
          <w:ilvl w:val="0"/>
          <w:numId w:val="2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74" w:right="379" w:bottom="1440" w:gutter="0" w:footer="0" w:header="0"/>
        </w:sectPr>
      </w:pPr>
    </w:p>
    <w:bookmarkStart w:id="359" w:name="page360"/>
    <w:bookmarkEnd w:id="359"/>
    <w:p>
      <w:pPr>
        <w:ind w:left="792" w:hanging="336"/>
        <w:spacing w:after="0"/>
        <w:tabs>
          <w:tab w:leader="none" w:pos="792" w:val="left"/>
        </w:tabs>
        <w:numPr>
          <w:ilvl w:val="1"/>
          <w:numId w:val="29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granted under the Plan, including an Option, a Restricted Stock Award, and a Stock Appreciation Right.</w:t>
      </w:r>
    </w:p>
    <w:p>
      <w:pPr>
        <w:spacing w:after="0" w:line="128" w:lineRule="exact"/>
        <w:rPr>
          <w:rFonts w:ascii="Arial" w:cs="Arial" w:eastAsia="Arial" w:hAnsi="Arial"/>
          <w:sz w:val="17"/>
          <w:szCs w:val="17"/>
          <w:b w:val="1"/>
          <w:bCs w:val="1"/>
          <w:color w:val="auto"/>
        </w:rPr>
      </w:pPr>
    </w:p>
    <w:p>
      <w:pPr>
        <w:ind w:left="-8" w:right="300" w:firstLine="464"/>
        <w:spacing w:after="0" w:line="277" w:lineRule="auto"/>
        <w:tabs>
          <w:tab w:leader="none" w:pos="814"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62" w:lineRule="exact"/>
        <w:rPr>
          <w:rFonts w:ascii="Arial" w:cs="Arial" w:eastAsia="Arial" w:hAnsi="Arial"/>
          <w:sz w:val="18"/>
          <w:szCs w:val="18"/>
          <w:b w:val="1"/>
          <w:bCs w:val="1"/>
          <w:color w:val="auto"/>
        </w:rPr>
      </w:pPr>
    </w:p>
    <w:p>
      <w:pPr>
        <w:ind w:left="-8" w:firstLine="464"/>
        <w:spacing w:after="0" w:line="257" w:lineRule="auto"/>
        <w:tabs>
          <w:tab w:leader="none" w:pos="713"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in which the Company has a direct or indirect interest (whether in the form of voting or participation in profits or capital contribution) of more than fifty percent (50%).</w:t>
      </w:r>
    </w:p>
    <w:p>
      <w:pPr>
        <w:spacing w:after="0" w:line="80" w:lineRule="exact"/>
        <w:rPr>
          <w:rFonts w:ascii="Arial" w:cs="Arial" w:eastAsia="Arial" w:hAnsi="Arial"/>
          <w:sz w:val="18"/>
          <w:szCs w:val="18"/>
          <w:b w:val="1"/>
          <w:bCs w:val="1"/>
          <w:color w:val="auto"/>
        </w:rPr>
      </w:pPr>
    </w:p>
    <w:p>
      <w:pPr>
        <w:ind w:left="-8" w:right="160" w:firstLine="464"/>
        <w:spacing w:after="0" w:line="277" w:lineRule="auto"/>
        <w:tabs>
          <w:tab w:leader="none" w:pos="733"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17" w:lineRule="exact"/>
        <w:rPr>
          <w:rFonts w:ascii="Arial" w:cs="Arial" w:eastAsia="Arial" w:hAnsi="Arial"/>
          <w:sz w:val="18"/>
          <w:szCs w:val="18"/>
          <w:b w:val="1"/>
          <w:bCs w:val="1"/>
          <w:color w:val="auto"/>
        </w:rPr>
      </w:pPr>
    </w:p>
    <w:p>
      <w:pPr>
        <w:ind w:left="-8" w:right="100" w:firstLine="464"/>
        <w:spacing w:after="0" w:line="282" w:lineRule="auto"/>
        <w:tabs>
          <w:tab w:leader="none" w:pos="703"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shall administer the Plan unless and until the Board delegates administration of the Plan to a Committee,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3(c).</w:t>
      </w:r>
    </w:p>
    <w:p>
      <w:pPr>
        <w:spacing w:after="0" w:line="53" w:lineRule="exact"/>
        <w:rPr>
          <w:rFonts w:ascii="Arial" w:cs="Arial" w:eastAsia="Arial" w:hAnsi="Arial"/>
          <w:sz w:val="18"/>
          <w:szCs w:val="18"/>
          <w:b w:val="1"/>
          <w:bCs w:val="1"/>
          <w:color w:val="auto"/>
        </w:rPr>
      </w:pPr>
    </w:p>
    <w:p>
      <w:pPr>
        <w:ind w:left="712" w:hanging="256"/>
        <w:spacing w:after="0"/>
        <w:tabs>
          <w:tab w:leader="none" w:pos="712"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Board</w:t>
      </w:r>
      <w:r>
        <w:rPr>
          <w:rFonts w:ascii="Arial" w:cs="Arial" w:eastAsia="Arial" w:hAnsi="Arial"/>
          <w:sz w:val="18"/>
          <w:szCs w:val="18"/>
          <w:color w:val="auto"/>
        </w:rPr>
        <w:t>. The Board shall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8" w:right="60" w:firstLine="921"/>
        <w:spacing w:after="0" w:line="279" w:lineRule="auto"/>
        <w:tabs>
          <w:tab w:leader="none" w:pos="1120" w:val="left"/>
        </w:tabs>
        <w:numPr>
          <w:ilvl w:val="2"/>
          <w:numId w:val="296"/>
        </w:numPr>
        <w:rPr>
          <w:rFonts w:ascii="Arial" w:cs="Arial" w:eastAsia="Arial" w:hAnsi="Arial"/>
          <w:sz w:val="17"/>
          <w:szCs w:val="17"/>
          <w:b w:val="1"/>
          <w:bCs w:val="1"/>
          <w:color w:val="auto"/>
        </w:rPr>
      </w:pPr>
      <w:r>
        <w:rPr>
          <w:rFonts w:ascii="Arial" w:cs="Arial" w:eastAsia="Arial" w:hAnsi="Arial"/>
          <w:sz w:val="17"/>
          <w:szCs w:val="17"/>
          <w:color w:val="auto"/>
        </w:rPr>
        <w:t>To determine from time to time (1) which of the persons eligible under the Plan shall be granted Stock Awards; (2) when and how each Stock Award shall be granted; (3) what type or combination of types of Stock Award shall be granted; (4) the provisions of each Stock Award granted (which need not be identical), including the time or times when a person shall be permitted to receive cash or Common Stock pursuant to a Stock Award; and (5) the number of shares of Common Stock with respect to which a Stock Award shall be granted to each such person.</w:t>
      </w:r>
    </w:p>
    <w:p>
      <w:pPr>
        <w:spacing w:after="0" w:line="63" w:lineRule="exact"/>
        <w:rPr>
          <w:rFonts w:ascii="Arial" w:cs="Arial" w:eastAsia="Arial" w:hAnsi="Arial"/>
          <w:sz w:val="17"/>
          <w:szCs w:val="17"/>
          <w:b w:val="1"/>
          <w:bCs w:val="1"/>
          <w:color w:val="auto"/>
        </w:rPr>
      </w:pPr>
    </w:p>
    <w:p>
      <w:pPr>
        <w:ind w:left="-8" w:firstLine="921"/>
        <w:spacing w:after="0" w:line="264" w:lineRule="auto"/>
        <w:tabs>
          <w:tab w:leader="none" w:pos="1170" w:val="left"/>
        </w:tabs>
        <w:numPr>
          <w:ilvl w:val="2"/>
          <w:numId w:val="296"/>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73" w:lineRule="exact"/>
        <w:rPr>
          <w:rFonts w:ascii="Arial" w:cs="Arial" w:eastAsia="Arial" w:hAnsi="Arial"/>
          <w:sz w:val="18"/>
          <w:szCs w:val="18"/>
          <w:b w:val="1"/>
          <w:bCs w:val="1"/>
          <w:color w:val="auto"/>
        </w:rPr>
      </w:pPr>
    </w:p>
    <w:p>
      <w:pPr>
        <w:ind w:left="-8" w:right="20" w:firstLine="921"/>
        <w:spacing w:after="0" w:line="264" w:lineRule="auto"/>
        <w:tabs>
          <w:tab w:leader="none" w:pos="1220" w:val="left"/>
        </w:tabs>
        <w:numPr>
          <w:ilvl w:val="2"/>
          <w:numId w:val="296"/>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4" w:right="279" w:bottom="1440" w:gutter="0" w:footer="0" w:header="0"/>
        </w:sectPr>
      </w:pPr>
    </w:p>
    <w:bookmarkStart w:id="360" w:name="page361"/>
    <w:bookmarkEnd w:id="360"/>
    <w:p>
      <w:pPr>
        <w:ind w:left="-8" w:right="100" w:firstLine="921"/>
        <w:spacing w:after="0" w:line="255" w:lineRule="auto"/>
        <w:tabs>
          <w:tab w:leader="none" w:pos="1210" w:val="left"/>
        </w:tabs>
        <w:numPr>
          <w:ilvl w:val="2"/>
          <w:numId w:val="29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effect, at any time and from time to time, with the consent of any adversely affected Participant, (1) the reduction of the exercise price of any outstanding Option or the strike price of any outstanding Stock Appreciation Right under the Plan; (2) the cancellation of any outstanding Option or Stock Appreciation Right under the Plan and the grant in substitution therefor of (a) a new Option or Stock Appreciation Right under the Plan or another equity plan of the Company covering the same or a different number of shares of Common Stock, (b) a Restricted Stock Award, (c) cash, and/or (d) other valuable consideration (as determined by the Board, in its sole discretion); or (3) any other action that is treated as a repricing under generally accepted accounting principles.</w:t>
      </w:r>
    </w:p>
    <w:p>
      <w:pPr>
        <w:spacing w:after="0" w:line="85" w:lineRule="exact"/>
        <w:rPr>
          <w:rFonts w:ascii="Arial" w:cs="Arial" w:eastAsia="Arial" w:hAnsi="Arial"/>
          <w:sz w:val="18"/>
          <w:szCs w:val="18"/>
          <w:b w:val="1"/>
          <w:bCs w:val="1"/>
          <w:color w:val="auto"/>
        </w:rPr>
      </w:pPr>
    </w:p>
    <w:p>
      <w:pPr>
        <w:ind w:left="1172" w:hanging="259"/>
        <w:spacing w:after="0"/>
        <w:tabs>
          <w:tab w:leader="none" w:pos="1172" w:val="left"/>
        </w:tabs>
        <w:numPr>
          <w:ilvl w:val="2"/>
          <w:numId w:val="297"/>
        </w:numPr>
        <w:rPr>
          <w:rFonts w:ascii="Arial" w:cs="Arial" w:eastAsia="Arial" w:hAnsi="Arial"/>
          <w:sz w:val="18"/>
          <w:szCs w:val="18"/>
          <w:b w:val="1"/>
          <w:bCs w:val="1"/>
          <w:color w:val="auto"/>
        </w:rPr>
      </w:pPr>
      <w:r>
        <w:rPr>
          <w:rFonts w:ascii="Arial" w:cs="Arial" w:eastAsia="Arial" w:hAnsi="Arial"/>
          <w:sz w:val="18"/>
          <w:szCs w:val="18"/>
          <w:color w:val="auto"/>
        </w:rPr>
        <w:t>To amend the Plan or a Stock Award as provided in Section 11.</w:t>
      </w:r>
    </w:p>
    <w:p>
      <w:pPr>
        <w:spacing w:after="0" w:line="117" w:lineRule="exact"/>
        <w:rPr>
          <w:rFonts w:ascii="Arial" w:cs="Arial" w:eastAsia="Arial" w:hAnsi="Arial"/>
          <w:sz w:val="18"/>
          <w:szCs w:val="18"/>
          <w:b w:val="1"/>
          <w:bCs w:val="1"/>
          <w:color w:val="auto"/>
        </w:rPr>
      </w:pPr>
    </w:p>
    <w:p>
      <w:pPr>
        <w:ind w:left="1212" w:hanging="299"/>
        <w:spacing w:after="0"/>
        <w:tabs>
          <w:tab w:leader="none" w:pos="1212" w:val="left"/>
        </w:tabs>
        <w:numPr>
          <w:ilvl w:val="2"/>
          <w:numId w:val="297"/>
        </w:numPr>
        <w:rPr>
          <w:rFonts w:ascii="Arial" w:cs="Arial" w:eastAsia="Arial" w:hAnsi="Arial"/>
          <w:sz w:val="18"/>
          <w:szCs w:val="18"/>
          <w:b w:val="1"/>
          <w:bCs w:val="1"/>
          <w:color w:val="auto"/>
        </w:rPr>
      </w:pPr>
      <w:r>
        <w:rPr>
          <w:rFonts w:ascii="Arial" w:cs="Arial" w:eastAsia="Arial" w:hAnsi="Arial"/>
          <w:sz w:val="18"/>
          <w:szCs w:val="18"/>
          <w:color w:val="auto"/>
        </w:rPr>
        <w:t>To terminate or suspend the Plan as provided in Section 12.</w:t>
      </w:r>
    </w:p>
    <w:p>
      <w:pPr>
        <w:spacing w:after="0" w:line="117" w:lineRule="exact"/>
        <w:rPr>
          <w:rFonts w:ascii="Arial" w:cs="Arial" w:eastAsia="Arial" w:hAnsi="Arial"/>
          <w:sz w:val="18"/>
          <w:szCs w:val="18"/>
          <w:b w:val="1"/>
          <w:bCs w:val="1"/>
          <w:color w:val="auto"/>
        </w:rPr>
      </w:pPr>
    </w:p>
    <w:p>
      <w:pPr>
        <w:ind w:left="-8" w:right="140" w:firstLine="921"/>
        <w:spacing w:after="0" w:line="277" w:lineRule="auto"/>
        <w:tabs>
          <w:tab w:leader="none" w:pos="1260" w:val="left"/>
        </w:tabs>
        <w:numPr>
          <w:ilvl w:val="2"/>
          <w:numId w:val="297"/>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w:t>
      </w:r>
    </w:p>
    <w:p>
      <w:pPr>
        <w:spacing w:after="0" w:line="62" w:lineRule="exact"/>
        <w:rPr>
          <w:rFonts w:ascii="Arial" w:cs="Arial" w:eastAsia="Arial" w:hAnsi="Arial"/>
          <w:sz w:val="18"/>
          <w:szCs w:val="18"/>
          <w:b w:val="1"/>
          <w:bCs w:val="1"/>
          <w:color w:val="auto"/>
        </w:rPr>
      </w:pPr>
    </w:p>
    <w:p>
      <w:pPr>
        <w:ind w:left="-8" w:right="200" w:firstLine="921"/>
        <w:spacing w:after="0" w:line="277" w:lineRule="auto"/>
        <w:tabs>
          <w:tab w:leader="none" w:pos="1310" w:val="left"/>
        </w:tabs>
        <w:numPr>
          <w:ilvl w:val="2"/>
          <w:numId w:val="297"/>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individuals who are foreign nationals or employed outside the United States.</w:t>
      </w:r>
    </w:p>
    <w:p>
      <w:pPr>
        <w:spacing w:after="0" w:line="58" w:lineRule="exact"/>
        <w:rPr>
          <w:rFonts w:ascii="Arial" w:cs="Arial" w:eastAsia="Arial" w:hAnsi="Arial"/>
          <w:sz w:val="18"/>
          <w:szCs w:val="18"/>
          <w:b w:val="1"/>
          <w:bCs w:val="1"/>
          <w:color w:val="auto"/>
        </w:rPr>
      </w:pPr>
    </w:p>
    <w:p>
      <w:pPr>
        <w:ind w:left="-8" w:right="80" w:firstLine="464"/>
        <w:spacing w:after="0" w:line="295" w:lineRule="auto"/>
        <w:tabs>
          <w:tab w:leader="none" w:pos="693" w:val="left"/>
        </w:tabs>
        <w:numPr>
          <w:ilvl w:val="1"/>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Committee</w:t>
      </w:r>
      <w:r>
        <w:rPr>
          <w:rFonts w:ascii="Arial" w:cs="Arial" w:eastAsia="Arial" w:hAnsi="Arial"/>
          <w:sz w:val="16"/>
          <w:szCs w:val="16"/>
          <w:color w:val="auto"/>
        </w:rPr>
        <w:t>. The Board may delegate some or all of the administration of the Plan to a Committee or Committees of the Board. If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is delegated to a Committee, the Committee shall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47" w:lineRule="exact"/>
        <w:rPr>
          <w:rFonts w:ascii="Arial" w:cs="Arial" w:eastAsia="Arial" w:hAnsi="Arial"/>
          <w:sz w:val="16"/>
          <w:szCs w:val="16"/>
          <w:b w:val="1"/>
          <w:bCs w:val="1"/>
          <w:color w:val="auto"/>
        </w:rPr>
      </w:pPr>
    </w:p>
    <w:p>
      <w:pPr>
        <w:ind w:left="-8" w:right="40" w:firstLine="464"/>
        <w:spacing w:after="0" w:line="282" w:lineRule="auto"/>
        <w:tabs>
          <w:tab w:leader="none" w:pos="713"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shall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shall be final, binding and conclusive on all persons.</w:t>
      </w:r>
    </w:p>
    <w:p>
      <w:pPr>
        <w:spacing w:after="0" w:line="188" w:lineRule="exact"/>
        <w:rPr>
          <w:rFonts w:ascii="Arial" w:cs="Arial" w:eastAsia="Arial" w:hAnsi="Arial"/>
          <w:sz w:val="18"/>
          <w:szCs w:val="18"/>
          <w:b w:val="1"/>
          <w:bCs w:val="1"/>
          <w:color w:val="auto"/>
        </w:rPr>
      </w:pPr>
    </w:p>
    <w:p>
      <w:pPr>
        <w:ind w:left="452" w:hanging="452"/>
        <w:spacing w:after="0"/>
        <w:tabs>
          <w:tab w:leader="none" w:pos="452"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17" w:lineRule="exact"/>
        <w:rPr>
          <w:rFonts w:ascii="Arial" w:cs="Arial" w:eastAsia="Arial" w:hAnsi="Arial"/>
          <w:sz w:val="18"/>
          <w:szCs w:val="18"/>
          <w:b w:val="1"/>
          <w:bCs w:val="1"/>
          <w:color w:val="auto"/>
        </w:rPr>
      </w:pPr>
    </w:p>
    <w:p>
      <w:pPr>
        <w:ind w:left="-8" w:firstLine="464"/>
        <w:spacing w:after="0" w:line="282" w:lineRule="auto"/>
        <w:tabs>
          <w:tab w:leader="none" w:pos="703" w:val="left"/>
        </w:tabs>
        <w:numPr>
          <w:ilvl w:val="1"/>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10(a) relating to Capitalization Adjustments, the Common Stock that may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shall not exceed in the aggregate 18,871,272 shares of Common Stock.</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3" w:right="259" w:bottom="1440" w:gutter="0" w:footer="0" w:header="0"/>
        </w:sectPr>
      </w:pPr>
    </w:p>
    <w:bookmarkStart w:id="361" w:name="page362"/>
    <w:bookmarkEnd w:id="361"/>
    <w:p>
      <w:pPr>
        <w:ind w:right="80" w:firstLine="464"/>
        <w:spacing w:after="0" w:line="255" w:lineRule="auto"/>
        <w:tabs>
          <w:tab w:leader="none" w:pos="721"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Reversion of Shares to the Share Reserve</w:t>
      </w:r>
      <w:r>
        <w:rPr>
          <w:rFonts w:ascii="Arial" w:cs="Arial" w:eastAsia="Arial" w:hAnsi="Arial"/>
          <w:sz w:val="18"/>
          <w:szCs w:val="18"/>
          <w:color w:val="auto"/>
        </w:rPr>
        <w:t>. If any Stock Award shall for any reason expire or otherwise terminate, in whole or in part,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having been exercised in full, or if any shares of Common Stock issued to a Participant pursuant to a Stock Award are forfeited back to or repurchased by the Company because of or in connection with the failure to meet a contingency or condition required to vest such shares in the Participant, the shares of Common Stock not acquired, such Stock Award or the shares of Common Stock forfeited or repurchased under such Stock Award shall revert to and again become available for issuance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 the provisions of Section 10(a) relating to Capitalization Adjustments, the aggregate maximum number of shares of Common Stock that may be issued as Incentive Stock Options shall be twice the number of shares reserved under the Plan at any particular time.</w:t>
      </w:r>
    </w:p>
    <w:p>
      <w:pPr>
        <w:spacing w:after="0" w:line="81" w:lineRule="exact"/>
        <w:rPr>
          <w:rFonts w:ascii="Arial" w:cs="Arial" w:eastAsia="Arial" w:hAnsi="Arial"/>
          <w:sz w:val="18"/>
          <w:szCs w:val="18"/>
          <w:b w:val="1"/>
          <w:bCs w:val="1"/>
          <w:color w:val="auto"/>
        </w:rPr>
      </w:pPr>
    </w:p>
    <w:p>
      <w:pPr>
        <w:ind w:right="420" w:firstLine="464"/>
        <w:spacing w:after="0" w:line="282" w:lineRule="auto"/>
        <w:tabs>
          <w:tab w:leader="none" w:pos="701"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w:t>
      </w:r>
    </w:p>
    <w:p>
      <w:pPr>
        <w:spacing w:after="0" w:line="53" w:lineRule="exact"/>
        <w:rPr>
          <w:rFonts w:ascii="Arial" w:cs="Arial" w:eastAsia="Arial" w:hAnsi="Arial"/>
          <w:sz w:val="18"/>
          <w:szCs w:val="18"/>
          <w:b w:val="1"/>
          <w:bCs w:val="1"/>
          <w:color w:val="auto"/>
        </w:rPr>
      </w:pPr>
    </w:p>
    <w:p>
      <w:pPr>
        <w:ind w:right="120" w:firstLine="464"/>
        <w:spacing w:after="0" w:line="258" w:lineRule="auto"/>
        <w:tabs>
          <w:tab w:leader="none" w:pos="721"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Limitation</w:t>
      </w:r>
      <w:r>
        <w:rPr>
          <w:rFonts w:ascii="Arial" w:cs="Arial" w:eastAsia="Arial" w:hAnsi="Arial"/>
          <w:sz w:val="18"/>
          <w:szCs w:val="18"/>
          <w:color w:val="auto"/>
        </w:rPr>
        <w:t>. To the extent required by Section 260.140.45 of Title 10 of the California Code of Regulations, the total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issuable upon exercise of all outstanding Options and the total number of shares of Common Stock provided for under any stock bonus or similar plan of the Company shall not exceed the applicable percentage as calculated in accordance with the conditions and exclusions of Section 260.140.45 of Title 10 of the California Code of Regulations, based on the shares of Common Stock of the Company that are outstanding at the time the calculation is made.</w:t>
      </w:r>
    </w:p>
    <w:p>
      <w:pPr>
        <w:spacing w:after="0" w:line="210" w:lineRule="exact"/>
        <w:rPr>
          <w:rFonts w:ascii="Arial" w:cs="Arial" w:eastAsia="Arial" w:hAnsi="Arial"/>
          <w:sz w:val="18"/>
          <w:szCs w:val="18"/>
          <w:b w:val="1"/>
          <w:bCs w:val="1"/>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17" w:lineRule="exact"/>
        <w:rPr>
          <w:rFonts w:ascii="Arial" w:cs="Arial" w:eastAsia="Arial" w:hAnsi="Arial"/>
          <w:sz w:val="18"/>
          <w:szCs w:val="18"/>
          <w:b w:val="1"/>
          <w:bCs w:val="1"/>
          <w:color w:val="auto"/>
        </w:rPr>
      </w:pPr>
    </w:p>
    <w:p>
      <w:pPr>
        <w:ind w:right="160" w:firstLine="464"/>
        <w:spacing w:after="0" w:line="266" w:lineRule="auto"/>
        <w:tabs>
          <w:tab w:leader="none" w:pos="711" w:val="left"/>
        </w:tabs>
        <w:numPr>
          <w:ilvl w:val="1"/>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Specific Stock Awards</w:t>
      </w:r>
      <w:r>
        <w:rPr>
          <w:rFonts w:ascii="Arial" w:cs="Arial" w:eastAsia="Arial" w:hAnsi="Arial"/>
          <w:sz w:val="18"/>
          <w:szCs w:val="18"/>
          <w:color w:val="auto"/>
        </w:rPr>
        <w:t>. Incentive Stock Options may be granted only to Employees of the Company or a “parent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corporation” thereof (as such terms are defined in Sections 424(e) and (f) of the Code. Stock Awards other than Incentive Stock Options may be granted to Employees, Directors and Consultants.</w:t>
      </w:r>
    </w:p>
    <w:p>
      <w:pPr>
        <w:spacing w:after="0" w:line="68" w:lineRule="exact"/>
        <w:rPr>
          <w:rFonts w:ascii="Arial" w:cs="Arial" w:eastAsia="Arial" w:hAnsi="Arial"/>
          <w:sz w:val="18"/>
          <w:szCs w:val="18"/>
          <w:b w:val="1"/>
          <w:bCs w:val="1"/>
          <w:color w:val="auto"/>
        </w:rPr>
      </w:pPr>
    </w:p>
    <w:p>
      <w:pPr>
        <w:ind w:left="720" w:hanging="256"/>
        <w:spacing w:after="0"/>
        <w:tabs>
          <w:tab w:leader="none" w:pos="720" w:val="left"/>
        </w:tabs>
        <w:numPr>
          <w:ilvl w:val="1"/>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00" w:firstLine="921"/>
        <w:spacing w:after="0" w:line="264" w:lineRule="auto"/>
        <w:tabs>
          <w:tab w:leader="none" w:pos="1128" w:val="left"/>
        </w:tabs>
        <w:numPr>
          <w:ilvl w:val="2"/>
          <w:numId w:val="301"/>
        </w:numPr>
        <w:rPr>
          <w:rFonts w:ascii="Arial" w:cs="Arial" w:eastAsia="Arial" w:hAnsi="Arial"/>
          <w:sz w:val="18"/>
          <w:szCs w:val="18"/>
          <w:b w:val="1"/>
          <w:bCs w:val="1"/>
          <w:color w:val="auto"/>
        </w:rPr>
      </w:pPr>
      <w:r>
        <w:rPr>
          <w:rFonts w:ascii="Arial" w:cs="Arial" w:eastAsia="Arial" w:hAnsi="Arial"/>
          <w:sz w:val="18"/>
          <w:szCs w:val="18"/>
          <w:color w:val="auto"/>
        </w:rPr>
        <w:t>A Ten Percent Stockholder shall not be granted an Incentive Stock Option unless the exercise price of such Option is at least one hundred ten percent (110%) of the Fair Market Value of the Common Stock on the date of grant and the Option is not exercisable after the expiration of five (5) years from the date of grant.</w:t>
      </w:r>
    </w:p>
    <w:p>
      <w:pPr>
        <w:spacing w:after="0" w:line="73" w:lineRule="exact"/>
        <w:rPr>
          <w:rFonts w:ascii="Arial" w:cs="Arial" w:eastAsia="Arial" w:hAnsi="Arial"/>
          <w:sz w:val="18"/>
          <w:szCs w:val="18"/>
          <w:b w:val="1"/>
          <w:bCs w:val="1"/>
          <w:color w:val="auto"/>
        </w:rPr>
      </w:pPr>
    </w:p>
    <w:p>
      <w:pPr>
        <w:ind w:right="60" w:firstLine="921"/>
        <w:spacing w:after="0" w:line="259" w:lineRule="auto"/>
        <w:tabs>
          <w:tab w:leader="none" w:pos="1178" w:val="left"/>
        </w:tabs>
        <w:numPr>
          <w:ilvl w:val="2"/>
          <w:numId w:val="301"/>
        </w:numPr>
        <w:rPr>
          <w:rFonts w:ascii="Arial" w:cs="Arial" w:eastAsia="Arial" w:hAnsi="Arial"/>
          <w:sz w:val="18"/>
          <w:szCs w:val="18"/>
          <w:b w:val="1"/>
          <w:bCs w:val="1"/>
          <w:color w:val="auto"/>
        </w:rPr>
      </w:pPr>
      <w:r>
        <w:rPr>
          <w:rFonts w:ascii="Arial" w:cs="Arial" w:eastAsia="Arial" w:hAnsi="Arial"/>
          <w:sz w:val="18"/>
          <w:szCs w:val="18"/>
          <w:color w:val="auto"/>
        </w:rPr>
        <w:t>A Ten Percent Stockholder shall not be granted a Nonstatutory Stock Option unless the exercise price of such Option is at least (i) one hundred ten percent (110%) of the Fair Market Value of the Common Stock on the date of grant, or (ii) such lower percentage of the Fair Market Value of the Common Stock on the date of grant as is permitted by Section 260.140.41 of Title 10 of the California Code of Regulations at the time of the grant of the Option.</w:t>
      </w:r>
    </w:p>
    <w:p>
      <w:pPr>
        <w:spacing w:after="0" w:line="78" w:lineRule="exact"/>
        <w:rPr>
          <w:rFonts w:ascii="Arial" w:cs="Arial" w:eastAsia="Arial" w:hAnsi="Arial"/>
          <w:sz w:val="18"/>
          <w:szCs w:val="18"/>
          <w:b w:val="1"/>
          <w:bCs w:val="1"/>
          <w:color w:val="auto"/>
        </w:rPr>
      </w:pPr>
    </w:p>
    <w:p>
      <w:pPr>
        <w:ind w:firstLine="921"/>
        <w:spacing w:after="0" w:line="271" w:lineRule="auto"/>
        <w:tabs>
          <w:tab w:leader="none" w:pos="1228" w:val="left"/>
        </w:tabs>
        <w:numPr>
          <w:ilvl w:val="2"/>
          <w:numId w:val="301"/>
        </w:numPr>
        <w:rPr>
          <w:rFonts w:ascii="Arial" w:cs="Arial" w:eastAsia="Arial" w:hAnsi="Arial"/>
          <w:sz w:val="17"/>
          <w:szCs w:val="17"/>
          <w:b w:val="1"/>
          <w:bCs w:val="1"/>
          <w:color w:val="auto"/>
        </w:rPr>
      </w:pPr>
      <w:r>
        <w:rPr>
          <w:rFonts w:ascii="Arial" w:cs="Arial" w:eastAsia="Arial" w:hAnsi="Arial"/>
          <w:sz w:val="17"/>
          <w:szCs w:val="17"/>
          <w:color w:val="auto"/>
        </w:rPr>
        <w:t>A Ten Percent Stockholder shall not be granted a Restricted Stock Award or Stock Appreciation Right (if such award could be settled in shares of Common Stock), unless the purchase price of the restricted stock is at least (i) one hundred percent (100%) of the Fair Market Value of the Common Stock on the date of grant, or (ii) such lower percentage of the Fair Market Value of the Common Stock on the date of grant as is permitted by</w:t>
      </w: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260.140.42 of Title 10 of the California Code of Regulations at the time of the grant of the award.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362" w:name="page363"/>
    <w:bookmarkEnd w:id="362"/>
    <w:p>
      <w:pPr>
        <w:ind w:right="60" w:firstLine="464"/>
        <w:spacing w:after="0" w:line="258" w:lineRule="auto"/>
        <w:tabs>
          <w:tab w:leader="none" w:pos="701"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Consultants</w:t>
      </w:r>
      <w:r>
        <w:rPr>
          <w:rFonts w:ascii="Arial" w:cs="Arial" w:eastAsia="Arial" w:hAnsi="Arial"/>
          <w:sz w:val="18"/>
          <w:szCs w:val="18"/>
          <w:color w:val="auto"/>
        </w:rPr>
        <w:t>. A Consultant shall not be eligible for the grant of a Stock Award if, at the time of grant, either the offer or the sale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such Consultant is not exempt under Rule 701 of the Securities Act (“</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210" w:lineRule="exact"/>
        <w:rPr>
          <w:rFonts w:ascii="Arial" w:cs="Arial" w:eastAsia="Arial" w:hAnsi="Arial"/>
          <w:sz w:val="18"/>
          <w:szCs w:val="18"/>
          <w:b w:val="1"/>
          <w:bCs w:val="1"/>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OPTION PROVISIONS.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Each Option shall be in such form and shall contain such terms and conditions as the Board shall deem appropriate. All Options shall be separately</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designated Incentive Stock Options or Nonstatutory Stock Options at the time of grant, and, if certificates are issued, a separate certificate or certificates shall be issued for shares of Common Stock purchased on exercise of each type of Option. The provisions of separate Options need not be identical;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Option Agreement shall include (through incorporation of provisions hereof by reference in the Option or otherwise) the substance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 provisions:</w:t>
      </w:r>
    </w:p>
    <w:p>
      <w:pPr>
        <w:spacing w:after="0" w:line="78" w:lineRule="exact"/>
        <w:rPr>
          <w:sz w:val="20"/>
          <w:szCs w:val="20"/>
          <w:color w:val="auto"/>
        </w:rPr>
      </w:pPr>
    </w:p>
    <w:p>
      <w:pPr>
        <w:ind w:left="720" w:hanging="256"/>
        <w:spacing w:after="0"/>
        <w:tabs>
          <w:tab w:leader="none" w:pos="720" w:val="left"/>
        </w:tabs>
        <w:numPr>
          <w:ilvl w:val="1"/>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5(b) regarding Ten Percent Stockholders, no Option shall be exercisable after the expiration of ten</w:t>
      </w:r>
    </w:p>
    <w:p>
      <w:pPr>
        <w:spacing w:after="0" w:line="38" w:lineRule="exact"/>
        <w:rPr>
          <w:rFonts w:ascii="Arial" w:cs="Arial" w:eastAsia="Arial" w:hAnsi="Arial"/>
          <w:sz w:val="17"/>
          <w:szCs w:val="17"/>
          <w:b w:val="1"/>
          <w:bCs w:val="1"/>
          <w:color w:val="auto"/>
        </w:rPr>
      </w:pPr>
    </w:p>
    <w:p>
      <w:pPr>
        <w:ind w:left="360" w:hanging="352"/>
        <w:spacing w:after="0"/>
        <w:tabs>
          <w:tab w:leader="none" w:pos="3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years from the date of grant.</w:t>
      </w:r>
    </w:p>
    <w:p>
      <w:pPr>
        <w:spacing w:after="0" w:line="98" w:lineRule="exact"/>
        <w:rPr>
          <w:rFonts w:ascii="Arial" w:cs="Arial" w:eastAsia="Arial" w:hAnsi="Arial"/>
          <w:sz w:val="18"/>
          <w:szCs w:val="18"/>
          <w:color w:val="auto"/>
        </w:rPr>
      </w:pPr>
    </w:p>
    <w:p>
      <w:pPr>
        <w:ind w:right="200" w:firstLine="464"/>
        <w:spacing w:after="0" w:line="258" w:lineRule="auto"/>
        <w:tabs>
          <w:tab w:leader="none" w:pos="721"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 of an Incentive Stock Option</w:t>
      </w:r>
      <w:r>
        <w:rPr>
          <w:rFonts w:ascii="Arial" w:cs="Arial" w:eastAsia="Arial" w:hAnsi="Arial"/>
          <w:sz w:val="18"/>
          <w:szCs w:val="18"/>
          <w:color w:val="auto"/>
        </w:rPr>
        <w:t>. Subject to the provisions of Section 5(b) regarding Ten Percent Stockholders, the exercise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Incentive Stock Option shall be not less than one hundred percent (100%) of the Fair Market Value of the Common Stock subject to the Option on the date the Option is granted. Notwithstanding the foregoing, an Incentive Stock Option may be granted with an exercise price lower than that set forth in the preceding sentence if such Option is granted pursuant to an assumption or substitution for another option in a manner consistent with the provisions of Section 424(a) of the Code.</w:t>
      </w:r>
    </w:p>
    <w:p>
      <w:pPr>
        <w:spacing w:after="0" w:line="75" w:lineRule="exact"/>
        <w:rPr>
          <w:rFonts w:ascii="Arial" w:cs="Arial" w:eastAsia="Arial" w:hAnsi="Arial"/>
          <w:sz w:val="18"/>
          <w:szCs w:val="18"/>
          <w:b w:val="1"/>
          <w:bCs w:val="1"/>
          <w:color w:val="auto"/>
        </w:rPr>
      </w:pPr>
    </w:p>
    <w:p>
      <w:pPr>
        <w:ind w:firstLine="464"/>
        <w:spacing w:after="0" w:line="258" w:lineRule="auto"/>
        <w:tabs>
          <w:tab w:leader="none" w:pos="701"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 of a Nonstatutory Stock Option</w:t>
      </w:r>
      <w:r>
        <w:rPr>
          <w:rFonts w:ascii="Arial" w:cs="Arial" w:eastAsia="Arial" w:hAnsi="Arial"/>
          <w:sz w:val="18"/>
          <w:szCs w:val="18"/>
          <w:color w:val="auto"/>
        </w:rPr>
        <w:t>. Subject to the provisions of Section 5(b) regarding Ten Percent Stockholders, the exercise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Nonstatutory Stock Option shall be not less than one hundred percent (100%) of the Fair Market Value of the Common Stock subject to the Option on the date the Option is granted. Notwithstanding the foregoing, a Nonstatutory Stock Option may be granted with an exercise price lower than that set forth in the preceding sentence if such Option is granted pursuant to an assumption or substitution for another option in a manner consistent with the provisions of Section 424(a) of the Code.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363" w:name="page364"/>
    <w:bookmarkEnd w:id="363"/>
    <w:p>
      <w:pPr>
        <w:ind w:right="60" w:firstLine="464"/>
        <w:spacing w:after="0" w:line="303" w:lineRule="auto"/>
        <w:tabs>
          <w:tab w:leader="none" w:pos="721" w:val="left"/>
        </w:tabs>
        <w:numPr>
          <w:ilvl w:val="1"/>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w:t>
      </w:r>
      <w:r>
        <w:rPr>
          <w:rFonts w:ascii="Arial" w:cs="Arial" w:eastAsia="Arial" w:hAnsi="Arial"/>
          <w:sz w:val="16"/>
          <w:szCs w:val="16"/>
          <w:color w:val="auto"/>
        </w:rPr>
        <w:t>. The purchase price of Common Stock acquired pursuant to the exercise of an Option shall be paid, to the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methods of payment permitted by this Section 6(d) are:</w:t>
      </w:r>
    </w:p>
    <w:p>
      <w:pPr>
        <w:spacing w:after="0" w:line="47" w:lineRule="exact"/>
        <w:rPr>
          <w:rFonts w:ascii="Arial" w:cs="Arial" w:eastAsia="Arial" w:hAnsi="Arial"/>
          <w:sz w:val="16"/>
          <w:szCs w:val="16"/>
          <w:b w:val="1"/>
          <w:bCs w:val="1"/>
          <w:color w:val="auto"/>
        </w:rPr>
      </w:pPr>
    </w:p>
    <w:p>
      <w:pPr>
        <w:ind w:left="1140" w:hanging="219"/>
        <w:spacing w:after="0"/>
        <w:tabs>
          <w:tab w:leader="none" w:pos="1140"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by cash or check;</w:t>
      </w:r>
    </w:p>
    <w:p>
      <w:pPr>
        <w:spacing w:after="0" w:line="117" w:lineRule="exact"/>
        <w:rPr>
          <w:rFonts w:ascii="Arial" w:cs="Arial" w:eastAsia="Arial" w:hAnsi="Arial"/>
          <w:sz w:val="18"/>
          <w:szCs w:val="18"/>
          <w:b w:val="1"/>
          <w:bCs w:val="1"/>
          <w:color w:val="auto"/>
        </w:rPr>
      </w:pPr>
    </w:p>
    <w:p>
      <w:pPr>
        <w:ind w:right="320" w:firstLine="921"/>
        <w:spacing w:after="0" w:line="264" w:lineRule="auto"/>
        <w:tabs>
          <w:tab w:leader="none" w:pos="1178"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73" w:lineRule="exact"/>
        <w:rPr>
          <w:rFonts w:ascii="Arial" w:cs="Arial" w:eastAsia="Arial" w:hAnsi="Arial"/>
          <w:sz w:val="18"/>
          <w:szCs w:val="18"/>
          <w:b w:val="1"/>
          <w:bCs w:val="1"/>
          <w:color w:val="auto"/>
        </w:rPr>
      </w:pPr>
    </w:p>
    <w:p>
      <w:pPr>
        <w:ind w:left="1240" w:hanging="319"/>
        <w:spacing w:after="0"/>
        <w:tabs>
          <w:tab w:leader="none" w:pos="1240"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jc w:val="both"/>
        <w:ind w:firstLine="921"/>
        <w:spacing w:after="0" w:line="286" w:lineRule="auto"/>
        <w:tabs>
          <w:tab w:leader="none" w:pos="1218" w:val="left"/>
        </w:tabs>
        <w:numPr>
          <w:ilvl w:val="2"/>
          <w:numId w:val="306"/>
        </w:numPr>
        <w:rPr>
          <w:rFonts w:ascii="Arial" w:cs="Arial" w:eastAsia="Arial" w:hAnsi="Arial"/>
          <w:sz w:val="16"/>
          <w:szCs w:val="16"/>
          <w:b w:val="1"/>
          <w:bCs w:val="1"/>
          <w:color w:val="auto"/>
        </w:rPr>
      </w:pPr>
      <w:r>
        <w:rPr>
          <w:rFonts w:ascii="Arial" w:cs="Arial" w:eastAsia="Arial" w:hAnsi="Arial"/>
          <w:sz w:val="16"/>
          <w:szCs w:val="16"/>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Company shall accept a cash or other payment from the Participant to the extent of any remaining balance of the aggregate exercise price not satisfied by such holding back of whole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shares of Common Stock will no longer be outstanding under an Option and will not be exercisable thereafter to the extent that</w:t>
      </w:r>
    </w:p>
    <w:p>
      <w:pPr>
        <w:spacing w:after="0" w:line="1" w:lineRule="exact"/>
        <w:rPr>
          <w:rFonts w:ascii="Arial" w:cs="Arial" w:eastAsia="Arial" w:hAnsi="Arial"/>
          <w:sz w:val="16"/>
          <w:szCs w:val="16"/>
          <w:b w:val="1"/>
          <w:bCs w:val="1"/>
          <w:color w:val="auto"/>
        </w:rPr>
      </w:pPr>
    </w:p>
    <w:p>
      <w:pPr>
        <w:ind w:left="220" w:hanging="212"/>
        <w:spacing w:after="0"/>
        <w:tabs>
          <w:tab w:leader="none" w:pos="2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shares are used to pay the exercise price pursuant to the “net exercise,” (ii) shares are delivered to the Participant as a result of such exercise, and</w:t>
      </w:r>
    </w:p>
    <w:p>
      <w:pPr>
        <w:spacing w:after="0" w:line="21" w:lineRule="exact"/>
        <w:rPr>
          <w:sz w:val="20"/>
          <w:szCs w:val="20"/>
          <w:color w:val="auto"/>
        </w:rPr>
      </w:pPr>
    </w:p>
    <w:p>
      <w:pPr>
        <w:ind w:left="320" w:hanging="312"/>
        <w:spacing w:after="0"/>
        <w:tabs>
          <w:tab w:leader="none" w:pos="3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shares are withheld to satisfy tax withholding obligations;</w:t>
      </w:r>
    </w:p>
    <w:p>
      <w:pPr>
        <w:spacing w:after="0" w:line="102" w:lineRule="exact"/>
        <w:rPr>
          <w:rFonts w:ascii="Arial" w:cs="Arial" w:eastAsia="Arial" w:hAnsi="Arial"/>
          <w:sz w:val="18"/>
          <w:szCs w:val="18"/>
          <w:color w:val="auto"/>
        </w:rPr>
      </w:pPr>
    </w:p>
    <w:p>
      <w:pPr>
        <w:jc w:val="both"/>
        <w:ind w:right="440" w:firstLine="921"/>
        <w:spacing w:after="0" w:line="259" w:lineRule="auto"/>
        <w:tabs>
          <w:tab w:leader="none" w:pos="1168" w:val="left"/>
        </w:tabs>
        <w:numPr>
          <w:ilvl w:val="2"/>
          <w:numId w:val="308"/>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interest shall compound at least annually and shall be charged at the minimum rate of interest necessary to avoid (i) the imputation of interest income to the Company and compensation income to the Optionholder under any applicable provisions of the Code, and (ii) the classification of the Option as a liability for financial accounting purposes; or</w:t>
      </w:r>
    </w:p>
    <w:p>
      <w:pPr>
        <w:spacing w:after="0" w:line="78" w:lineRule="exact"/>
        <w:rPr>
          <w:rFonts w:ascii="Arial" w:cs="Arial" w:eastAsia="Arial" w:hAnsi="Arial"/>
          <w:sz w:val="18"/>
          <w:szCs w:val="18"/>
          <w:b w:val="1"/>
          <w:bCs w:val="1"/>
          <w:color w:val="auto"/>
        </w:rPr>
      </w:pPr>
    </w:p>
    <w:p>
      <w:pPr>
        <w:ind w:left="1220" w:hanging="299"/>
        <w:spacing w:after="0"/>
        <w:tabs>
          <w:tab w:leader="none" w:pos="1220" w:val="left"/>
        </w:tabs>
        <w:numPr>
          <w:ilvl w:val="2"/>
          <w:numId w:val="308"/>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113" w:lineRule="exact"/>
        <w:rPr>
          <w:rFonts w:ascii="Arial" w:cs="Arial" w:eastAsia="Arial" w:hAnsi="Arial"/>
          <w:sz w:val="18"/>
          <w:szCs w:val="18"/>
          <w:b w:val="1"/>
          <w:bCs w:val="1"/>
          <w:color w:val="auto"/>
        </w:rPr>
      </w:pPr>
    </w:p>
    <w:p>
      <w:pPr>
        <w:ind w:right="480" w:firstLine="464"/>
        <w:spacing w:after="0" w:line="347" w:lineRule="auto"/>
        <w:tabs>
          <w:tab w:leader="none" w:pos="701" w:val="left"/>
        </w:tabs>
        <w:numPr>
          <w:ilvl w:val="1"/>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 of Options</w:t>
      </w:r>
      <w:r>
        <w:rPr>
          <w:rFonts w:ascii="Arial" w:cs="Arial" w:eastAsia="Arial" w:hAnsi="Arial"/>
          <w:sz w:val="16"/>
          <w:szCs w:val="16"/>
          <w:color w:val="auto"/>
        </w:rPr>
        <w:t>. The Board may, in its sole discretion, impose such limitations on the transferability of Options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the absence of such a determination by the Board to the contrary, the following restrictions on the transferability of Options shall apply:</w:t>
      </w:r>
    </w:p>
    <w:p>
      <w:pPr>
        <w:spacing w:after="0" w:line="8" w:lineRule="exact"/>
        <w:rPr>
          <w:rFonts w:ascii="Arial" w:cs="Arial" w:eastAsia="Arial" w:hAnsi="Arial"/>
          <w:sz w:val="16"/>
          <w:szCs w:val="16"/>
          <w:b w:val="1"/>
          <w:bCs w:val="1"/>
          <w:color w:val="auto"/>
        </w:rPr>
      </w:pPr>
    </w:p>
    <w:p>
      <w:pPr>
        <w:ind w:right="800" w:firstLine="921"/>
        <w:spacing w:after="0" w:line="282" w:lineRule="auto"/>
        <w:tabs>
          <w:tab w:leader="none" w:pos="1128" w:val="left"/>
        </w:tabs>
        <w:numPr>
          <w:ilvl w:val="2"/>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shall not be transferable except by will or by the laws of descent and distribution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during the lifetime of the Optionholder only by the Optionholder.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364" w:name="page365"/>
    <w:bookmarkEnd w:id="364"/>
    <w:p>
      <w:pPr>
        <w:ind w:right="140" w:firstLine="921"/>
        <w:spacing w:after="0" w:line="347" w:lineRule="auto"/>
        <w:tabs>
          <w:tab w:leader="none" w:pos="1178" w:val="left"/>
        </w:tabs>
        <w:numPr>
          <w:ilvl w:val="1"/>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Domestic Relations Orders</w:t>
      </w:r>
      <w:r>
        <w:rPr>
          <w:rFonts w:ascii="Arial" w:cs="Arial" w:eastAsia="Arial" w:hAnsi="Arial"/>
          <w:sz w:val="16"/>
          <w:szCs w:val="16"/>
          <w:color w:val="auto"/>
        </w:rPr>
        <w:t>. Notwithstanding the foregoing, an Option may be transferred pursuant to a domestic relations order;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 Option is an Incentive Stock Option, such Option shall be deemed to be a Nonstatutory Stock Option as a result of such transfer.</w:t>
      </w:r>
    </w:p>
    <w:p>
      <w:pPr>
        <w:spacing w:after="0" w:line="8" w:lineRule="exact"/>
        <w:rPr>
          <w:rFonts w:ascii="Arial" w:cs="Arial" w:eastAsia="Arial" w:hAnsi="Arial"/>
          <w:sz w:val="16"/>
          <w:szCs w:val="16"/>
          <w:b w:val="1"/>
          <w:bCs w:val="1"/>
          <w:color w:val="auto"/>
        </w:rPr>
      </w:pPr>
    </w:p>
    <w:p>
      <w:pPr>
        <w:ind w:right="60" w:firstLine="921"/>
        <w:spacing w:after="0" w:line="314" w:lineRule="auto"/>
        <w:tabs>
          <w:tab w:leader="none" w:pos="1228" w:val="left"/>
        </w:tabs>
        <w:numPr>
          <w:ilvl w:val="1"/>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Beneficiary Designation</w:t>
      </w:r>
      <w:r>
        <w:rPr>
          <w:rFonts w:ascii="Arial" w:cs="Arial" w:eastAsia="Arial" w:hAnsi="Arial"/>
          <w:sz w:val="16"/>
          <w:szCs w:val="16"/>
          <w:color w:val="auto"/>
        </w:rPr>
        <w:t>. Notwithstanding the foregoing, the Optionholder may, by delivering written notice to the Company,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or otherwise satisfactory to the Company, designate a third party who, in the event of the death of the Optionholder, shall thereafter be entitled to exercise the Option. In the absence of such a designation, the executor or administrator of the Optionholder’s estate shall be entitled to exercise the Option.</w:t>
      </w:r>
    </w:p>
    <w:p>
      <w:pPr>
        <w:spacing w:after="0" w:line="34" w:lineRule="exact"/>
        <w:rPr>
          <w:rFonts w:ascii="Arial" w:cs="Arial" w:eastAsia="Arial" w:hAnsi="Arial"/>
          <w:sz w:val="16"/>
          <w:szCs w:val="16"/>
          <w:b w:val="1"/>
          <w:bCs w:val="1"/>
          <w:color w:val="auto"/>
        </w:rPr>
      </w:pPr>
    </w:p>
    <w:p>
      <w:pPr>
        <w:ind w:firstLine="464"/>
        <w:spacing w:after="0" w:line="258" w:lineRule="auto"/>
        <w:tabs>
          <w:tab w:leader="none" w:pos="681"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Options Generally</w:t>
      </w:r>
      <w:r>
        <w:rPr>
          <w:rFonts w:ascii="Arial" w:cs="Arial" w:eastAsia="Arial" w:hAnsi="Arial"/>
          <w:sz w:val="18"/>
          <w:szCs w:val="18"/>
          <w:color w:val="auto"/>
        </w:rPr>
        <w:t>. The total number of shares of Common Stock subject to an Option may vest and therefore become exercisable in</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installments that may or may not be equal. The Option may be subject to such other terms and conditions on the time or times when it may or may not be exercised (which may be based on performance or other criteria) as the Board may deem appropriate. The vesting provisions of individual Options may vary. The provisions of this Section 6(f) are subject to any Option provisions governing the minimum number of shares of Common Stock as to which an Option may be exercised.</w:t>
      </w:r>
    </w:p>
    <w:p>
      <w:pPr>
        <w:spacing w:after="0" w:line="75" w:lineRule="exact"/>
        <w:rPr>
          <w:rFonts w:ascii="Arial" w:cs="Arial" w:eastAsia="Arial" w:hAnsi="Arial"/>
          <w:sz w:val="18"/>
          <w:szCs w:val="18"/>
          <w:b w:val="1"/>
          <w:bCs w:val="1"/>
          <w:color w:val="auto"/>
        </w:rPr>
      </w:pPr>
    </w:p>
    <w:p>
      <w:pPr>
        <w:ind w:left="720" w:hanging="256"/>
        <w:spacing w:after="0"/>
        <w:tabs>
          <w:tab w:leader="none" w:pos="72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Minimum Vesting</w:t>
      </w:r>
      <w:r>
        <w:rPr>
          <w:rFonts w:ascii="Arial" w:cs="Arial" w:eastAsia="Arial" w:hAnsi="Arial"/>
          <w:sz w:val="18"/>
          <w:szCs w:val="18"/>
          <w:color w:val="auto"/>
        </w:rPr>
        <w:t>. Notwithstanding the foregoing Section 6(f), to the extent that the following restrictions on vesting are required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260.140.41(f) of Title 10 of the California Code of Regulations at the time of the grant of the Option, then:</w:t>
      </w:r>
    </w:p>
    <w:p>
      <w:pPr>
        <w:spacing w:after="0" w:line="103" w:lineRule="exact"/>
        <w:rPr>
          <w:sz w:val="20"/>
          <w:szCs w:val="20"/>
          <w:color w:val="auto"/>
        </w:rPr>
      </w:pPr>
    </w:p>
    <w:p>
      <w:pPr>
        <w:ind w:right="200" w:firstLine="921"/>
        <w:spacing w:after="0" w:line="264" w:lineRule="auto"/>
        <w:tabs>
          <w:tab w:leader="none" w:pos="1128"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Options granted to an Employee who is not an Officer, Director or Consultant shall provide for vesting of the total number of shares of Common Stock at a rate of at least twenty percent (20%) per year over five (5) years from the date the Option was granted, subject to reasonable conditions such as continued employment; and</w:t>
      </w:r>
    </w:p>
    <w:p>
      <w:pPr>
        <w:spacing w:after="0" w:line="73" w:lineRule="exact"/>
        <w:rPr>
          <w:rFonts w:ascii="Arial" w:cs="Arial" w:eastAsia="Arial" w:hAnsi="Arial"/>
          <w:sz w:val="18"/>
          <w:szCs w:val="18"/>
          <w:b w:val="1"/>
          <w:bCs w:val="1"/>
          <w:color w:val="auto"/>
        </w:rPr>
      </w:pPr>
    </w:p>
    <w:p>
      <w:pPr>
        <w:ind w:right="460" w:firstLine="921"/>
        <w:spacing w:after="0" w:line="277" w:lineRule="auto"/>
        <w:tabs>
          <w:tab w:leader="none" w:pos="1178"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Options granted to Officers, Directors or Consultants may be made fully exercisable, subject to reasonable conditions such as continued employment, at any time or during any period established by the Company.</w:t>
      </w:r>
    </w:p>
    <w:p>
      <w:pPr>
        <w:spacing w:after="0" w:line="58" w:lineRule="exact"/>
        <w:rPr>
          <w:rFonts w:ascii="Arial" w:cs="Arial" w:eastAsia="Arial" w:hAnsi="Arial"/>
          <w:sz w:val="18"/>
          <w:szCs w:val="18"/>
          <w:b w:val="1"/>
          <w:bCs w:val="1"/>
          <w:color w:val="auto"/>
        </w:rPr>
      </w:pPr>
    </w:p>
    <w:p>
      <w:pPr>
        <w:ind w:right="60" w:firstLine="464"/>
        <w:spacing w:after="0" w:line="295" w:lineRule="auto"/>
        <w:tabs>
          <w:tab w:leader="none" w:pos="721" w:val="left"/>
        </w:tabs>
        <w:numPr>
          <w:ilvl w:val="0"/>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that an Optionholder’s Continuous Service terminates (other than upon the Optionholder’s death</w:t>
      </w:r>
      <w:r>
        <w:rPr>
          <w:rFonts w:ascii="Arial" w:cs="Arial" w:eastAsia="Arial" w:hAnsi="Arial"/>
          <w:sz w:val="16"/>
          <w:szCs w:val="16"/>
          <w:b w:val="1"/>
          <w:bCs w:val="1"/>
          <w:color w:val="auto"/>
        </w:rPr>
        <w:t xml:space="preserve"> </w:t>
      </w:r>
      <w:r>
        <w:rPr>
          <w:rFonts w:ascii="Arial" w:cs="Arial" w:eastAsia="Arial" w:hAnsi="Arial"/>
          <w:sz w:val="16"/>
          <w:szCs w:val="16"/>
          <w:color w:val="auto"/>
        </w:rPr>
        <w:t>or Disability), the Optionholder may exercise his or her Option (to the extent that the Optionholder was entitled to exercise such Option as of the date of termination of Continuous Service) but only within such period of time ending on the earlier of (i) the date three (3) months following the termination of the Optionholder’ s Continuous Service (or such longer or shorter period specified in the Option Agreement, which period shall not be less than thirty (30) days),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365" w:name="page366"/>
    <w:bookmarkEnd w:id="365"/>
    <w:p>
      <w:pPr>
        <w:ind w:left="-8" w:firstLine="464"/>
        <w:spacing w:after="0" w:line="289" w:lineRule="auto"/>
        <w:tabs>
          <w:tab w:leader="none" w:pos="663" w:val="left"/>
        </w:tabs>
        <w:numPr>
          <w:ilvl w:val="1"/>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Extension of Termination Date</w:t>
      </w:r>
      <w:r>
        <w:rPr>
          <w:rFonts w:ascii="Arial" w:cs="Arial" w:eastAsia="Arial" w:hAnsi="Arial"/>
          <w:sz w:val="16"/>
          <w:szCs w:val="16"/>
          <w:color w:val="auto"/>
        </w:rPr>
        <w:t>. An Optionholder’s Option Agreement may also provide that if the exercise of the Option following the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Optionholder’s Continuous Service (other than upon the Optionholder’s death or Disability) would be prohibited at any time solely because the issuance of shares of Common Stock would violate the registration requirements under the Securities Act, then the Option shall terminate on the earlier of</w:t>
      </w:r>
    </w:p>
    <w:p>
      <w:pPr>
        <w:spacing w:after="0" w:line="1" w:lineRule="exact"/>
        <w:rPr>
          <w:rFonts w:ascii="Arial" w:cs="Arial" w:eastAsia="Arial" w:hAnsi="Arial"/>
          <w:sz w:val="16"/>
          <w:szCs w:val="16"/>
          <w:b w:val="1"/>
          <w:bCs w:val="1"/>
          <w:color w:val="auto"/>
        </w:rPr>
      </w:pPr>
    </w:p>
    <w:p>
      <w:pPr>
        <w:ind w:left="-8" w:right="480" w:firstLine="8"/>
        <w:spacing w:after="0" w:line="323" w:lineRule="auto"/>
        <w:tabs>
          <w:tab w:leader="none" w:pos="207"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expiration of a period of three (3) months after the termination of the Optionholder’s Continuous Service during which the exercise of the Option would not be in violation of such registration requirements, or (ii) the expiration of the term of the Option as set forth in the Option Agreement.</w:t>
      </w:r>
    </w:p>
    <w:p>
      <w:pPr>
        <w:spacing w:after="0" w:line="26" w:lineRule="exact"/>
        <w:rPr>
          <w:rFonts w:ascii="Arial" w:cs="Arial" w:eastAsia="Arial" w:hAnsi="Arial"/>
          <w:sz w:val="16"/>
          <w:szCs w:val="16"/>
          <w:color w:val="auto"/>
        </w:rPr>
      </w:pPr>
    </w:p>
    <w:p>
      <w:pPr>
        <w:ind w:left="-8" w:right="220" w:firstLine="464"/>
        <w:spacing w:after="0" w:line="295" w:lineRule="auto"/>
        <w:tabs>
          <w:tab w:leader="none" w:pos="673" w:val="left"/>
        </w:tabs>
        <w:numPr>
          <w:ilvl w:val="1"/>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Disability of Optionholder</w:t>
      </w:r>
      <w:r>
        <w:rPr>
          <w:rFonts w:ascii="Arial" w:cs="Arial" w:eastAsia="Arial" w:hAnsi="Arial"/>
          <w:sz w:val="16"/>
          <w:szCs w:val="16"/>
          <w:color w:val="auto"/>
        </w:rPr>
        <w:t>. In the event that an Optionholder’s Continuous Service terminates as a result of the Optionholder’s Disability,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 may exercise his or her Option (to the extent that the Optionholder was entitled to exercise such Option as of the date of termination of Continuous Service), but only within such period of time ending on the earlier of (i) the date twelve (12) months following such termination of Continuous Service (or such longer or shorter period specified in the Option Agreement, which period shall not be less than six (6) months),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47" w:lineRule="exact"/>
        <w:rPr>
          <w:rFonts w:ascii="Arial" w:cs="Arial" w:eastAsia="Arial" w:hAnsi="Arial"/>
          <w:sz w:val="16"/>
          <w:szCs w:val="16"/>
          <w:b w:val="1"/>
          <w:bCs w:val="1"/>
          <w:color w:val="auto"/>
        </w:rPr>
      </w:pPr>
    </w:p>
    <w:p>
      <w:pPr>
        <w:ind w:left="-8" w:right="20" w:firstLine="464"/>
        <w:spacing w:after="0" w:line="272" w:lineRule="auto"/>
        <w:tabs>
          <w:tab w:leader="none" w:pos="713" w:val="left"/>
        </w:tabs>
        <w:numPr>
          <w:ilvl w:val="1"/>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Death of Optionholder</w:t>
      </w:r>
      <w:r>
        <w:rPr>
          <w:rFonts w:ascii="Arial" w:cs="Arial" w:eastAsia="Arial" w:hAnsi="Arial"/>
          <w:sz w:val="17"/>
          <w:szCs w:val="17"/>
          <w:color w:val="auto"/>
        </w:rPr>
        <w:t>. In the event that (i) an Optionholder’s Continuous Service terminates as a result of the Optionholder’s death or (ii)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 s death pursuant to Section 6(e)(iii), but only within the period ending on the earlier of (i) the date eighteen (18) months following the date of death (or such longer or shorter period specified in the Option Agreement, which period shall not be less than six (6) months), or (ii) the expiration of the term of such Option as set forth in the Option Agreement. If, after the Optionholder’s death, the Option is not exercised within the time specified herein or in the Option Agreement (as applicable), the Option shall terminate.</w:t>
      </w:r>
    </w:p>
    <w:p>
      <w:pPr>
        <w:spacing w:after="0" w:line="64" w:lineRule="exact"/>
        <w:rPr>
          <w:rFonts w:ascii="Arial" w:cs="Arial" w:eastAsia="Arial" w:hAnsi="Arial"/>
          <w:sz w:val="17"/>
          <w:szCs w:val="17"/>
          <w:b w:val="1"/>
          <w:bCs w:val="1"/>
          <w:color w:val="auto"/>
        </w:rPr>
      </w:pPr>
    </w:p>
    <w:p>
      <w:pPr>
        <w:ind w:left="-8" w:right="60" w:firstLine="464"/>
        <w:spacing w:after="0" w:line="255" w:lineRule="auto"/>
        <w:tabs>
          <w:tab w:leader="none" w:pos="663"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Early Exercise</w:t>
      </w:r>
      <w:r>
        <w:rPr>
          <w:rFonts w:ascii="Arial" w:cs="Arial" w:eastAsia="Arial" w:hAnsi="Arial"/>
          <w:sz w:val="18"/>
          <w:szCs w:val="18"/>
          <w:color w:val="auto"/>
        </w:rPr>
        <w:t>. The Option may include a provision whereby the Optionholder may elect at any time before the Optionholder’ s Continuous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to exercise the Option as to any part or all of the shares of Common Stock subject to the Option prior to the full vesting of the Option. Subject to the “Repurchase Limitation” in Section 9(i), any unvested shares of Common Stock so purchased may be subject to a repurchase option in favor of the Company or to any other restriction the Board determines to be appropriate. Provided that the “Repurchase Limitation” in Section 9(i) is not violated, the Company shall not be required to exercise its repurchase option until at least six (6) months (or such longer or shorter period of time necessary to avoid a charge to earnings for financial accounting purposes) have elapsed following exercise of the Option unless the Board otherwise specifically provides in the Option Agreement.</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69" w:right="239" w:bottom="1440" w:gutter="0" w:footer="0" w:header="0"/>
        </w:sectPr>
      </w:pPr>
    </w:p>
    <w:bookmarkStart w:id="366" w:name="page367"/>
    <w:bookmarkEnd w:id="366"/>
    <w:p>
      <w:pPr>
        <w:ind w:left="-8" w:firstLine="464"/>
        <w:spacing w:after="0" w:line="277" w:lineRule="auto"/>
        <w:tabs>
          <w:tab w:leader="none" w:pos="763" w:val="left"/>
        </w:tabs>
        <w:numPr>
          <w:ilvl w:val="1"/>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Repurchase</w:t>
      </w:r>
      <w:r>
        <w:rPr>
          <w:rFonts w:ascii="Arial" w:cs="Arial" w:eastAsia="Arial" w:hAnsi="Arial"/>
          <w:sz w:val="17"/>
          <w:szCs w:val="17"/>
          <w:color w:val="auto"/>
        </w:rPr>
        <w:t>. Subject to the “Repurchase Limitation” in Section 9(i), the Option may include a provision whereby the Company may elect</w:t>
      </w:r>
      <w:r>
        <w:rPr>
          <w:rFonts w:ascii="Arial" w:cs="Arial" w:eastAsia="Arial" w:hAnsi="Arial"/>
          <w:sz w:val="17"/>
          <w:szCs w:val="17"/>
          <w:b w:val="1"/>
          <w:bCs w:val="1"/>
          <w:color w:val="auto"/>
        </w:rPr>
        <w:t xml:space="preserve"> </w:t>
      </w:r>
      <w:r>
        <w:rPr>
          <w:rFonts w:ascii="Arial" w:cs="Arial" w:eastAsia="Arial" w:hAnsi="Arial"/>
          <w:sz w:val="17"/>
          <w:szCs w:val="17"/>
          <w:color w:val="auto"/>
        </w:rPr>
        <w:t>to repurchase all or any part of the vested shares of Common Stock acquired by the Optionholder pursuant to the exercise of the Option. Provided that the “Repurchase Limitation” in Section 9(i) is not violated, the Company shall not be required to exercise its repurchase option until at least six (6) months (or such longer or shorter period of time necessary to avoid classification of the Option as a liability for financial accounting purposes) have elapsed following exercise of the Option unless otherwise specifically provided in the Option Agreement.</w:t>
      </w:r>
    </w:p>
    <w:p>
      <w:pPr>
        <w:spacing w:after="0" w:line="60" w:lineRule="exact"/>
        <w:rPr>
          <w:rFonts w:ascii="Arial" w:cs="Arial" w:eastAsia="Arial" w:hAnsi="Arial"/>
          <w:sz w:val="17"/>
          <w:szCs w:val="17"/>
          <w:b w:val="1"/>
          <w:bCs w:val="1"/>
          <w:color w:val="auto"/>
        </w:rPr>
      </w:pPr>
    </w:p>
    <w:p>
      <w:pPr>
        <w:ind w:left="-8" w:firstLine="464"/>
        <w:spacing w:after="0" w:line="256" w:lineRule="auto"/>
        <w:tabs>
          <w:tab w:leader="none" w:pos="713" w:val="left"/>
        </w:tabs>
        <w:numPr>
          <w:ilvl w:val="1"/>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may include a provision whereby the Company may elect to exercise a right of first refusal following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notice from the Optionholder of the intent to transfer all or any part of the shares of Common Stock received upon the exercise of the Option. Except as expressly provided in this Section 6(n) or in the Stock Award Agreement for the Option, such right of first refusal shall otherwise comply with any applicable provisions of the Bylaws of the Company. The Company will not exercise its right of first refusal until at least six (6) months (or such longer or shorter period of time necessary to avoid classification of the Option as a liability for financial accounting purposes) have elapsed following exercise of the Option unless otherwise specifically provided in the Option Agreement.</w:t>
      </w:r>
    </w:p>
    <w:p>
      <w:pPr>
        <w:spacing w:after="0" w:line="214" w:lineRule="exact"/>
        <w:rPr>
          <w:rFonts w:ascii="Arial" w:cs="Arial" w:eastAsia="Arial" w:hAnsi="Arial"/>
          <w:sz w:val="18"/>
          <w:szCs w:val="18"/>
          <w:b w:val="1"/>
          <w:bCs w:val="1"/>
          <w:color w:val="auto"/>
        </w:rPr>
      </w:pPr>
    </w:p>
    <w:p>
      <w:pPr>
        <w:ind w:left="452" w:hanging="452"/>
        <w:spacing w:after="0"/>
        <w:tabs>
          <w:tab w:leader="none" w:pos="452"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w:t>
      </w:r>
    </w:p>
    <w:p>
      <w:pPr>
        <w:spacing w:after="0" w:line="117" w:lineRule="exact"/>
        <w:rPr>
          <w:rFonts w:ascii="Arial" w:cs="Arial" w:eastAsia="Arial" w:hAnsi="Arial"/>
          <w:sz w:val="18"/>
          <w:szCs w:val="18"/>
          <w:b w:val="1"/>
          <w:bCs w:val="1"/>
          <w:color w:val="auto"/>
        </w:rPr>
      </w:pPr>
    </w:p>
    <w:p>
      <w:pPr>
        <w:ind w:left="-8" w:right="40" w:firstLine="464"/>
        <w:spacing w:after="0" w:line="295" w:lineRule="auto"/>
        <w:tabs>
          <w:tab w:leader="none" w:pos="703" w:val="left"/>
        </w:tabs>
        <w:numPr>
          <w:ilvl w:val="1"/>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Award Agreement shall be in such form and shall contain such terms and conditions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deem appropriate. At the Board’s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the Restricted Stock Award agreements may change from time to time, and the terms and conditions of separate Restricted Stock Award agreements need not be identical;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Restricted Stock Award agreement shall include (through incorporation of the provisions hereof by reference in the agreement or otherwise) the substance of each of the following provisions:</w:t>
      </w:r>
    </w:p>
    <w:p>
      <w:pPr>
        <w:spacing w:after="0" w:line="47" w:lineRule="exact"/>
        <w:rPr>
          <w:rFonts w:ascii="Arial" w:cs="Arial" w:eastAsia="Arial" w:hAnsi="Arial"/>
          <w:sz w:val="16"/>
          <w:szCs w:val="16"/>
          <w:b w:val="1"/>
          <w:bCs w:val="1"/>
          <w:color w:val="auto"/>
        </w:rPr>
      </w:pPr>
    </w:p>
    <w:p>
      <w:pPr>
        <w:ind w:left="-8" w:right="20" w:firstLine="921"/>
        <w:spacing w:after="0" w:line="298" w:lineRule="auto"/>
        <w:tabs>
          <w:tab w:leader="none" w:pos="1120" w:val="left"/>
        </w:tabs>
        <w:numPr>
          <w:ilvl w:val="2"/>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w:t>
      </w:r>
      <w:r>
        <w:rPr>
          <w:rFonts w:ascii="Arial" w:cs="Arial" w:eastAsia="Arial" w:hAnsi="Arial"/>
          <w:sz w:val="16"/>
          <w:szCs w:val="16"/>
          <w:color w:val="auto"/>
        </w:rPr>
        <w:t>. At the time of the grant of a Restricted Stock Award, the Board will determine the price to be paid by the Participant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share subject to the Restricted Stock Award. Subject to the provisions of Section 5(b) regarding Ten Percent Stockholders and to the extent required by applicable law, the price to be paid by the Participant for each share subject to the Restricted Stock Award shall not be less than eighty-five percent (85%) of the Common Stock’s Fair Market Value on the date such award is made or at the time the purchase is consummated. Notwithstanding the foregoing, a Restricted Stock Award may be awarded as a stock bonus (</w:t>
      </w:r>
      <w:r>
        <w:rPr>
          <w:rFonts w:ascii="Arial" w:cs="Arial" w:eastAsia="Arial" w:hAnsi="Arial"/>
          <w:sz w:val="16"/>
          <w:szCs w:val="16"/>
          <w:i w:val="1"/>
          <w:iCs w:val="1"/>
          <w:color w:val="auto"/>
        </w:rPr>
        <w:t>i.e</w:t>
      </w:r>
      <w:r>
        <w:rPr>
          <w:rFonts w:ascii="Arial" w:cs="Arial" w:eastAsia="Arial" w:hAnsi="Arial"/>
          <w:sz w:val="16"/>
          <w:szCs w:val="16"/>
          <w:color w:val="auto"/>
        </w:rPr>
        <w:t>., with no cash purchase price to be paid) to the extent permissible under applicable law.</w:t>
      </w:r>
    </w:p>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69" w:right="259" w:bottom="1440" w:gutter="0" w:footer="0" w:header="0"/>
        </w:sectPr>
      </w:pPr>
    </w:p>
    <w:bookmarkStart w:id="367" w:name="page368"/>
    <w:bookmarkEnd w:id="367"/>
    <w:p>
      <w:pPr>
        <w:ind w:right="20" w:firstLine="921"/>
        <w:spacing w:after="0" w:line="258" w:lineRule="auto"/>
        <w:tabs>
          <w:tab w:leader="none" w:pos="1178" w:val="left"/>
        </w:tabs>
        <w:numPr>
          <w:ilvl w:val="1"/>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w:t>
      </w:r>
      <w:r>
        <w:rPr>
          <w:rFonts w:ascii="Arial" w:cs="Arial" w:eastAsia="Arial" w:hAnsi="Arial"/>
          <w:sz w:val="18"/>
          <w:szCs w:val="18"/>
          <w:color w:val="auto"/>
        </w:rPr>
        <w:t>. At the time of the grant of a Restricted Stock Award, the Board will determine the consideration permissible for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 price of the Restricted Stock Award. The purchase price of Common Stock acquired pursuant to the Restricted Stock Award shall be paid either: (i) in cash or by check at the time of purchase; (ii) at the discretion of the Board, according to a deferred payment or other similar arrangement with the Participant; (iii) by past or future services rendered to the Company or an Affiliate; or (iv) in any other form of legal consideration that may be acceptable to the Board in its sole discretion and permissible under applicable law.</w:t>
      </w:r>
    </w:p>
    <w:p>
      <w:pPr>
        <w:spacing w:after="0" w:line="75" w:lineRule="exact"/>
        <w:rPr>
          <w:rFonts w:ascii="Arial" w:cs="Arial" w:eastAsia="Arial" w:hAnsi="Arial"/>
          <w:sz w:val="18"/>
          <w:szCs w:val="18"/>
          <w:b w:val="1"/>
          <w:bCs w:val="1"/>
          <w:color w:val="auto"/>
        </w:rPr>
      </w:pPr>
    </w:p>
    <w:p>
      <w:pPr>
        <w:ind w:right="160" w:firstLine="921"/>
        <w:spacing w:after="0" w:line="313" w:lineRule="auto"/>
        <w:tabs>
          <w:tab w:leader="none" w:pos="1225" w:val="left"/>
        </w:tabs>
        <w:numPr>
          <w:ilvl w:val="1"/>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9(i), shares of Common Stock acquired under a Restricted Stock Award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 share repurchase right or option in favor of the Company in accordance with a vesting schedule to be determined by the Board.</w:t>
      </w:r>
    </w:p>
    <w:p>
      <w:pPr>
        <w:spacing w:after="0" w:line="30" w:lineRule="exact"/>
        <w:rPr>
          <w:rFonts w:ascii="Arial" w:cs="Arial" w:eastAsia="Arial" w:hAnsi="Arial"/>
          <w:sz w:val="17"/>
          <w:szCs w:val="17"/>
          <w:b w:val="1"/>
          <w:bCs w:val="1"/>
          <w:color w:val="auto"/>
        </w:rPr>
      </w:pPr>
    </w:p>
    <w:p>
      <w:pPr>
        <w:ind w:right="140" w:firstLine="921"/>
        <w:spacing w:after="0" w:line="254" w:lineRule="auto"/>
        <w:tabs>
          <w:tab w:leader="none" w:pos="1218" w:val="left"/>
        </w:tabs>
        <w:numPr>
          <w:ilvl w:val="1"/>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Subject to the “Repurchase Limitation” in Section 9(i), in the event that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Service terminates, the Company shall have the right, but not the obligation, to repurchase or otherwise reacquire, any or all of the shares of Common Stock held by the Participant that have not vested as of the date of termination under the terms of the Restricted Stock Award agreement. At the Board’s election, the price paid for all shares of Common Stock so repurchased or reacquired by the Company may be at the lesser of (i) the Fair Market Value on the relevant date, or (ii) the Participant’s original cost for such shares. Provided that the “Repurchase Limitation” in Section 9(i) is not violated, the Company shall not be required to exercise its repurchase or reacquisition option until at least six (6) months (or such longer or shorter period of time necessary to avoid classification of the Restricted Stock Award as a liability for financial accounting purposes) have elapsed following the Participant’s purchase of the shares acquired pursuant to the Restricted Stock Award unless otherwise determined by the Board or provided in the Restricted Stock Award Agreement.</w:t>
      </w:r>
    </w:p>
    <w:p>
      <w:pPr>
        <w:spacing w:after="0" w:line="81" w:lineRule="exact"/>
        <w:rPr>
          <w:rFonts w:ascii="Arial" w:cs="Arial" w:eastAsia="Arial" w:hAnsi="Arial"/>
          <w:sz w:val="18"/>
          <w:szCs w:val="18"/>
          <w:b w:val="1"/>
          <w:bCs w:val="1"/>
          <w:color w:val="auto"/>
        </w:rPr>
      </w:pPr>
    </w:p>
    <w:p>
      <w:pPr>
        <w:ind w:right="320" w:firstLine="921"/>
        <w:spacing w:after="0" w:line="347" w:lineRule="auto"/>
        <w:tabs>
          <w:tab w:leader="none" w:pos="1168" w:val="left"/>
        </w:tabs>
        <w:numPr>
          <w:ilvl w:val="1"/>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r>
        <w:rPr>
          <w:rFonts w:ascii="Arial" w:cs="Arial" w:eastAsia="Arial" w:hAnsi="Arial"/>
          <w:sz w:val="16"/>
          <w:szCs w:val="16"/>
          <w:color w:val="auto"/>
        </w:rPr>
        <w:t>. Rights to purchase or acquire shares of Common Stock under the Restricted Stock Award agreement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except by will or by the laws of descent and distribution and shall be exercisable during the lifetime of the Participant only by the Participant.</w:t>
      </w:r>
    </w:p>
    <w:p>
      <w:pPr>
        <w:spacing w:after="0" w:line="8" w:lineRule="exact"/>
        <w:rPr>
          <w:rFonts w:ascii="Arial" w:cs="Arial" w:eastAsia="Arial" w:hAnsi="Arial"/>
          <w:sz w:val="16"/>
          <w:szCs w:val="16"/>
          <w:b w:val="1"/>
          <w:bCs w:val="1"/>
          <w:color w:val="auto"/>
        </w:rPr>
      </w:pPr>
    </w:p>
    <w:p>
      <w:pPr>
        <w:ind w:firstLine="464"/>
        <w:spacing w:after="0" w:line="303" w:lineRule="auto"/>
        <w:tabs>
          <w:tab w:leader="none" w:pos="721" w:val="left"/>
        </w:tabs>
        <w:numPr>
          <w:ilvl w:val="0"/>
          <w:numId w:val="319"/>
        </w:numPr>
        <w:rPr>
          <w:rFonts w:ascii="Arial" w:cs="Arial" w:eastAsia="Arial" w:hAnsi="Arial"/>
          <w:sz w:val="16"/>
          <w:szCs w:val="16"/>
          <w:b w:val="1"/>
          <w:bCs w:val="1"/>
          <w:color w:val="auto"/>
        </w:rPr>
      </w:pPr>
      <w:r>
        <w:rPr>
          <w:rFonts w:ascii="Arial" w:cs="Arial" w:eastAsia="Arial" w:hAnsi="Arial"/>
          <w:sz w:val="16"/>
          <w:szCs w:val="16"/>
          <w:b w:val="1"/>
          <w:bCs w:val="1"/>
          <w:color w:val="auto"/>
        </w:rPr>
        <w:t>Stock Appreciation Rights</w:t>
      </w:r>
      <w:r>
        <w:rPr>
          <w:rFonts w:ascii="Arial" w:cs="Arial" w:eastAsia="Arial" w:hAnsi="Arial"/>
          <w:sz w:val="16"/>
          <w:szCs w:val="16"/>
          <w:color w:val="auto"/>
        </w:rPr>
        <w:t>. Each Stock Appreciation Right Agreement shall be in such form and shall contain such terms and conditions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shall deem appropriate. The terms and conditions of Stock Appreciation Right Agreements may change from time to time, and the terms and conditions of separate Stock Appreciation Right Agreements need not be identical;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but each Stock Appreciation Right Agreement shall include (through incorporation of the provisions hereof by reference in the agreement or otherwise) the substance of each of the following provisions:</w:t>
      </w:r>
    </w:p>
    <w:p>
      <w:pPr>
        <w:spacing w:after="0" w:line="43" w:lineRule="exact"/>
        <w:rPr>
          <w:rFonts w:ascii="Arial" w:cs="Arial" w:eastAsia="Arial" w:hAnsi="Arial"/>
          <w:sz w:val="16"/>
          <w:szCs w:val="16"/>
          <w:b w:val="1"/>
          <w:bCs w:val="1"/>
          <w:color w:val="auto"/>
        </w:rPr>
      </w:pPr>
    </w:p>
    <w:p>
      <w:pPr>
        <w:ind w:firstLine="921"/>
        <w:spacing w:after="0" w:line="313" w:lineRule="auto"/>
        <w:tabs>
          <w:tab w:leader="none" w:pos="1128" w:val="left"/>
        </w:tabs>
        <w:numPr>
          <w:ilvl w:val="1"/>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5(b) regarding Ten Percent Stockholders, no Stock Appreciation Right shall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ten (10) years from the date of grant, or such shorter period specified in the Stock Appreciation Right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68" w:name="page369"/>
    <w:bookmarkEnd w:id="368"/>
    <w:p>
      <w:pPr>
        <w:ind w:left="-8" w:right="120" w:firstLine="921"/>
        <w:spacing w:after="0" w:line="261" w:lineRule="auto"/>
        <w:tabs>
          <w:tab w:leader="none" w:pos="1170" w:val="left"/>
        </w:tabs>
        <w:numPr>
          <w:ilvl w:val="2"/>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Strike Price</w:t>
      </w:r>
      <w:r>
        <w:rPr>
          <w:rFonts w:ascii="Arial" w:cs="Arial" w:eastAsia="Arial" w:hAnsi="Arial"/>
          <w:sz w:val="18"/>
          <w:szCs w:val="18"/>
          <w:color w:val="auto"/>
        </w:rPr>
        <w:t>. Each Stock Appreciation Right will be denominated in shares of Common Stock equivalents. Subject to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5(b) regarding Ten Percent Stockholders, the strike price of each Stock Appreciation Right granted as a stand-alone or tandem Stock Award shall not be less than one hundred percent (100%) of the Fair Market Value of the Common Stock equivalents subject to the Stock Appreciation Right on the date of grant.</w:t>
      </w:r>
    </w:p>
    <w:p>
      <w:pPr>
        <w:spacing w:after="0" w:line="71" w:lineRule="exact"/>
        <w:rPr>
          <w:rFonts w:ascii="Arial" w:cs="Arial" w:eastAsia="Arial" w:hAnsi="Arial"/>
          <w:sz w:val="18"/>
          <w:szCs w:val="18"/>
          <w:b w:val="1"/>
          <w:bCs w:val="1"/>
          <w:color w:val="auto"/>
        </w:rPr>
      </w:pPr>
    </w:p>
    <w:p>
      <w:pPr>
        <w:ind w:left="-8" w:firstLine="921"/>
        <w:spacing w:after="0" w:line="258" w:lineRule="auto"/>
        <w:tabs>
          <w:tab w:leader="none" w:pos="1220" w:val="left"/>
        </w:tabs>
        <w:numPr>
          <w:ilvl w:val="2"/>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Appreciation</w:t>
      </w:r>
      <w:r>
        <w:rPr>
          <w:rFonts w:ascii="Arial" w:cs="Arial" w:eastAsia="Arial" w:hAnsi="Arial"/>
          <w:sz w:val="18"/>
          <w:szCs w:val="18"/>
          <w:color w:val="auto"/>
        </w:rPr>
        <w:t>. The appreciation distribution payable on the exercise of a Stock Appreciation Right will be not greater than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equal to the excess of (i) the aggregate Fair Market Value (on the date of the exercise of the Stock Appreciation Right) of a number of shares of Common Stock equal to the number of share of Common Stock equivalents in which the Participant is vested under such Stock Appreciation Right and with respect to which the Participant is exercising the Stock Appreciation Right on such date, over (ii) an amount (the strike price) that will be determined by the Board on the date of grant.</w:t>
      </w:r>
    </w:p>
    <w:p>
      <w:pPr>
        <w:spacing w:after="0" w:line="75" w:lineRule="exact"/>
        <w:rPr>
          <w:rFonts w:ascii="Arial" w:cs="Arial" w:eastAsia="Arial" w:hAnsi="Arial"/>
          <w:sz w:val="18"/>
          <w:szCs w:val="18"/>
          <w:b w:val="1"/>
          <w:bCs w:val="1"/>
          <w:color w:val="auto"/>
        </w:rPr>
      </w:pPr>
    </w:p>
    <w:p>
      <w:pPr>
        <w:jc w:val="both"/>
        <w:ind w:left="-8" w:right="140" w:firstLine="921"/>
        <w:spacing w:after="0" w:line="266" w:lineRule="auto"/>
        <w:tabs>
          <w:tab w:leader="none" w:pos="1210" w:val="left"/>
        </w:tabs>
        <w:numPr>
          <w:ilvl w:val="2"/>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Stock Appreciation Right, the Board may impose such restrictions or conditions to the vesting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Appreciation Right as it deems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Stock Appreciation Right that could be settled in shares of Common Stock shall be subject to the provision of Section 9(i).</w:t>
      </w:r>
    </w:p>
    <w:p>
      <w:pPr>
        <w:spacing w:after="0" w:line="68" w:lineRule="exact"/>
        <w:rPr>
          <w:rFonts w:ascii="Arial" w:cs="Arial" w:eastAsia="Arial" w:hAnsi="Arial"/>
          <w:sz w:val="18"/>
          <w:szCs w:val="18"/>
          <w:b w:val="1"/>
          <w:bCs w:val="1"/>
          <w:color w:val="auto"/>
        </w:rPr>
      </w:pPr>
    </w:p>
    <w:p>
      <w:pPr>
        <w:ind w:left="-8" w:right="240" w:firstLine="921"/>
        <w:spacing w:after="0" w:line="282" w:lineRule="auto"/>
        <w:tabs>
          <w:tab w:leader="none" w:pos="1160" w:val="left"/>
        </w:tabs>
        <w:numPr>
          <w:ilvl w:val="2"/>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r>
        <w:rPr>
          <w:rFonts w:ascii="Arial" w:cs="Arial" w:eastAsia="Arial" w:hAnsi="Arial"/>
          <w:sz w:val="18"/>
          <w:szCs w:val="18"/>
          <w:color w:val="auto"/>
        </w:rPr>
        <w:t>. To exercise any outstanding Stock Appreciation Right, the Participant must provide written notice of exercise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provisions of the Stock Appreciation Right Agreement evidencing such Stock Appreciation Right.</w:t>
      </w:r>
    </w:p>
    <w:p>
      <w:pPr>
        <w:spacing w:after="0" w:line="53" w:lineRule="exact"/>
        <w:rPr>
          <w:rFonts w:ascii="Arial" w:cs="Arial" w:eastAsia="Arial" w:hAnsi="Arial"/>
          <w:sz w:val="18"/>
          <w:szCs w:val="18"/>
          <w:b w:val="1"/>
          <w:bCs w:val="1"/>
          <w:color w:val="auto"/>
        </w:rPr>
      </w:pPr>
    </w:p>
    <w:p>
      <w:pPr>
        <w:jc w:val="both"/>
        <w:ind w:left="-8" w:right="20" w:firstLine="921"/>
        <w:spacing w:after="0" w:line="266" w:lineRule="auto"/>
        <w:tabs>
          <w:tab w:leader="none" w:pos="1210" w:val="left"/>
        </w:tabs>
        <w:numPr>
          <w:ilvl w:val="2"/>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The appreciation distribution in respect to a Stock Appreciation Right may be paid in Common Stock, in cash, in any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two or in any other form of consideration, as determined by the Board and contained in the Stock Appreciation Right Agreement evidencing such Stock Appreciation Right.</w:t>
      </w:r>
    </w:p>
    <w:p>
      <w:pPr>
        <w:spacing w:after="0" w:line="68" w:lineRule="exact"/>
        <w:rPr>
          <w:rFonts w:ascii="Arial" w:cs="Arial" w:eastAsia="Arial" w:hAnsi="Arial"/>
          <w:sz w:val="18"/>
          <w:szCs w:val="18"/>
          <w:b w:val="1"/>
          <w:bCs w:val="1"/>
          <w:color w:val="auto"/>
        </w:rPr>
      </w:pPr>
    </w:p>
    <w:p>
      <w:pPr>
        <w:ind w:left="-8" w:right="20" w:firstLine="921"/>
        <w:spacing w:after="0" w:line="295" w:lineRule="auto"/>
        <w:tabs>
          <w:tab w:leader="none" w:pos="1260" w:val="left"/>
        </w:tabs>
        <w:numPr>
          <w:ilvl w:val="2"/>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that a Participant’s Continuous Service terminates, the Participant may exercise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Stock Appreciation Right (to the extent that the Participant was entitled to exercise such Stock Appreciation Right as of the date of termination) but only within such period of time ending on the earlier of (i) the date three (3) months following the termination of the Participant’s Continuous Service (or such longer or shorter period specified in the Stock Appreciation Right Agreement), or (ii)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82" w:lineRule="exact"/>
        <w:rPr>
          <w:rFonts w:ascii="Arial" w:cs="Arial" w:eastAsia="Arial" w:hAnsi="Arial"/>
          <w:sz w:val="16"/>
          <w:szCs w:val="16"/>
          <w:b w:val="1"/>
          <w:bCs w:val="1"/>
          <w:color w:val="auto"/>
        </w:rPr>
      </w:pPr>
    </w:p>
    <w:p>
      <w:pPr>
        <w:ind w:left="452" w:hanging="452"/>
        <w:spacing w:after="0"/>
        <w:tabs>
          <w:tab w:leader="none" w:pos="452"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17" w:lineRule="exact"/>
        <w:rPr>
          <w:rFonts w:ascii="Arial" w:cs="Arial" w:eastAsia="Arial" w:hAnsi="Arial"/>
          <w:sz w:val="18"/>
          <w:szCs w:val="18"/>
          <w:b w:val="1"/>
          <w:bCs w:val="1"/>
          <w:color w:val="auto"/>
        </w:rPr>
      </w:pPr>
    </w:p>
    <w:p>
      <w:pPr>
        <w:ind w:left="-8" w:right="440" w:firstLine="464"/>
        <w:spacing w:after="0" w:line="282" w:lineRule="auto"/>
        <w:tabs>
          <w:tab w:leader="none" w:pos="703" w:val="left"/>
        </w:tabs>
        <w:numPr>
          <w:ilvl w:val="1"/>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required to satisfy such Stock Awards.</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0" w:right="239" w:bottom="1440" w:gutter="0" w:footer="0" w:header="0"/>
        </w:sectPr>
      </w:pPr>
    </w:p>
    <w:bookmarkStart w:id="369" w:name="page370"/>
    <w:bookmarkEnd w:id="369"/>
    <w:p>
      <w:pPr>
        <w:ind w:left="-8" w:firstLine="464"/>
        <w:spacing w:after="0" w:line="295" w:lineRule="auto"/>
        <w:tabs>
          <w:tab w:leader="none" w:pos="713" w:val="left"/>
        </w:tabs>
        <w:numPr>
          <w:ilvl w:val="1"/>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Law Compliance</w:t>
      </w:r>
      <w:r>
        <w:rPr>
          <w:rFonts w:ascii="Arial" w:cs="Arial" w:eastAsia="Arial" w:hAnsi="Arial"/>
          <w:sz w:val="16"/>
          <w:szCs w:val="16"/>
          <w:color w:val="auto"/>
        </w:rPr>
        <w:t>. The Company shall seek to obtain from each regulatory commission or agency having jurisdiction over the Plan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as may be required to grant Stock Awards and to issue and sell shares of Common Stock upon exercise of the Stock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82" w:lineRule="exact"/>
        <w:rPr>
          <w:rFonts w:ascii="Arial" w:cs="Arial" w:eastAsia="Arial" w:hAnsi="Arial"/>
          <w:sz w:val="16"/>
          <w:szCs w:val="16"/>
          <w:b w:val="1"/>
          <w:bCs w:val="1"/>
          <w:color w:val="auto"/>
        </w:rPr>
      </w:pPr>
    </w:p>
    <w:p>
      <w:pPr>
        <w:ind w:left="452" w:hanging="452"/>
        <w:spacing w:after="0"/>
        <w:tabs>
          <w:tab w:leader="none" w:pos="452"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left="712" w:hanging="256"/>
        <w:spacing w:after="0"/>
        <w:tabs>
          <w:tab w:leader="none" w:pos="712" w:val="left"/>
        </w:tabs>
        <w:numPr>
          <w:ilvl w:val="1"/>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w:t>
      </w:r>
      <w:r>
        <w:rPr>
          <w:rFonts w:ascii="Arial" w:cs="Arial" w:eastAsia="Arial" w:hAnsi="Arial"/>
          <w:sz w:val="17"/>
          <w:szCs w:val="17"/>
          <w:color w:val="auto"/>
        </w:rPr>
        <w:t>. Proceeds from the sale of Common Stock pursuant to Stock Awards shall constitute general funds of the Company.</w:t>
      </w:r>
    </w:p>
    <w:p>
      <w:pPr>
        <w:spacing w:after="0" w:line="128" w:lineRule="exact"/>
        <w:rPr>
          <w:rFonts w:ascii="Arial" w:cs="Arial" w:eastAsia="Arial" w:hAnsi="Arial"/>
          <w:sz w:val="17"/>
          <w:szCs w:val="17"/>
          <w:b w:val="1"/>
          <w:bCs w:val="1"/>
          <w:color w:val="auto"/>
        </w:rPr>
      </w:pPr>
    </w:p>
    <w:p>
      <w:pPr>
        <w:ind w:left="-8" w:right="120" w:firstLine="464"/>
        <w:spacing w:after="0" w:line="266" w:lineRule="auto"/>
        <w:tabs>
          <w:tab w:leader="none" w:pos="713"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Acceleration of Exercisability and Vesting</w:t>
      </w:r>
      <w:r>
        <w:rPr>
          <w:rFonts w:ascii="Arial" w:cs="Arial" w:eastAsia="Arial" w:hAnsi="Arial"/>
          <w:sz w:val="18"/>
          <w:szCs w:val="18"/>
          <w:color w:val="auto"/>
        </w:rPr>
        <w:t>. The Board shall have the power to accelerate the time at which a Stock Award may first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or the time during which a Stock Award or any part thereof will vest in accordance with the Plan, notwithstanding the provisions in the Stock Award stating the time at which it may first be exercised or the time during which it will vest.</w:t>
      </w:r>
    </w:p>
    <w:p>
      <w:pPr>
        <w:spacing w:after="0" w:line="68" w:lineRule="exact"/>
        <w:rPr>
          <w:rFonts w:ascii="Arial" w:cs="Arial" w:eastAsia="Arial" w:hAnsi="Arial"/>
          <w:sz w:val="18"/>
          <w:szCs w:val="18"/>
          <w:b w:val="1"/>
          <w:bCs w:val="1"/>
          <w:color w:val="auto"/>
        </w:rPr>
      </w:pPr>
    </w:p>
    <w:p>
      <w:pPr>
        <w:ind w:left="-8" w:right="280" w:firstLine="464"/>
        <w:spacing w:after="0" w:line="266" w:lineRule="auto"/>
        <w:tabs>
          <w:tab w:leader="none" w:pos="693"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such Participant has satisfied all requirements for exercise of the Stock Award pursuant to its terms.</w:t>
      </w:r>
    </w:p>
    <w:p>
      <w:pPr>
        <w:spacing w:after="0" w:line="68" w:lineRule="exact"/>
        <w:rPr>
          <w:rFonts w:ascii="Arial" w:cs="Arial" w:eastAsia="Arial" w:hAnsi="Arial"/>
          <w:sz w:val="18"/>
          <w:szCs w:val="18"/>
          <w:b w:val="1"/>
          <w:bCs w:val="1"/>
          <w:color w:val="auto"/>
        </w:rPr>
      </w:pPr>
    </w:p>
    <w:p>
      <w:pPr>
        <w:ind w:left="-8" w:right="40" w:firstLine="464"/>
        <w:spacing w:after="0" w:line="256" w:lineRule="auto"/>
        <w:tabs>
          <w:tab w:leader="none" w:pos="713"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or other Service Rights</w:t>
      </w:r>
      <w:r>
        <w:rPr>
          <w:rFonts w:ascii="Arial" w:cs="Arial" w:eastAsia="Arial" w:hAnsi="Arial"/>
          <w:sz w:val="18"/>
          <w:szCs w:val="18"/>
          <w:color w:val="auto"/>
        </w:rPr>
        <w:t>. Nothing in the Plan, any Stock Award Agreement, or any other instrument executed thereunder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79" w:lineRule="exact"/>
        <w:rPr>
          <w:rFonts w:ascii="Arial" w:cs="Arial" w:eastAsia="Arial" w:hAnsi="Arial"/>
          <w:sz w:val="18"/>
          <w:szCs w:val="18"/>
          <w:b w:val="1"/>
          <w:bCs w:val="1"/>
          <w:color w:val="auto"/>
        </w:rPr>
      </w:pPr>
    </w:p>
    <w:p>
      <w:pPr>
        <w:jc w:val="both"/>
        <w:ind w:left="-8" w:right="60" w:firstLine="464"/>
        <w:spacing w:after="0" w:line="303" w:lineRule="auto"/>
        <w:tabs>
          <w:tab w:leader="none" w:pos="693" w:val="left"/>
        </w:tabs>
        <w:numPr>
          <w:ilvl w:val="1"/>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$100,000 Limitation</w:t>
      </w:r>
      <w:r>
        <w:rPr>
          <w:rFonts w:ascii="Arial" w:cs="Arial" w:eastAsia="Arial" w:hAnsi="Arial"/>
          <w:sz w:val="16"/>
          <w:szCs w:val="16"/>
          <w:color w:val="auto"/>
        </w:rPr>
        <w:t>. To the extent that the aggregate Fair Market Value (determined at the time of grant)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0" w:right="259" w:bottom="1440" w:gutter="0" w:footer="0" w:header="0"/>
        </w:sectPr>
      </w:pPr>
    </w:p>
    <w:bookmarkStart w:id="370" w:name="page371"/>
    <w:bookmarkEnd w:id="370"/>
    <w:p>
      <w:pPr>
        <w:ind w:left="672" w:hanging="216"/>
        <w:spacing w:after="0"/>
        <w:tabs>
          <w:tab w:leader="none" w:pos="672" w:val="left"/>
        </w:tabs>
        <w:numPr>
          <w:ilvl w:val="1"/>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Assurances</w:t>
      </w:r>
      <w:r>
        <w:rPr>
          <w:rFonts w:ascii="Arial" w:cs="Arial" w:eastAsia="Arial" w:hAnsi="Arial"/>
          <w:sz w:val="16"/>
          <w:szCs w:val="16"/>
          <w:color w:val="auto"/>
        </w:rPr>
        <w:t>. The Company may require a Participant, as a condition of exercising or acquiring Common Stock under any Stock Award,</w:t>
      </w:r>
    </w:p>
    <w:p>
      <w:pPr>
        <w:spacing w:after="0" w:line="50" w:lineRule="exact"/>
        <w:rPr>
          <w:rFonts w:ascii="Arial" w:cs="Arial" w:eastAsia="Arial" w:hAnsi="Arial"/>
          <w:sz w:val="16"/>
          <w:szCs w:val="16"/>
          <w:b w:val="1"/>
          <w:bCs w:val="1"/>
          <w:color w:val="auto"/>
        </w:rPr>
      </w:pPr>
    </w:p>
    <w:p>
      <w:pPr>
        <w:ind w:left="-8" w:right="40" w:firstLine="8"/>
        <w:spacing w:after="0" w:line="286" w:lineRule="auto"/>
        <w:tabs>
          <w:tab w:leader="none" w:pos="20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(i) the issuance of the shares upon the exercise or acquisition of Common Stock under the Stock Award has been registered under a then currently effective registration statement under the Securities Act, or (ii)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8" w:lineRule="exact"/>
        <w:rPr>
          <w:rFonts w:ascii="Arial" w:cs="Arial" w:eastAsia="Arial" w:hAnsi="Arial"/>
          <w:sz w:val="16"/>
          <w:szCs w:val="16"/>
          <w:color w:val="auto"/>
        </w:rPr>
      </w:pPr>
    </w:p>
    <w:p>
      <w:pPr>
        <w:ind w:left="-8" w:right="220" w:firstLine="464"/>
        <w:spacing w:after="0" w:line="289" w:lineRule="auto"/>
        <w:tabs>
          <w:tab w:leader="none" w:pos="703" w:val="left"/>
        </w:tabs>
        <w:numPr>
          <w:ilvl w:val="1"/>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Obligations</w:t>
      </w:r>
      <w:r>
        <w:rPr>
          <w:rFonts w:ascii="Arial" w:cs="Arial" w:eastAsia="Arial" w:hAnsi="Arial"/>
          <w:sz w:val="16"/>
          <w:szCs w:val="16"/>
          <w:color w:val="auto"/>
        </w:rPr>
        <w:t>. To the extent provided by the terms of a Stock Award Agreement, the Company may, in its sole discretion,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or local tax withholding obligation relating to a Stock Award by any of the following means (in addition to the Company’s right to withhold from any compensation paid to the Participant by the Company) or by a combination of such means: (i) causing the Participant to tender a cash payment;</w:t>
      </w:r>
    </w:p>
    <w:p>
      <w:pPr>
        <w:spacing w:after="0" w:line="1" w:lineRule="exact"/>
        <w:rPr>
          <w:rFonts w:ascii="Arial" w:cs="Arial" w:eastAsia="Arial" w:hAnsi="Arial"/>
          <w:sz w:val="16"/>
          <w:szCs w:val="16"/>
          <w:b w:val="1"/>
          <w:bCs w:val="1"/>
          <w:color w:val="auto"/>
        </w:rPr>
      </w:pPr>
    </w:p>
    <w:p>
      <w:pPr>
        <w:ind w:left="-8" w:right="120" w:firstLine="8"/>
        <w:spacing w:after="0" w:line="254" w:lineRule="auto"/>
        <w:tabs>
          <w:tab w:leader="none" w:pos="25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withholding shares of Common Stock from the shares of Common Stock issued or otherwise issuable to the Participant in connection with the Stock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shares of Common Stock are withheld with a value exceeding the minimum amount of tax required to be withheld by law (or such lower amount as may be necessary to avoid classification of the Stock Award as a liability for financial accounting purposes); or (iii) by such other method as may be set forth in the Stock Award Agreement.</w:t>
      </w:r>
    </w:p>
    <w:p>
      <w:pPr>
        <w:spacing w:after="0" w:line="77" w:lineRule="exact"/>
        <w:rPr>
          <w:rFonts w:ascii="Arial" w:cs="Arial" w:eastAsia="Arial" w:hAnsi="Arial"/>
          <w:sz w:val="18"/>
          <w:szCs w:val="18"/>
          <w:color w:val="auto"/>
        </w:rPr>
      </w:pPr>
    </w:p>
    <w:p>
      <w:pPr>
        <w:jc w:val="both"/>
        <w:ind w:left="-8" w:firstLine="464"/>
        <w:spacing w:after="0" w:line="266" w:lineRule="auto"/>
        <w:tabs>
          <w:tab w:leader="none" w:pos="713" w:val="left"/>
        </w:tabs>
        <w:numPr>
          <w:ilvl w:val="1"/>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Obligation</w:t>
      </w:r>
      <w:r>
        <w:rPr>
          <w:rFonts w:ascii="Arial" w:cs="Arial" w:eastAsia="Arial" w:hAnsi="Arial"/>
          <w:sz w:val="18"/>
          <w:szCs w:val="18"/>
          <w:color w:val="auto"/>
        </w:rPr>
        <w:t>. To the extent required by Section 260.140.46 of Title 10 of the California Code of Regulations, the Company shall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to Participants at least annually. This Section 9(h) shall not apply to key Employees whose duties in connection with the Company assure them access to equivalent information.</w:t>
      </w:r>
    </w:p>
    <w:p>
      <w:pPr>
        <w:spacing w:after="0" w:line="68" w:lineRule="exact"/>
        <w:rPr>
          <w:rFonts w:ascii="Arial" w:cs="Arial" w:eastAsia="Arial" w:hAnsi="Arial"/>
          <w:sz w:val="18"/>
          <w:szCs w:val="18"/>
          <w:b w:val="1"/>
          <w:bCs w:val="1"/>
          <w:color w:val="auto"/>
        </w:rPr>
      </w:pPr>
    </w:p>
    <w:p>
      <w:pPr>
        <w:ind w:left="-8" w:right="40" w:firstLine="464"/>
        <w:spacing w:after="0" w:line="258" w:lineRule="auto"/>
        <w:tabs>
          <w:tab w:leader="none" w:pos="663" w:val="left"/>
        </w:tabs>
        <w:numPr>
          <w:ilvl w:val="1"/>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Limitation</w:t>
      </w:r>
      <w:r>
        <w:rPr>
          <w:rFonts w:ascii="Arial" w:cs="Arial" w:eastAsia="Arial" w:hAnsi="Arial"/>
          <w:sz w:val="18"/>
          <w:szCs w:val="18"/>
          <w:color w:val="auto"/>
        </w:rPr>
        <w:t>. The terms of any repurchase option shall be specified in the Stock Award, and the repurchase price may be either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the shares of Common Stock on the date of termination of Continuous Service or the lower of (i) the Fair Market Value of the shares of Common Stock on the date of repurchase, or (ii) their original purchase price. To the extent required by Section 260.140.41 and Section 260.140.42 of Title 10 of the California Code of Regulations at the time a Stock Award is made, any repurchase option contained in a Stock Award granted to a person who is not an Officer, Director or Consultant shall be upon the terms described below:</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69" w:right="239" w:bottom="1440" w:gutter="0" w:footer="0" w:header="0"/>
        </w:sectPr>
      </w:pPr>
    </w:p>
    <w:bookmarkStart w:id="371" w:name="page372"/>
    <w:bookmarkEnd w:id="371"/>
    <w:p>
      <w:pPr>
        <w:ind w:left="-8" w:right="160" w:firstLine="921"/>
        <w:spacing w:after="0" w:line="289" w:lineRule="auto"/>
        <w:tabs>
          <w:tab w:leader="none" w:pos="1120" w:val="left"/>
        </w:tabs>
        <w:numPr>
          <w:ilvl w:val="1"/>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Fair Market Value</w:t>
      </w:r>
      <w:r>
        <w:rPr>
          <w:rFonts w:ascii="Arial" w:cs="Arial" w:eastAsia="Arial" w:hAnsi="Arial"/>
          <w:sz w:val="16"/>
          <w:szCs w:val="16"/>
          <w:color w:val="auto"/>
        </w:rPr>
        <w:t>. If the repurchase option gives the Company the right to repurchase the shares of Common Stock upon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at not less than the Fair Market Value of the shares of Common Stock to be purchased on the date of termination of Continuous Service, then (i) the right to repurchase shall be exercised for cash or cancellation of purchase money indebtedness for the shares of Common Stock within ninety</w:t>
      </w:r>
    </w:p>
    <w:p>
      <w:pPr>
        <w:spacing w:after="0" w:line="1" w:lineRule="exact"/>
        <w:rPr>
          <w:rFonts w:ascii="Arial" w:cs="Arial" w:eastAsia="Arial" w:hAnsi="Arial"/>
          <w:sz w:val="16"/>
          <w:szCs w:val="16"/>
          <w:b w:val="1"/>
          <w:bCs w:val="1"/>
          <w:color w:val="auto"/>
        </w:rPr>
      </w:pPr>
    </w:p>
    <w:p>
      <w:pPr>
        <w:ind w:left="-8" w:right="120" w:firstLine="8"/>
        <w:spacing w:after="0" w:line="255" w:lineRule="auto"/>
        <w:tabs>
          <w:tab w:leader="none" w:pos="33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days of termination of Continuous Service (or in the case of shares of Common Stock issued upon exercise of Stock Awards after such date of termination, within ninety (90) days after the date of the exercise) or such longer period as may be agreed to by the Company and the Participant, and (ii) the right terminates when the shares of Common Stock become publicly traded.</w:t>
      </w:r>
    </w:p>
    <w:p>
      <w:pPr>
        <w:spacing w:after="0" w:line="78" w:lineRule="exact"/>
        <w:rPr>
          <w:rFonts w:ascii="Arial" w:cs="Arial" w:eastAsia="Arial" w:hAnsi="Arial"/>
          <w:sz w:val="18"/>
          <w:szCs w:val="18"/>
          <w:color w:val="auto"/>
        </w:rPr>
      </w:pPr>
    </w:p>
    <w:p>
      <w:pPr>
        <w:ind w:left="-8" w:right="80" w:firstLine="921"/>
        <w:spacing w:after="0" w:line="285" w:lineRule="auto"/>
        <w:tabs>
          <w:tab w:leader="none" w:pos="1170" w:val="left"/>
        </w:tabs>
        <w:numPr>
          <w:ilvl w:val="1"/>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Original Purchase Price</w:t>
      </w:r>
      <w:r>
        <w:rPr>
          <w:rFonts w:ascii="Arial" w:cs="Arial" w:eastAsia="Arial" w:hAnsi="Arial"/>
          <w:sz w:val="16"/>
          <w:szCs w:val="16"/>
          <w:color w:val="auto"/>
        </w:rPr>
        <w:t>. If the repurchase option gives the Company the right to repurchase the shares of Common Stock upon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Continuous Service at the lower of (i) the Fair Market Value of the shares of Common Stock on the date of repurchase or (ii) their original purchase price, then (x) the right to repurchase at the original purchase price shall lapse at the rate of at least twenty percent (20%) of the shares of Common Stock per year over five (5) years from the date the Stock Award is granted (without respect to the date the Stock Award was exercised or became exercisable) and (y) the right to repurchase shall be exercised for cash or cancellation of purchase money indebtedness for the shares of Common Stock within ninety (90) days of termination of Continuous Service (or in the case of shares of Common Stock issued upon exercise of Options after such date of termination, within ninety</w:t>
      </w:r>
    </w:p>
    <w:p>
      <w:pPr>
        <w:spacing w:after="0" w:line="3" w:lineRule="exact"/>
        <w:rPr>
          <w:rFonts w:ascii="Arial" w:cs="Arial" w:eastAsia="Arial" w:hAnsi="Arial"/>
          <w:sz w:val="16"/>
          <w:szCs w:val="16"/>
          <w:b w:val="1"/>
          <w:bCs w:val="1"/>
          <w:color w:val="auto"/>
        </w:rPr>
      </w:pPr>
    </w:p>
    <w:p>
      <w:pPr>
        <w:ind w:left="352" w:hanging="352"/>
        <w:spacing w:after="0"/>
        <w:tabs>
          <w:tab w:leader="none" w:pos="35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days after the date of the exercise) or such longer period as may be agreed to by the Company and the Participant.</w:t>
      </w:r>
    </w:p>
    <w:p>
      <w:pPr>
        <w:spacing w:after="0" w:line="99" w:lineRule="exact"/>
        <w:rPr>
          <w:sz w:val="20"/>
          <w:szCs w:val="20"/>
          <w:color w:val="auto"/>
        </w:rPr>
      </w:pPr>
    </w:p>
    <w:p>
      <w:pPr>
        <w:ind w:left="-8" w:right="700" w:firstLine="921"/>
        <w:spacing w:after="0" w:line="282" w:lineRule="auto"/>
        <w:tabs>
          <w:tab w:leader="none" w:pos="1130" w:val="left"/>
        </w:tabs>
        <w:numPr>
          <w:ilvl w:val="2"/>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188" w:lineRule="exact"/>
        <w:rPr>
          <w:rFonts w:ascii="Arial" w:cs="Arial" w:eastAsia="Arial" w:hAnsi="Arial"/>
          <w:sz w:val="18"/>
          <w:szCs w:val="18"/>
          <w:b w:val="1"/>
          <w:bCs w:val="1"/>
          <w:color w:val="auto"/>
        </w:rPr>
      </w:pPr>
    </w:p>
    <w:p>
      <w:pPr>
        <w:ind w:left="452" w:hanging="452"/>
        <w:spacing w:after="0"/>
        <w:tabs>
          <w:tab w:leader="none" w:pos="452"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CORPORATE TRANSACTIONS.</w:t>
      </w:r>
    </w:p>
    <w:p>
      <w:pPr>
        <w:spacing w:after="0" w:line="117" w:lineRule="exact"/>
        <w:rPr>
          <w:rFonts w:ascii="Arial" w:cs="Arial" w:eastAsia="Arial" w:hAnsi="Arial"/>
          <w:sz w:val="18"/>
          <w:szCs w:val="18"/>
          <w:b w:val="1"/>
          <w:bCs w:val="1"/>
          <w:color w:val="auto"/>
        </w:rPr>
      </w:pPr>
    </w:p>
    <w:p>
      <w:pPr>
        <w:ind w:left="-8" w:firstLine="464"/>
        <w:spacing w:after="0" w:line="272" w:lineRule="auto"/>
        <w:tabs>
          <w:tab w:leader="none" w:pos="703" w:val="left"/>
        </w:tabs>
        <w:numPr>
          <w:ilvl w:val="1"/>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If any change is made in, or other events occur with respect to, the Common Stock subject to the Plan or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(each a “</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the Board shall appropriately adjust: (i) the class(es) and maximum number of securities subject to the Plan pursuant to Sections 4(a) and 4(b), and (ii) the class(es) and number of securities and price per share of Common Stock subject to each outstanding Stock Award. The Board shall make such adjustments, and its determination shall be final, binding and conclusive. (Notwithstanding the foregoing, the conversion of any convertible securities of the Company shall not be treated as a transaction “without receipt of consideration” by the Company.)</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69" w:right="239" w:bottom="1440" w:gutter="0" w:footer="0" w:header="0"/>
        </w:sectPr>
      </w:pPr>
    </w:p>
    <w:bookmarkStart w:id="372" w:name="page373"/>
    <w:bookmarkEnd w:id="372"/>
    <w:p>
      <w:pPr>
        <w:ind w:left="-20" w:right="200" w:firstLine="464"/>
        <w:spacing w:after="0" w:line="295" w:lineRule="auto"/>
        <w:tabs>
          <w:tab w:leader="none" w:pos="701"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Dissolution or Liquidation</w:t>
      </w:r>
      <w:r>
        <w:rPr>
          <w:rFonts w:ascii="Arial" w:cs="Arial" w:eastAsia="Arial" w:hAnsi="Arial"/>
          <w:sz w:val="16"/>
          <w:szCs w:val="16"/>
          <w:color w:val="auto"/>
        </w:rPr>
        <w:t>. In the event of a dissolution or liquidation of the Company, all outstanding Stock Awards (other than Stock Awards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consisting of vested and outstanding shares of Common Stock not subject to the Company’s right of repurchase) shall terminate immediately prior to the completion of such dissolution or liquidation, and the shares of Common Stock subject to the Company’s repurchase option may be repurchased by the Company notwithstanding the fact that the holder of such Stock Award is providing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47" w:lineRule="exact"/>
        <w:rPr>
          <w:rFonts w:ascii="Arial" w:cs="Arial" w:eastAsia="Arial" w:hAnsi="Arial"/>
          <w:sz w:val="16"/>
          <w:szCs w:val="16"/>
          <w:b w:val="1"/>
          <w:bCs w:val="1"/>
          <w:color w:val="auto"/>
        </w:rPr>
      </w:pPr>
    </w:p>
    <w:p>
      <w:pPr>
        <w:ind w:left="-20" w:right="20" w:firstLine="464"/>
        <w:spacing w:after="0" w:line="282" w:lineRule="auto"/>
        <w:tabs>
          <w:tab w:leader="none" w:pos="681"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The following provisions shall apply to Stock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agreement between the Company or any Affiliate and the holder of the Stock Award:</w:t>
      </w:r>
    </w:p>
    <w:p>
      <w:pPr>
        <w:spacing w:after="0" w:line="53" w:lineRule="exact"/>
        <w:rPr>
          <w:rFonts w:ascii="Arial" w:cs="Arial" w:eastAsia="Arial" w:hAnsi="Arial"/>
          <w:sz w:val="18"/>
          <w:szCs w:val="18"/>
          <w:b w:val="1"/>
          <w:bCs w:val="1"/>
          <w:color w:val="auto"/>
        </w:rPr>
      </w:pPr>
    </w:p>
    <w:p>
      <w:pPr>
        <w:ind w:left="-20" w:right="20" w:firstLine="921"/>
        <w:spacing w:after="0" w:line="255" w:lineRule="auto"/>
        <w:tabs>
          <w:tab w:leader="none" w:pos="1108" w:val="left"/>
        </w:tabs>
        <w:numPr>
          <w:ilvl w:val="1"/>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Awards May Be Assumed</w:t>
      </w:r>
      <w:r>
        <w:rPr>
          <w:rFonts w:ascii="Arial" w:cs="Arial" w:eastAsia="Arial" w:hAnsi="Arial"/>
          <w:sz w:val="18"/>
          <w:szCs w:val="18"/>
          <w:color w:val="auto"/>
        </w:rPr>
        <w:t>. In the event of a Corporate Transaction, any surviving corporation or acquiring corporation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Stock Awards may be assigned by the Company to the successor of the Company (or the successor’s parent company, if any), in connection with such Corporate Transaction. A surviving corporation or acquiring corporation may choose to assume or continue only a portion of a Stock Award or substitute a similar stock award for only a portion of a Stock Award. The terms of any assumption, continuation or substitution shall be set by the Board in accordance with the provisions of Section 3.</w:t>
      </w:r>
    </w:p>
    <w:p>
      <w:pPr>
        <w:spacing w:after="0" w:line="77" w:lineRule="exact"/>
        <w:rPr>
          <w:rFonts w:ascii="Arial" w:cs="Arial" w:eastAsia="Arial" w:hAnsi="Arial"/>
          <w:sz w:val="18"/>
          <w:szCs w:val="18"/>
          <w:b w:val="1"/>
          <w:bCs w:val="1"/>
          <w:color w:val="auto"/>
        </w:rPr>
      </w:pPr>
    </w:p>
    <w:p>
      <w:pPr>
        <w:ind w:left="-20" w:firstLine="921"/>
        <w:spacing w:after="0" w:line="271" w:lineRule="auto"/>
        <w:tabs>
          <w:tab w:leader="none" w:pos="1158" w:val="left"/>
        </w:tabs>
        <w:numPr>
          <w:ilvl w:val="1"/>
          <w:numId w:val="332"/>
        </w:numPr>
        <w:rPr>
          <w:rFonts w:ascii="Arial" w:cs="Arial" w:eastAsia="Arial" w:hAnsi="Arial"/>
          <w:sz w:val="17"/>
          <w:szCs w:val="17"/>
          <w:b w:val="1"/>
          <w:bCs w:val="1"/>
          <w:color w:val="auto"/>
        </w:rPr>
      </w:pPr>
      <w:r>
        <w:rPr>
          <w:rFonts w:ascii="Arial" w:cs="Arial" w:eastAsia="Arial" w:hAnsi="Arial"/>
          <w:sz w:val="17"/>
          <w:szCs w:val="17"/>
          <w:b w:val="1"/>
          <w:bCs w:val="1"/>
          <w:color w:val="auto"/>
        </w:rPr>
        <w:t>Stock Awards Held by Current Participants</w:t>
      </w:r>
      <w:r>
        <w:rPr>
          <w:rFonts w:ascii="Arial" w:cs="Arial" w:eastAsia="Arial" w:hAnsi="Arial"/>
          <w:sz w:val="17"/>
          <w:szCs w:val="17"/>
          <w:color w:val="auto"/>
        </w:rPr>
        <w:t>. In the event of a Corporate Transaction in which the surviving corporation or acquiring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7"/>
          <w:szCs w:val="17"/>
          <w:b w:val="1"/>
          <w:bCs w:val="1"/>
          <w:i w:val="1"/>
          <w:iCs w:val="1"/>
          <w:color w:val="auto"/>
        </w:rPr>
        <w:t>Current Participants</w:t>
      </w:r>
      <w:r>
        <w:rPr>
          <w:rFonts w:ascii="Arial" w:cs="Arial" w:eastAsia="Arial" w:hAnsi="Arial"/>
          <w:sz w:val="17"/>
          <w:szCs w:val="17"/>
          <w:color w:val="auto"/>
        </w:rPr>
        <w:t>”), the vesting of such Stock Awards (and, if applicable, the time at which such Stock Awards may be exercised)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Stock Awards shall terminate if not exercised (if applicable) at or prior to the effective time of the Corporate Transaction, and any reacquisition or repurchase rights held by the Company with respect to such Stock Awards shall lapse (contingent upon the effectiveness of the Corporate Transaction).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0" w:right="239" w:bottom="1440" w:gutter="0" w:footer="0" w:header="0"/>
        </w:sectPr>
      </w:pPr>
    </w:p>
    <w:bookmarkStart w:id="373" w:name="page374"/>
    <w:bookmarkEnd w:id="373"/>
    <w:p>
      <w:pPr>
        <w:ind w:left="-8" w:firstLine="921"/>
        <w:spacing w:after="0" w:line="292" w:lineRule="auto"/>
        <w:tabs>
          <w:tab w:leader="none" w:pos="1220" w:val="left"/>
        </w:tabs>
        <w:numPr>
          <w:ilvl w:val="2"/>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Awards Held by Former Participants</w:t>
      </w:r>
      <w:r>
        <w:rPr>
          <w:rFonts w:ascii="Arial" w:cs="Arial" w:eastAsia="Arial" w:hAnsi="Arial"/>
          <w:sz w:val="16"/>
          <w:szCs w:val="16"/>
          <w:color w:val="auto"/>
        </w:rPr>
        <w:t>. 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(or its parent company) does not assume or continue such outstanding Stock Awards or substitute similar stock awards for such outstanding Stock Awards, then with respect to Stock Awards that have not been assumed, continued or substituted and that are held by persons other than Current Participants, the vesting of such Stock Awards (and, if applicable, the time at which such Stock Award may be exercised) shall not be accelerated and such Stock Awards (other than a Stock Award consisting of vested and outstanding shares of Common Stock not subject to the Company’s right of repurchase) shall terminate if not exercised (if applicable) prior to the effective time of the Corporate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reacquisition or repurchase rights held by the Company with respect to such Stock Awards shall not terminate and may continue to be exercised notwithstanding the Corporate Transaction.</w:t>
      </w:r>
    </w:p>
    <w:p>
      <w:pPr>
        <w:spacing w:after="0" w:line="53" w:lineRule="exact"/>
        <w:rPr>
          <w:rFonts w:ascii="Arial" w:cs="Arial" w:eastAsia="Arial" w:hAnsi="Arial"/>
          <w:sz w:val="16"/>
          <w:szCs w:val="16"/>
          <w:b w:val="1"/>
          <w:bCs w:val="1"/>
          <w:color w:val="auto"/>
        </w:rPr>
      </w:pPr>
    </w:p>
    <w:p>
      <w:pPr>
        <w:ind w:left="-8" w:firstLine="921"/>
        <w:spacing w:after="0" w:line="258" w:lineRule="auto"/>
        <w:tabs>
          <w:tab w:leader="none" w:pos="1210" w:val="left"/>
        </w:tabs>
        <w:numPr>
          <w:ilvl w:val="2"/>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Stock Awards in Lieu of Exercise</w:t>
      </w:r>
      <w:r>
        <w:rPr>
          <w:rFonts w:ascii="Arial" w:cs="Arial" w:eastAsia="Arial" w:hAnsi="Arial"/>
          <w:sz w:val="18"/>
          <w:szCs w:val="18"/>
          <w:color w:val="auto"/>
        </w:rPr>
        <w:t>. Notwithstanding the foregoing, in the event a Stock Award will terminate if not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 (i) the value of the property the holder of the Stock Award would have received upon the exercise of the Stock Award, over (ii) any exercise price payable by such holder in connection with such exercise.</w:t>
      </w:r>
    </w:p>
    <w:p>
      <w:pPr>
        <w:spacing w:after="0" w:line="75" w:lineRule="exact"/>
        <w:rPr>
          <w:rFonts w:ascii="Arial" w:cs="Arial" w:eastAsia="Arial" w:hAnsi="Arial"/>
          <w:sz w:val="18"/>
          <w:szCs w:val="18"/>
          <w:b w:val="1"/>
          <w:bCs w:val="1"/>
          <w:color w:val="auto"/>
        </w:rPr>
      </w:pPr>
    </w:p>
    <w:p>
      <w:pPr>
        <w:jc w:val="both"/>
        <w:ind w:left="-8" w:right="40" w:firstLine="464"/>
        <w:spacing w:after="0" w:line="287" w:lineRule="auto"/>
        <w:tabs>
          <w:tab w:leader="none" w:pos="713" w:val="left"/>
        </w:tabs>
        <w:numPr>
          <w:ilvl w:val="1"/>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A Stock Award may be subject to additional acceleration of vesting and exercisability upon or after a Change in Control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provided in the Stock Award Agreement for such Stock Award or as may be provided in any other written agreement between the Company or any Affiliate and the Participant. A Stock Award may vest as to all or any portion of the shares subject to the Stock Award (i) immediately upon the occurrence of a Change in Control, whether or not such Stock Award is assumed, continued, or substituted by a surviving or acquiring entity in the Change in Control, or</w:t>
      </w:r>
    </w:p>
    <w:p>
      <w:pPr>
        <w:spacing w:after="0" w:line="2" w:lineRule="exact"/>
        <w:rPr>
          <w:rFonts w:ascii="Arial" w:cs="Arial" w:eastAsia="Arial" w:hAnsi="Arial"/>
          <w:sz w:val="16"/>
          <w:szCs w:val="16"/>
          <w:b w:val="1"/>
          <w:bCs w:val="1"/>
          <w:color w:val="auto"/>
        </w:rPr>
      </w:pPr>
    </w:p>
    <w:p>
      <w:pPr>
        <w:ind w:left="-8" w:right="120" w:firstLine="8"/>
        <w:spacing w:after="0" w:line="261" w:lineRule="auto"/>
        <w:tabs>
          <w:tab w:leader="none" w:pos="25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 the event a Participant’s Continuous Service is terminated, actually or constructively, within a designated period following the occurrence of a Change in Control. In the absence of such provisions, no such acceleration shall occur.</w:t>
      </w:r>
    </w:p>
    <w:p>
      <w:pPr>
        <w:spacing w:after="0" w:line="207" w:lineRule="exact"/>
        <w:rPr>
          <w:sz w:val="20"/>
          <w:szCs w:val="20"/>
          <w:color w:val="auto"/>
        </w:rPr>
      </w:pPr>
    </w:p>
    <w:p>
      <w:pPr>
        <w:ind w:left="452" w:hanging="452"/>
        <w:spacing w:after="0"/>
        <w:tabs>
          <w:tab w:leader="none" w:pos="452"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AND STOCK AWARDS.</w:t>
      </w:r>
    </w:p>
    <w:p>
      <w:pPr>
        <w:spacing w:after="0" w:line="117" w:lineRule="exact"/>
        <w:rPr>
          <w:rFonts w:ascii="Arial" w:cs="Arial" w:eastAsia="Arial" w:hAnsi="Arial"/>
          <w:sz w:val="18"/>
          <w:szCs w:val="18"/>
          <w:b w:val="1"/>
          <w:bCs w:val="1"/>
          <w:color w:val="auto"/>
        </w:rPr>
      </w:pPr>
    </w:p>
    <w:p>
      <w:pPr>
        <w:ind w:left="-8" w:right="40" w:firstLine="464"/>
        <w:spacing w:after="0" w:line="266" w:lineRule="auto"/>
        <w:tabs>
          <w:tab w:leader="none" w:pos="703"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Plan</w:t>
      </w:r>
      <w:r>
        <w:rPr>
          <w:rFonts w:ascii="Arial" w:cs="Arial" w:eastAsia="Arial" w:hAnsi="Arial"/>
          <w:sz w:val="18"/>
          <w:szCs w:val="18"/>
          <w:color w:val="auto"/>
        </w:rPr>
        <w:t>. Subject to the limitations, if any, of applicable law, the Board at any time, and from time to time, may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except as provided in Section 10(a) relating to Capitalization Adjustments, no amendment shall be effective unless approved by the stockholders of the Company to the extent stockholder approval is necessary to satisfy applicable law.</w:t>
      </w:r>
    </w:p>
    <w:p>
      <w:pPr>
        <w:spacing w:after="0" w:line="68" w:lineRule="exact"/>
        <w:rPr>
          <w:rFonts w:ascii="Arial" w:cs="Arial" w:eastAsia="Arial" w:hAnsi="Arial"/>
          <w:sz w:val="18"/>
          <w:szCs w:val="18"/>
          <w:b w:val="1"/>
          <w:bCs w:val="1"/>
          <w:color w:val="auto"/>
        </w:rPr>
      </w:pPr>
    </w:p>
    <w:p>
      <w:pPr>
        <w:ind w:left="712" w:hanging="256"/>
        <w:spacing w:after="0"/>
        <w:tabs>
          <w:tab w:leader="none" w:pos="712"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The Board, in its sole discretion, may submit any other amendment to the Plan for stockholder approval.</w:t>
      </w:r>
    </w:p>
    <w:p>
      <w:pPr>
        <w:spacing w:after="0" w:line="117" w:lineRule="exact"/>
        <w:rPr>
          <w:rFonts w:ascii="Arial" w:cs="Arial" w:eastAsia="Arial" w:hAnsi="Arial"/>
          <w:sz w:val="18"/>
          <w:szCs w:val="18"/>
          <w:b w:val="1"/>
          <w:bCs w:val="1"/>
          <w:color w:val="auto"/>
        </w:rPr>
      </w:pPr>
    </w:p>
    <w:p>
      <w:pPr>
        <w:ind w:left="-8" w:right="620" w:firstLine="464"/>
        <w:spacing w:after="0" w:line="261" w:lineRule="auto"/>
        <w:tabs>
          <w:tab w:leader="none" w:pos="693"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Contemplated Amendments</w:t>
      </w:r>
      <w:r>
        <w:rPr>
          <w:rFonts w:ascii="Arial" w:cs="Arial" w:eastAsia="Arial" w:hAnsi="Arial"/>
          <w:sz w:val="18"/>
          <w:szCs w:val="18"/>
          <w:color w:val="auto"/>
        </w:rPr>
        <w:t>. It is expressly contemplated that the Board may amend the Plan in any respect the Board deems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70" w:right="259" w:bottom="1440" w:gutter="0" w:footer="0" w:header="0"/>
        </w:sectPr>
      </w:pPr>
    </w:p>
    <w:bookmarkStart w:id="374" w:name="page375"/>
    <w:bookmarkEnd w:id="374"/>
    <w:p>
      <w:pPr>
        <w:ind w:right="220" w:firstLine="464"/>
        <w:spacing w:after="0" w:line="282" w:lineRule="auto"/>
        <w:tabs>
          <w:tab w:leader="none" w:pos="721" w:val="left"/>
        </w:tabs>
        <w:numPr>
          <w:ilvl w:val="1"/>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Impairment of Rights</w:t>
      </w:r>
      <w:r>
        <w:rPr>
          <w:rFonts w:ascii="Arial" w:cs="Arial" w:eastAsia="Arial" w:hAnsi="Arial"/>
          <w:sz w:val="18"/>
          <w:szCs w:val="18"/>
          <w:color w:val="auto"/>
        </w:rPr>
        <w:t>. Rights under any Stock Award granted before amendment of the Plan shall not be impaired by any amendment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unless (i) the Company requests the consent of the affected Participant, and (ii) such Participant consents in writing.</w:t>
      </w:r>
    </w:p>
    <w:p>
      <w:pPr>
        <w:spacing w:after="0" w:line="53" w:lineRule="exact"/>
        <w:rPr>
          <w:rFonts w:ascii="Arial" w:cs="Arial" w:eastAsia="Arial" w:hAnsi="Arial"/>
          <w:sz w:val="18"/>
          <w:szCs w:val="18"/>
          <w:b w:val="1"/>
          <w:bCs w:val="1"/>
          <w:color w:val="auto"/>
        </w:rPr>
      </w:pPr>
    </w:p>
    <w:p>
      <w:pPr>
        <w:ind w:right="240" w:firstLine="464"/>
        <w:spacing w:after="0" w:line="266" w:lineRule="auto"/>
        <w:tabs>
          <w:tab w:leader="none" w:pos="701" w:val="left"/>
        </w:tabs>
        <w:numPr>
          <w:ilvl w:val="1"/>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Stock Awards</w:t>
      </w:r>
      <w:r>
        <w:rPr>
          <w:rFonts w:ascii="Arial" w:cs="Arial" w:eastAsia="Arial" w:hAnsi="Arial"/>
          <w:sz w:val="18"/>
          <w:szCs w:val="18"/>
          <w:color w:val="auto"/>
        </w:rPr>
        <w:t>. The Board, at any time and from time to time, may amend the terms of any one or more Stock Awards;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rights under any Stock Award shall not be impaired by any such amendment unless (i) the Company requests the consent of the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(ii) such Participant consents in writing.</w:t>
      </w:r>
    </w:p>
    <w:p>
      <w:pPr>
        <w:spacing w:after="0" w:line="203"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SUSPENSION OF THE PLAN.</w:t>
      </w:r>
    </w:p>
    <w:p>
      <w:pPr>
        <w:spacing w:after="0" w:line="117" w:lineRule="exact"/>
        <w:rPr>
          <w:rFonts w:ascii="Arial" w:cs="Arial" w:eastAsia="Arial" w:hAnsi="Arial"/>
          <w:sz w:val="18"/>
          <w:szCs w:val="18"/>
          <w:b w:val="1"/>
          <w:bCs w:val="1"/>
          <w:color w:val="auto"/>
        </w:rPr>
      </w:pPr>
    </w:p>
    <w:p>
      <w:pPr>
        <w:ind w:firstLine="464"/>
        <w:spacing w:after="0" w:line="266" w:lineRule="auto"/>
        <w:tabs>
          <w:tab w:leader="none" w:pos="711" w:val="left"/>
        </w:tabs>
        <w:numPr>
          <w:ilvl w:val="1"/>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r>
        <w:rPr>
          <w:rFonts w:ascii="Arial" w:cs="Arial" w:eastAsia="Arial" w:hAnsi="Arial"/>
          <w:sz w:val="18"/>
          <w:szCs w:val="18"/>
          <w:color w:val="auto"/>
        </w:rPr>
        <w:t>. The Board may suspend or terminate the Plan at any time. Unless sooner terminated, the Plan shall terminate on the day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68" w:lineRule="exact"/>
        <w:rPr>
          <w:rFonts w:ascii="Arial" w:cs="Arial" w:eastAsia="Arial" w:hAnsi="Arial"/>
          <w:sz w:val="18"/>
          <w:szCs w:val="18"/>
          <w:b w:val="1"/>
          <w:bCs w:val="1"/>
          <w:color w:val="auto"/>
        </w:rPr>
      </w:pPr>
    </w:p>
    <w:p>
      <w:pPr>
        <w:ind w:right="140" w:firstLine="464"/>
        <w:spacing w:after="0" w:line="282" w:lineRule="auto"/>
        <w:tabs>
          <w:tab w:leader="none" w:pos="721" w:val="left"/>
        </w:tabs>
        <w:numPr>
          <w:ilvl w:val="1"/>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shall not impair rights and obligations under any Stock Award granted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 effect except with the written consent of the affected Participant.</w:t>
      </w:r>
    </w:p>
    <w:p>
      <w:pPr>
        <w:spacing w:after="0" w:line="188"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Plan shall become effective as determined by the Board, but no Stock Award shall be exercised (or, in the case of a Restricted Stock Award, shall be granted) unless and until the Plan has been approved by the stockholders of the Company, which approval shall be within twelve (12) months before or after the date the Plan is adopted by the Board.</w:t>
      </w:r>
    </w:p>
    <w:p>
      <w:pPr>
        <w:spacing w:after="0" w:line="204"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law of the State of Delaware shall govern all questions concerning the construction, validity and interpretation of this Plan, without regard to that state’s conflict of laws rules.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375" w:name="page376"/>
    <w:bookmarkEnd w:id="37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2006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Stock Option Agreement, Anaptys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2006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are as follows:</w:t>
      </w:r>
    </w:p>
    <w:p>
      <w:pPr>
        <w:spacing w:after="0" w:line="113" w:lineRule="exact"/>
        <w:rPr>
          <w:sz w:val="20"/>
          <w:szCs w:val="20"/>
          <w:color w:val="auto"/>
        </w:rPr>
      </w:pPr>
    </w:p>
    <w:p>
      <w:pPr>
        <w:ind w:right="400" w:firstLine="464"/>
        <w:spacing w:after="0" w:line="282" w:lineRule="auto"/>
        <w:tabs>
          <w:tab w:leader="none" w:pos="636"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Option Will Vest As Provided In Your Grant Notice, Provided That Vesting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Upon The Termination Of Your Continuous Service.</w:t>
      </w:r>
    </w:p>
    <w:p>
      <w:pPr>
        <w:spacing w:after="0" w:line="53" w:lineRule="exact"/>
        <w:rPr>
          <w:rFonts w:ascii="Arial" w:cs="Arial" w:eastAsia="Arial" w:hAnsi="Arial"/>
          <w:sz w:val="18"/>
          <w:szCs w:val="18"/>
          <w:b w:val="1"/>
          <w:bCs w:val="1"/>
          <w:color w:val="auto"/>
        </w:rPr>
      </w:pPr>
    </w:p>
    <w:p>
      <w:pPr>
        <w:ind w:right="300" w:firstLine="464"/>
        <w:spacing w:after="0" w:line="282" w:lineRule="auto"/>
        <w:tabs>
          <w:tab w:leader="none" w:pos="636"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your Grant Notice may be adjusted from time to time for Capitalization Adjustments.</w:t>
      </w:r>
    </w:p>
    <w:p>
      <w:pPr>
        <w:spacing w:after="0" w:line="53" w:lineRule="exact"/>
        <w:rPr>
          <w:rFonts w:ascii="Arial" w:cs="Arial" w:eastAsia="Arial" w:hAnsi="Arial"/>
          <w:sz w:val="18"/>
          <w:szCs w:val="18"/>
          <w:b w:val="1"/>
          <w:bCs w:val="1"/>
          <w:color w:val="auto"/>
        </w:rPr>
      </w:pPr>
    </w:p>
    <w:p>
      <w:pPr>
        <w:ind w:right="220" w:firstLine="464"/>
        <w:spacing w:after="0" w:line="293" w:lineRule="auto"/>
        <w:tabs>
          <w:tab w:leader="none" w:pos="636"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3"/>
          <w:szCs w:val="13"/>
          <w:b w:val="1"/>
          <w:bCs w:val="1"/>
          <w:color w:val="auto"/>
        </w:rPr>
        <w:t>XERCISE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ESTRICTION</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OR</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ON</w:t>
      </w:r>
      <w:r>
        <w:rPr>
          <w:rFonts w:ascii="Arial" w:cs="Arial" w:eastAsia="Arial" w:hAnsi="Arial"/>
          <w:sz w:val="16"/>
          <w:szCs w:val="16"/>
          <w:b w:val="1"/>
          <w:bCs w:val="1"/>
          <w:color w:val="auto"/>
        </w:rPr>
        <w:t>-E</w:t>
      </w:r>
      <w:r>
        <w:rPr>
          <w:rFonts w:ascii="Arial" w:cs="Arial" w:eastAsia="Arial" w:hAnsi="Arial"/>
          <w:sz w:val="13"/>
          <w:szCs w:val="13"/>
          <w:b w:val="1"/>
          <w:bCs w:val="1"/>
          <w:color w:val="auto"/>
        </w:rPr>
        <w:t>XEMPT</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you are an Employee eligible for overtime compensation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Labor Standards Act of 1938, as amended ( i.e., a “Non-Exempt Employee”), you may not exercise your option until you have completed at least six</w:t>
      </w:r>
    </w:p>
    <w:p>
      <w:pPr>
        <w:spacing w:after="0" w:line="1" w:lineRule="exact"/>
        <w:rPr>
          <w:rFonts w:ascii="Arial" w:cs="Arial" w:eastAsia="Arial" w:hAnsi="Arial"/>
          <w:sz w:val="16"/>
          <w:szCs w:val="16"/>
          <w:b w:val="1"/>
          <w:bCs w:val="1"/>
          <w:color w:val="auto"/>
        </w:rPr>
      </w:pPr>
    </w:p>
    <w:p>
      <w:pPr>
        <w:ind w:left="260" w:hanging="252"/>
        <w:spacing w:after="0"/>
        <w:tabs>
          <w:tab w:leader="none" w:pos="26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months of Continuous Service measured from the Date of Grant specified in your Grant Notice, notwithstanding any other provision of your option.</w:t>
      </w:r>
    </w:p>
    <w:p>
      <w:pPr>
        <w:spacing w:after="0" w:line="110" w:lineRule="exact"/>
        <w:rPr>
          <w:rFonts w:ascii="Arial" w:cs="Arial" w:eastAsia="Arial" w:hAnsi="Arial"/>
          <w:sz w:val="17"/>
          <w:szCs w:val="17"/>
          <w:color w:val="auto"/>
        </w:rPr>
      </w:pPr>
    </w:p>
    <w:p>
      <w:pPr>
        <w:ind w:right="240" w:firstLine="464"/>
        <w:spacing w:after="0" w:line="261" w:lineRule="auto"/>
        <w:tabs>
          <w:tab w:leader="none" w:pos="636" w:val="left"/>
        </w:tabs>
        <w:numPr>
          <w:ilvl w:val="1"/>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RIOR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ESTING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w:t>
      </w:r>
      <w:r>
        <w:rPr>
          <w:rFonts w:ascii="Arial" w:cs="Arial" w:eastAsia="Arial" w:hAnsi="Arial"/>
          <w:sz w:val="18"/>
          <w:szCs w:val="18"/>
          <w:color w:val="auto"/>
        </w:rPr>
        <w:t>If permitted in your Grant Notice (i.e., the</w:t>
      </w:r>
      <w:r>
        <w:rPr>
          <w:rFonts w:ascii="Arial" w:cs="Arial" w:eastAsia="Arial" w:hAnsi="Arial"/>
          <w:sz w:val="18"/>
          <w:szCs w:val="18"/>
          <w:b w:val="1"/>
          <w:bCs w:val="1"/>
          <w:color w:val="auto"/>
        </w:rPr>
        <w:t xml:space="preserve"> “Exercise Schedule” </w:t>
      </w:r>
      <w:r>
        <w:rPr>
          <w:rFonts w:ascii="Arial" w:cs="Arial" w:eastAsia="Arial" w:hAnsi="Arial"/>
          <w:sz w:val="18"/>
          <w:szCs w:val="18"/>
          <w:color w:val="auto"/>
        </w:rPr>
        <w:t>indicates that</w:t>
      </w:r>
      <w:r>
        <w:rPr>
          <w:rFonts w:ascii="Arial" w:cs="Arial" w:eastAsia="Arial" w:hAnsi="Arial"/>
          <w:sz w:val="18"/>
          <w:szCs w:val="18"/>
          <w:b w:val="1"/>
          <w:bCs w:val="1"/>
          <w:color w:val="auto"/>
        </w:rPr>
        <w:t xml:space="preserve"> “Early Exercise” </w:t>
      </w:r>
      <w:r>
        <w:rPr>
          <w:rFonts w:ascii="Arial" w:cs="Arial" w:eastAsia="Arial" w:hAnsi="Arial"/>
          <w:sz w:val="18"/>
          <w:szCs w:val="18"/>
          <w:color w:val="auto"/>
        </w:rPr>
        <w:t>of your option is permitted) and subject to the provisions of your option, you may elect at any time that is both (i) during the period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Service and (ii) during the term of your option, to exercise all or part of your option, including the nonvested portion of your option; provided, however, that:</w:t>
      </w:r>
    </w:p>
    <w:p>
      <w:pPr>
        <w:spacing w:after="0" w:line="75" w:lineRule="exact"/>
        <w:rPr>
          <w:rFonts w:ascii="Arial" w:cs="Arial" w:eastAsia="Arial" w:hAnsi="Arial"/>
          <w:sz w:val="18"/>
          <w:szCs w:val="18"/>
          <w:b w:val="1"/>
          <w:bCs w:val="1"/>
          <w:color w:val="auto"/>
        </w:rPr>
      </w:pPr>
    </w:p>
    <w:p>
      <w:pPr>
        <w:ind w:right="280" w:firstLine="921"/>
        <w:spacing w:after="0" w:line="277" w:lineRule="auto"/>
        <w:tabs>
          <w:tab w:leader="none" w:pos="1168"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shall be deemed to cover first vested shares of Common Stock and then the earliest vesting installment of unvested shares of Common Stock;</w:t>
      </w:r>
    </w:p>
    <w:p>
      <w:pPr>
        <w:spacing w:after="0" w:line="62" w:lineRule="exact"/>
        <w:rPr>
          <w:rFonts w:ascii="Arial" w:cs="Arial" w:eastAsia="Arial" w:hAnsi="Arial"/>
          <w:sz w:val="18"/>
          <w:szCs w:val="18"/>
          <w:b w:val="1"/>
          <w:bCs w:val="1"/>
          <w:color w:val="auto"/>
        </w:rPr>
      </w:pPr>
    </w:p>
    <w:p>
      <w:pPr>
        <w:ind w:right="180" w:firstLine="921"/>
        <w:spacing w:after="0" w:line="277" w:lineRule="auto"/>
        <w:tabs>
          <w:tab w:leader="none" w:pos="1178"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62" w:lineRule="exact"/>
        <w:rPr>
          <w:rFonts w:ascii="Arial" w:cs="Arial" w:eastAsia="Arial" w:hAnsi="Arial"/>
          <w:sz w:val="18"/>
          <w:szCs w:val="18"/>
          <w:b w:val="1"/>
          <w:bCs w:val="1"/>
          <w:color w:val="auto"/>
        </w:rPr>
      </w:pPr>
    </w:p>
    <w:p>
      <w:pPr>
        <w:ind w:right="340" w:firstLine="921"/>
        <w:spacing w:after="0" w:line="277" w:lineRule="auto"/>
        <w:tabs>
          <w:tab w:leader="none" w:pos="1157"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you shall enter into the Company’s form of Early Exercise Stock Purchase Agreement with a vesting schedule that will result in the same vesting as if no early exercise had occurred;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9" w:right="279" w:bottom="1440" w:gutter="0" w:footer="0" w:header="0"/>
        </w:sectPr>
      </w:pPr>
    </w:p>
    <w:bookmarkStart w:id="376" w:name="page377"/>
    <w:bookmarkEnd w:id="376"/>
    <w:p>
      <w:pPr>
        <w:jc w:val="both"/>
        <w:ind w:left="-8" w:right="20" w:firstLine="921"/>
        <w:spacing w:after="0" w:line="279" w:lineRule="auto"/>
        <w:tabs>
          <w:tab w:leader="none" w:pos="1170" w:val="left"/>
        </w:tabs>
        <w:numPr>
          <w:ilvl w:val="2"/>
          <w:numId w:val="34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167" w:lineRule="exact"/>
        <w:rPr>
          <w:rFonts w:ascii="Arial" w:cs="Arial" w:eastAsia="Arial" w:hAnsi="Arial"/>
          <w:sz w:val="17"/>
          <w:szCs w:val="17"/>
          <w:b w:val="1"/>
          <w:bCs w:val="1"/>
          <w:color w:val="auto"/>
        </w:rPr>
      </w:pPr>
    </w:p>
    <w:p>
      <w:pPr>
        <w:ind w:left="-8" w:right="20" w:firstLine="464"/>
        <w:spacing w:after="0" w:line="347" w:lineRule="auto"/>
        <w:tabs>
          <w:tab w:leader="none" w:pos="628" w:val="left"/>
        </w:tabs>
        <w:numPr>
          <w:ilvl w:val="1"/>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3"/>
          <w:szCs w:val="13"/>
          <w:b w:val="1"/>
          <w:bCs w:val="1"/>
          <w:color w:val="auto"/>
        </w:rPr>
        <w:t>ETHOD</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is due in full upon exercise of all or any part of your option. You may elect to make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exercise price in cash or by check or in any other manner </w:t>
      </w:r>
      <w:r>
        <w:rPr>
          <w:rFonts w:ascii="Arial" w:cs="Arial" w:eastAsia="Arial" w:hAnsi="Arial"/>
          <w:sz w:val="16"/>
          <w:szCs w:val="16"/>
          <w:b w:val="1"/>
          <w:bCs w:val="1"/>
          <w:i w:val="1"/>
          <w:iCs w:val="1"/>
          <w:color w:val="auto"/>
        </w:rPr>
        <w:t>permitted by your Grant Notice</w:t>
      </w:r>
      <w:r>
        <w:rPr>
          <w:rFonts w:ascii="Arial" w:cs="Arial" w:eastAsia="Arial" w:hAnsi="Arial"/>
          <w:sz w:val="16"/>
          <w:szCs w:val="16"/>
          <w:color w:val="auto"/>
        </w:rPr>
        <w:t>, which may include one or more of the following:</w:t>
      </w:r>
    </w:p>
    <w:p>
      <w:pPr>
        <w:spacing w:after="0" w:line="12" w:lineRule="exact"/>
        <w:rPr>
          <w:rFonts w:ascii="Arial" w:cs="Arial" w:eastAsia="Arial" w:hAnsi="Arial"/>
          <w:sz w:val="16"/>
          <w:szCs w:val="16"/>
          <w:b w:val="1"/>
          <w:bCs w:val="1"/>
          <w:color w:val="auto"/>
        </w:rPr>
      </w:pPr>
    </w:p>
    <w:p>
      <w:pPr>
        <w:ind w:left="-8" w:firstLine="921"/>
        <w:spacing w:after="0" w:line="312" w:lineRule="auto"/>
        <w:tabs>
          <w:tab w:leader="none" w:pos="1160" w:val="left"/>
        </w:tabs>
        <w:numPr>
          <w:ilvl w:val="2"/>
          <w:numId w:val="343"/>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38" w:lineRule="exact"/>
        <w:rPr>
          <w:rFonts w:ascii="Arial" w:cs="Arial" w:eastAsia="Arial" w:hAnsi="Arial"/>
          <w:sz w:val="16"/>
          <w:szCs w:val="16"/>
          <w:b w:val="1"/>
          <w:bCs w:val="1"/>
          <w:color w:val="auto"/>
        </w:rPr>
      </w:pPr>
    </w:p>
    <w:p>
      <w:pPr>
        <w:ind w:left="-8" w:right="40" w:firstLine="921"/>
        <w:spacing w:after="0" w:line="291" w:lineRule="auto"/>
        <w:tabs>
          <w:tab w:leader="none" w:pos="1170" w:val="left"/>
        </w:tabs>
        <w:numPr>
          <w:ilvl w:val="2"/>
          <w:numId w:val="343"/>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by delivery of already-owned shares of Common Stock either that you have held for the period required to avoid a charge to the Company’s reported earnings (generally six</w:t>
      </w:r>
    </w:p>
    <w:p>
      <w:pPr>
        <w:ind w:left="-8" w:firstLine="8"/>
        <w:spacing w:after="0" w:line="271" w:lineRule="auto"/>
        <w:tabs>
          <w:tab w:leader="none" w:pos="247" w:val="left"/>
        </w:tabs>
        <w:numPr>
          <w:ilvl w:val="0"/>
          <w:numId w:val="344"/>
        </w:numPr>
        <w:rPr>
          <w:rFonts w:ascii="Arial" w:cs="Arial" w:eastAsia="Arial" w:hAnsi="Arial"/>
          <w:sz w:val="17"/>
          <w:szCs w:val="17"/>
          <w:color w:val="auto"/>
        </w:rPr>
      </w:pPr>
      <w:r>
        <w:rPr>
          <w:rFonts w:ascii="Arial" w:cs="Arial" w:eastAsia="Arial" w:hAnsi="Arial"/>
          <w:sz w:val="17"/>
          <w:szCs w:val="17"/>
          <w:color w:val="auto"/>
        </w:rPr>
        <w:t>months) or that you did not acquire, directly or 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74" w:lineRule="exact"/>
        <w:rPr>
          <w:rFonts w:ascii="Arial" w:cs="Arial" w:eastAsia="Arial" w:hAnsi="Arial"/>
          <w:sz w:val="17"/>
          <w:szCs w:val="17"/>
          <w:color w:val="auto"/>
        </w:rPr>
      </w:pPr>
    </w:p>
    <w:p>
      <w:pPr>
        <w:ind w:left="632" w:hanging="176"/>
        <w:spacing w:after="0"/>
        <w:tabs>
          <w:tab w:leader="none" w:pos="632" w:val="left"/>
        </w:tabs>
        <w:numPr>
          <w:ilvl w:val="1"/>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225" w:lineRule="exact"/>
        <w:rPr>
          <w:rFonts w:ascii="Arial" w:cs="Arial" w:eastAsia="Arial" w:hAnsi="Arial"/>
          <w:sz w:val="18"/>
          <w:szCs w:val="18"/>
          <w:b w:val="1"/>
          <w:bCs w:val="1"/>
          <w:color w:val="auto"/>
        </w:rPr>
      </w:pPr>
    </w:p>
    <w:p>
      <w:pPr>
        <w:ind w:left="-8" w:right="60" w:firstLine="464"/>
        <w:spacing w:after="0" w:line="277" w:lineRule="auto"/>
        <w:tabs>
          <w:tab w:leader="none" w:pos="628" w:val="left"/>
        </w:tabs>
        <w:numPr>
          <w:ilvl w:val="1"/>
          <w:numId w:val="344"/>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you may not exercise your option unless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377" w:name="page378"/>
    <w:bookmarkEnd w:id="377"/>
    <w:p>
      <w:pPr>
        <w:ind w:right="220" w:firstLine="464"/>
        <w:spacing w:after="0" w:line="282" w:lineRule="auto"/>
        <w:tabs>
          <w:tab w:leader="none" w:pos="636"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or after the expiration of its term. The term of your option commences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and expires upon the earliest of the following:</w:t>
      </w:r>
    </w:p>
    <w:p>
      <w:pPr>
        <w:spacing w:after="0" w:line="57" w:lineRule="exact"/>
        <w:rPr>
          <w:rFonts w:ascii="Arial" w:cs="Arial" w:eastAsia="Arial" w:hAnsi="Arial"/>
          <w:sz w:val="18"/>
          <w:szCs w:val="18"/>
          <w:b w:val="1"/>
          <w:bCs w:val="1"/>
          <w:color w:val="auto"/>
        </w:rPr>
      </w:pPr>
    </w:p>
    <w:p>
      <w:pPr>
        <w:jc w:val="both"/>
        <w:ind w:right="140" w:firstLine="921"/>
        <w:spacing w:after="0" w:line="259" w:lineRule="auto"/>
        <w:tabs>
          <w:tab w:leader="none" w:pos="1168"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three (3) months after the termination of your Continuous Service for any reason other than your Disability or death, provided that if during any part of such three (3) month period your option is not exercisable solely because of the condition set forth in Section 7, your option shall not expire until the earlier of the Expiration Date or until it shall have been exercisable for an aggregate period of three (3) months after the termination of your Continuous Service;</w:t>
      </w:r>
    </w:p>
    <w:p>
      <w:pPr>
        <w:spacing w:after="0" w:line="78"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twelve (12) months after the termination of your Continuous Service due to your Disability;</w:t>
      </w:r>
    </w:p>
    <w:p>
      <w:pPr>
        <w:spacing w:after="0" w:line="117" w:lineRule="exact"/>
        <w:rPr>
          <w:rFonts w:ascii="Arial" w:cs="Arial" w:eastAsia="Arial" w:hAnsi="Arial"/>
          <w:sz w:val="18"/>
          <w:szCs w:val="18"/>
          <w:b w:val="1"/>
          <w:bCs w:val="1"/>
          <w:color w:val="auto"/>
        </w:rPr>
      </w:pPr>
    </w:p>
    <w:p>
      <w:pPr>
        <w:ind w:right="440" w:firstLine="921"/>
        <w:spacing w:after="0" w:line="277" w:lineRule="auto"/>
        <w:tabs>
          <w:tab w:leader="none" w:pos="1157"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your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61" w:lineRule="exact"/>
        <w:rPr>
          <w:sz w:val="20"/>
          <w:szCs w:val="20"/>
          <w:color w:val="auto"/>
        </w:rPr>
      </w:pPr>
    </w:p>
    <w:p>
      <w:pPr>
        <w:ind w:left="640" w:hanging="176"/>
        <w:spacing w:after="0"/>
        <w:tabs>
          <w:tab w:leader="none" w:pos="64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right="140" w:firstLine="921"/>
        <w:spacing w:after="0" w:line="312" w:lineRule="auto"/>
        <w:tabs>
          <w:tab w:leader="none" w:pos="1168" w:val="left"/>
        </w:tabs>
        <w:numPr>
          <w:ilvl w:val="1"/>
          <w:numId w:val="346"/>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38" w:lineRule="exact"/>
        <w:rPr>
          <w:rFonts w:ascii="Arial" w:cs="Arial" w:eastAsia="Arial" w:hAnsi="Arial"/>
          <w:sz w:val="16"/>
          <w:szCs w:val="16"/>
          <w:b w:val="1"/>
          <w:bCs w:val="1"/>
          <w:color w:val="auto"/>
        </w:rPr>
      </w:pPr>
    </w:p>
    <w:p>
      <w:pPr>
        <w:ind w:firstLine="921"/>
        <w:spacing w:after="0" w:line="259" w:lineRule="auto"/>
        <w:tabs>
          <w:tab w:leader="none" w:pos="1178" w:val="left"/>
        </w:tabs>
        <w:numPr>
          <w:ilvl w:val="1"/>
          <w:numId w:val="346"/>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378" w:name="page379"/>
    <w:bookmarkEnd w:id="378"/>
    <w:p>
      <w:pPr>
        <w:ind w:left="1152" w:hanging="239"/>
        <w:spacing w:after="0"/>
        <w:tabs>
          <w:tab w:leader="none" w:pos="1152" w:val="left"/>
        </w:tabs>
        <w:numPr>
          <w:ilvl w:val="2"/>
          <w:numId w:val="34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your option is an Incentive Stock Option, by exercising your option you agree that you will notify the Company in writing within fifteen</w:t>
      </w:r>
    </w:p>
    <w:p>
      <w:pPr>
        <w:spacing w:after="0" w:line="34" w:lineRule="exact"/>
        <w:rPr>
          <w:rFonts w:ascii="Arial" w:cs="Arial" w:eastAsia="Arial" w:hAnsi="Arial"/>
          <w:sz w:val="17"/>
          <w:szCs w:val="17"/>
          <w:b w:val="1"/>
          <w:bCs w:val="1"/>
          <w:color w:val="auto"/>
        </w:rPr>
      </w:pPr>
    </w:p>
    <w:p>
      <w:pPr>
        <w:ind w:left="-8" w:right="20" w:firstLine="8"/>
        <w:spacing w:after="0" w:line="290" w:lineRule="auto"/>
        <w:tabs>
          <w:tab w:leader="none" w:pos="337" w:val="left"/>
        </w:tabs>
        <w:numPr>
          <w:ilvl w:val="0"/>
          <w:numId w:val="348"/>
        </w:numPr>
        <w:rPr>
          <w:rFonts w:ascii="Arial" w:cs="Arial" w:eastAsia="Arial" w:hAnsi="Arial"/>
          <w:sz w:val="17"/>
          <w:szCs w:val="17"/>
          <w:color w:val="auto"/>
        </w:rPr>
      </w:pPr>
      <w:r>
        <w:rPr>
          <w:rFonts w:ascii="Arial" w:cs="Arial" w:eastAsia="Arial" w:hAnsi="Arial"/>
          <w:sz w:val="17"/>
          <w:szCs w:val="17"/>
          <w:color w:val="auto"/>
        </w:rPr>
        <w:t>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53" w:lineRule="exact"/>
        <w:rPr>
          <w:rFonts w:ascii="Arial" w:cs="Arial" w:eastAsia="Arial" w:hAnsi="Arial"/>
          <w:sz w:val="17"/>
          <w:szCs w:val="17"/>
          <w:color w:val="auto"/>
        </w:rPr>
      </w:pPr>
    </w:p>
    <w:p>
      <w:pPr>
        <w:ind w:left="-8" w:firstLine="921"/>
        <w:spacing w:after="0" w:line="288" w:lineRule="auto"/>
        <w:tabs>
          <w:tab w:leader="none" w:pos="1170" w:val="left"/>
        </w:tabs>
        <w:numPr>
          <w:ilvl w:val="2"/>
          <w:numId w:val="348"/>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time specified by the managing underwriter(s) (not to exceed one hundred eighty (180) days (or such longer period, not to exceed 18 days after the expiration of the 180-day period, as the underwriters or the Company shall request in order to facilitate compliance with NASD Rule 2711) following the effective date of a registration statement of the Company filed under the Securities Act (the “</w:t>
      </w:r>
      <w:r>
        <w:rPr>
          <w:rFonts w:ascii="Arial" w:cs="Arial" w:eastAsia="Arial" w:hAnsi="Arial"/>
          <w:sz w:val="16"/>
          <w:szCs w:val="16"/>
          <w:b w:val="1"/>
          <w:bCs w:val="1"/>
          <w:i w:val="1"/>
          <w:iCs w:val="1"/>
          <w:color w:val="auto"/>
        </w:rPr>
        <w:t>Lock 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contained in this section shall prevent the exercise of a repurchase option, if any, in favor of the Company during the Lock 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165" w:lineRule="exact"/>
        <w:rPr>
          <w:rFonts w:ascii="Arial" w:cs="Arial" w:eastAsia="Arial" w:hAnsi="Arial"/>
          <w:sz w:val="16"/>
          <w:szCs w:val="16"/>
          <w:b w:val="1"/>
          <w:bCs w:val="1"/>
          <w:color w:val="auto"/>
        </w:rPr>
      </w:pPr>
    </w:p>
    <w:p>
      <w:pPr>
        <w:jc w:val="both"/>
        <w:ind w:left="-8" w:right="220" w:firstLine="464"/>
        <w:spacing w:after="0" w:line="266" w:lineRule="auto"/>
        <w:tabs>
          <w:tab w:leader="none" w:pos="718" w:val="left"/>
        </w:tabs>
        <w:numPr>
          <w:ilvl w:val="1"/>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not transferable, except by will or by the laws of descent and distribution, and is exercisable during your life</w:t>
      </w:r>
      <w:r>
        <w:rPr>
          <w:rFonts w:ascii="Arial" w:cs="Arial" w:eastAsia="Arial" w:hAnsi="Arial"/>
          <w:sz w:val="18"/>
          <w:szCs w:val="18"/>
          <w:b w:val="1"/>
          <w:bCs w:val="1"/>
          <w:color w:val="auto"/>
        </w:rPr>
        <w:t xml:space="preserve"> </w:t>
      </w:r>
      <w:r>
        <w:rPr>
          <w:rFonts w:ascii="Arial" w:cs="Arial" w:eastAsia="Arial" w:hAnsi="Arial"/>
          <w:sz w:val="18"/>
          <w:szCs w:val="18"/>
          <w:color w:val="auto"/>
        </w:rPr>
        <w:t>only by you. Notwithstanding the foregoing, by delivering written notice to the Company, in a form satisfactory to the Company, you may designate a third party who, in the event of your death, shall thereafter be entitled to exercise your option.</w:t>
      </w:r>
    </w:p>
    <w:p>
      <w:pPr>
        <w:spacing w:after="0" w:line="176" w:lineRule="exact"/>
        <w:rPr>
          <w:rFonts w:ascii="Arial" w:cs="Arial" w:eastAsia="Arial" w:hAnsi="Arial"/>
          <w:sz w:val="18"/>
          <w:szCs w:val="18"/>
          <w:b w:val="1"/>
          <w:bCs w:val="1"/>
          <w:color w:val="auto"/>
        </w:rPr>
      </w:pPr>
    </w:p>
    <w:p>
      <w:pPr>
        <w:ind w:left="712" w:hanging="256"/>
        <w:spacing w:after="0"/>
        <w:tabs>
          <w:tab w:leader="none" w:pos="712" w:val="left"/>
        </w:tabs>
        <w:numPr>
          <w:ilvl w:val="1"/>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180" w:firstLine="921"/>
        <w:spacing w:after="0" w:line="259" w:lineRule="auto"/>
        <w:tabs>
          <w:tab w:leader="none" w:pos="1160" w:val="left"/>
        </w:tabs>
        <w:numPr>
          <w:ilvl w:val="2"/>
          <w:numId w:val="349"/>
        </w:numPr>
        <w:rPr>
          <w:rFonts w:ascii="Arial" w:cs="Arial" w:eastAsia="Arial" w:hAnsi="Arial"/>
          <w:sz w:val="18"/>
          <w:szCs w:val="18"/>
          <w:b w:val="1"/>
          <w:bCs w:val="1"/>
          <w:color w:val="auto"/>
        </w:rPr>
      </w:pPr>
      <w:r>
        <w:rPr>
          <w:rFonts w:ascii="Arial" w:cs="Arial" w:eastAsia="Arial" w:hAnsi="Arial"/>
          <w:sz w:val="18"/>
          <w:szCs w:val="18"/>
          <w:color w:val="auto"/>
        </w:rPr>
        <w:t>If a Change in Control occurs and within thirteen (13) months after the effective time of such Change in Control your Continuous Service terminates due to an involuntary termination of your employment (not including death or Disability) without Cause (as defined below) or due to a voluntary termination by you with Good Reason (as defined below), then, as of the date of termination of Continuous Service, the vesting and exercisability of your option shall be accelerated in full.</w:t>
      </w:r>
    </w:p>
    <w:p>
      <w:pPr>
        <w:spacing w:after="0" w:line="78" w:lineRule="exact"/>
        <w:rPr>
          <w:rFonts w:ascii="Arial" w:cs="Arial" w:eastAsia="Arial" w:hAnsi="Arial"/>
          <w:sz w:val="18"/>
          <w:szCs w:val="18"/>
          <w:b w:val="1"/>
          <w:bCs w:val="1"/>
          <w:color w:val="auto"/>
        </w:rPr>
      </w:pPr>
    </w:p>
    <w:p>
      <w:pPr>
        <w:ind w:left="-8" w:right="160" w:firstLine="921"/>
        <w:spacing w:after="0" w:line="255" w:lineRule="auto"/>
        <w:tabs>
          <w:tab w:leader="none" w:pos="1170" w:val="left"/>
        </w:tabs>
        <w:numPr>
          <w:ilvl w:val="2"/>
          <w:numId w:val="3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the occurrence of any one or more of the following: (i) your commission of any crime involving fraud, dishonesty or moral turpitude; (ii) your attempted commission of or participation in a fraud or act of dishonesty against the Company that results in (or might have reasonably resulted in) material harm to the business of the Company; (iii) your intentional, material violation of any contract or agreement between you and the Company or any statutory duty you owe to the Company; or (iv) your conduct that constitutes gross insubordination, incompetence or habitual neglect of duties and that results in (or might have reasonably resulted in) material harm to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action or conduct described in clauses (iii) and (iv) above will constitute “Cause” only if such action or conduct continues after the Company has provided you with written notice thereof and thirty (30) days to cure the same.</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379" w:name="page380"/>
    <w:bookmarkEnd w:id="379"/>
    <w:p>
      <w:pPr>
        <w:ind w:right="40" w:firstLine="921"/>
        <w:spacing w:after="0" w:line="270" w:lineRule="auto"/>
        <w:tabs>
          <w:tab w:leader="none" w:pos="1157" w:val="left"/>
        </w:tabs>
        <w:numPr>
          <w:ilvl w:val="1"/>
          <w:numId w:val="35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any of the following actions taken without Cause by the Company or a successor corporation or entity without your consent: (i) the assignment to you of any duties or responsibilities that results in a material diminution in your function as in effect immediately prior to the effective date of the Change in Control; provided, however, that a change in your title or reporting relationships shall not provide the basis for a voluntary termination with Good Reason; (ii) a reduction by the Company in your annual base salary as in effect on the effective date of the Change in Control; provided, however, that Good Reason shall not be deemed to have occurred in the event of a reduction in your annual base salary that is pursuant to a salary reduction program affecting substantially all of the employees of the Company and that does not adversely affect you to a greater extent than other similarly situated employees; or (iii) a relocation of your primary business office to a location more than 50 miles from the location of your primary business office as of the effective date of the Change in Control, except for required travel by you on the Company’s business to an extent substantially consistent with your business travel obligations prior to the effective date of the Change in Control.</w:t>
      </w:r>
    </w:p>
    <w:p>
      <w:pPr>
        <w:spacing w:after="0" w:line="69" w:lineRule="exact"/>
        <w:rPr>
          <w:rFonts w:ascii="Arial" w:cs="Arial" w:eastAsia="Arial" w:hAnsi="Arial"/>
          <w:sz w:val="17"/>
          <w:szCs w:val="17"/>
          <w:b w:val="1"/>
          <w:bCs w:val="1"/>
          <w:color w:val="auto"/>
        </w:rPr>
      </w:pPr>
    </w:p>
    <w:p>
      <w:pPr>
        <w:ind w:left="1180" w:hanging="259"/>
        <w:spacing w:after="0"/>
        <w:tabs>
          <w:tab w:leader="none" w:pos="1180" w:val="left"/>
        </w:tabs>
        <w:numPr>
          <w:ilvl w:val="1"/>
          <w:numId w:val="350"/>
        </w:numPr>
        <w:rPr>
          <w:rFonts w:ascii="Arial" w:cs="Arial" w:eastAsia="Arial" w:hAnsi="Arial"/>
          <w:sz w:val="18"/>
          <w:szCs w:val="18"/>
          <w:b w:val="1"/>
          <w:bCs w:val="1"/>
          <w:color w:val="auto"/>
        </w:rPr>
      </w:pPr>
      <w:r>
        <w:rPr>
          <w:rFonts w:ascii="Arial" w:cs="Arial" w:eastAsia="Arial" w:hAnsi="Arial"/>
          <w:sz w:val="18"/>
          <w:szCs w:val="18"/>
          <w:color w:val="auto"/>
        </w:rPr>
        <w:t>If any payment or benefit you would receive pursuant to a Change in Control from the Company or otherwise (“</w:t>
      </w:r>
      <w:r>
        <w:rPr>
          <w:rFonts w:ascii="Arial" w:cs="Arial" w:eastAsia="Arial" w:hAnsi="Arial"/>
          <w:sz w:val="18"/>
          <w:szCs w:val="18"/>
          <w:b w:val="1"/>
          <w:bCs w:val="1"/>
          <w:color w:val="auto"/>
        </w:rPr>
        <w:t>Payment</w:t>
      </w:r>
      <w:r>
        <w:rPr>
          <w:rFonts w:ascii="Arial" w:cs="Arial" w:eastAsia="Arial" w:hAnsi="Arial"/>
          <w:sz w:val="18"/>
          <w:szCs w:val="18"/>
          <w:color w:val="auto"/>
        </w:rPr>
        <w:t>”) would</w:t>
      </w:r>
    </w:p>
    <w:p>
      <w:pPr>
        <w:spacing w:after="0" w:line="27" w:lineRule="exact"/>
        <w:rPr>
          <w:rFonts w:ascii="Arial" w:cs="Arial" w:eastAsia="Arial" w:hAnsi="Arial"/>
          <w:sz w:val="18"/>
          <w:szCs w:val="18"/>
          <w:b w:val="1"/>
          <w:bCs w:val="1"/>
          <w:color w:val="auto"/>
        </w:rPr>
      </w:pPr>
    </w:p>
    <w:p>
      <w:pPr>
        <w:ind w:firstLine="8"/>
        <w:spacing w:after="0" w:line="286" w:lineRule="auto"/>
        <w:tabs>
          <w:tab w:leader="none" w:pos="21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constitute a “</w:t>
      </w:r>
      <w:r>
        <w:rPr>
          <w:rFonts w:ascii="Arial" w:cs="Arial" w:eastAsia="Arial" w:hAnsi="Arial"/>
          <w:sz w:val="16"/>
          <w:szCs w:val="16"/>
          <w:b w:val="1"/>
          <w:bCs w:val="1"/>
          <w:i w:val="1"/>
          <w:iCs w:val="1"/>
          <w:color w:val="auto"/>
        </w:rPr>
        <w:t>parachute payment</w:t>
      </w:r>
      <w:r>
        <w:rPr>
          <w:rFonts w:ascii="Arial" w:cs="Arial" w:eastAsia="Arial" w:hAnsi="Arial"/>
          <w:sz w:val="16"/>
          <w:szCs w:val="16"/>
          <w:color w:val="auto"/>
        </w:rPr>
        <w:t>” within the meaning of Section 280G of the Code, and (ii) but for this sentence, be subject to the excise tax imposed by Section 4999 of the Code (the “</w:t>
      </w:r>
      <w:r>
        <w:rPr>
          <w:rFonts w:ascii="Arial" w:cs="Arial" w:eastAsia="Arial" w:hAnsi="Arial"/>
          <w:sz w:val="16"/>
          <w:szCs w:val="16"/>
          <w:b w:val="1"/>
          <w:b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w:t>
      </w:r>
      <w:r>
        <w:rPr>
          <w:rFonts w:ascii="Arial" w:cs="Arial" w:eastAsia="Arial" w:hAnsi="Arial"/>
          <w:sz w:val="16"/>
          <w:szCs w:val="16"/>
          <w:b w:val="1"/>
          <w:bCs w:val="1"/>
          <w:i w:val="1"/>
          <w:iCs w:val="1"/>
          <w:color w:val="auto"/>
        </w:rPr>
        <w:t>parachute payments</w:t>
      </w:r>
      <w:r>
        <w:rPr>
          <w:rFonts w:ascii="Arial" w:cs="Arial" w:eastAsia="Arial" w:hAnsi="Arial"/>
          <w:sz w:val="16"/>
          <w:szCs w:val="16"/>
          <w:color w:val="auto"/>
        </w:rPr>
        <w:t>” is necessary so that the Payment equals the Reduced Amount, reduction shall occur in the following order unless you elect in writing a different order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election shall be subject to Company approval if made on or after the effective date of the event that triggers the Payment):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your Stock Awards (i.e., earliest granted Stock Award cancelled last) unless you elect in writing a different order for cancellation.</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accounting firm engaged by the Company for general audit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380" w:name="page381"/>
    <w:bookmarkEnd w:id="38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accounting firm engaged to make the determinations hereunder shall provide its calculations, together with detailed supporting documentation, to you and the Company within fifteen (15) calendar days after the date on which your right to a Payment is triggered (if requested at that time by you or the Company) or such other time as requested by you or the Company. If the accounting firm determines that no Excise Tax is payable with respect to a Payment, either before or after the application of the Reduced Amount, it shall furnish you and the Company with an opinion reasonably acceptable to you that no Excise Tax will be imposed with respect to such Payment. Any good faith determinations of the accounting firm made hereunder shall be final, binding and conclusive upon you and the Company.</w:t>
      </w:r>
    </w:p>
    <w:p>
      <w:pPr>
        <w:spacing w:after="0" w:line="189" w:lineRule="exact"/>
        <w:rPr>
          <w:sz w:val="20"/>
          <w:szCs w:val="20"/>
          <w:color w:val="auto"/>
        </w:rPr>
      </w:pPr>
    </w:p>
    <w:p>
      <w:pPr>
        <w:ind w:right="180" w:firstLine="464"/>
        <w:spacing w:after="0" w:line="273" w:lineRule="auto"/>
        <w:tabs>
          <w:tab w:leader="none" w:pos="726"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IGHT</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EFUSAL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that you acquire upon exercise of your option are subject to any right of first refusal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described in the Company’s bylaws in effect at such time the Company elects to exercise its right;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your option is an Incentive Stock Option and the right of first refusal described in the Company’s bylaws in effect 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Listing Date. For purposes of this Agreement, Listing Date shall mean the first date upon which any security of the Company is listed (or approved for listing) upon notice of issuance on a national securities exchange or on the National Market System of the Nasdaq Stock Market (or any successor to that entity).</w:t>
      </w:r>
    </w:p>
    <w:p>
      <w:pPr>
        <w:spacing w:after="0" w:line="172" w:lineRule="exact"/>
        <w:rPr>
          <w:rFonts w:ascii="Arial" w:cs="Arial" w:eastAsia="Arial" w:hAnsi="Arial"/>
          <w:sz w:val="17"/>
          <w:szCs w:val="17"/>
          <w:b w:val="1"/>
          <w:bCs w:val="1"/>
          <w:color w:val="auto"/>
        </w:rPr>
      </w:pPr>
    </w:p>
    <w:p>
      <w:pPr>
        <w:ind w:right="420" w:firstLine="464"/>
        <w:spacing w:after="0" w:line="347" w:lineRule="auto"/>
        <w:tabs>
          <w:tab w:leader="none" w:pos="726"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3"/>
          <w:szCs w:val="13"/>
          <w:b w:val="1"/>
          <w:bCs w:val="1"/>
          <w:color w:val="auto"/>
        </w:rPr>
        <w:t>IGHT</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the Company’s bylaws in effect at such time the Company elects to exercise its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repurchase all or any part of the shares of Common Stock you acquire pursuant to the exercise of your option.</w:t>
      </w:r>
    </w:p>
    <w:p>
      <w:pPr>
        <w:spacing w:after="0" w:line="116" w:lineRule="exact"/>
        <w:rPr>
          <w:rFonts w:ascii="Arial" w:cs="Arial" w:eastAsia="Arial" w:hAnsi="Arial"/>
          <w:sz w:val="16"/>
          <w:szCs w:val="16"/>
          <w:b w:val="1"/>
          <w:bCs w:val="1"/>
          <w:color w:val="auto"/>
        </w:rPr>
      </w:pPr>
    </w:p>
    <w:p>
      <w:pPr>
        <w:ind w:right="20" w:firstLine="464"/>
        <w:spacing w:after="0" w:line="281" w:lineRule="auto"/>
        <w:tabs>
          <w:tab w:leader="none" w:pos="726"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w:t>
      </w:r>
      <w:r>
        <w:rPr>
          <w:rFonts w:ascii="Arial" w:cs="Arial" w:eastAsia="Arial" w:hAnsi="Arial"/>
          <w:sz w:val="17"/>
          <w:szCs w:val="17"/>
          <w:b w:val="1"/>
          <w:bCs w:val="1"/>
          <w:color w:val="auto"/>
        </w:rPr>
        <w:t xml:space="preserve"> A S</w:t>
      </w:r>
      <w:r>
        <w:rPr>
          <w:rFonts w:ascii="Arial" w:cs="Arial" w:eastAsia="Arial" w:hAnsi="Arial"/>
          <w:sz w:val="14"/>
          <w:szCs w:val="14"/>
          <w:b w:val="1"/>
          <w:bCs w:val="1"/>
          <w:color w:val="auto"/>
        </w:rPr>
        <w:t>ERVICE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not an employment or service contract, and nothing in your option shall be deemed to create</w:t>
      </w:r>
      <w:r>
        <w:rPr>
          <w:rFonts w:ascii="Arial" w:cs="Arial" w:eastAsia="Arial" w:hAnsi="Arial"/>
          <w:sz w:val="17"/>
          <w:szCs w:val="17"/>
          <w:b w:val="1"/>
          <w:bCs w:val="1"/>
          <w:color w:val="auto"/>
        </w:rPr>
        <w:t xml:space="preserve"> </w:t>
      </w:r>
      <w:r>
        <w:rPr>
          <w:rFonts w:ascii="Arial" w:cs="Arial" w:eastAsia="Arial" w:hAnsi="Arial"/>
          <w:sz w:val="17"/>
          <w:szCs w:val="17"/>
          <w:color w:val="auto"/>
        </w:rPr>
        <w:t>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64" w:lineRule="exact"/>
        <w:rPr>
          <w:rFonts w:ascii="Arial" w:cs="Arial" w:eastAsia="Arial" w:hAnsi="Arial"/>
          <w:sz w:val="17"/>
          <w:szCs w:val="17"/>
          <w:b w:val="1"/>
          <w:bCs w:val="1"/>
          <w:color w:val="auto"/>
        </w:rPr>
      </w:pPr>
    </w:p>
    <w:p>
      <w:pPr>
        <w:ind w:left="740" w:hanging="276"/>
        <w:spacing w:after="0"/>
        <w:tabs>
          <w:tab w:leader="none" w:pos="74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921"/>
        <w:spacing w:after="0" w:line="257" w:lineRule="auto"/>
        <w:tabs>
          <w:tab w:leader="none" w:pos="1168"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3" w:right="279" w:bottom="1440" w:gutter="0" w:footer="0" w:header="0"/>
        </w:sectPr>
      </w:pPr>
    </w:p>
    <w:bookmarkStart w:id="381" w:name="page382"/>
    <w:bookmarkEnd w:id="381"/>
    <w:p>
      <w:pPr>
        <w:ind w:left="-20" w:firstLine="921"/>
        <w:spacing w:after="0" w:line="288" w:lineRule="auto"/>
        <w:tabs>
          <w:tab w:leader="none" w:pos="1158" w:val="left"/>
        </w:tabs>
        <w:numPr>
          <w:ilvl w:val="1"/>
          <w:numId w:val="35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variable award accounting).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61" w:lineRule="exact"/>
        <w:rPr>
          <w:rFonts w:ascii="Arial" w:cs="Arial" w:eastAsia="Arial" w:hAnsi="Arial"/>
          <w:sz w:val="16"/>
          <w:szCs w:val="16"/>
          <w:b w:val="1"/>
          <w:bCs w:val="1"/>
          <w:color w:val="auto"/>
        </w:rPr>
      </w:pPr>
    </w:p>
    <w:p>
      <w:pPr>
        <w:ind w:left="-20" w:right="100" w:firstLine="921"/>
        <w:spacing w:after="0" w:line="312" w:lineRule="auto"/>
        <w:tabs>
          <w:tab w:leader="none" w:pos="1137" w:val="left"/>
        </w:tabs>
        <w:numPr>
          <w:ilvl w:val="1"/>
          <w:numId w:val="353"/>
        </w:numPr>
        <w:rPr>
          <w:rFonts w:ascii="Arial" w:cs="Arial" w:eastAsia="Arial" w:hAnsi="Arial"/>
          <w:sz w:val="16"/>
          <w:szCs w:val="16"/>
          <w:b w:val="1"/>
          <w:bCs w:val="1"/>
          <w:color w:val="auto"/>
        </w:rPr>
      </w:pPr>
      <w:r>
        <w:rPr>
          <w:rFonts w:ascii="Arial" w:cs="Arial" w:eastAsia="Arial" w:hAnsi="Arial"/>
          <w:sz w:val="16"/>
          <w:szCs w:val="16"/>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42" w:lineRule="exact"/>
        <w:rPr>
          <w:rFonts w:ascii="Arial" w:cs="Arial" w:eastAsia="Arial" w:hAnsi="Arial"/>
          <w:sz w:val="16"/>
          <w:szCs w:val="16"/>
          <w:b w:val="1"/>
          <w:bCs w:val="1"/>
          <w:color w:val="auto"/>
        </w:rPr>
      </w:pPr>
    </w:p>
    <w:p>
      <w:pPr>
        <w:ind w:left="-20" w:firstLine="464"/>
        <w:spacing w:after="0" w:line="266" w:lineRule="auto"/>
        <w:tabs>
          <w:tab w:leader="none" w:pos="706"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provided for in your option or the Plan shall be given in writing and shall be deemed effectively given upon receipt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notices delivered by mail by the Company to you, five (5) days after deposit in the United States mail, postage prepaid, addressed to you at the last address you provided to the Company.</w:t>
      </w:r>
    </w:p>
    <w:p>
      <w:pPr>
        <w:spacing w:after="0" w:line="176" w:lineRule="exact"/>
        <w:rPr>
          <w:rFonts w:ascii="Arial" w:cs="Arial" w:eastAsia="Arial" w:hAnsi="Arial"/>
          <w:sz w:val="18"/>
          <w:szCs w:val="18"/>
          <w:b w:val="1"/>
          <w:bCs w:val="1"/>
          <w:color w:val="auto"/>
        </w:rPr>
      </w:pPr>
    </w:p>
    <w:p>
      <w:pPr>
        <w:ind w:left="-20" w:right="100" w:firstLine="464"/>
        <w:spacing w:after="0" w:line="289" w:lineRule="auto"/>
        <w:tabs>
          <w:tab w:leader="none" w:pos="706"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all the provisions of the Plan, the provisions of which are hereby made a part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382" w:name="page383"/>
    <w:bookmarkEnd w:id="3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 BIOSCIENCES,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2006 EQUITY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GRANT NOTICE</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Anaptys Biosciences,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its 2006 Equity Incentive Plan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i w:val="1"/>
          <w:iCs w:val="1"/>
          <w:color w:val="auto"/>
        </w:rPr>
        <w:t>”),</w:t>
      </w:r>
      <w:r>
        <w:rPr>
          <w:rFonts w:ascii="Arial" w:cs="Arial" w:eastAsia="Arial" w:hAnsi="Arial"/>
          <w:sz w:val="17"/>
          <w:szCs w:val="17"/>
          <w:color w:val="auto"/>
        </w:rPr>
        <w:t xml:space="preserve">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8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56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324"/>
        </w:trPr>
        <w:tc>
          <w:tcPr>
            <w:tcW w:w="1860" w:type="dxa"/>
            <w:vAlign w:val="bottom"/>
          </w:tcPr>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tc>
        <w:tc>
          <w:tcPr>
            <w:tcW w:w="38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56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r>
      <w:tr>
        <w:trPr>
          <w:trHeight w:val="290"/>
        </w:trPr>
        <w:tc>
          <w:tcPr>
            <w:tcW w:w="1860" w:type="dxa"/>
            <w:vAlign w:val="bottom"/>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w w:val="88"/>
              </w:rPr>
              <w:t>1/4</w:t>
            </w:r>
            <w:r>
              <w:rPr>
                <w:rFonts w:ascii="Arial" w:cs="Arial" w:eastAsia="Arial" w:hAnsi="Arial"/>
                <w:sz w:val="15"/>
                <w:szCs w:val="15"/>
                <w:color w:val="auto"/>
                <w:w w:val="88"/>
              </w:rPr>
              <w:t>th</w:t>
            </w:r>
            <w:r>
              <w:rPr>
                <w:rFonts w:ascii="Arial" w:cs="Arial" w:eastAsia="Arial" w:hAnsi="Arial"/>
                <w:sz w:val="18"/>
                <w:szCs w:val="18"/>
                <w:color w:val="auto"/>
                <w:w w:val="88"/>
              </w:rPr>
              <w:t xml:space="preserve"> of the shares vest and become exercisable one year after the Vesting Commencement Date; the balance of the shares vest</w:t>
            </w:r>
          </w:p>
        </w:tc>
      </w:tr>
      <w:tr>
        <w:trPr>
          <w:trHeight w:val="216"/>
        </w:trPr>
        <w:tc>
          <w:tcPr>
            <w:tcW w:w="1860" w:type="dxa"/>
            <w:vAlign w:val="bottom"/>
          </w:tcPr>
          <w:p>
            <w:pPr>
              <w:spacing w:after="0"/>
              <w:rPr>
                <w:sz w:val="18"/>
                <w:szCs w:val="18"/>
                <w:color w:val="auto"/>
              </w:rPr>
            </w:pP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w w:val="99"/>
              </w:rPr>
              <w:t>and become exercisable in a series of thirty-six (36) successive equal monthly installments measured from the first</w:t>
            </w:r>
          </w:p>
        </w:tc>
      </w:tr>
      <w:tr>
        <w:trPr>
          <w:trHeight w:val="216"/>
        </w:trPr>
        <w:tc>
          <w:tcPr>
            <w:tcW w:w="1860" w:type="dxa"/>
            <w:vAlign w:val="bottom"/>
          </w:tcPr>
          <w:p>
            <w:pPr>
              <w:spacing w:after="0"/>
              <w:rPr>
                <w:sz w:val="18"/>
                <w:szCs w:val="18"/>
                <w:color w:val="auto"/>
              </w:rPr>
            </w:pP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w w:val="91"/>
              </w:rPr>
              <w:t xml:space="preserve">anniversary of the Vesting Commencement Date; </w:t>
            </w:r>
            <w:r>
              <w:rPr>
                <w:rFonts w:ascii="Arial" w:cs="Arial" w:eastAsia="Arial" w:hAnsi="Arial"/>
                <w:sz w:val="18"/>
                <w:szCs w:val="18"/>
                <w:i w:val="1"/>
                <w:iCs w:val="1"/>
                <w:color w:val="auto"/>
                <w:w w:val="91"/>
              </w:rPr>
              <w:t>provided, however,</w:t>
            </w:r>
            <w:r>
              <w:rPr>
                <w:rFonts w:ascii="Arial" w:cs="Arial" w:eastAsia="Arial" w:hAnsi="Arial"/>
                <w:sz w:val="18"/>
                <w:szCs w:val="18"/>
                <w:color w:val="auto"/>
                <w:w w:val="91"/>
              </w:rPr>
              <w:t xml:space="preserve"> that the vesting and exercisability of this option shall be</w:t>
            </w:r>
          </w:p>
        </w:tc>
      </w:tr>
      <w:tr>
        <w:trPr>
          <w:trHeight w:val="230"/>
        </w:trPr>
        <w:tc>
          <w:tcPr>
            <w:tcW w:w="1860" w:type="dxa"/>
            <w:vAlign w:val="bottom"/>
          </w:tcPr>
          <w:p>
            <w:pPr>
              <w:spacing w:after="0"/>
              <w:rPr>
                <w:sz w:val="20"/>
                <w:szCs w:val="20"/>
                <w:color w:val="auto"/>
              </w:rPr>
            </w:pP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rPr>
              <w:t>subject to the special acceleration provisions set forth in the Stock Option Agreement attached hereto.</w:t>
            </w:r>
          </w:p>
        </w:tc>
      </w:tr>
      <w:tr>
        <w:trPr>
          <w:trHeight w:val="324"/>
        </w:trPr>
        <w:tc>
          <w:tcPr>
            <w:tcW w:w="1860" w:type="dxa"/>
            <w:vAlign w:val="bottom"/>
          </w:tcPr>
          <w:p>
            <w:pPr>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w:t>
            </w: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r>
        <w:trPr>
          <w:trHeight w:val="344"/>
        </w:trPr>
        <w:tc>
          <w:tcPr>
            <w:tcW w:w="1860" w:type="dxa"/>
            <w:vAlign w:val="bottom"/>
          </w:tcPr>
          <w:p>
            <w:pPr>
              <w:spacing w:after="0"/>
              <w:rPr>
                <w:sz w:val="24"/>
                <w:szCs w:val="24"/>
                <w:color w:val="auto"/>
              </w:rPr>
            </w:pPr>
          </w:p>
        </w:tc>
        <w:tc>
          <w:tcPr>
            <w:tcW w:w="38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w:t>
            </w:r>
          </w:p>
        </w:tc>
        <w:tc>
          <w:tcPr>
            <w:tcW w:w="5680" w:type="dxa"/>
            <w:vAlign w:val="bottom"/>
          </w:tcPr>
          <w:p>
            <w:pPr>
              <w:spacing w:after="0"/>
              <w:rPr>
                <w:sz w:val="24"/>
                <w:szCs w:val="24"/>
                <w:color w:val="auto"/>
              </w:rPr>
            </w:pPr>
          </w:p>
        </w:tc>
      </w:tr>
      <w:tr>
        <w:trPr>
          <w:trHeight w:val="324"/>
        </w:trPr>
        <w:tc>
          <w:tcPr>
            <w:tcW w:w="1860" w:type="dxa"/>
            <w:vAlign w:val="bottom"/>
          </w:tcPr>
          <w:p>
            <w:pPr>
              <w:spacing w:after="0"/>
              <w:rPr>
                <w:sz w:val="24"/>
                <w:szCs w:val="24"/>
                <w:color w:val="auto"/>
              </w:rPr>
            </w:pPr>
          </w:p>
        </w:tc>
        <w:tc>
          <w:tcPr>
            <w:tcW w:w="9520" w:type="dxa"/>
            <w:vAlign w:val="bottom"/>
            <w:gridSpan w:val="2"/>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Regulation T Program if the Shares are publicly traded</w:t>
            </w:r>
          </w:p>
        </w:tc>
      </w:tr>
      <w:tr>
        <w:trPr>
          <w:trHeight w:val="324"/>
        </w:trPr>
        <w:tc>
          <w:tcPr>
            <w:tcW w:w="1860" w:type="dxa"/>
            <w:vAlign w:val="bottom"/>
          </w:tcPr>
          <w:p>
            <w:pPr>
              <w:spacing w:after="0"/>
              <w:rPr>
                <w:sz w:val="24"/>
                <w:szCs w:val="24"/>
                <w:color w:val="auto"/>
              </w:rPr>
            </w:pPr>
          </w:p>
        </w:tc>
        <w:tc>
          <w:tcPr>
            <w:tcW w:w="9520" w:type="dxa"/>
            <w:vAlign w:val="bottom"/>
            <w:gridSpan w:val="2"/>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delivery of already-owned shares if the Shares are publicly traded</w:t>
            </w:r>
          </w:p>
        </w:tc>
      </w:tr>
      <w:tr>
        <w:trPr>
          <w:trHeight w:val="324"/>
        </w:trPr>
        <w:tc>
          <w:tcPr>
            <w:tcW w:w="1860" w:type="dxa"/>
            <w:vAlign w:val="bottom"/>
          </w:tcPr>
          <w:p>
            <w:pPr>
              <w:spacing w:after="0"/>
              <w:rPr>
                <w:sz w:val="24"/>
                <w:szCs w:val="24"/>
                <w:color w:val="auto"/>
              </w:rPr>
            </w:pPr>
          </w:p>
        </w:tc>
        <w:tc>
          <w:tcPr>
            <w:tcW w:w="38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net exercise</w:t>
            </w:r>
            <w:r>
              <w:rPr>
                <w:rFonts w:ascii="Arial" w:cs="Arial" w:eastAsia="Arial" w:hAnsi="Arial"/>
                <w:sz w:val="15"/>
                <w:szCs w:val="15"/>
                <w:color w:val="auto"/>
              </w:rPr>
              <w:t>2</w:t>
            </w:r>
          </w:p>
        </w:tc>
        <w:tc>
          <w:tcPr>
            <w:tcW w:w="5680" w:type="dxa"/>
            <w:vAlign w:val="bottom"/>
          </w:tcPr>
          <w:p>
            <w:pPr>
              <w:spacing w:after="0"/>
              <w:rPr>
                <w:sz w:val="24"/>
                <w:szCs w:val="24"/>
                <w:color w:val="auto"/>
              </w:rPr>
            </w:pPr>
          </w:p>
        </w:tc>
      </w:tr>
    </w:tbl>
    <w:p>
      <w:pPr>
        <w:spacing w:after="0" w:line="17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Additional Terms/Acknowledgements</w:t>
      </w:r>
      <w:r>
        <w:rPr>
          <w:rFonts w:ascii="Arial" w:cs="Arial" w:eastAsia="Arial" w:hAnsi="Arial"/>
          <w:sz w:val="18"/>
          <w:szCs w:val="18"/>
          <w:color w:val="auto"/>
        </w:rPr>
        <w:t>: The undersigned Optionholder acknowledges receipt of, and understands and agrees to, this Option Grant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Agreement, and the Plan. Optionholder further acknowledges that as of the Date of Grant, this Option Grant Notice, the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17145</wp:posOffset>
            </wp:positionV>
            <wp:extent cx="449389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172085</wp:posOffset>
            </wp:positionV>
            <wp:extent cx="449389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89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 w:right="360" w:hanging="452"/>
        <w:spacing w:after="0" w:line="258" w:lineRule="auto"/>
        <w:tabs>
          <w:tab w:leader="none" w:pos="460" w:val="left"/>
        </w:tabs>
        <w:numPr>
          <w:ilvl w:val="0"/>
          <w:numId w:val="355"/>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b w:val="1"/>
          <w:bCs w:val="1"/>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ind w:left="460" w:hanging="452"/>
        <w:spacing w:after="0"/>
        <w:tabs>
          <w:tab w:leader="none" w:pos="460" w:val="left"/>
        </w:tabs>
        <w:numPr>
          <w:ilvl w:val="0"/>
          <w:numId w:val="356"/>
        </w:numPr>
        <w:rPr>
          <w:rFonts w:ascii="Arial" w:cs="Arial" w:eastAsia="Arial" w:hAnsi="Arial"/>
          <w:sz w:val="15"/>
          <w:szCs w:val="15"/>
          <w:color w:val="auto"/>
        </w:rPr>
      </w:pPr>
      <w:r>
        <w:rPr>
          <w:rFonts w:ascii="Arial" w:cs="Arial" w:eastAsia="Arial" w:hAnsi="Arial"/>
          <w:sz w:val="18"/>
          <w:szCs w:val="18"/>
          <w:color w:val="auto"/>
        </w:rPr>
        <w:t>An Incentive Stock Option may not be exercised by a net exercise arrangement.</w:t>
      </w:r>
    </w:p>
    <w:p>
      <w:pPr>
        <w:sectPr>
          <w:pgSz w:w="11900" w:h="16838" w:orient="portrait"/>
          <w:cols w:equalWidth="0" w:num="1">
            <w:col w:w="11380"/>
          </w:cols>
          <w:pgMar w:left="240" w:top="269" w:right="27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ANAPTYS BIOSCIENCES, INC.</w:t>
            </w:r>
          </w:p>
        </w:tc>
        <w:tc>
          <w:tcPr>
            <w:tcW w:w="6380" w:type="dxa"/>
            <w:vAlign w:val="bottom"/>
            <w:gridSpan w:val="3"/>
          </w:tcPr>
          <w:p>
            <w:pPr>
              <w:ind w:left="1260"/>
              <w:spacing w:after="0"/>
              <w:rPr>
                <w:sz w:val="20"/>
                <w:szCs w:val="20"/>
                <w:color w:val="auto"/>
              </w:rPr>
            </w:pPr>
            <w:r>
              <w:rPr>
                <w:rFonts w:ascii="Arial" w:cs="Arial" w:eastAsia="Arial" w:hAnsi="Arial"/>
                <w:sz w:val="18"/>
                <w:szCs w:val="18"/>
                <w:b w:val="1"/>
                <w:bCs w:val="1"/>
                <w:color w:val="auto"/>
              </w:rPr>
              <w:t>OPTIONHOLDER:</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By:</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46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Signature</w:t>
            </w:r>
          </w:p>
        </w:tc>
        <w:tc>
          <w:tcPr>
            <w:tcW w:w="1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Signature</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4"/>
                <w:szCs w:val="24"/>
                <w:color w:val="auto"/>
              </w:rPr>
            </w:pPr>
          </w:p>
        </w:tc>
        <w:tc>
          <w:tcPr>
            <w:tcW w:w="1820" w:type="dxa"/>
            <w:vAlign w:val="bottom"/>
            <w:gridSpan w:val="2"/>
          </w:tcPr>
          <w:p>
            <w:pPr>
              <w:ind w:left="1260"/>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660" w:right="4800" w:hanging="5660"/>
        <w:spacing w:after="0" w:line="454" w:lineRule="auto"/>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Option Agreement, 2006 Equity Incentive Plan, and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84" w:name="page385"/>
    <w:bookmarkEnd w:id="38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EXERCISE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Anaptys Biosciences, Inc.</w:t>
      </w:r>
    </w:p>
    <w:p>
      <w:pPr>
        <w:spacing w:after="0" w:line="117"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23926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constitutes notice under my stock option that I elect to purchase the number of shares for the price set forth below.</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49"/>
        </w:trPr>
        <w:tc>
          <w:tcPr>
            <w:tcW w:w="7220" w:type="dxa"/>
            <w:vAlign w:val="bottom"/>
            <w:gridSpan w:val="2"/>
          </w:tcPr>
          <w:p>
            <w:pPr>
              <w:spacing w:after="0"/>
              <w:rPr>
                <w:sz w:val="20"/>
                <w:szCs w:val="20"/>
                <w:color w:val="auto"/>
              </w:rPr>
            </w:pPr>
            <w:r>
              <w:rPr>
                <w:rFonts w:ascii="Arial" w:cs="Arial" w:eastAsia="Arial" w:hAnsi="Arial"/>
                <w:sz w:val="18"/>
                <w:szCs w:val="18"/>
                <w:color w:val="auto"/>
              </w:rPr>
              <w:t>Type of option (check one):</w:t>
            </w:r>
          </w:p>
        </w:tc>
        <w:tc>
          <w:tcPr>
            <w:tcW w:w="1940" w:type="dxa"/>
            <w:vAlign w:val="bottom"/>
          </w:tcPr>
          <w:p>
            <w:pPr>
              <w:jc w:val="right"/>
              <w:ind w:right="7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340" w:type="dxa"/>
            <w:vAlign w:val="bottom"/>
          </w:tcPr>
          <w:p>
            <w:pPr>
              <w:ind w:left="140"/>
              <w:spacing w:after="0" w:line="207" w:lineRule="exact"/>
              <w:rPr>
                <w:sz w:val="20"/>
                <w:szCs w:val="20"/>
                <w:color w:val="auto"/>
              </w:rPr>
            </w:pPr>
            <w:r>
              <w:rPr>
                <w:rFonts w:ascii="Arial" w:cs="Arial" w:eastAsia="Arial" w:hAnsi="Arial"/>
                <w:sz w:val="18"/>
                <w:szCs w:val="18"/>
                <w:color w:val="auto"/>
                <w:w w:val="94"/>
              </w:rPr>
              <w:t xml:space="preserve">Nonstatutory </w:t>
            </w:r>
            <w:r>
              <w:rPr>
                <w:rFonts w:ascii="MS PGothic" w:cs="MS PGothic" w:eastAsia="MS PGothic" w:hAnsi="MS PGothic"/>
                <w:sz w:val="18"/>
                <w:szCs w:val="18"/>
                <w:color w:val="auto"/>
                <w:w w:val="94"/>
              </w:rPr>
              <w:t>☐</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Stock option dated: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Number of shares as to which option is exercised: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Certificates to be issued in name of:</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Total exercise price:</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Cash payment delivered herewith:</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w:t>
            </w:r>
          </w:p>
        </w:tc>
        <w:tc>
          <w:tcPr>
            <w:tcW w:w="13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Value of</w:t>
            </w:r>
          </w:p>
        </w:tc>
        <w:tc>
          <w:tcPr>
            <w:tcW w:w="6320" w:type="dxa"/>
            <w:vAlign w:val="bottom"/>
          </w:tcPr>
          <w:p>
            <w:pPr>
              <w:ind w:left="300"/>
              <w:spacing w:after="0"/>
              <w:rPr>
                <w:sz w:val="20"/>
                <w:szCs w:val="20"/>
                <w:color w:val="auto"/>
              </w:rPr>
            </w:pPr>
            <w:r>
              <w:rPr>
                <w:rFonts w:ascii="Arial" w:cs="Arial" w:eastAsia="Arial" w:hAnsi="Arial"/>
                <w:sz w:val="18"/>
                <w:szCs w:val="18"/>
                <w:color w:val="auto"/>
              </w:rPr>
              <w:t>shares of Anaptys Biosciences, Inc. common stock delivered herewith</w:t>
            </w:r>
            <w:r>
              <w:rPr>
                <w:rFonts w:ascii="Arial" w:cs="Arial" w:eastAsia="Arial" w:hAnsi="Arial"/>
                <w:sz w:val="15"/>
                <w:szCs w:val="15"/>
                <w:color w:val="auto"/>
              </w:rPr>
              <w:t>3</w:t>
            </w:r>
            <w:r>
              <w:rPr>
                <w:rFonts w:ascii="Arial" w:cs="Arial" w:eastAsia="Arial" w:hAnsi="Arial"/>
                <w:sz w:val="18"/>
                <w:szCs w:val="18"/>
                <w:color w:val="auto"/>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w:t>
            </w:r>
          </w:p>
        </w:tc>
        <w:tc>
          <w:tcPr>
            <w:tcW w:w="1340" w:type="dxa"/>
            <w:vAlign w:val="bottom"/>
          </w:tcPr>
          <w:p>
            <w:pPr>
              <w:spacing w:after="0"/>
              <w:rPr>
                <w:sz w:val="20"/>
                <w:szCs w:val="20"/>
                <w:color w:val="auto"/>
              </w:rPr>
            </w:pPr>
          </w:p>
        </w:tc>
      </w:tr>
    </w:tbl>
    <w:p>
      <w:pPr>
        <w:spacing w:after="0" w:line="20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Anaptys Biosciences, Inc. 2006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of Common Stock issued upon exercise of this option that occurs within two (2) years after the date of grant of this option or within one (1) year after such shares of Common Stock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line="286" w:lineRule="auto"/>
        <w:tabs>
          <w:tab w:leader="none" w:pos="460" w:val="left"/>
        </w:tabs>
        <w:numPr>
          <w:ilvl w:val="0"/>
          <w:numId w:val="357"/>
        </w:numPr>
        <w:rPr>
          <w:rFonts w:ascii="Arial" w:cs="Arial" w:eastAsia="Arial" w:hAnsi="Arial"/>
          <w:sz w:val="14"/>
          <w:szCs w:val="14"/>
          <w:color w:val="auto"/>
        </w:rPr>
      </w:pPr>
      <w:r>
        <w:rPr>
          <w:rFonts w:ascii="Arial" w:cs="Arial" w:eastAsia="Arial" w:hAnsi="Arial"/>
          <w:sz w:val="17"/>
          <w:szCs w:val="17"/>
          <w:color w:val="auto"/>
        </w:rPr>
        <w:t>Shares must meet the public trading requirements set forth in the option. Shares must be valued in accordance with the terms of the option being exercised, must have been owned for the minimum period required in the option, and must be owned free and clear of any liens, claims, encumbrances or security interests. Certificates must be endorsed or accompanied by an executed assignment separate from certificate.</w:t>
      </w:r>
    </w:p>
    <w:p>
      <w:pPr>
        <w:sectPr>
          <w:pgSz w:w="11900" w:h="16838" w:orient="portrait"/>
          <w:cols w:equalWidth="0" w:num="1">
            <w:col w:w="11320"/>
          </w:cols>
          <w:pgMar w:left="240" w:top="270" w:right="339" w:bottom="1440" w:gutter="0" w:footer="0" w:header="0"/>
        </w:sectPr>
      </w:pPr>
    </w:p>
    <w:bookmarkStart w:id="385" w:name="page386"/>
    <w:bookmarkEnd w:id="385"/>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hereby make the following certifications and representations with respect to the number of shares of Common Stock of the Company listed above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being acquired by me for my own account upon exercise of the Option as set forth above: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 acknowledge that the Shares have not been registered under the Securities Act of 1933, as amended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w:t>
      </w:r>
      <w:r>
        <w:rPr>
          <w:rFonts w:ascii="Arial" w:cs="Arial" w:eastAsia="Arial" w:hAnsi="Arial"/>
          <w:sz w:val="18"/>
          <w:szCs w:val="18"/>
          <w:color w:val="auto"/>
        </w:rPr>
        <w:t xml:space="preserve"> and are deemed to constitute “restricted securities” under Rule 701 and “control securities” under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 further acknowledge that I will not be able to resell the Shares for at least ninety (90) days after the stock of the Company becomes publicly traded </w:t>
      </w:r>
      <w:r>
        <w:rPr>
          <w:rFonts w:ascii="Arial" w:cs="Arial" w:eastAsia="Arial" w:hAnsi="Arial"/>
          <w:sz w:val="18"/>
          <w:szCs w:val="18"/>
          <w:i w:val="1"/>
          <w:iCs w:val="1"/>
          <w:color w:val="auto"/>
        </w:rPr>
        <w:t xml:space="preserve">(i.e., </w:t>
      </w:r>
      <w:r>
        <w:rPr>
          <w:rFonts w:ascii="Arial" w:cs="Arial" w:eastAsia="Arial" w:hAnsi="Arial"/>
          <w:sz w:val="18"/>
          <w:szCs w:val="18"/>
          <w:color w:val="auto"/>
        </w:rPr>
        <w:t>subject to the reporting requirements of Section 13 or 15(d) of the Securities Exchange Act of 1934) under Rule 701 and that more restrictive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affiliates of the Company under Rule 144.</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Certificate of Incorporation, Bylaws and/or applicable securities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 further agree that I will not sell, dispose of, transfer, make any short sale of, grant any option for the purchase of, or enter into any hedging or similar transaction with the same economic effect as a sale, any shares of Common Stock or other securities of the Company held by me, for a period of time specified by the managing underwriter(s) (not to exceed one hundred eighty (180) days (or such longer period, not to exceed 18 days after the expiration of the 180-day period, as the underwriters or the Company shall request in order to facilitate compliance with NASD Rule 2711) following the effective date of a registration statement of the Company filed under the Securities Act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Lock Up Period</w:t>
      </w:r>
      <w:r>
        <w:rPr>
          <w:rFonts w:ascii="Arial" w:cs="Arial" w:eastAsia="Arial" w:hAnsi="Arial"/>
          <w:sz w:val="17"/>
          <w:szCs w:val="17"/>
          <w:i w:val="1"/>
          <w:iCs w:val="1"/>
          <w:color w:val="auto"/>
        </w:rPr>
        <w:t>”); provided, however,</w:t>
      </w:r>
      <w:r>
        <w:rPr>
          <w:rFonts w:ascii="Arial" w:cs="Arial" w:eastAsia="Arial" w:hAnsi="Arial"/>
          <w:sz w:val="17"/>
          <w:szCs w:val="17"/>
          <w:color w:val="auto"/>
        </w:rPr>
        <w:t xml:space="preserve"> that nothing contained in this paragraph shall prevent the exercise of a repurchase option, if any, in favor of the Company during the Lock Up Period. I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my shares of Common Stock until the end of such period.</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BONUS GRANT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AnaptysBio, Inc. (the “Company”), pursuant to its 2006 Equity Incentive Plan (the “Plan”), hereby awards to Participant as compensation the number of shares of the Company’s Common Stock set forth below (“Award”). This Award is subject to all of the terms and conditions as set forth herein and in the Restricted Stock Bonus Agreement, the Plan, the form of Assignment Separate from Certificate and the form of Joint Escrow Instructions, all of which are attached hereto and incorporated herein in their entirety.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Subject to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Additional Terms/Acknowledgements</w:t>
      </w:r>
      <w:r>
        <w:rPr>
          <w:rFonts w:ascii="Arial" w:cs="Arial" w:eastAsia="Arial" w:hAnsi="Arial"/>
          <w:sz w:val="17"/>
          <w:szCs w:val="17"/>
          <w:color w:val="auto"/>
        </w:rPr>
        <w:t>: The undersigned Participant acknowledges receipt of, and understands and agrees to, this Restricted Stock Bonus</w:t>
      </w:r>
      <w:r>
        <w:rPr>
          <w:rFonts w:ascii="Arial" w:cs="Arial" w:eastAsia="Arial" w:hAnsi="Arial"/>
          <w:sz w:val="17"/>
          <w:szCs w:val="17"/>
          <w:b w:val="1"/>
          <w:bCs w:val="1"/>
          <w:color w:val="auto"/>
        </w:rPr>
        <w:t xml:space="preserve"> </w:t>
      </w:r>
      <w:r>
        <w:rPr>
          <w:rFonts w:ascii="Arial" w:cs="Arial" w:eastAsia="Arial" w:hAnsi="Arial"/>
          <w:sz w:val="17"/>
          <w:szCs w:val="17"/>
          <w:color w:val="auto"/>
        </w:rPr>
        <w:t>Grant Notice, the Restricted Stock Bonus Agreement and the Plan. Participant further acknowledges that as of the Date of Grant, this Restricted Stock Bonus Grant Notice, the Restricted Stock Bonus Agreement and the Plan set forth the entire understanding between Participant and the Company regarding the acquisition of stock in the Company and supersede all prior oral and written agreements on that subject with the exception of (i) Awards previously granted and delivered to Participant under the Plan, and (ii) the following agreements only: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17145</wp:posOffset>
            </wp:positionV>
            <wp:extent cx="535114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172085</wp:posOffset>
            </wp:positionV>
            <wp:extent cx="53511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ANAPTYSBIO, INC.</w:t>
            </w:r>
          </w:p>
        </w:tc>
        <w:tc>
          <w:tcPr>
            <w:tcW w:w="7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By:</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78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Signature</w:t>
            </w:r>
          </w:p>
        </w:tc>
      </w:tr>
      <w:tr>
        <w:trPr>
          <w:trHeight w:val="4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ATTACHMENTS: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BONUS AGREEMENT</w:t>
      </w:r>
    </w:p>
    <w:p>
      <w:pPr>
        <w:sectPr>
          <w:pgSz w:w="11900" w:h="16838" w:orient="portrait"/>
          <w:cols w:equalWidth="0" w:num="1">
            <w:col w:w="9019"/>
          </w:cols>
          <w:pgMar w:left="1440" w:top="269" w:right="1440" w:bottom="1440" w:gutter="0" w:footer="0" w:header="0"/>
        </w:sectPr>
      </w:pPr>
    </w:p>
    <w:bookmarkStart w:id="388" w:name="page389"/>
    <w:bookmarkEnd w:id="38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2006 EQUITY INCENTIVE PLAN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BONUS AGREEMENT</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Pursuant to the Restricted Stock Bonus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Restricted Stock Bonus Agreement (collectively,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and in consideration of your services, AnaptysBio,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you a Restricted Stock Award under its 2006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shares of the Company’s Common Stock subject to the Award as indicated in the Grant Notice. Defined terms not explicitly defined in this Restricted Stock Bonus Agreement but defined in the Plan shall have the same definitions as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Award are as follows:</w:t>
      </w:r>
    </w:p>
    <w:p>
      <w:pPr>
        <w:spacing w:after="0" w:line="113" w:lineRule="exact"/>
        <w:rPr>
          <w:sz w:val="20"/>
          <w:szCs w:val="20"/>
          <w:color w:val="auto"/>
        </w:rPr>
      </w:pPr>
    </w:p>
    <w:p>
      <w:pPr>
        <w:ind w:right="100" w:firstLine="464"/>
        <w:spacing w:after="0" w:line="282" w:lineRule="auto"/>
        <w:tabs>
          <w:tab w:leader="none" w:pos="636"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limitations contained herein, your Award will vest as provided in the Grant Notice, provided that vesting will cease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of your Continuous Service.</w:t>
      </w:r>
    </w:p>
    <w:p>
      <w:pPr>
        <w:spacing w:after="0" w:line="53" w:lineRule="exact"/>
        <w:rPr>
          <w:rFonts w:ascii="Arial" w:cs="Arial" w:eastAsia="Arial" w:hAnsi="Arial"/>
          <w:sz w:val="18"/>
          <w:szCs w:val="18"/>
          <w:b w:val="1"/>
          <w:bCs w:val="1"/>
          <w:color w:val="auto"/>
        </w:rPr>
      </w:pPr>
    </w:p>
    <w:p>
      <w:pPr>
        <w:ind w:right="560" w:firstLine="464"/>
        <w:spacing w:after="0" w:line="282" w:lineRule="auto"/>
        <w:tabs>
          <w:tab w:leader="none" w:pos="636"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shares subject to your Award may be adjusted from time to time for Capitalization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Plan.</w:t>
      </w:r>
    </w:p>
    <w:p>
      <w:pPr>
        <w:spacing w:after="0" w:line="53" w:lineRule="exact"/>
        <w:rPr>
          <w:rFonts w:ascii="Arial" w:cs="Arial" w:eastAsia="Arial" w:hAnsi="Arial"/>
          <w:sz w:val="18"/>
          <w:szCs w:val="18"/>
          <w:b w:val="1"/>
          <w:bCs w:val="1"/>
          <w:color w:val="auto"/>
        </w:rPr>
      </w:pPr>
    </w:p>
    <w:p>
      <w:pPr>
        <w:ind w:firstLine="464"/>
        <w:spacing w:after="0" w:line="261" w:lineRule="auto"/>
        <w:tabs>
          <w:tab w:leader="none" w:pos="636"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You may not be issued any shares under your Award unless the shares are either (i) then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(ii) the Company has determined that such issuance would be exempt from the registration requirements of the Securities Act. Your Award must also comply with other applicable laws and regulations governing the Award, and you will not receive such shares if the Company determines that such receipt would not be in material compliance with such laws and regulations.</w:t>
      </w:r>
    </w:p>
    <w:p>
      <w:pPr>
        <w:spacing w:after="0" w:line="71" w:lineRule="exact"/>
        <w:rPr>
          <w:rFonts w:ascii="Arial" w:cs="Arial" w:eastAsia="Arial" w:hAnsi="Arial"/>
          <w:sz w:val="18"/>
          <w:szCs w:val="18"/>
          <w:b w:val="1"/>
          <w:bCs w:val="1"/>
          <w:color w:val="auto"/>
        </w:rPr>
      </w:pPr>
    </w:p>
    <w:p>
      <w:pPr>
        <w:ind w:right="40" w:firstLine="464"/>
        <w:spacing w:after="0" w:line="270" w:lineRule="auto"/>
        <w:tabs>
          <w:tab w:leader="none" w:pos="636" w:val="left"/>
        </w:tabs>
        <w:numPr>
          <w:ilvl w:val="0"/>
          <w:numId w:val="358"/>
        </w:numPr>
        <w:rPr>
          <w:rFonts w:ascii="Arial" w:cs="Arial" w:eastAsia="Arial" w:hAnsi="Arial"/>
          <w:sz w:val="17"/>
          <w:szCs w:val="17"/>
          <w:b w:val="1"/>
          <w:bCs w:val="1"/>
          <w:color w:val="auto"/>
        </w:rPr>
      </w:pPr>
      <w:r>
        <w:rPr>
          <w:rFonts w:ascii="Arial" w:cs="Arial" w:eastAsia="Arial" w:hAnsi="Arial"/>
          <w:sz w:val="17"/>
          <w:szCs w:val="17"/>
          <w:b w:val="1"/>
          <w:bCs w:val="1"/>
          <w:color w:val="auto"/>
        </w:rPr>
        <w:t>MARKET STAND-OFF AGREEMENT</w:t>
      </w:r>
      <w:r>
        <w:rPr>
          <w:rFonts w:ascii="Arial" w:cs="Arial" w:eastAsia="Arial" w:hAnsi="Arial"/>
          <w:sz w:val="17"/>
          <w:szCs w:val="17"/>
          <w:color w:val="auto"/>
        </w:rPr>
        <w:t>. By acquiring shares of Common Stock under your Award, you shall not sell, dispose of, transfer, make</w:t>
      </w:r>
      <w:r>
        <w:rPr>
          <w:rFonts w:ascii="Arial" w:cs="Arial" w:eastAsia="Arial" w:hAnsi="Arial"/>
          <w:sz w:val="17"/>
          <w:szCs w:val="17"/>
          <w:b w:val="1"/>
          <w:bCs w:val="1"/>
          <w:color w:val="auto"/>
        </w:rPr>
        <w:t xml:space="preserve"> </w:t>
      </w:r>
      <w:r>
        <w:rPr>
          <w:rFonts w:ascii="Arial" w:cs="Arial" w:eastAsia="Arial" w:hAnsi="Arial"/>
          <w:sz w:val="17"/>
          <w:szCs w:val="17"/>
          <w:color w:val="auto"/>
        </w:rPr>
        <w:t>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and similar or successor regulatory rules and regulations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provided, however, that nothing contained in this Section 4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4 and shall have the right, power and authority to enforce the provision hereof as though they were a party hereto.</w:t>
      </w:r>
    </w:p>
    <w:p>
      <w:pPr>
        <w:sectPr>
          <w:pgSz w:w="11900" w:h="16838" w:orient="portrait"/>
          <w:cols w:equalWidth="0" w:num="1">
            <w:col w:w="11380"/>
          </w:cols>
          <w:pgMar w:left="240" w:top="270" w:right="279" w:bottom="1440" w:gutter="0" w:footer="0" w:header="0"/>
        </w:sectPr>
      </w:pPr>
    </w:p>
    <w:bookmarkStart w:id="389" w:name="page390"/>
    <w:bookmarkEnd w:id="389"/>
    <w:p>
      <w:pPr>
        <w:ind w:left="-464" w:right="380" w:firstLine="464"/>
        <w:spacing w:after="0" w:line="282" w:lineRule="auto"/>
        <w:tabs>
          <w:tab w:leader="none" w:pos="172"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 OF FIRST REFUSAL. </w:t>
      </w:r>
      <w:r>
        <w:rPr>
          <w:rFonts w:ascii="Arial" w:cs="Arial" w:eastAsia="Arial" w:hAnsi="Arial"/>
          <w:sz w:val="18"/>
          <w:szCs w:val="18"/>
          <w:color w:val="auto"/>
        </w:rPr>
        <w:t>Shares that are received under your Award are subject to any right of first refusal that may be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bylaws in effect at such time the Company elects to exercise its right.</w:t>
      </w:r>
    </w:p>
    <w:p>
      <w:pPr>
        <w:spacing w:after="0" w:line="53" w:lineRule="exact"/>
        <w:rPr>
          <w:rFonts w:ascii="Arial" w:cs="Arial" w:eastAsia="Arial" w:hAnsi="Arial"/>
          <w:sz w:val="18"/>
          <w:szCs w:val="18"/>
          <w:b w:val="1"/>
          <w:bCs w:val="1"/>
          <w:color w:val="auto"/>
        </w:rPr>
      </w:pPr>
    </w:p>
    <w:p>
      <w:pPr>
        <w:ind w:left="176" w:hanging="176"/>
        <w:spacing w:after="0"/>
        <w:tabs>
          <w:tab w:leader="none" w:pos="176"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p>
    <w:p>
      <w:pPr>
        <w:spacing w:after="0" w:line="121" w:lineRule="exact"/>
        <w:rPr>
          <w:rFonts w:ascii="Arial" w:cs="Arial" w:eastAsia="Arial" w:hAnsi="Arial"/>
          <w:sz w:val="18"/>
          <w:szCs w:val="18"/>
          <w:b w:val="1"/>
          <w:bCs w:val="1"/>
          <w:color w:val="auto"/>
        </w:rPr>
      </w:pPr>
    </w:p>
    <w:p>
      <w:pPr>
        <w:ind w:left="-464" w:right="240" w:firstLine="921"/>
        <w:spacing w:after="0" w:line="277" w:lineRule="auto"/>
        <w:tabs>
          <w:tab w:leader="none" w:pos="703"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To the extent provided in the Company’s bylaws, as amended from time to time, the Company shall have the right to repurchase all or any part of the shares received pursuant to your Award.</w:t>
      </w:r>
    </w:p>
    <w:p>
      <w:pPr>
        <w:spacing w:after="0" w:line="62" w:lineRule="exact"/>
        <w:rPr>
          <w:rFonts w:ascii="Arial" w:cs="Arial" w:eastAsia="Arial" w:hAnsi="Arial"/>
          <w:sz w:val="18"/>
          <w:szCs w:val="18"/>
          <w:b w:val="1"/>
          <w:bCs w:val="1"/>
          <w:color w:val="auto"/>
        </w:rPr>
      </w:pPr>
    </w:p>
    <w:p>
      <w:pPr>
        <w:ind w:left="-464" w:right="140" w:firstLine="921"/>
        <w:spacing w:after="0" w:line="308" w:lineRule="auto"/>
        <w:tabs>
          <w:tab w:leader="none" w:pos="713" w:val="left"/>
        </w:tabs>
        <w:numPr>
          <w:ilvl w:val="1"/>
          <w:numId w:val="359"/>
        </w:numPr>
        <w:rPr>
          <w:rFonts w:ascii="Arial" w:cs="Arial" w:eastAsia="Arial" w:hAnsi="Arial"/>
          <w:sz w:val="17"/>
          <w:szCs w:val="17"/>
          <w:b w:val="1"/>
          <w:bCs w:val="1"/>
          <w:color w:val="auto"/>
        </w:rPr>
      </w:pPr>
      <w:r>
        <w:rPr>
          <w:rFonts w:ascii="Arial" w:cs="Arial" w:eastAsia="Arial" w:hAnsi="Arial"/>
          <w:sz w:val="17"/>
          <w:szCs w:val="17"/>
          <w:color w:val="auto"/>
        </w:rPr>
        <w:t>The Company shall have a right to reacquire (a “</w:t>
      </w:r>
      <w:r>
        <w:rPr>
          <w:rFonts w:ascii="Arial" w:cs="Arial" w:eastAsia="Arial" w:hAnsi="Arial"/>
          <w:sz w:val="17"/>
          <w:szCs w:val="17"/>
          <w:b w:val="1"/>
          <w:bCs w:val="1"/>
          <w:i w:val="1"/>
          <w:iCs w:val="1"/>
          <w:color w:val="auto"/>
        </w:rPr>
        <w:t>Reacquisition Right</w:t>
      </w:r>
      <w:r>
        <w:rPr>
          <w:rFonts w:ascii="Arial" w:cs="Arial" w:eastAsia="Arial" w:hAnsi="Arial"/>
          <w:sz w:val="17"/>
          <w:szCs w:val="17"/>
          <w:color w:val="auto"/>
        </w:rPr>
        <w:t>”) the shares you received pursuant to your Award that have not as yet vested in accordance with the Vesting Schedule on the Grant Notice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on the following terms and conditions:</w:t>
      </w:r>
    </w:p>
    <w:p>
      <w:pPr>
        <w:spacing w:after="0" w:line="38" w:lineRule="exact"/>
        <w:rPr>
          <w:rFonts w:ascii="Arial" w:cs="Arial" w:eastAsia="Arial" w:hAnsi="Arial"/>
          <w:sz w:val="17"/>
          <w:szCs w:val="17"/>
          <w:b w:val="1"/>
          <w:bCs w:val="1"/>
          <w:color w:val="auto"/>
        </w:rPr>
      </w:pPr>
    </w:p>
    <w:p>
      <w:pPr>
        <w:ind w:left="-464" w:right="100" w:firstLine="1492"/>
        <w:spacing w:after="0" w:line="273" w:lineRule="auto"/>
        <w:tabs>
          <w:tab w:leader="none" w:pos="1234" w:val="left"/>
        </w:tabs>
        <w:numPr>
          <w:ilvl w:val="2"/>
          <w:numId w:val="359"/>
        </w:numPr>
        <w:rPr>
          <w:rFonts w:ascii="Arial" w:cs="Arial" w:eastAsia="Arial" w:hAnsi="Arial"/>
          <w:sz w:val="17"/>
          <w:szCs w:val="17"/>
          <w:b w:val="1"/>
          <w:bCs w:val="1"/>
          <w:color w:val="auto"/>
        </w:rPr>
      </w:pPr>
      <w:r>
        <w:rPr>
          <w:rFonts w:ascii="Arial" w:cs="Arial" w:eastAsia="Arial" w:hAnsi="Arial"/>
          <w:sz w:val="17"/>
          <w:szCs w:val="17"/>
          <w:color w:val="auto"/>
        </w:rPr>
        <w:t>The Company shall simultaneously with termination of your Continuous Service automatically reacquire for no consideration all of the Unvested Shares, unless the Company agrees to waive its Reacquisition Right as to some or all of the Unvested Shares. Any such waiver shall be exercised by the Company by written notice to you or your representative (with a copy to the Escrow Holder as defined below) within ninety (90) days after the termination of your Continuous Service, and the Escrow Holder may then release to you the number of Unvested Shares not being reacquired by the Company. If the Company does not waive its Reacquisition Right as to all of the Unvested Shares, then upon such termination of your Continuous Service, the Escrow Holder shall transfer to the Company the number of shares the Company is reacquiring.</w:t>
      </w:r>
    </w:p>
    <w:p>
      <w:pPr>
        <w:spacing w:after="0" w:line="70" w:lineRule="exact"/>
        <w:rPr>
          <w:rFonts w:ascii="Arial" w:cs="Arial" w:eastAsia="Arial" w:hAnsi="Arial"/>
          <w:sz w:val="17"/>
          <w:szCs w:val="17"/>
          <w:b w:val="1"/>
          <w:bCs w:val="1"/>
          <w:color w:val="auto"/>
        </w:rPr>
      </w:pPr>
    </w:p>
    <w:p>
      <w:pPr>
        <w:ind w:left="-464" w:right="220" w:firstLine="1492"/>
        <w:spacing w:after="0" w:line="257" w:lineRule="auto"/>
        <w:tabs>
          <w:tab w:leader="none" w:pos="1284" w:val="left"/>
        </w:tabs>
        <w:numPr>
          <w:ilvl w:val="2"/>
          <w:numId w:val="359"/>
        </w:numPr>
        <w:rPr>
          <w:rFonts w:ascii="Arial" w:cs="Arial" w:eastAsia="Arial" w:hAnsi="Arial"/>
          <w:sz w:val="18"/>
          <w:szCs w:val="18"/>
          <w:b w:val="1"/>
          <w:bCs w:val="1"/>
          <w:color w:val="auto"/>
        </w:rPr>
      </w:pPr>
      <w:r>
        <w:rPr>
          <w:rFonts w:ascii="Arial" w:cs="Arial" w:eastAsia="Arial" w:hAnsi="Arial"/>
          <w:sz w:val="18"/>
          <w:szCs w:val="18"/>
          <w:color w:val="auto"/>
        </w:rPr>
        <w:t>The Company shall not exercise its Reacquisition Right until at least six (6) months (or such longer or shorter period of time necessary to avoid classification of the Award as a liability for financial accounting purposes) have elapsed following delivery of shares of Common Stock subject to the Award, unless otherwise specifically provided by the Board. If the Company does exercise its Reacquisition Right as to any of the shares subject to your Award, then upon such termination of your Continuous Service, the Escrow Holder shall transfer to the Company the number of shares the Company is repurchasing.</w:t>
      </w:r>
    </w:p>
    <w:p>
      <w:pPr>
        <w:spacing w:after="0" w:line="80" w:lineRule="exact"/>
        <w:rPr>
          <w:rFonts w:ascii="Arial" w:cs="Arial" w:eastAsia="Arial" w:hAnsi="Arial"/>
          <w:sz w:val="18"/>
          <w:szCs w:val="18"/>
          <w:b w:val="1"/>
          <w:bCs w:val="1"/>
          <w:color w:val="auto"/>
        </w:rPr>
      </w:pPr>
    </w:p>
    <w:p>
      <w:pPr>
        <w:ind w:left="-464" w:right="140" w:firstLine="1492"/>
        <w:spacing w:after="0" w:line="259" w:lineRule="auto"/>
        <w:tabs>
          <w:tab w:leader="none" w:pos="1334" w:val="left"/>
        </w:tabs>
        <w:numPr>
          <w:ilvl w:val="2"/>
          <w:numId w:val="359"/>
        </w:numPr>
        <w:rPr>
          <w:rFonts w:ascii="Arial" w:cs="Arial" w:eastAsia="Arial" w:hAnsi="Arial"/>
          <w:sz w:val="18"/>
          <w:szCs w:val="18"/>
          <w:b w:val="1"/>
          <w:bCs w:val="1"/>
          <w:color w:val="auto"/>
        </w:rPr>
      </w:pPr>
      <w:r>
        <w:rPr>
          <w:rFonts w:ascii="Arial" w:cs="Arial" w:eastAsia="Arial" w:hAnsi="Arial"/>
          <w:sz w:val="18"/>
          <w:szCs w:val="18"/>
          <w:color w:val="auto"/>
        </w:rPr>
        <w:t>The shares issued under your Award shall be held in escrow pursuant to the terms of the Joint Escrow Instructions attached to the Grant Notice as Attachment IV. You agree to execute two (2) Assignment Separate From Certificate forms (with date and number of shares blank) substantially in the form attached to the Grant Notice as Attachment III and deliver the same, along with the certificate or certificates evidencing the shares, for use by the escrow agent pursuant to the terms of the Joint Escrow Instructions.</w:t>
      </w:r>
    </w:p>
    <w:p>
      <w:pPr>
        <w:spacing w:after="0" w:line="78" w:lineRule="exact"/>
        <w:rPr>
          <w:rFonts w:ascii="Arial" w:cs="Arial" w:eastAsia="Arial" w:hAnsi="Arial"/>
          <w:sz w:val="18"/>
          <w:szCs w:val="18"/>
          <w:b w:val="1"/>
          <w:bCs w:val="1"/>
          <w:color w:val="auto"/>
        </w:rPr>
      </w:pPr>
    </w:p>
    <w:p>
      <w:pPr>
        <w:ind w:left="-464" w:firstLine="1492"/>
        <w:spacing w:after="0" w:line="259" w:lineRule="auto"/>
        <w:tabs>
          <w:tab w:leader="none" w:pos="1324" w:val="left"/>
        </w:tabs>
        <w:numPr>
          <w:ilvl w:val="2"/>
          <w:numId w:val="359"/>
        </w:numPr>
        <w:rPr>
          <w:rFonts w:ascii="Arial" w:cs="Arial" w:eastAsia="Arial" w:hAnsi="Arial"/>
          <w:sz w:val="18"/>
          <w:szCs w:val="18"/>
          <w:b w:val="1"/>
          <w:bCs w:val="1"/>
          <w:color w:val="auto"/>
        </w:rPr>
      </w:pPr>
      <w:r>
        <w:rPr>
          <w:rFonts w:ascii="Arial" w:cs="Arial" w:eastAsia="Arial" w:hAnsi="Arial"/>
          <w:sz w:val="18"/>
          <w:szCs w:val="18"/>
          <w:color w:val="auto"/>
        </w:rPr>
        <w:t>Subject to the provisions of your Award, you shall, during the term of your Award, exercise all rights and privileges of a shareholder of the Company with respect to the shares deposited in escrow. You shall be deemed to be the holder of the shares for purposes of receiving any dividends which may be paid with respect to such shares and for purposes of exercising any voting rights relating to such shares, even if some or all of such shares have not yet vested and been released from the Company’s Reacquisition Right.</w:t>
      </w:r>
    </w:p>
    <w:p>
      <w:pPr>
        <w:sectPr>
          <w:pgSz w:w="11900" w:h="16838" w:orient="portrait"/>
          <w:cols w:equalWidth="0" w:num="1">
            <w:col w:w="10896"/>
          </w:cols>
          <w:pgMar w:left="704" w:top="270" w:right="299" w:bottom="1440" w:gutter="0" w:footer="0" w:header="0"/>
        </w:sectPr>
      </w:pPr>
    </w:p>
    <w:bookmarkStart w:id="390" w:name="page391"/>
    <w:bookmarkEnd w:id="390"/>
    <w:p>
      <w:pPr>
        <w:ind w:left="-464" w:right="140" w:firstLine="1492"/>
        <w:spacing w:after="0" w:line="279" w:lineRule="auto"/>
        <w:tabs>
          <w:tab w:leader="none" w:pos="1274" w:val="left"/>
        </w:tabs>
        <w:numPr>
          <w:ilvl w:val="1"/>
          <w:numId w:val="36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from time to time, there is any stock dividend, stock split or other change in the character or amount of any of the outstanding stock of the corporation the stock of which is subject to the provisions of your Award, then in such event any and all new, substituted or additional securities to which you are entitled by reason of your ownership of the shares acquired under your Award shall be immediately subject to the Reacquisition Right with the same force and effect as the shares subject to this Reacquisition Right immediately before such event.</w:t>
      </w:r>
    </w:p>
    <w:p>
      <w:pPr>
        <w:spacing w:after="0" w:line="63" w:lineRule="exact"/>
        <w:rPr>
          <w:rFonts w:ascii="Arial" w:cs="Arial" w:eastAsia="Arial" w:hAnsi="Arial"/>
          <w:sz w:val="17"/>
          <w:szCs w:val="17"/>
          <w:b w:val="1"/>
          <w:bCs w:val="1"/>
          <w:color w:val="auto"/>
        </w:rPr>
      </w:pPr>
    </w:p>
    <w:p>
      <w:pPr>
        <w:ind w:left="-464" w:right="20" w:firstLine="1492"/>
        <w:spacing w:after="0" w:line="290" w:lineRule="auto"/>
        <w:tabs>
          <w:tab w:leader="none" w:pos="1324" w:val="left"/>
        </w:tabs>
        <w:numPr>
          <w:ilvl w:val="1"/>
          <w:numId w:val="360"/>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as defined in the Plan, the Reacquisition Right may be assigned by the Company to the successor of the Company (or such successor’s parent company), if any, in connection with such transaction. To the extent the Reacquisition Right remains in effect following such transaction, it shall apply to the new capital stock, cash or other property received in exchange for the Common Stock in consummation of the transaction, but only to the extent the Common Stock was at the time covered by such right. If any Reacquisition Right is not assumed or substituted in connection with such transaction and your continuous service has not terminated prior to the effective time of the Corporate Transaction, the Reacquisition Right shall lapse prior to the effective time of the Corporate Transaction. If your continuous service has terminated prior to the effective time of the Corporate Transaction and the surviving or acquiring corporation (or its parent company) does not assume or continue your outstanding Award, the Reacquisition Right held by the Company with respect to such Award may continue to be exercised notwithstanding the Corporate Transaction.</w:t>
      </w:r>
    </w:p>
    <w:p>
      <w:pPr>
        <w:spacing w:after="0" w:line="58" w:lineRule="exact"/>
        <w:rPr>
          <w:rFonts w:ascii="Arial" w:cs="Arial" w:eastAsia="Arial" w:hAnsi="Arial"/>
          <w:sz w:val="16"/>
          <w:szCs w:val="16"/>
          <w:b w:val="1"/>
          <w:bCs w:val="1"/>
          <w:color w:val="auto"/>
        </w:rPr>
      </w:pPr>
    </w:p>
    <w:p>
      <w:pPr>
        <w:ind w:left="-464" w:firstLine="1492"/>
        <w:spacing w:after="0" w:line="255" w:lineRule="auto"/>
        <w:tabs>
          <w:tab w:leader="none" w:pos="1374" w:val="left"/>
        </w:tabs>
        <w:numPr>
          <w:ilvl w:val="1"/>
          <w:numId w:val="360"/>
        </w:numPr>
        <w:rPr>
          <w:rFonts w:ascii="Arial" w:cs="Arial" w:eastAsia="Arial" w:hAnsi="Arial"/>
          <w:sz w:val="18"/>
          <w:szCs w:val="18"/>
          <w:b w:val="1"/>
          <w:bCs w:val="1"/>
          <w:color w:val="auto"/>
        </w:rPr>
      </w:pPr>
      <w:r>
        <w:rPr>
          <w:rFonts w:ascii="Arial" w:cs="Arial" w:eastAsia="Arial" w:hAnsi="Arial"/>
          <w:sz w:val="18"/>
          <w:szCs w:val="18"/>
          <w:color w:val="auto"/>
        </w:rPr>
        <w:t>In addition to any other limitation on transfer created by applicable securities laws, you shall not sell, assign, hypothecate, donate, encumber, or otherwise dispose of any interest in the Common Stock while such shares of Common Stock are subject to the Reacquisition Right or continue to be held in the Joint Escrow; provided, however, that an interest in such shares may be transferred pursuant to a qualified domestic relations order as defined in the Code or Title I of the Employee Retirement Income Security Act. After any Common Stock has been released from the Joint Escrow, you shall not sell, assign, hypothecate, donate, encumber, or otherwise dispose of any interest in the Common Stock except in compliance with the provisions herein and applicable securities laws.</w:t>
      </w:r>
    </w:p>
    <w:p>
      <w:pPr>
        <w:spacing w:after="0" w:line="189" w:lineRule="exact"/>
        <w:rPr>
          <w:rFonts w:ascii="Arial" w:cs="Arial" w:eastAsia="Arial" w:hAnsi="Arial"/>
          <w:sz w:val="18"/>
          <w:szCs w:val="18"/>
          <w:b w:val="1"/>
          <w:bCs w:val="1"/>
          <w:color w:val="auto"/>
        </w:rPr>
      </w:pPr>
    </w:p>
    <w:p>
      <w:pPr>
        <w:ind w:left="176" w:hanging="176"/>
        <w:spacing w:after="0"/>
        <w:tabs>
          <w:tab w:leader="none" w:pos="176" w:val="left"/>
        </w:tabs>
        <w:numPr>
          <w:ilvl w:val="0"/>
          <w:numId w:val="3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RESTRICTIVE LEGENDS. </w:t>
      </w:r>
      <w:r>
        <w:rPr>
          <w:rFonts w:ascii="Arial" w:cs="Arial" w:eastAsia="Arial" w:hAnsi="Arial"/>
          <w:sz w:val="17"/>
          <w:szCs w:val="17"/>
          <w:color w:val="auto"/>
        </w:rPr>
        <w:t>The shares issued under your Award shall be endorsed with appropriate legends determined by the Company.</w:t>
      </w:r>
    </w:p>
    <w:p>
      <w:pPr>
        <w:spacing w:after="0" w:line="236" w:lineRule="exact"/>
        <w:rPr>
          <w:rFonts w:ascii="Arial" w:cs="Arial" w:eastAsia="Arial" w:hAnsi="Arial"/>
          <w:sz w:val="17"/>
          <w:szCs w:val="17"/>
          <w:b w:val="1"/>
          <w:bCs w:val="1"/>
          <w:color w:val="auto"/>
        </w:rPr>
      </w:pPr>
    </w:p>
    <w:p>
      <w:pPr>
        <w:ind w:left="-464" w:right="20" w:firstLine="464"/>
        <w:spacing w:after="0" w:line="281" w:lineRule="auto"/>
        <w:tabs>
          <w:tab w:leader="none" w:pos="172" w:val="left"/>
        </w:tabs>
        <w:numPr>
          <w:ilvl w:val="0"/>
          <w:numId w:val="361"/>
        </w:numPr>
        <w:rPr>
          <w:rFonts w:ascii="Arial" w:cs="Arial" w:eastAsia="Arial" w:hAnsi="Arial"/>
          <w:sz w:val="17"/>
          <w:szCs w:val="17"/>
          <w:b w:val="1"/>
          <w:bCs w:val="1"/>
          <w:color w:val="auto"/>
        </w:rPr>
      </w:pPr>
      <w:r>
        <w:rPr>
          <w:rFonts w:ascii="Arial" w:cs="Arial" w:eastAsia="Arial" w:hAnsi="Arial"/>
          <w:sz w:val="17"/>
          <w:szCs w:val="17"/>
          <w:b w:val="1"/>
          <w:bCs w:val="1"/>
          <w:color w:val="auto"/>
        </w:rPr>
        <w:t>AWARD NOT A SERVICE CONTRACT</w:t>
      </w:r>
      <w:r>
        <w:rPr>
          <w:rFonts w:ascii="Arial" w:cs="Arial" w:eastAsia="Arial" w:hAnsi="Arial"/>
          <w:sz w:val="17"/>
          <w:szCs w:val="17"/>
          <w:color w:val="auto"/>
        </w:rPr>
        <w:t>. Your Award is not an employment or service contract, and nothing in your Award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create in any way whatsoever any obligation on your part to continue in the employ of the Company or an Affiliate, or on the part of the Company or an Affiliate to continue your employment. In addition, nothing in your Award shall obligate the Company or an Affiliate, their respective shareholders, boards of directors, Officers or Employees to continue any relationship that you might have as a Director or Consultant for the Company or an Affiliate.</w:t>
      </w:r>
    </w:p>
    <w:p>
      <w:pPr>
        <w:sectPr>
          <w:pgSz w:w="11900" w:h="16838" w:orient="portrait"/>
          <w:cols w:equalWidth="0" w:num="1">
            <w:col w:w="10936"/>
          </w:cols>
          <w:pgMar w:left="704" w:top="274" w:right="259" w:bottom="1440" w:gutter="0" w:footer="0" w:header="0"/>
        </w:sectPr>
      </w:pPr>
    </w:p>
    <w:bookmarkStart w:id="391" w:name="page392"/>
    <w:bookmarkEnd w:id="391"/>
    <w:p>
      <w:pPr>
        <w:ind w:left="176" w:hanging="176"/>
        <w:spacing w:after="0"/>
        <w:tabs>
          <w:tab w:leader="none" w:pos="176"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OBLIGATIONS.</w:t>
      </w:r>
    </w:p>
    <w:p>
      <w:pPr>
        <w:spacing w:after="0" w:line="121" w:lineRule="exact"/>
        <w:rPr>
          <w:rFonts w:ascii="Arial" w:cs="Arial" w:eastAsia="Arial" w:hAnsi="Arial"/>
          <w:sz w:val="18"/>
          <w:szCs w:val="18"/>
          <w:b w:val="1"/>
          <w:bCs w:val="1"/>
          <w:color w:val="auto"/>
        </w:rPr>
      </w:pPr>
    </w:p>
    <w:p>
      <w:pPr>
        <w:ind w:left="-464" w:firstLine="921"/>
        <w:spacing w:after="0" w:line="289" w:lineRule="auto"/>
        <w:tabs>
          <w:tab w:leader="none" w:pos="703" w:val="left"/>
        </w:tabs>
        <w:numPr>
          <w:ilvl w:val="1"/>
          <w:numId w:val="362"/>
        </w:numPr>
        <w:rPr>
          <w:rFonts w:ascii="Arial" w:cs="Arial" w:eastAsia="Arial" w:hAnsi="Arial"/>
          <w:sz w:val="16"/>
          <w:szCs w:val="16"/>
          <w:b w:val="1"/>
          <w:bCs w:val="1"/>
          <w:color w:val="auto"/>
        </w:rPr>
      </w:pPr>
      <w:r>
        <w:rPr>
          <w:rFonts w:ascii="Arial" w:cs="Arial" w:eastAsia="Arial" w:hAnsi="Arial"/>
          <w:sz w:val="16"/>
          <w:szCs w:val="16"/>
          <w:color w:val="auto"/>
        </w:rPr>
        <w:t>At the time your Award is made, or at any time thereafter as requested by the Company,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Award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The Company may, in its sole discretion; satisfy all or any portion of the Withholding Taxes obligation relating to your Award by any of the following means or by a combination of such means: (i) withholding from any amounts otherwise payable to you by the Company or (ii) causing you to tender a cash payment; (iii) withholding shares of Common Stock from the shares of Common Stock issued or otherwise issuable to you in connection with the Award. with a Fair Market Value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or (v) withholding cash from an Award settled in cash.</w:t>
      </w:r>
    </w:p>
    <w:p>
      <w:pPr>
        <w:spacing w:after="0" w:line="58" w:lineRule="exact"/>
        <w:rPr>
          <w:rFonts w:ascii="Arial" w:cs="Arial" w:eastAsia="Arial" w:hAnsi="Arial"/>
          <w:sz w:val="16"/>
          <w:szCs w:val="16"/>
          <w:b w:val="1"/>
          <w:bCs w:val="1"/>
          <w:color w:val="auto"/>
        </w:rPr>
      </w:pPr>
    </w:p>
    <w:p>
      <w:pPr>
        <w:ind w:left="-464" w:right="320" w:firstLine="921"/>
        <w:spacing w:after="0" w:line="277" w:lineRule="auto"/>
        <w:tabs>
          <w:tab w:leader="none" w:pos="713"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Unless the tax withholding obligations of the Company and/or any Affiliate are satisfied, the Company shall have no obligation to issue a certificate for such shares or release such shares from any escrow provided for herein.</w:t>
      </w:r>
    </w:p>
    <w:p>
      <w:pPr>
        <w:spacing w:after="0" w:line="166" w:lineRule="exact"/>
        <w:rPr>
          <w:rFonts w:ascii="Arial" w:cs="Arial" w:eastAsia="Arial" w:hAnsi="Arial"/>
          <w:sz w:val="18"/>
          <w:szCs w:val="18"/>
          <w:b w:val="1"/>
          <w:bCs w:val="1"/>
          <w:color w:val="auto"/>
        </w:rPr>
      </w:pPr>
    </w:p>
    <w:p>
      <w:pPr>
        <w:jc w:val="both"/>
        <w:ind w:left="-464" w:right="60" w:firstLine="464"/>
        <w:spacing w:after="0" w:line="261" w:lineRule="auto"/>
        <w:tabs>
          <w:tab w:leader="none" w:pos="262"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acquisition and vesting of the shares may have adverse tax consequences to you that may avoided or mitigated by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an election under Section 83(b) of the Code. Such election must be filed within thirty (30) days after the date of your Award. YOU ACKNOWLEDGE THAT IT IS YOUR OWN RESPONSIBILITY, AND NOT THE COMPANY’S, TO FILE A TIMELY ELECTION UNDER CODE SECTION 83(B), EVEN IF YOU REQUEST THE COMPANY TO MAKE THE FILING ON YOUR BEHALF.</w:t>
      </w:r>
    </w:p>
    <w:p>
      <w:pPr>
        <w:spacing w:after="0" w:line="180" w:lineRule="exact"/>
        <w:rPr>
          <w:rFonts w:ascii="Arial" w:cs="Arial" w:eastAsia="Arial" w:hAnsi="Arial"/>
          <w:sz w:val="18"/>
          <w:szCs w:val="18"/>
          <w:b w:val="1"/>
          <w:bCs w:val="1"/>
          <w:color w:val="auto"/>
        </w:rPr>
      </w:pPr>
    </w:p>
    <w:p>
      <w:pPr>
        <w:ind w:left="-464" w:right="20" w:firstLine="464"/>
        <w:spacing w:after="0" w:line="266" w:lineRule="auto"/>
        <w:tabs>
          <w:tab w:leader="none" w:pos="252"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provided for in your Award or the Plan shall be given in writing and shall be deemed effectively given upon receipt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notices delivered by the Company to you, five (5) days after deposit in the United States mail, postage prepaid, addressed to you at the last address you provided to the Company.</w:t>
      </w:r>
    </w:p>
    <w:p>
      <w:pPr>
        <w:spacing w:after="0" w:line="176" w:lineRule="exact"/>
        <w:rPr>
          <w:rFonts w:ascii="Arial" w:cs="Arial" w:eastAsia="Arial" w:hAnsi="Arial"/>
          <w:sz w:val="18"/>
          <w:szCs w:val="18"/>
          <w:b w:val="1"/>
          <w:bCs w:val="1"/>
          <w:color w:val="auto"/>
        </w:rPr>
      </w:pPr>
    </w:p>
    <w:p>
      <w:pPr>
        <w:ind w:left="276" w:hanging="276"/>
        <w:spacing w:after="0"/>
        <w:tabs>
          <w:tab w:leader="none" w:pos="276"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jc w:val="both"/>
        <w:ind w:left="-464" w:right="160" w:firstLine="921"/>
        <w:spacing w:after="0" w:line="264" w:lineRule="auto"/>
        <w:tabs>
          <w:tab w:leader="none" w:pos="703"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only be assigned with the prior written consent of the Board in its sole discretion.</w:t>
      </w:r>
    </w:p>
    <w:p>
      <w:pPr>
        <w:spacing w:after="0" w:line="73" w:lineRule="exact"/>
        <w:rPr>
          <w:rFonts w:ascii="Arial" w:cs="Arial" w:eastAsia="Arial" w:hAnsi="Arial"/>
          <w:sz w:val="18"/>
          <w:szCs w:val="18"/>
          <w:b w:val="1"/>
          <w:bCs w:val="1"/>
          <w:color w:val="auto"/>
        </w:rPr>
      </w:pPr>
    </w:p>
    <w:p>
      <w:pPr>
        <w:ind w:left="-464" w:right="140" w:firstLine="921"/>
        <w:spacing w:after="0" w:line="277" w:lineRule="auto"/>
        <w:tabs>
          <w:tab w:leader="none" w:pos="713"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ectPr>
          <w:pgSz w:w="11900" w:h="16838" w:orient="portrait"/>
          <w:cols w:equalWidth="0" w:num="1">
            <w:col w:w="10936"/>
          </w:cols>
          <w:pgMar w:left="704" w:top="270" w:right="259" w:bottom="1440" w:gutter="0" w:footer="0" w:header="0"/>
        </w:sectPr>
      </w:pPr>
    </w:p>
    <w:bookmarkStart w:id="392" w:name="page393"/>
    <w:bookmarkEnd w:id="392"/>
    <w:p>
      <w:pPr>
        <w:ind w:left="-8" w:right="160" w:firstLine="921"/>
        <w:spacing w:after="0" w:line="277" w:lineRule="auto"/>
        <w:tabs>
          <w:tab w:leader="none" w:pos="1149" w:val="left"/>
        </w:tabs>
        <w:numPr>
          <w:ilvl w:val="2"/>
          <w:numId w:val="3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acknowledge and agree that you have reviewed your Award in its entirety, have had an opportunity to obtain the advice of counsel prior to executing and accepting your Award and fully understand all provisions of your Award.</w:t>
      </w:r>
    </w:p>
    <w:p>
      <w:pPr>
        <w:spacing w:after="0" w:line="166" w:lineRule="exact"/>
        <w:rPr>
          <w:rFonts w:ascii="Arial" w:cs="Arial" w:eastAsia="Arial" w:hAnsi="Arial"/>
          <w:sz w:val="18"/>
          <w:szCs w:val="18"/>
          <w:b w:val="1"/>
          <w:bCs w:val="1"/>
          <w:color w:val="auto"/>
        </w:rPr>
      </w:pPr>
    </w:p>
    <w:p>
      <w:pPr>
        <w:ind w:left="-8" w:right="280" w:firstLine="464"/>
        <w:spacing w:after="0" w:line="314" w:lineRule="auto"/>
        <w:tabs>
          <w:tab w:leader="none" w:pos="718" w:val="left"/>
        </w:tabs>
        <w:numPr>
          <w:ilvl w:val="1"/>
          <w:numId w:val="3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PLAN DOCUMENT. </w:t>
      </w:r>
      <w:r>
        <w:rPr>
          <w:rFonts w:ascii="Arial" w:cs="Arial" w:eastAsia="Arial" w:hAnsi="Arial"/>
          <w:sz w:val="16"/>
          <w:szCs w:val="16"/>
          <w:color w:val="auto"/>
        </w:rPr>
        <w:t>Your Award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Award, and is further subject to all interpretations, amendments, rules and regulations which may from time to time be promulgated and adopted pursuant to the Plan. In the event of any conflict between the provisions of your Award and those of the Plan, the provisions of the Plan shall control.</w:t>
      </w:r>
    </w:p>
    <w:p>
      <w:pPr>
        <w:spacing w:after="0" w:line="142" w:lineRule="exact"/>
        <w:rPr>
          <w:rFonts w:ascii="Arial" w:cs="Arial" w:eastAsia="Arial" w:hAnsi="Arial"/>
          <w:sz w:val="16"/>
          <w:szCs w:val="16"/>
          <w:b w:val="1"/>
          <w:bCs w:val="1"/>
          <w:color w:val="auto"/>
        </w:rPr>
      </w:pPr>
    </w:p>
    <w:p>
      <w:pPr>
        <w:ind w:left="-8" w:firstLine="464"/>
        <w:spacing w:after="0" w:line="285" w:lineRule="auto"/>
        <w:tabs>
          <w:tab w:leader="none" w:pos="718" w:val="left"/>
        </w:tabs>
        <w:numPr>
          <w:ilvl w:val="1"/>
          <w:numId w:val="3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OF SECTION 409A. </w:t>
      </w:r>
      <w:r>
        <w:rPr>
          <w:rFonts w:ascii="Arial" w:cs="Arial" w:eastAsia="Arial" w:hAnsi="Arial"/>
          <w:sz w:val="16"/>
          <w:szCs w:val="16"/>
          <w:color w:val="auto"/>
        </w:rPr>
        <w:t>This Award is intended to be exempt from the application of Section 409A of the Code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Treasury Regulation 1.409A-l(b)(6). Notwithstanding the foregoing, if it is determined that the Award fails to satisfy the requirements of Treasury Regulation l.409A-l(b)(6) or the short-term deferral rule and is otherwise deferred compensation subject to Section 409A, and if you are a “Specified Employee” (within the meaning set forth Section 409A(a)(2)(B)(i) of the Code) as of the date of your separation from service (within the meaning of Treasury Regulation Section 1.409A-l(h)), then the vesting and/or issuance of any shares that would otherwise be made upon the date of your separation from service or within the first six (6) months thereafter will not be made on the originally scheduled date(s) and will instead occur in a lump sum on the date that is six</w:t>
      </w:r>
    </w:p>
    <w:p>
      <w:pPr>
        <w:spacing w:after="0" w:line="3" w:lineRule="exact"/>
        <w:rPr>
          <w:rFonts w:ascii="Arial" w:cs="Arial" w:eastAsia="Arial" w:hAnsi="Arial"/>
          <w:sz w:val="16"/>
          <w:szCs w:val="16"/>
          <w:b w:val="1"/>
          <w:bCs w:val="1"/>
          <w:color w:val="auto"/>
        </w:rPr>
      </w:pPr>
    </w:p>
    <w:p>
      <w:pPr>
        <w:jc w:val="both"/>
        <w:ind w:left="-8" w:right="220" w:firstLine="8"/>
        <w:spacing w:after="0" w:line="254" w:lineRule="auto"/>
        <w:tabs>
          <w:tab w:leader="none" w:pos="24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months and one day after the date of the separation from service, with the balance of the shares becoming vested or issued thereafter in accordance with the original vesting and issuance schedule set forth above, but if and only if such delay is necessary to avoid the imposition of taxation on you in respect of the shares under Section 409A of the Code. Each installment of shares that vests is intended to constitute a “separate payment” for purposes of Treasury Regulation Section 1.409A-2(b)(2).</w:t>
      </w:r>
    </w:p>
    <w:p>
      <w:pPr>
        <w:sectPr>
          <w:pgSz w:w="11900" w:h="16838" w:orient="portrait"/>
          <w:cols w:equalWidth="0" w:num="1">
            <w:col w:w="11412"/>
          </w:cols>
          <w:pgMar w:left="248" w:top="273" w:right="239" w:bottom="1440" w:gutter="0" w:footer="0" w:header="0"/>
        </w:sectPr>
      </w:pPr>
    </w:p>
    <w:bookmarkStart w:id="393" w:name="page394"/>
    <w:bookmarkEnd w:id="39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2006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ectPr>
          <w:pgSz w:w="11900" w:h="16838" w:orient="portrait"/>
          <w:cols w:equalWidth="0" w:num="1">
            <w:col w:w="9019"/>
          </w:cols>
          <w:pgMar w:left="1440" w:top="270" w:right="1440" w:bottom="1440" w:gutter="0" w:footer="0" w:header="0"/>
        </w:sectPr>
      </w:pPr>
    </w:p>
    <w:bookmarkStart w:id="394" w:name="page395"/>
    <w:bookmarkEnd w:id="39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SSIGNMENT</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EPARATE FROM</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ERTIFICATE</w:t>
      </w:r>
    </w:p>
    <w:p>
      <w:pPr>
        <w:sectPr>
          <w:pgSz w:w="11900" w:h="16838" w:orient="portrait"/>
          <w:cols w:equalWidth="0" w:num="1">
            <w:col w:w="9019"/>
          </w:cols>
          <w:pgMar w:left="1440" w:top="270" w:right="1440" w:bottom="1440" w:gutter="0" w:footer="0" w:header="0"/>
        </w:sectPr>
      </w:pPr>
    </w:p>
    <w:bookmarkStart w:id="395" w:name="page396"/>
    <w:bookmarkEnd w:id="395"/>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SEPARATE FROM 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and pursuant to that certain Restricted Stock Bonus Grant Notice and Restricted Stock Bonus Agreement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w:t>
      </w:r>
    </w:p>
    <w:p>
      <w:pPr>
        <w:spacing w:after="0" w:line="50" w:lineRule="exact"/>
        <w:rPr>
          <w:sz w:val="20"/>
          <w:szCs w:val="20"/>
          <w:color w:val="auto"/>
        </w:rPr>
      </w:pPr>
    </w:p>
    <w:p>
      <w:pPr>
        <w:jc w:val="both"/>
        <w:ind w:right="20" w:firstLine="540"/>
        <w:spacing w:after="0" w:line="265" w:lineRule="auto"/>
        <w:rPr>
          <w:sz w:val="20"/>
          <w:szCs w:val="20"/>
          <w:color w:val="auto"/>
        </w:rPr>
      </w:pPr>
      <w:r>
        <w:rPr>
          <w:rFonts w:ascii="Arial" w:cs="Arial" w:eastAsia="Arial" w:hAnsi="Arial"/>
          <w:sz w:val="17"/>
          <w:szCs w:val="17"/>
          <w:color w:val="auto"/>
        </w:rPr>
        <w:t>hereby sells, assigns and transfers unto AnaptysBio, Inc., a Delaware corporation (“</w:t>
      </w:r>
      <w:r>
        <w:rPr>
          <w:rFonts w:ascii="Arial" w:cs="Arial" w:eastAsia="Arial" w:hAnsi="Arial"/>
          <w:sz w:val="17"/>
          <w:szCs w:val="17"/>
          <w:b w:val="1"/>
          <w:bCs w:val="1"/>
          <w:i w:val="1"/>
          <w:iCs w:val="1"/>
          <w:color w:val="auto"/>
        </w:rPr>
        <w:t>Assignee</w:t>
      </w:r>
      <w:r>
        <w:rPr>
          <w:rFonts w:ascii="Arial" w:cs="Arial" w:eastAsia="Arial" w:hAnsi="Arial"/>
          <w:sz w:val="17"/>
          <w:szCs w:val="17"/>
          <w:color w:val="auto"/>
        </w:rPr>
        <w:t>”), ( ) shares of the common stock of the Assignee, standing in the undersigned’s name on the books of said corporation represented by Certificate No. herewith and do hereby irrevocably constitute and appoint as attorney-in-fact to transfer the said stock on the books of the within named Company with full power of substitution 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premises. This Assignment may be used only in accordance with and subject to the terms and conditions of the Award, in connection with the repurchase of shares of Common Stock of the Corporation issued to the undersigned pursuant to the Award, and only to the extent that such shares remain subject to the Corporation’s Reacquisition Right under the Award.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8001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8"/>
          <w:szCs w:val="18"/>
          <w:b w:val="1"/>
          <w:bCs w:val="1"/>
          <w:color w:val="auto"/>
        </w:rPr>
        <w:t>,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-130810</wp:posOffset>
            </wp:positionV>
            <wp:extent cx="23495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5490845</wp:posOffset>
            </wp:positionH>
            <wp:positionV relativeFrom="paragraph">
              <wp:posOffset>-10795</wp:posOffset>
            </wp:positionV>
            <wp:extent cx="6858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INSTRUCTION</w:t>
      </w:r>
      <w:r>
        <w:rPr>
          <w:rFonts w:ascii="Arial" w:cs="Arial" w:eastAsia="Arial" w:hAnsi="Arial"/>
          <w:sz w:val="18"/>
          <w:szCs w:val="18"/>
          <w:color w:val="auto"/>
        </w:rPr>
        <w:t>: Please do not fill in any blanks other than the signature line. The purpose of this Assignment is to enable the Company to exercise its</w:t>
      </w:r>
      <w:r>
        <w:rPr>
          <w:rFonts w:ascii="Arial" w:cs="Arial" w:eastAsia="Arial" w:hAnsi="Arial"/>
          <w:sz w:val="18"/>
          <w:szCs w:val="18"/>
          <w:b w:val="1"/>
          <w:bCs w:val="1"/>
          <w:color w:val="auto"/>
        </w:rPr>
        <w:t xml:space="preserve"> </w:t>
      </w:r>
      <w:r>
        <w:rPr>
          <w:rFonts w:ascii="Arial" w:cs="Arial" w:eastAsia="Arial" w:hAnsi="Arial"/>
          <w:sz w:val="18"/>
          <w:szCs w:val="18"/>
          <w:color w:val="auto"/>
        </w:rPr>
        <w:t>Reacquisition Right set forth in the Award without requiring additional signatures on your part.</w:t>
      </w:r>
    </w:p>
    <w:p>
      <w:pPr>
        <w:sectPr>
          <w:pgSz w:w="11900" w:h="16838" w:orient="portrait"/>
          <w:cols w:equalWidth="0" w:num="1">
            <w:col w:w="11300"/>
          </w:cols>
          <w:pgMar w:left="240" w:top="270" w:right="359" w:bottom="1440" w:gutter="0" w:footer="0" w:header="0"/>
        </w:sectPr>
      </w:pPr>
    </w:p>
    <w:bookmarkStart w:id="396" w:name="page397"/>
    <w:bookmarkEnd w:id="39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SCROW</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NSTRUCTIONS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SCROW</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NSTRUCTIONS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October</w:t>
        <w:tab/>
        <w:t>,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10835 Road To The Cure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Escrow Agent for both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undersigned recipient of stock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Recipient</w:t>
      </w:r>
      <w:r>
        <w:rPr>
          <w:rFonts w:ascii="Arial" w:cs="Arial" w:eastAsia="Arial" w:hAnsi="Arial"/>
          <w:sz w:val="16"/>
          <w:szCs w:val="16"/>
          <w:color w:val="auto"/>
        </w:rPr>
        <w:t>”), you are hereby authorized and directed to hold the documents delivered to you pursuant to the terms of that certain Restricted Stock Bonus</w:t>
      </w:r>
    </w:p>
    <w:p>
      <w:pPr>
        <w:spacing w:after="0" w:line="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dated to which a copy of these Joint Escrow Instructions is attached as Attachment IV, and pursuant to the terms of that certain Restricted Stock Bonus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is Attachment I to the Grant Notice, in accordance with the following instructions:</w:t>
      </w:r>
    </w:p>
    <w:p>
      <w:pPr>
        <w:spacing w:after="0" w:line="82" w:lineRule="exact"/>
        <w:rPr>
          <w:sz w:val="20"/>
          <w:szCs w:val="20"/>
          <w:color w:val="auto"/>
        </w:rPr>
      </w:pPr>
    </w:p>
    <w:p>
      <w:pPr>
        <w:ind w:right="140" w:firstLine="464"/>
        <w:spacing w:after="0" w:line="259" w:lineRule="auto"/>
        <w:tabs>
          <w:tab w:leader="none" w:pos="636"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In the event Recipient ceases to render services to the Company or an affiliate of the Company during the vesting period set forth in the Grant Notice, the Company or its assignee will give to Recipient and you a written notice specifying that the shares of Common Stock shall be transferred to the Company. Recipient and the Company hereby irrevocably authorize and direct you to close the transaction contemplated by such notice in accordance with the terms of said notice.</w:t>
      </w:r>
    </w:p>
    <w:p>
      <w:pPr>
        <w:spacing w:after="0" w:line="186" w:lineRule="exact"/>
        <w:rPr>
          <w:rFonts w:ascii="Arial" w:cs="Arial" w:eastAsia="Arial" w:hAnsi="Arial"/>
          <w:sz w:val="18"/>
          <w:szCs w:val="18"/>
          <w:b w:val="1"/>
          <w:bCs w:val="1"/>
          <w:color w:val="auto"/>
        </w:rPr>
      </w:pPr>
    </w:p>
    <w:p>
      <w:pPr>
        <w:ind w:right="420" w:firstLine="464"/>
        <w:spacing w:after="0" w:line="342" w:lineRule="auto"/>
        <w:tabs>
          <w:tab w:leader="none" w:pos="636" w:val="left"/>
        </w:tabs>
        <w:numPr>
          <w:ilvl w:val="0"/>
          <w:numId w:val="366"/>
        </w:numPr>
        <w:rPr>
          <w:rFonts w:ascii="Arial" w:cs="Arial" w:eastAsia="Arial" w:hAnsi="Arial"/>
          <w:sz w:val="16"/>
          <w:szCs w:val="16"/>
          <w:b w:val="1"/>
          <w:bCs w:val="1"/>
          <w:color w:val="auto"/>
        </w:rPr>
      </w:pPr>
      <w:r>
        <w:rPr>
          <w:rFonts w:ascii="Arial" w:cs="Arial" w:eastAsia="Arial" w:hAnsi="Arial"/>
          <w:sz w:val="16"/>
          <w:szCs w:val="16"/>
          <w:color w:val="auto"/>
        </w:rPr>
        <w:t>At the closing you are directed (a) to date any stock assignments necessary for the transfer in question, (b) to fill in the number of shares being transferred, and (c) to deliver same, together with the certificate evidencing the shares of Common Stock to be transferred, to the Company.</w:t>
      </w:r>
    </w:p>
    <w:p>
      <w:pPr>
        <w:spacing w:after="0" w:line="123" w:lineRule="exact"/>
        <w:rPr>
          <w:rFonts w:ascii="Arial" w:cs="Arial" w:eastAsia="Arial" w:hAnsi="Arial"/>
          <w:sz w:val="16"/>
          <w:szCs w:val="16"/>
          <w:b w:val="1"/>
          <w:bCs w:val="1"/>
          <w:color w:val="auto"/>
        </w:rPr>
      </w:pPr>
    </w:p>
    <w:p>
      <w:pPr>
        <w:ind w:firstLine="464"/>
        <w:spacing w:after="0" w:line="302" w:lineRule="auto"/>
        <w:tabs>
          <w:tab w:leader="none" w:pos="636" w:val="left"/>
        </w:tabs>
        <w:numPr>
          <w:ilvl w:val="0"/>
          <w:numId w:val="366"/>
        </w:numPr>
        <w:rPr>
          <w:rFonts w:ascii="Arial" w:cs="Arial" w:eastAsia="Arial" w:hAnsi="Arial"/>
          <w:sz w:val="16"/>
          <w:szCs w:val="16"/>
          <w:b w:val="1"/>
          <w:bCs w:val="1"/>
          <w:color w:val="auto"/>
        </w:rPr>
      </w:pPr>
      <w:r>
        <w:rPr>
          <w:rFonts w:ascii="Arial" w:cs="Arial" w:eastAsia="Arial" w:hAnsi="Arial"/>
          <w:sz w:val="16"/>
          <w:szCs w:val="16"/>
          <w:color w:val="auto"/>
        </w:rPr>
        <w:t>Recipient irrevocably authorizes the Company to deposit with you any certificates evidencing shares of Common Stock to be held by you hereunder and any additions and substitutions to said shares as specified in the Grant Notice. Recipient does hereby irrevocably constitute and appoint you as Recipient’s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154" w:lineRule="exact"/>
        <w:rPr>
          <w:rFonts w:ascii="Arial" w:cs="Arial" w:eastAsia="Arial" w:hAnsi="Arial"/>
          <w:sz w:val="16"/>
          <w:szCs w:val="16"/>
          <w:b w:val="1"/>
          <w:bCs w:val="1"/>
          <w:color w:val="auto"/>
        </w:rPr>
      </w:pPr>
    </w:p>
    <w:p>
      <w:pPr>
        <w:ind w:right="800" w:firstLine="464"/>
        <w:spacing w:after="0" w:line="277" w:lineRule="auto"/>
        <w:tabs>
          <w:tab w:leader="none" w:pos="636"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This escrow shall terminate upon vesting of the shares or upon the earlier return of the shares to the Company pursuant to the Company’s Reacquisition Right or other forfeiture condition under the Plan.</w:t>
      </w:r>
    </w:p>
    <w:p>
      <w:pPr>
        <w:sectPr>
          <w:pgSz w:w="11900" w:h="16838" w:orient="portrait"/>
          <w:cols w:equalWidth="0" w:num="1">
            <w:col w:w="11320"/>
          </w:cols>
          <w:pgMar w:left="240" w:top="270" w:right="339" w:bottom="1440" w:gutter="0" w:footer="0" w:header="0"/>
        </w:sectPr>
      </w:pPr>
    </w:p>
    <w:bookmarkStart w:id="397" w:name="page398"/>
    <w:bookmarkEnd w:id="397"/>
    <w:p>
      <w:pPr>
        <w:ind w:left="-464" w:right="140" w:firstLine="464"/>
        <w:spacing w:after="0" w:line="342" w:lineRule="auto"/>
        <w:tabs>
          <w:tab w:leader="none" w:pos="172"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the time of termination of this escrow you should have in your possession any documents, securities, or other property belonging to Recipient, you shall deliver all of same to any pledgee entitled thereto or, if none, to Recipient and shall be discharged of all further obligations hereunder.</w:t>
      </w:r>
    </w:p>
    <w:p>
      <w:pPr>
        <w:spacing w:after="0" w:line="123" w:lineRule="exact"/>
        <w:rPr>
          <w:rFonts w:ascii="Arial" w:cs="Arial" w:eastAsia="Arial" w:hAnsi="Arial"/>
          <w:sz w:val="16"/>
          <w:szCs w:val="16"/>
          <w:b w:val="1"/>
          <w:bCs w:val="1"/>
          <w:color w:val="auto"/>
        </w:rPr>
      </w:pPr>
    </w:p>
    <w:p>
      <w:pPr>
        <w:ind w:left="176" w:hanging="176"/>
        <w:spacing w:after="0"/>
        <w:tabs>
          <w:tab w:leader="none" w:pos="176"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225" w:lineRule="exact"/>
        <w:rPr>
          <w:rFonts w:ascii="Arial" w:cs="Arial" w:eastAsia="Arial" w:hAnsi="Arial"/>
          <w:sz w:val="18"/>
          <w:szCs w:val="18"/>
          <w:b w:val="1"/>
          <w:bCs w:val="1"/>
          <w:color w:val="auto"/>
        </w:rPr>
      </w:pPr>
    </w:p>
    <w:p>
      <w:pPr>
        <w:ind w:left="-464" w:firstLine="464"/>
        <w:spacing w:after="0" w:line="302" w:lineRule="auto"/>
        <w:tabs>
          <w:tab w:leader="none" w:pos="172"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Recipient while acting in good faith and any act done or omitted by you pursuant to the advice of your own attorneys shall be conclusive evidence of such good faith.</w:t>
      </w:r>
    </w:p>
    <w:p>
      <w:pPr>
        <w:spacing w:after="0" w:line="154" w:lineRule="exact"/>
        <w:rPr>
          <w:rFonts w:ascii="Arial" w:cs="Arial" w:eastAsia="Arial" w:hAnsi="Arial"/>
          <w:sz w:val="16"/>
          <w:szCs w:val="16"/>
          <w:b w:val="1"/>
          <w:bCs w:val="1"/>
          <w:color w:val="auto"/>
        </w:rPr>
      </w:pPr>
    </w:p>
    <w:p>
      <w:pPr>
        <w:ind w:left="-464" w:right="40" w:firstLine="464"/>
        <w:spacing w:after="0" w:line="257" w:lineRule="auto"/>
        <w:tabs>
          <w:tab w:leader="none" w:pos="172"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8" w:lineRule="exact"/>
        <w:rPr>
          <w:rFonts w:ascii="Arial" w:cs="Arial" w:eastAsia="Arial" w:hAnsi="Arial"/>
          <w:sz w:val="18"/>
          <w:szCs w:val="18"/>
          <w:b w:val="1"/>
          <w:bCs w:val="1"/>
          <w:color w:val="auto"/>
        </w:rPr>
      </w:pPr>
    </w:p>
    <w:p>
      <w:pPr>
        <w:ind w:left="-464" w:right="140" w:firstLine="464"/>
        <w:spacing w:after="0" w:line="277" w:lineRule="auto"/>
        <w:tabs>
          <w:tab w:leader="none" w:pos="172"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Grant Notice or any documents or papers deposited or called for hereunder.</w:t>
      </w:r>
    </w:p>
    <w:p>
      <w:pPr>
        <w:spacing w:after="0" w:line="170" w:lineRule="exact"/>
        <w:rPr>
          <w:rFonts w:ascii="Arial" w:cs="Arial" w:eastAsia="Arial" w:hAnsi="Arial"/>
          <w:sz w:val="18"/>
          <w:szCs w:val="18"/>
          <w:b w:val="1"/>
          <w:bCs w:val="1"/>
          <w:color w:val="auto"/>
        </w:rPr>
      </w:pPr>
    </w:p>
    <w:p>
      <w:pPr>
        <w:ind w:left="-464" w:right="620" w:firstLine="464"/>
        <w:spacing w:after="0" w:line="277" w:lineRule="auto"/>
        <w:tabs>
          <w:tab w:leader="none" w:pos="262"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You shall not be liable for the outlawing of any rights under any statute of limitations with respect to these Joint Escrow Instructions or any documents deposited with you.</w:t>
      </w:r>
    </w:p>
    <w:p>
      <w:pPr>
        <w:spacing w:after="0" w:line="170" w:lineRule="exact"/>
        <w:rPr>
          <w:rFonts w:ascii="Arial" w:cs="Arial" w:eastAsia="Arial" w:hAnsi="Arial"/>
          <w:sz w:val="18"/>
          <w:szCs w:val="18"/>
          <w:b w:val="1"/>
          <w:bCs w:val="1"/>
          <w:color w:val="auto"/>
        </w:rPr>
      </w:pPr>
    </w:p>
    <w:p>
      <w:pPr>
        <w:ind w:left="-464" w:right="40" w:firstLine="464"/>
        <w:spacing w:after="0" w:line="264" w:lineRule="auto"/>
        <w:tabs>
          <w:tab w:leader="none" w:pos="252"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You shall be entitled to employ such legal counsel, including but not limited to Cooley LLP, and other experts as you may deem necessary properly to advise you in connection with your obligations hereunder, may rely upon the advice of such counsel, and may pay such counsel reasonable compensation therefor.</w:t>
      </w:r>
    </w:p>
    <w:p>
      <w:pPr>
        <w:spacing w:after="0" w:line="181" w:lineRule="exact"/>
        <w:rPr>
          <w:rFonts w:ascii="Arial" w:cs="Arial" w:eastAsia="Arial" w:hAnsi="Arial"/>
          <w:sz w:val="18"/>
          <w:szCs w:val="18"/>
          <w:b w:val="1"/>
          <w:bCs w:val="1"/>
          <w:color w:val="auto"/>
        </w:rPr>
      </w:pPr>
    </w:p>
    <w:p>
      <w:pPr>
        <w:ind w:left="-464" w:right="20" w:firstLine="464"/>
        <w:spacing w:after="0" w:line="312" w:lineRule="auto"/>
        <w:tabs>
          <w:tab w:leader="none" w:pos="262"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t>Your responsibilities as Escrow Agent hereunder shall terminate if you shall cease to be Secretary of the Company or if you shall resign by written notice to each party. In the event of any such termination, the Company may appoint any officer or assistant officer of the Company as successor Escrow Agent and Recipient hereby confirms the appointment of such successor or successors as his attorney-in-fact and agent to the full extent of your appointment.</w:t>
      </w:r>
    </w:p>
    <w:p>
      <w:pPr>
        <w:spacing w:after="0" w:line="146" w:lineRule="exact"/>
        <w:rPr>
          <w:rFonts w:ascii="Arial" w:cs="Arial" w:eastAsia="Arial" w:hAnsi="Arial"/>
          <w:sz w:val="16"/>
          <w:szCs w:val="16"/>
          <w:b w:val="1"/>
          <w:bCs w:val="1"/>
          <w:color w:val="auto"/>
        </w:rPr>
      </w:pPr>
    </w:p>
    <w:p>
      <w:pPr>
        <w:ind w:left="-464" w:right="540" w:firstLine="464"/>
        <w:spacing w:after="0" w:line="277" w:lineRule="auto"/>
        <w:tabs>
          <w:tab w:leader="none" w:pos="262"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ectPr>
          <w:pgSz w:w="11900" w:h="16838" w:orient="portrait"/>
          <w:cols w:equalWidth="0" w:num="1">
            <w:col w:w="10916"/>
          </w:cols>
          <w:pgMar w:left="704" w:top="273" w:right="279" w:bottom="1440" w:gutter="0" w:footer="0" w:header="0"/>
        </w:sectPr>
      </w:pPr>
    </w:p>
    <w:bookmarkStart w:id="398" w:name="page399"/>
    <w:bookmarkEnd w:id="398"/>
    <w:p>
      <w:pPr>
        <w:jc w:val="both"/>
        <w:ind w:left="-464" w:right="180" w:firstLine="464"/>
        <w:spacing w:after="0" w:line="302" w:lineRule="auto"/>
        <w:tabs>
          <w:tab w:leader="none" w:pos="262" w:val="left"/>
        </w:tabs>
        <w:numPr>
          <w:ilvl w:val="0"/>
          <w:numId w:val="36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and agreed that should any dispute arise with respect to the delivery and/or ownership or right of possession of the securities, you may (but are not obligated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54" w:lineRule="exact"/>
        <w:rPr>
          <w:rFonts w:ascii="Arial" w:cs="Arial" w:eastAsia="Arial" w:hAnsi="Arial"/>
          <w:sz w:val="16"/>
          <w:szCs w:val="16"/>
          <w:b w:val="1"/>
          <w:bCs w:val="1"/>
          <w:color w:val="auto"/>
        </w:rPr>
      </w:pPr>
    </w:p>
    <w:p>
      <w:pPr>
        <w:ind w:left="-464" w:right="120" w:firstLine="464"/>
        <w:spacing w:after="0" w:line="312" w:lineRule="auto"/>
        <w:tabs>
          <w:tab w:leader="none" w:pos="262" w:val="left"/>
        </w:tabs>
        <w:numPr>
          <w:ilvl w:val="0"/>
          <w:numId w:val="368"/>
        </w:numPr>
        <w:rPr>
          <w:rFonts w:ascii="Arial" w:cs="Arial" w:eastAsia="Arial" w:hAnsi="Arial"/>
          <w:sz w:val="16"/>
          <w:szCs w:val="16"/>
          <w:b w:val="1"/>
          <w:bCs w:val="1"/>
          <w:color w:val="auto"/>
        </w:rPr>
      </w:pPr>
      <w:r>
        <w:rPr>
          <w:rFonts w:ascii="Arial" w:cs="Arial" w:eastAsia="Arial" w:hAnsi="Arial"/>
          <w:sz w:val="16"/>
          <w:szCs w:val="16"/>
          <w:color w:val="auto"/>
        </w:rPr>
        <w:t>Any notice required or permitted hereunder shall be given in writing and shall be deemed effectively given upon personal delivery or upon deposit in any United States Post Box, by registered or certified mail with postage and fees prepaid, addressed to each of the other parties hereunto entitled at the following addresses, or at such other addresses as a party may designate by ten (10) days’ written notice to each of the other parties hereto:</w:t>
      </w:r>
    </w:p>
    <w:p>
      <w:pPr>
        <w:sectPr>
          <w:pgSz w:w="11900" w:h="16838" w:orient="portrait"/>
          <w:cols w:equalWidth="0" w:num="1">
            <w:col w:w="10936"/>
          </w:cols>
          <w:pgMar w:left="704" w:top="273" w:right="259" w:bottom="1440" w:gutter="0" w:footer="0" w:header="0"/>
        </w:sectPr>
      </w:pPr>
    </w:p>
    <w:p>
      <w:pPr>
        <w:spacing w:after="0" w:line="170" w:lineRule="exact"/>
        <w:rPr>
          <w:sz w:val="20"/>
          <w:szCs w:val="20"/>
          <w:color w:val="auto"/>
        </w:rPr>
      </w:pPr>
    </w:p>
    <w:p>
      <w:pPr>
        <w:ind w:left="456"/>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10835 Road To The Cure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Chief Financial Officer</w:t>
      </w:r>
    </w:p>
    <w:p>
      <w:pPr>
        <w:spacing w:after="0" w:line="200" w:lineRule="exact"/>
        <w:rPr>
          <w:sz w:val="20"/>
          <w:szCs w:val="20"/>
          <w:color w:val="auto"/>
        </w:rPr>
      </w:pPr>
    </w:p>
    <w:p>
      <w:pPr>
        <w:sectPr>
          <w:pgSz w:w="11900" w:h="16838" w:orient="portrait"/>
          <w:cols w:equalWidth="0" w:num="2">
            <w:col w:w="1536" w:space="720"/>
            <w:col w:w="8680"/>
          </w:cols>
          <w:pgMar w:left="704" w:top="273" w:right="259" w:bottom="1440" w:gutter="0" w:footer="0" w:header="0"/>
          <w:type w:val="continuous"/>
        </w:sectPr>
      </w:pPr>
    </w:p>
    <w:p>
      <w:pPr>
        <w:spacing w:after="0" w:line="18" w:lineRule="exact"/>
        <w:rPr>
          <w:sz w:val="20"/>
          <w:szCs w:val="20"/>
          <w:color w:val="auto"/>
        </w:rPr>
      </w:pPr>
    </w:p>
    <w:p>
      <w:pPr>
        <w:ind w:left="456"/>
        <w:spacing w:after="0"/>
        <w:rPr>
          <w:sz w:val="20"/>
          <w:szCs w:val="20"/>
          <w:color w:val="auto"/>
        </w:rPr>
      </w:pPr>
      <w:r>
        <w:rPr>
          <w:rFonts w:ascii="Arial" w:cs="Arial" w:eastAsia="Arial" w:hAnsi="Arial"/>
          <w:sz w:val="18"/>
          <w:szCs w:val="18"/>
          <w:b w:val="1"/>
          <w:bCs w:val="1"/>
          <w:color w:val="auto"/>
        </w:rPr>
        <w:t>RECIPIENT</w:t>
      </w:r>
      <w:r>
        <w:rPr>
          <w:rFonts w:ascii="Arial" w:cs="Arial" w:eastAsia="Arial" w:hAnsi="Arial"/>
          <w:sz w:val="18"/>
          <w:szCs w:val="18"/>
          <w:color w:val="auto"/>
        </w:rPr>
        <w:t>:</w:t>
      </w:r>
    </w:p>
    <w:p>
      <w:pPr>
        <w:sectPr>
          <w:pgSz w:w="11900" w:h="16838" w:orient="portrait"/>
          <w:cols w:equalWidth="0" w:num="1">
            <w:col w:w="10936"/>
          </w:cols>
          <w:pgMar w:left="704" w:top="273" w:right="259" w:bottom="1440" w:gutter="0" w:footer="0" w:header="0"/>
          <w:type w:val="continuous"/>
        </w:sectPr>
      </w:pPr>
    </w:p>
    <w:p>
      <w:pPr>
        <w:spacing w:after="0" w:line="225" w:lineRule="exact"/>
        <w:rPr>
          <w:sz w:val="20"/>
          <w:szCs w:val="20"/>
          <w:color w:val="auto"/>
        </w:rPr>
      </w:pPr>
    </w:p>
    <w:p>
      <w:pPr>
        <w:ind w:left="456"/>
        <w:spacing w:after="0"/>
        <w:rPr>
          <w:sz w:val="20"/>
          <w:szCs w:val="20"/>
          <w:color w:val="auto"/>
        </w:rPr>
      </w:pPr>
      <w:r>
        <w:rPr>
          <w:rFonts w:ascii="Arial" w:cs="Arial" w:eastAsia="Arial" w:hAnsi="Arial"/>
          <w:sz w:val="17"/>
          <w:szCs w:val="17"/>
          <w:b w:val="1"/>
          <w:bCs w:val="1"/>
          <w:color w:val="auto"/>
        </w:rPr>
        <w:t>ESCROW AGENT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10835 Road To The Cure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200" w:lineRule="exact"/>
        <w:rPr>
          <w:sz w:val="20"/>
          <w:szCs w:val="20"/>
          <w:color w:val="auto"/>
        </w:rPr>
      </w:pPr>
    </w:p>
    <w:p>
      <w:pPr>
        <w:sectPr>
          <w:pgSz w:w="11900" w:h="16838" w:orient="portrait"/>
          <w:cols w:equalWidth="0" w:num="2">
            <w:col w:w="1976" w:space="280"/>
            <w:col w:w="8680"/>
          </w:cols>
          <w:pgMar w:left="704" w:top="273" w:right="259" w:bottom="1440" w:gutter="0" w:footer="0" w:header="0"/>
          <w:type w:val="continuous"/>
        </w:sectPr>
      </w:pPr>
    </w:p>
    <w:p>
      <w:pPr>
        <w:spacing w:after="0" w:line="34" w:lineRule="exact"/>
        <w:rPr>
          <w:sz w:val="20"/>
          <w:szCs w:val="20"/>
          <w:color w:val="auto"/>
        </w:rPr>
      </w:pPr>
    </w:p>
    <w:p>
      <w:pPr>
        <w:ind w:left="-464" w:right="140" w:firstLine="464"/>
        <w:spacing w:after="0" w:line="277" w:lineRule="auto"/>
        <w:tabs>
          <w:tab w:leader="none" w:pos="262"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Grant Notice.</w:t>
      </w:r>
    </w:p>
    <w:p>
      <w:pPr>
        <w:spacing w:after="0" w:line="170" w:lineRule="exact"/>
        <w:rPr>
          <w:rFonts w:ascii="Arial" w:cs="Arial" w:eastAsia="Arial" w:hAnsi="Arial"/>
          <w:sz w:val="18"/>
          <w:szCs w:val="18"/>
          <w:b w:val="1"/>
          <w:bCs w:val="1"/>
          <w:color w:val="auto"/>
        </w:rPr>
      </w:pPr>
    </w:p>
    <w:p>
      <w:pPr>
        <w:ind w:left="-464" w:right="80" w:firstLine="464"/>
        <w:spacing w:after="0" w:line="259" w:lineRule="auto"/>
        <w:tabs>
          <w:tab w:leader="none" w:pos="262"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Grant Notice and these Joint Escrow Instructions in whole or in part.</w:t>
      </w:r>
    </w:p>
    <w:p>
      <w:pPr>
        <w:spacing w:after="0" w:line="186" w:lineRule="exact"/>
        <w:rPr>
          <w:rFonts w:ascii="Arial" w:cs="Arial" w:eastAsia="Arial" w:hAnsi="Arial"/>
          <w:sz w:val="18"/>
          <w:szCs w:val="18"/>
          <w:b w:val="1"/>
          <w:bCs w:val="1"/>
          <w:color w:val="auto"/>
        </w:rPr>
      </w:pPr>
    </w:p>
    <w:p>
      <w:pPr>
        <w:ind w:left="-464" w:firstLine="464"/>
        <w:spacing w:after="0" w:line="277" w:lineRule="auto"/>
        <w:tabs>
          <w:tab w:leader="none" w:pos="262"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interpreted and determined in accordance with the laws of the State of Delaware, as such laws are applied by Delaware courts to contracts made and to be performed entirely in Delaware by residents of that state.</w:t>
      </w:r>
    </w:p>
    <w:p>
      <w:pPr>
        <w:sectPr>
          <w:pgSz w:w="11900" w:h="16838" w:orient="portrait"/>
          <w:cols w:equalWidth="0" w:num="1">
            <w:col w:w="10936"/>
          </w:cols>
          <w:pgMar w:left="704" w:top="273" w:right="259" w:bottom="1440" w:gutter="0" w:footer="0" w:header="0"/>
          <w:type w:val="continuous"/>
        </w:sectPr>
      </w:pPr>
    </w:p>
    <w:bookmarkStart w:id="399" w:name="page400"/>
    <w:bookmarkEnd w:id="399"/>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-116205</wp:posOffset>
            </wp:positionV>
            <wp:extent cx="2718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219"/>
          </w:cols>
          <w:pgMar w:left="240" w:top="274" w:right="1440"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AGREEEMENT</w:t>
      </w:r>
    </w:p>
    <w:p>
      <w:pPr>
        <w:spacing w:after="0" w:line="20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is made and entered into effective as of January 1, 2012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Hamza Suria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Executive are hereinafter collectively referred to as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individually referred to as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i w:val="1"/>
          <w:iCs w:val="1"/>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desires to continue to employ Executive and Executive is willing to continue to accept such employment by Company, on the terms and subject to the conditions set forth in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355" w:lineRule="exact"/>
        <w:rPr>
          <w:sz w:val="20"/>
          <w:szCs w:val="20"/>
          <w:color w:val="auto"/>
        </w:rPr>
      </w:pPr>
    </w:p>
    <w:p>
      <w:pPr>
        <w:ind w:left="900" w:hanging="446"/>
        <w:spacing w:after="0"/>
        <w:tabs>
          <w:tab w:leader="none" w:pos="90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17" w:lineRule="exact"/>
        <w:rPr>
          <w:sz w:val="20"/>
          <w:szCs w:val="20"/>
          <w:color w:val="auto"/>
        </w:rPr>
      </w:pPr>
    </w:p>
    <w:p>
      <w:pPr>
        <w:jc w:val="both"/>
        <w:ind w:right="160" w:firstLine="913"/>
        <w:spacing w:after="0" w:line="261" w:lineRule="auto"/>
        <w:rPr>
          <w:sz w:val="20"/>
          <w:szCs w:val="20"/>
          <w:color w:val="auto"/>
        </w:rPr>
      </w:pPr>
      <w:r>
        <w:rPr>
          <w:rFonts w:ascii="Arial" w:cs="Arial" w:eastAsia="Arial" w:hAnsi="Arial"/>
          <w:sz w:val="18"/>
          <w:szCs w:val="18"/>
          <w:b w:val="1"/>
          <w:bCs w:val="1"/>
          <w:color w:val="auto"/>
        </w:rPr>
        <w:t xml:space="preserve">1.1 Title. </w:t>
      </w:r>
      <w:r>
        <w:rPr>
          <w:rFonts w:ascii="Arial" w:cs="Arial" w:eastAsia="Arial" w:hAnsi="Arial"/>
          <w:sz w:val="18"/>
          <w:szCs w:val="18"/>
          <w:color w:val="auto"/>
        </w:rPr>
        <w:t>Effective as of the Effective Date, Executive’s position shall be Chief Executive Officer and President of the Company,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and conditions set forth in this Agreement. Executive shall also serve as a member of the Company’s Board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xml:space="preserve"> for so long as he continues to serve as Chief Executive Officer. At such time as Executive’s service as Chief Executive Officer terminates, he agrees to immediately resign as a member of the Board.</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1.2 Term. </w:t>
      </w:r>
      <w:r>
        <w:rPr>
          <w:rFonts w:ascii="Arial" w:cs="Arial" w:eastAsia="Arial" w:hAnsi="Arial"/>
          <w:sz w:val="16"/>
          <w:szCs w:val="16"/>
          <w:color w:val="auto"/>
        </w:rPr>
        <w:t>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i w:val="1"/>
          <w:iCs w:val="1"/>
          <w:color w:val="auto"/>
        </w:rPr>
        <w:t>”).</w:t>
      </w:r>
    </w:p>
    <w:p>
      <w:pPr>
        <w:spacing w:after="0" w:line="207" w:lineRule="exact"/>
        <w:rPr>
          <w:sz w:val="20"/>
          <w:szCs w:val="20"/>
          <w:color w:val="auto"/>
        </w:rPr>
      </w:pPr>
    </w:p>
    <w:p>
      <w:pPr>
        <w:ind w:right="740" w:firstLine="913"/>
        <w:spacing w:after="0" w:line="347" w:lineRule="auto"/>
        <w:rPr>
          <w:sz w:val="20"/>
          <w:szCs w:val="20"/>
          <w:color w:val="auto"/>
        </w:rPr>
      </w:pPr>
      <w:r>
        <w:rPr>
          <w:rFonts w:ascii="Arial" w:cs="Arial" w:eastAsia="Arial" w:hAnsi="Arial"/>
          <w:sz w:val="16"/>
          <w:szCs w:val="16"/>
          <w:b w:val="1"/>
          <w:bCs w:val="1"/>
          <w:color w:val="auto"/>
        </w:rPr>
        <w:t xml:space="preserve">1.3 Duties. </w:t>
      </w:r>
      <w:r>
        <w:rPr>
          <w:rFonts w:ascii="Arial" w:cs="Arial" w:eastAsia="Arial" w:hAnsi="Arial"/>
          <w:sz w:val="16"/>
          <w:szCs w:val="16"/>
          <w:color w:val="auto"/>
        </w:rPr>
        <w:t>Executive shall do and perform all services, acts or things necessary or advisable to manage and conduct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that are normally associated with the position of Chief Executive Officer and President. Executive shall report to the Board.</w:t>
      </w:r>
    </w:p>
    <w:p>
      <w:pPr>
        <w:spacing w:after="0" w:line="116"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 xml:space="preserve">1.4 Policies and Practices. </w:t>
      </w:r>
      <w:r>
        <w:rPr>
          <w:rFonts w:ascii="Arial" w:cs="Arial" w:eastAsia="Arial" w:hAnsi="Arial"/>
          <w:sz w:val="17"/>
          <w:szCs w:val="17"/>
          <w:color w:val="auto"/>
        </w:rPr>
        <w:t>The employment relationship between the Parties shall be governed by this Agreement and by the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58" w:lineRule="exact"/>
        <w:rPr>
          <w:sz w:val="20"/>
          <w:szCs w:val="20"/>
          <w:color w:val="auto"/>
        </w:rPr>
      </w:pPr>
    </w:p>
    <w:p>
      <w:pPr>
        <w:ind w:right="560" w:firstLine="913"/>
        <w:spacing w:after="0" w:line="313" w:lineRule="auto"/>
        <w:rPr>
          <w:sz w:val="20"/>
          <w:szCs w:val="20"/>
          <w:color w:val="auto"/>
        </w:rPr>
      </w:pPr>
      <w:r>
        <w:rPr>
          <w:rFonts w:ascii="Arial" w:cs="Arial" w:eastAsia="Arial" w:hAnsi="Arial"/>
          <w:sz w:val="17"/>
          <w:szCs w:val="17"/>
          <w:b w:val="1"/>
          <w:bCs w:val="1"/>
          <w:color w:val="auto"/>
        </w:rPr>
        <w:t xml:space="preserve">1.5 Location. </w:t>
      </w:r>
      <w:r>
        <w:rPr>
          <w:rFonts w:ascii="Arial" w:cs="Arial" w:eastAsia="Arial" w:hAnsi="Arial"/>
          <w:sz w:val="17"/>
          <w:szCs w:val="17"/>
          <w:color w:val="auto"/>
        </w:rPr>
        <w:t>Unless the Parties otherwise agree in writing, during the Term Executive shall perform the services Executive is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perform pursuant to this Agreement at the Company’s offices in San Diego, California, </w:t>
      </w:r>
      <w:r>
        <w:rPr>
          <w:rFonts w:ascii="Arial" w:cs="Arial" w:eastAsia="Arial" w:hAnsi="Arial"/>
          <w:sz w:val="17"/>
          <w:szCs w:val="17"/>
          <w:b w:val="1"/>
          <w:bCs w:val="1"/>
          <w:i w:val="1"/>
          <w:iCs w:val="1"/>
          <w:color w:val="auto"/>
        </w:rPr>
        <w:t>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Company may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time to time require Executive to travel temporarily to other locations in connection with the Company’s business.</w:t>
      </w:r>
    </w:p>
    <w:p>
      <w:pPr>
        <w:spacing w:after="0" w:line="370" w:lineRule="exact"/>
        <w:rPr>
          <w:sz w:val="20"/>
          <w:szCs w:val="20"/>
          <w:color w:val="auto"/>
        </w:rPr>
      </w:pPr>
    </w:p>
    <w:p>
      <w:pPr>
        <w:ind w:left="900" w:hanging="446"/>
        <w:spacing w:after="0"/>
        <w:tabs>
          <w:tab w:leader="none" w:pos="90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LOYALTY; NONCOMPETITION; NONSOLICITATION.</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2.1 Loyalty. </w:t>
      </w:r>
      <w:r>
        <w:rPr>
          <w:rFonts w:ascii="Arial" w:cs="Arial" w:eastAsia="Arial" w:hAnsi="Arial"/>
          <w:sz w:val="18"/>
          <w:szCs w:val="18"/>
          <w:color w:val="auto"/>
        </w:rPr>
        <w:t>During Executive’s employment with the Company, Executive shall devote Executive’s full business energies, interest, abilities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 time to the proper and efficient performance of Executive’s duties under this Agreement.</w:t>
      </w:r>
    </w:p>
    <w:p>
      <w:pPr>
        <w:spacing w:after="0" w:line="16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color w:val="auto"/>
        </w:rPr>
        <w:t xml:space="preserve">2.2 Agreement not to participate in Company’s Competitors. </w:t>
      </w:r>
      <w:r>
        <w:rPr>
          <w:rFonts w:ascii="Arial" w:cs="Arial" w:eastAsia="Arial" w:hAnsi="Arial"/>
          <w:sz w:val="16"/>
          <w:szCs w:val="16"/>
          <w:color w:val="auto"/>
        </w:rPr>
        <w:t>During Executive’s employment with the Company, Executive agrees not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acquire, assume or participate in, directly or indirectly, any position, investment or interest known by Executive to be adverse or antagonistic to the Company, its business, or prospects, financial or otherwise, or in any company, person, or entity that is, directly or indirectly, in competition with the business of the Company or any of its Affiliates (as defined below). Ownership by Executive, in professionally managed funds over which Executive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i w:val="1"/>
          <w:iCs w:val="1"/>
          <w:color w:val="auto"/>
        </w:rPr>
        <w:t>,”</w:t>
      </w:r>
      <w:r>
        <w:rPr>
          <w:rFonts w:ascii="Arial" w:cs="Arial" w:eastAsia="Arial" w:hAnsi="Arial"/>
          <w:sz w:val="16"/>
          <w:szCs w:val="16"/>
          <w:color w:val="auto"/>
        </w:rPr>
        <w:t xml:space="preserve"> means, with respect to any specific entity, any other entity that, directly or indirectly, through one or more intermediaries, controls, is controlled by or is under common control with such specified entity.</w:t>
      </w:r>
    </w:p>
    <w:p>
      <w:pPr>
        <w:spacing w:after="0" w:line="16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2.3 Covenant not to Compete. </w:t>
      </w:r>
      <w:r>
        <w:rPr>
          <w:rFonts w:ascii="Arial" w:cs="Arial" w:eastAsia="Arial" w:hAnsi="Arial"/>
          <w:sz w:val="17"/>
          <w:szCs w:val="17"/>
          <w:color w:val="auto"/>
        </w:rPr>
        <w:t>During Executive’s employment with the Company, and during any post-termination period in which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is receiving severance benefits in accordance with Section 4.5 of this Agreement (the “Non-Compete Period”), Executive shall not engage in competition with the Company and/or any of its Affiliates in any manner or capacity, as adviser, principal, agent, affiliate, promoter, partner, officer, director, employee, stockholder, owner, co-owner, consultant, in any phase of the business of developing, manufacturing and marketing of products or services that directly compete with the products or services of the Company, except with the prior written consent of the Board. Executive shall be entitled to request written consent of the Board with respect to potential advisory and/or director opportunities presented to Executive by a third party, which Executive believes in good faith will not interfere or compete with the on-going business of the Company, during the Non-Compete Period.</w:t>
      </w:r>
    </w:p>
    <w:p>
      <w:pPr>
        <w:spacing w:after="0" w:line="321" w:lineRule="exact"/>
        <w:rPr>
          <w:sz w:val="20"/>
          <w:szCs w:val="20"/>
          <w:color w:val="auto"/>
        </w:rPr>
      </w:pPr>
    </w:p>
    <w:p>
      <w:pPr>
        <w:ind w:left="900" w:hanging="446"/>
        <w:spacing w:after="0"/>
        <w:tabs>
          <w:tab w:leader="none" w:pos="90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EXECUTIVE.</w:t>
      </w:r>
    </w:p>
    <w:p>
      <w:pPr>
        <w:spacing w:after="0" w:line="117"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3.1 Base Salary. </w:t>
      </w:r>
      <w:r>
        <w:rPr>
          <w:rFonts w:ascii="Arial" w:cs="Arial" w:eastAsia="Arial" w:hAnsi="Arial"/>
          <w:sz w:val="18"/>
          <w:szCs w:val="18"/>
          <w:color w:val="auto"/>
        </w:rPr>
        <w:t>The Company shall pay Executive a base salary at the annualized rate of $285,000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less payroll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required withholdings, payable in regular periodic installments in accordance with the Company’s normal payroll practices. The Base Salary shall be prorated for any partial year of employment on the basis of a 365-day fiscal year.</w:t>
      </w:r>
    </w:p>
    <w:p>
      <w:pPr>
        <w:spacing w:after="0" w:line="176"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b w:val="1"/>
          <w:bCs w:val="1"/>
          <w:color w:val="auto"/>
        </w:rPr>
        <w:t xml:space="preserve">3.2 Discretionary Bonus. </w:t>
      </w:r>
      <w:r>
        <w:rPr>
          <w:rFonts w:ascii="Arial" w:cs="Arial" w:eastAsia="Arial" w:hAnsi="Arial"/>
          <w:sz w:val="18"/>
          <w:szCs w:val="18"/>
          <w:color w:val="auto"/>
        </w:rPr>
        <w:t>At the sole discretion of the Board, promptly following each calendar year of employment Executive shall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receive a discretionary cash bonus of up to 25% of Executive’s then-current base salary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Executive’s achievement relative to certain performance goals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w:t>
      </w:r>
      <w:r>
        <w:rPr>
          <w:rFonts w:ascii="Arial" w:cs="Arial" w:eastAsia="Arial" w:hAnsi="Arial"/>
          <w:sz w:val="18"/>
          <w:szCs w:val="18"/>
          <w:color w:val="auto"/>
        </w:rPr>
        <w:t xml:space="preserve"> to be established by the Board in a manner reasonably consistent with the Company’s priorities. The determination of whether Executive has met the Performance Goals for any given year, and if so, the amount of any Bonus that will be paid for such year (if any), shall be determined by the Board in its sole and absolute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02" w:name="page403"/>
    <w:bookmarkEnd w:id="40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In order to be eligible to earn or receive any Bonus, Executive must remain employed by the Company through and including the date of payment of such Bonus.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3.3 Stock Options.</w:t>
      </w:r>
    </w:p>
    <w:p>
      <w:pPr>
        <w:spacing w:after="0" w:line="117"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b w:val="1"/>
          <w:bCs w:val="1"/>
          <w:color w:val="auto"/>
        </w:rPr>
        <w:t xml:space="preserve">3.3.l Time Vesting Option Grant. </w:t>
      </w:r>
      <w:r>
        <w:rPr>
          <w:rFonts w:ascii="Arial" w:cs="Arial" w:eastAsia="Arial" w:hAnsi="Arial"/>
          <w:sz w:val="16"/>
          <w:szCs w:val="16"/>
          <w:color w:val="auto"/>
        </w:rPr>
        <w:t>As soon as practicable following the Effective Date, Executive will be granted an option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 to 1,499,684 shares of the Company’s Common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Base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Company’s 2006 Equity Incentive Plan, as amended from time to time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which Base Option, together with options to purchase up to 210,457 shares of Common Stock previously granted pursuant to the Plan to Executive, represents a number of shares of Common Stock equal to approximately 2.5% of the fully-diluted capitalization of the Company as of the Effective Date. For purposes of this Section 3.3,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fully-diluted capitalization of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means (1) all issued and outstanding equity securities of the Company , (2) all shares issuable upon the conversion , exercise, or exchange of any outstanding options, warrants, or other convertible or exchangeable securities of the Company and (3) all shares reserved for future issuance pursuant to the Plan. The Base Option shall be subject to vesting such that, subject to Executive’s continued employment with the Company, 1/4 of the shares subject to the Base Option shall vest as of the first anniversary of the Effective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 For clarity, any and all preferred shares of the Company purchased by Executive, prior to or following the Effective Date, are not included in the aforementioned consideration due to Executive.</w:t>
      </w:r>
    </w:p>
    <w:p>
      <w:pPr>
        <w:spacing w:after="0" w:line="165" w:lineRule="exact"/>
        <w:rPr>
          <w:sz w:val="20"/>
          <w:szCs w:val="20"/>
          <w:color w:val="auto"/>
        </w:rPr>
      </w:pPr>
    </w:p>
    <w:p>
      <w:pPr>
        <w:ind w:firstLine="1484"/>
        <w:spacing w:after="0" w:line="292" w:lineRule="auto"/>
        <w:rPr>
          <w:sz w:val="20"/>
          <w:szCs w:val="20"/>
          <w:color w:val="auto"/>
        </w:rPr>
      </w:pPr>
      <w:r>
        <w:rPr>
          <w:rFonts w:ascii="Arial" w:cs="Arial" w:eastAsia="Arial" w:hAnsi="Arial"/>
          <w:sz w:val="16"/>
          <w:szCs w:val="16"/>
          <w:b w:val="1"/>
          <w:bCs w:val="1"/>
          <w:color w:val="auto"/>
        </w:rPr>
        <w:t xml:space="preserve">3.3.2 Performance Option Grant. </w:t>
      </w:r>
      <w:r>
        <w:rPr>
          <w:rFonts w:ascii="Arial" w:cs="Arial" w:eastAsia="Arial" w:hAnsi="Arial"/>
          <w:sz w:val="16"/>
          <w:szCs w:val="16"/>
          <w:color w:val="auto"/>
        </w:rPr>
        <w:t>In addition to the grant set forth in Section 3.3.1 above, as soon as practicable following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Executive shall be granted an option to purchase up to 684,056 shares of the Company’s Common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Plan, which represents a number of shares of Common Stock equal to approximately 1% of the fully-diluted capitalization of the Company as of the Effective Date. 100% of the shares subject to the Performance Option shall vest upon the closing, during Executive’s employment, of a Change in Control (as defined in the Plan) that is approved by the Board. The exercise price per share of the Performance Option will be equal to the fair market value of a single share of Common Stock on the date the Performance Option is granted, as determined in good faith by the Board. The Performance Option will be governed by the Plan and shall be granted pursuant to a separate stock option grant notice and stock option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403" w:name="page404"/>
    <w:bookmarkEnd w:id="403"/>
    <w:p>
      <w:pPr>
        <w:ind w:right="100" w:firstLine="913"/>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Expense Reimbursements. </w:t>
      </w:r>
      <w:r>
        <w:rPr>
          <w:rFonts w:ascii="Arial" w:cs="Arial" w:eastAsia="Arial" w:hAnsi="Arial"/>
          <w:sz w:val="17"/>
          <w:szCs w:val="17"/>
          <w:color w:val="auto"/>
        </w:rPr>
        <w:t>The Company will reimburse Executive for all reasonable business expenses Executive incurs in conducting his</w:t>
      </w:r>
      <w:r>
        <w:rPr>
          <w:rFonts w:ascii="Arial" w:cs="Arial" w:eastAsia="Arial" w:hAnsi="Arial"/>
          <w:sz w:val="17"/>
          <w:szCs w:val="17"/>
          <w:b w:val="1"/>
          <w:bCs w:val="1"/>
          <w:color w:val="auto"/>
        </w:rPr>
        <w:t xml:space="preserve"> </w:t>
      </w:r>
      <w:r>
        <w:rPr>
          <w:rFonts w:ascii="Arial" w:cs="Arial" w:eastAsia="Arial" w:hAnsi="Arial"/>
          <w:sz w:val="17"/>
          <w:szCs w:val="17"/>
          <w:color w:val="auto"/>
        </w:rPr>
        <w:t>duties hereunder, pursuant to the Company’s usual expense reimbursement policies; provided that Executive supplies the appropriate substantiation for such expenses no later than the end of the calendar month following the month in which such expenses were incurred by Executive. Executive shall keep the Chairman of the Board (or equivalent) appraised of business expenses reimbursed by the Company to the Executive.</w:t>
      </w:r>
    </w:p>
    <w:p>
      <w:pPr>
        <w:spacing w:after="0" w:line="165" w:lineRule="exact"/>
        <w:rPr>
          <w:sz w:val="20"/>
          <w:szCs w:val="20"/>
          <w:color w:val="auto"/>
        </w:rPr>
      </w:pPr>
    </w:p>
    <w:p>
      <w:pPr>
        <w:ind w:right="200" w:firstLine="913"/>
        <w:spacing w:after="0" w:line="314" w:lineRule="auto"/>
        <w:rPr>
          <w:sz w:val="20"/>
          <w:szCs w:val="20"/>
          <w:color w:val="auto"/>
        </w:rPr>
      </w:pPr>
      <w:r>
        <w:rPr>
          <w:rFonts w:ascii="Arial" w:cs="Arial" w:eastAsia="Arial" w:hAnsi="Arial"/>
          <w:sz w:val="16"/>
          <w:szCs w:val="16"/>
          <w:b w:val="1"/>
          <w:bCs w:val="1"/>
          <w:color w:val="auto"/>
        </w:rPr>
        <w:t xml:space="preserve">3.5 Changes to Compensation. </w:t>
      </w:r>
      <w:r>
        <w:rPr>
          <w:rFonts w:ascii="Arial" w:cs="Arial" w:eastAsia="Arial" w:hAnsi="Arial"/>
          <w:sz w:val="16"/>
          <w:szCs w:val="16"/>
          <w:color w:val="auto"/>
        </w:rPr>
        <w:t>Executive’s compensation will be reviewed annually and may be changed from time to time in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In particular, the parties agree to consider, as of the first anniversary of the Effective Date, increasing the Severance Payments (as defined under Section 4.5.3) due to Executive under Section 4.5, provided that any such increase shall be at the sole discretion of the Board.</w:t>
      </w:r>
    </w:p>
    <w:p>
      <w:pPr>
        <w:spacing w:after="0" w:line="14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3.6 Employment Taxes. </w:t>
      </w:r>
      <w:r>
        <w:rPr>
          <w:rFonts w:ascii="Arial" w:cs="Arial" w:eastAsia="Arial" w:hAnsi="Arial"/>
          <w:sz w:val="18"/>
          <w:szCs w:val="18"/>
          <w:color w:val="auto"/>
        </w:rPr>
        <w:t>All of Executive’s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162"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b w:val="1"/>
          <w:bCs w:val="1"/>
          <w:color w:val="auto"/>
        </w:rPr>
        <w:t xml:space="preserve">3.7 Benefits. </w:t>
      </w:r>
      <w:r>
        <w:rPr>
          <w:rFonts w:ascii="Arial" w:cs="Arial" w:eastAsia="Arial" w:hAnsi="Arial"/>
          <w:sz w:val="16"/>
          <w:szCs w:val="16"/>
          <w:color w:val="auto"/>
        </w:rPr>
        <w:t>Executive shall, in accordance with Company policy and the terms of the applicable plan documents, be eligible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any benefit plan or arrangement that may be in effect from time to time and made available to the Company’s senior management employees.</w:t>
      </w:r>
    </w:p>
    <w:p>
      <w:pPr>
        <w:spacing w:after="0" w:line="116"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3.8 Holidays and Vacation. </w:t>
      </w:r>
      <w:r>
        <w:rPr>
          <w:rFonts w:ascii="Arial" w:cs="Arial" w:eastAsia="Arial" w:hAnsi="Arial"/>
          <w:sz w:val="18"/>
          <w:szCs w:val="18"/>
          <w:color w:val="auto"/>
        </w:rPr>
        <w:t>Executive shall be eligible for paid holiday and vacation time in accordance with Company policy as in effect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310" w:lineRule="exact"/>
        <w:rPr>
          <w:sz w:val="20"/>
          <w:szCs w:val="20"/>
          <w:color w:val="auto"/>
        </w:rPr>
      </w:pPr>
    </w:p>
    <w:p>
      <w:pPr>
        <w:ind w:left="900" w:hanging="446"/>
        <w:spacing w:after="0"/>
        <w:tabs>
          <w:tab w:leader="none" w:pos="90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4.1 Termination by the Company. </w:t>
      </w:r>
      <w:r>
        <w:rPr>
          <w:rFonts w:ascii="Arial" w:cs="Arial" w:eastAsia="Arial" w:hAnsi="Arial"/>
          <w:sz w:val="18"/>
          <w:szCs w:val="18"/>
          <w:color w:val="auto"/>
        </w:rPr>
        <w:t>Executive’s employment with the Company is at will and may be terminated by the Company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any reason, or for no reason, including, but not limited to, under the following conditions:</w:t>
      </w:r>
    </w:p>
    <w:p>
      <w:pPr>
        <w:spacing w:after="0" w:line="162" w:lineRule="exact"/>
        <w:rPr>
          <w:sz w:val="20"/>
          <w:szCs w:val="20"/>
          <w:color w:val="auto"/>
        </w:rPr>
      </w:pPr>
    </w:p>
    <w:p>
      <w:pPr>
        <w:ind w:right="180" w:firstLine="1484"/>
        <w:spacing w:after="0" w:line="266" w:lineRule="auto"/>
        <w:rPr>
          <w:sz w:val="20"/>
          <w:szCs w:val="20"/>
          <w:color w:val="auto"/>
        </w:rPr>
      </w:pPr>
      <w:r>
        <w:rPr>
          <w:rFonts w:ascii="Arial" w:cs="Arial" w:eastAsia="Arial" w:hAnsi="Arial"/>
          <w:sz w:val="18"/>
          <w:szCs w:val="18"/>
          <w:b w:val="1"/>
          <w:bCs w:val="1"/>
          <w:color w:val="auto"/>
        </w:rPr>
        <w:t xml:space="preserve">4.1.1 Termination by the Company for Cause. </w:t>
      </w:r>
      <w:r>
        <w:rPr>
          <w:rFonts w:ascii="Arial" w:cs="Arial" w:eastAsia="Arial" w:hAnsi="Arial"/>
          <w:sz w:val="18"/>
          <w:szCs w:val="18"/>
          <w:color w:val="auto"/>
        </w:rPr>
        <w:t>The Company may terminate Executive’s employment under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(as defined below) by delivery of written notice to Executive. Any notice of termination given pursuant to this section shall effect termination as of the date of the notice, or as of such other date specified in the notice.</w:t>
      </w:r>
    </w:p>
    <w:p>
      <w:pPr>
        <w:spacing w:after="0" w:line="176" w:lineRule="exact"/>
        <w:rPr>
          <w:sz w:val="20"/>
          <w:szCs w:val="20"/>
          <w:color w:val="auto"/>
        </w:rPr>
      </w:pPr>
    </w:p>
    <w:p>
      <w:pPr>
        <w:jc w:val="both"/>
        <w:ind w:right="460" w:firstLine="1484"/>
        <w:spacing w:after="0" w:line="266" w:lineRule="auto"/>
        <w:rPr>
          <w:sz w:val="20"/>
          <w:szCs w:val="20"/>
          <w:color w:val="auto"/>
        </w:rPr>
      </w:pPr>
      <w:r>
        <w:rPr>
          <w:rFonts w:ascii="Arial" w:cs="Arial" w:eastAsia="Arial" w:hAnsi="Arial"/>
          <w:sz w:val="18"/>
          <w:szCs w:val="18"/>
          <w:b w:val="1"/>
          <w:bCs w:val="1"/>
          <w:color w:val="auto"/>
        </w:rPr>
        <w:t xml:space="preserve">4.1.2 Termination by the Company without Cause. </w:t>
      </w:r>
      <w:r>
        <w:rPr>
          <w:rFonts w:ascii="Arial" w:cs="Arial" w:eastAsia="Arial" w:hAnsi="Arial"/>
          <w:sz w:val="18"/>
          <w:szCs w:val="18"/>
          <w:color w:val="auto"/>
        </w:rPr>
        <w:t>The Company may terminate Executive’s employment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Cause at any time and for any reason, or for no reason. Such termination shall be effective on the date Executive is so informed, or as otherwise specified by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404" w:name="page405"/>
    <w:bookmarkEnd w:id="404"/>
    <w:p>
      <w:pPr>
        <w:ind w:right="24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Termination by Executive. </w:t>
      </w:r>
      <w:r>
        <w:rPr>
          <w:rFonts w:ascii="Arial" w:cs="Arial" w:eastAsia="Arial" w:hAnsi="Arial"/>
          <w:sz w:val="18"/>
          <w:szCs w:val="18"/>
          <w:color w:val="auto"/>
        </w:rPr>
        <w:t>Executive may terminate his employment with the Company at any time and for any reason, or for no reason,</w:t>
      </w:r>
      <w:r>
        <w:rPr>
          <w:rFonts w:ascii="Arial" w:cs="Arial" w:eastAsia="Arial" w:hAnsi="Arial"/>
          <w:sz w:val="18"/>
          <w:szCs w:val="18"/>
          <w:b w:val="1"/>
          <w:bCs w:val="1"/>
          <w:color w:val="auto"/>
        </w:rPr>
        <w:t xml:space="preserve"> </w:t>
      </w:r>
      <w:r>
        <w:rPr>
          <w:rFonts w:ascii="Arial" w:cs="Arial" w:eastAsia="Arial" w:hAnsi="Arial"/>
          <w:sz w:val="18"/>
          <w:szCs w:val="18"/>
          <w:color w:val="auto"/>
        </w:rPr>
        <w:t>upon thirty (30) days written notice to the Company.</w:t>
      </w:r>
    </w:p>
    <w:p>
      <w:pPr>
        <w:spacing w:after="0" w:line="162"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4.3 Termination for Death or Disability. </w:t>
      </w:r>
      <w:r>
        <w:rPr>
          <w:rFonts w:ascii="Arial" w:cs="Arial" w:eastAsia="Arial" w:hAnsi="Arial"/>
          <w:sz w:val="18"/>
          <w:szCs w:val="18"/>
          <w:color w:val="auto"/>
        </w:rPr>
        <w:t>Executive’s employment with the Company shall automatically terminate effective upon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death or Disability (as defined in the Plan).</w:t>
      </w:r>
    </w:p>
    <w:p>
      <w:pPr>
        <w:spacing w:after="0" w:line="162" w:lineRule="exact"/>
        <w:rPr>
          <w:sz w:val="20"/>
          <w:szCs w:val="20"/>
          <w:color w:val="auto"/>
        </w:rPr>
      </w:pPr>
    </w:p>
    <w:p>
      <w:pPr>
        <w:ind w:right="420" w:firstLine="913"/>
        <w:spacing w:after="0" w:line="347" w:lineRule="auto"/>
        <w:rPr>
          <w:sz w:val="20"/>
          <w:szCs w:val="20"/>
          <w:color w:val="auto"/>
        </w:rPr>
      </w:pPr>
      <w:r>
        <w:rPr>
          <w:rFonts w:ascii="Arial" w:cs="Arial" w:eastAsia="Arial" w:hAnsi="Arial"/>
          <w:sz w:val="16"/>
          <w:szCs w:val="16"/>
          <w:b w:val="1"/>
          <w:bCs w:val="1"/>
          <w:color w:val="auto"/>
        </w:rPr>
        <w:t xml:space="preserve">4.4 Termination by Mutual Agreement of the Parties. </w:t>
      </w:r>
      <w:r>
        <w:rPr>
          <w:rFonts w:ascii="Arial" w:cs="Arial" w:eastAsia="Arial" w:hAnsi="Arial"/>
          <w:sz w:val="16"/>
          <w:szCs w:val="16"/>
          <w:color w:val="auto"/>
        </w:rPr>
        <w:t>Executive’s employment with the Company may be terminated at any time upon a</w:t>
      </w:r>
      <w:r>
        <w:rPr>
          <w:rFonts w:ascii="Arial" w:cs="Arial" w:eastAsia="Arial" w:hAnsi="Arial"/>
          <w:sz w:val="16"/>
          <w:szCs w:val="16"/>
          <w:b w:val="1"/>
          <w:bCs w:val="1"/>
          <w:color w:val="auto"/>
        </w:rPr>
        <w:t xml:space="preserve"> </w:t>
      </w:r>
      <w:r>
        <w:rPr>
          <w:rFonts w:ascii="Arial" w:cs="Arial" w:eastAsia="Arial" w:hAnsi="Arial"/>
          <w:sz w:val="16"/>
          <w:szCs w:val="16"/>
          <w:color w:val="auto"/>
        </w:rPr>
        <w:t>mutual agreement in writing of the Parties. Any such termination of employment shall have the consequences specified in such agreement.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p>
    <w:p>
      <w:pPr>
        <w:spacing w:after="0" w:line="117" w:lineRule="exact"/>
        <w:rPr>
          <w:sz w:val="20"/>
          <w:szCs w:val="20"/>
          <w:color w:val="auto"/>
        </w:rPr>
      </w:pPr>
    </w:p>
    <w:p>
      <w:pPr>
        <w:ind w:firstLine="1484"/>
        <w:spacing w:after="0" w:line="261" w:lineRule="auto"/>
        <w:rPr>
          <w:sz w:val="20"/>
          <w:szCs w:val="20"/>
          <w:color w:val="auto"/>
        </w:rPr>
      </w:pPr>
      <w:r>
        <w:rPr>
          <w:rFonts w:ascii="Arial" w:cs="Arial" w:eastAsia="Arial" w:hAnsi="Arial"/>
          <w:sz w:val="18"/>
          <w:szCs w:val="18"/>
          <w:b w:val="1"/>
          <w:bCs w:val="1"/>
          <w:color w:val="auto"/>
        </w:rPr>
        <w:t xml:space="preserve">4.5.1 Death or Disability. </w:t>
      </w:r>
      <w:r>
        <w:rPr>
          <w:rFonts w:ascii="Arial" w:cs="Arial" w:eastAsia="Arial" w:hAnsi="Arial"/>
          <w:sz w:val="18"/>
          <w:szCs w:val="18"/>
          <w:color w:val="auto"/>
        </w:rPr>
        <w:t>If Executive’s employment is terminated by Death or Disability, the Company shall pay to Executive, or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heirs, Executive’s base salary and accrued and unused vacation benefits earned through the date of termination at the rate in effect at the time of termination, less standard deductions and withholdings. The Company shall thereafter have no further obligations to Executive and/or Executive’s heirs under this Agreement, except as otherwise provided by law.</w:t>
      </w:r>
    </w:p>
    <w:p>
      <w:pPr>
        <w:spacing w:after="0" w:line="180" w:lineRule="exact"/>
        <w:rPr>
          <w:sz w:val="20"/>
          <w:szCs w:val="20"/>
          <w:color w:val="auto"/>
        </w:rPr>
      </w:pPr>
    </w:p>
    <w:p>
      <w:pPr>
        <w:ind w:right="180" w:firstLine="1484"/>
        <w:spacing w:after="0" w:line="261" w:lineRule="auto"/>
        <w:rPr>
          <w:sz w:val="20"/>
          <w:szCs w:val="20"/>
          <w:color w:val="auto"/>
        </w:rPr>
      </w:pPr>
      <w:r>
        <w:rPr>
          <w:rFonts w:ascii="Arial" w:cs="Arial" w:eastAsia="Arial" w:hAnsi="Arial"/>
          <w:sz w:val="18"/>
          <w:szCs w:val="18"/>
          <w:b w:val="1"/>
          <w:bCs w:val="1"/>
          <w:color w:val="auto"/>
        </w:rPr>
        <w:t>4.5.2 Termination for Cause</w:t>
      </w:r>
      <w:r>
        <w:rPr>
          <w:rFonts w:ascii="Arial" w:cs="Arial" w:eastAsia="Arial" w:hAnsi="Arial"/>
          <w:sz w:val="18"/>
          <w:szCs w:val="18"/>
          <w:color w:val="auto"/>
        </w:rPr>
        <w:t>. If the Company terminates Executive’s employment for Cause, and then the Company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and accrued and unused vacation benefits earned through the date of termination, at the rate in effect at the time of termination, less standard deductions and withholdings. The Company shall thereafter have no further obligations to Executive under this Agreement, except as otherwise provided by law.</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 xml:space="preserve">4.5.3 Termination by Company without Cause or by Executive for Good Reason Not In Connection with a Change in Control. </w:t>
      </w:r>
      <w:r>
        <w:rPr>
          <w:rFonts w:ascii="Arial" w:cs="Arial" w:eastAsia="Arial" w:hAnsi="Arial"/>
          <w:sz w:val="16"/>
          <w:szCs w:val="16"/>
          <w:color w:val="auto"/>
        </w:rPr>
        <w:t>If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terminates Executive’s employment without Cause or if Executive resigns his employment for Good Reason, in either case at any time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upon the occurrence of, or within the 13 months immediately following, the effective date of a Change in Control, the Company shall pay Executive’s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salary and accrued and unused vacation benefits earned through the date of termination, at the rate in effect at the time of termination, less standard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deductions and withholdings. In addition, if Executive furnishes to the Company an executed waiver and release of claims in the form attached hereto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A </w:t>
      </w:r>
      <w:r>
        <w:rPr>
          <w:rFonts w:ascii="Arial" w:cs="Arial" w:eastAsia="Arial" w:hAnsi="Arial"/>
          <w:sz w:val="16"/>
          <w:szCs w:val="16"/>
          <w:color w:val="auto"/>
        </w:rPr>
        <w:t>(or in such other form as may be specified by the Company)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time period specified therein, but in no event later than 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following Executive’s termination, and if Executive allows such Release to become effective in accordance with its terms, then (i) Executive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entitled to severance in the form of continuation of his base salary, at the base salary rate in effect at the time of termination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Severance Payments</w:t>
      </w:r>
      <w:r>
        <w:rPr>
          <w:rFonts w:ascii="Arial" w:cs="Arial" w:eastAsia="Arial" w:hAnsi="Arial"/>
          <w:sz w:val="16"/>
          <w:szCs w:val="16"/>
          <w:i w:val="1"/>
          <w:iCs w:val="1"/>
          <w:color w:val="auto"/>
        </w:rPr>
        <w:t>”),</w:t>
      </w:r>
      <w:r>
        <w:rPr>
          <w:rFonts w:ascii="Arial" w:cs="Arial" w:eastAsia="Arial" w:hAnsi="Arial"/>
          <w:sz w:val="16"/>
          <w:szCs w:val="16"/>
          <w:color w:val="auto"/>
        </w:rPr>
        <w:t xml:space="preserv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period of six months following the termination date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Severance Period</w:t>
      </w:r>
      <w:r>
        <w:rPr>
          <w:rFonts w:ascii="Arial" w:cs="Arial" w:eastAsia="Arial" w:hAnsi="Arial"/>
          <w:sz w:val="17"/>
          <w:szCs w:val="17"/>
          <w:i w:val="1"/>
          <w:iCs w:val="1"/>
          <w:color w:val="auto"/>
        </w:rPr>
        <w:t>” ),</w:t>
      </w:r>
      <w:r>
        <w:rPr>
          <w:rFonts w:ascii="Arial" w:cs="Arial" w:eastAsia="Arial" w:hAnsi="Arial"/>
          <w:sz w:val="17"/>
          <w:szCs w:val="17"/>
          <w:color w:val="auto"/>
        </w:rPr>
        <w:t xml:space="preserve"> and (ii) pay directly to the insurance provider the premium for COBRA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continuation coverage for Executive and Executive’s family during the Severance Period or until he obtains new employment, whichever comes first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COBRA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The Severance Payments will be subject to standard payroll deductions and withholdings and will be made on the Company’s regular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payroll cycle, provided, however, that any Severance Payments otherwise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405" w:name="page406"/>
    <w:bookmarkEnd w:id="405"/>
    <w:p>
      <w:pPr>
        <w:ind w:right="6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Scheduled to be made prior to the effective date of the Release shall accrue and be paid in the first payroll period that follows such effective date. The Company shall thereafter have no further obligations to Executive under this Agreement, except as otherwise provided by law.</w:t>
      </w:r>
    </w:p>
    <w:p>
      <w:pPr>
        <w:spacing w:after="0" w:line="14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b w:val="1"/>
          <w:bCs w:val="1"/>
          <w:color w:val="auto"/>
        </w:rPr>
        <w:t xml:space="preserve">4.5.4 Termination by Company Without Cause or by Executive for Good Reason In Connection with a Change in Control. </w:t>
      </w:r>
      <w:r>
        <w:rPr>
          <w:rFonts w:ascii="Arial" w:cs="Arial" w:eastAsia="Arial" w:hAnsi="Arial"/>
          <w:sz w:val="16"/>
          <w:szCs w:val="16"/>
          <w:color w:val="auto"/>
        </w:rPr>
        <w:t>If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Executive’s employment without Cause or if Executive resigns his employment for Good Reason, in either case upon the occurrence of, or within the 13 months immediately following, the effective date of a Change in Control, the Company shall pay Executive’s base salary and accrued and unused vacation benefits earned through the date of termination, at the rate in effect at the time of termination, less standard deductions and withholdings. In addition, if Executive furnishes to the Company an executed Release within the time period specified therein, but in no event later than 45 days following Executive’s termination, and if Executive allows such Release to become effective in accordance with its terms, then Executive shall be entitled to: (1) the Severance Payments and COBRA coverage described in Section 4.5.3 above; and (2) accelerated vesting of any unvested shares subject to the Base Option such that Executive shall become vested in 100% of the shares subject to such Base Option on the effective date of the Release. The Company shall thereafter have no further obligations to Executive under this Agreement, except as otherwise provided by law.</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4.6 Definitions. </w:t>
      </w: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b w:val="1"/>
          <w:bCs w:val="1"/>
          <w:color w:val="auto"/>
        </w:rPr>
        <w:t xml:space="preserve">4.6.1 Cause.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occurrence of any one or more of the following: (i) Executive’s commission of any crime involving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action or conduct described in clauses (iii) and (iv) above will constitute “Cause” only if such action or conduct continues after the Company has provided Executive with written notice thereof and thirty (30) days to cure, or otherwise remedy to the extent possible under direct control of the Executive, the same. An occurrence of “Cause” as set forth in the preceding sentence shall be based upon a good faith determination by the Board. Executive’s Disability shall not constitute Cause as set forth herein. The determination that a termination is for Cause shall be by the Board in its sole and exclusive judgment and discretion.</w:t>
      </w:r>
    </w:p>
    <w:p>
      <w:pPr>
        <w:spacing w:after="0" w:line="178" w:lineRule="exact"/>
        <w:rPr>
          <w:sz w:val="20"/>
          <w:szCs w:val="20"/>
          <w:color w:val="auto"/>
        </w:rPr>
      </w:pPr>
    </w:p>
    <w:p>
      <w:pPr>
        <w:ind w:right="60" w:firstLine="1484"/>
        <w:spacing w:after="0" w:line="258" w:lineRule="auto"/>
        <w:rPr>
          <w:sz w:val="20"/>
          <w:szCs w:val="20"/>
          <w:color w:val="auto"/>
        </w:rPr>
      </w:pPr>
      <w:r>
        <w:rPr>
          <w:rFonts w:ascii="Arial" w:cs="Arial" w:eastAsia="Arial" w:hAnsi="Arial"/>
          <w:sz w:val="18"/>
          <w:szCs w:val="18"/>
          <w:b w:val="1"/>
          <w:bCs w:val="1"/>
          <w:color w:val="auto"/>
        </w:rPr>
        <w:t xml:space="preserve">4.6.2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of the following actions: (i) the assignment to Executive of any duties or responsibilities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results in a material diminution in Executive’s function as in effect immediately prior to the effective date of the Change in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change in Executive’s title or reporting relationships shall not provide the basis for a voluntary termination with Good Reason; (ii) a reduction by the Company in Executive’s annual base salary as in effect on the effective date of the Change in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Good Reason shall not be deemed to have occurred in the event of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06" w:name="page407"/>
    <w:bookmarkEnd w:id="40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Survival of Certain Sections. Sections 2, 3.4 and 4 through 18 of this Agreement will survive the termination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4.8 Parachute Payment. </w:t>
      </w:r>
      <w:r>
        <w:rPr>
          <w:rFonts w:ascii="Arial" w:cs="Arial" w:eastAsia="Arial" w:hAnsi="Arial"/>
          <w:sz w:val="17"/>
          <w:szCs w:val="17"/>
          <w:color w:val="auto"/>
        </w:rPr>
        <w:t>If any payment or benefit Executive would receive pursuant to this Agreement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Payment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280G of the Internal Revenue Code of 1986, as amended (the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Code</w:t>
      </w:r>
      <w:r>
        <w:rPr>
          <w:rFonts w:ascii="Arial" w:cs="Arial" w:eastAsia="Arial" w:hAnsi="Arial"/>
          <w:sz w:val="16"/>
          <w:szCs w:val="16"/>
          <w:i w:val="1"/>
          <w:iCs w:val="1"/>
          <w:color w:val="auto"/>
        </w:rPr>
        <w:t xml:space="preserve">”), </w:t>
      </w:r>
      <w:r>
        <w:rPr>
          <w:rFonts w:ascii="Arial" w:cs="Arial" w:eastAsia="Arial" w:hAnsi="Arial"/>
          <w:sz w:val="16"/>
          <w:szCs w:val="16"/>
          <w:color w:val="auto"/>
        </w:rPr>
        <w:t>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subject to the excise tax imposed by Section 4999 of the Code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Excise Tax</w:t>
      </w:r>
      <w:r>
        <w:rPr>
          <w:rFonts w:ascii="Arial" w:cs="Arial" w:eastAsia="Arial" w:hAnsi="Arial"/>
          <w:sz w:val="16"/>
          <w:szCs w:val="16"/>
          <w:i w:val="1"/>
          <w:iCs w:val="1"/>
          <w:color w:val="auto"/>
        </w:rPr>
        <w:t>”),</w:t>
      </w:r>
      <w:r>
        <w:rPr>
          <w:rFonts w:ascii="Arial" w:cs="Arial" w:eastAsia="Arial" w:hAnsi="Arial"/>
          <w:sz w:val="16"/>
          <w:szCs w:val="16"/>
          <w:color w:val="auto"/>
        </w:rPr>
        <w:t xml:space="preserve"> then such Payment shall be equal to the Reduced Amount.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taxes, and the Excise Tax (all computed at the highest applicable marginal rate), results in Executive’s receipt, on an after-tax basis, of the greatest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 for Executive. If more than one method of reduction will result in the same economic benefit, the items so reduced will be reduced pro rata.</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it is subsequently determined by the Internal Revenue Service that some portion of the Reduced Amount (as determined pursuant to clause</w:t>
      </w:r>
    </w:p>
    <w:p>
      <w:pPr>
        <w:spacing w:after="0" w:line="46" w:lineRule="exact"/>
        <w:rPr>
          <w:sz w:val="20"/>
          <w:szCs w:val="20"/>
          <w:color w:val="auto"/>
        </w:rPr>
      </w:pPr>
    </w:p>
    <w:p>
      <w:pPr>
        <w:jc w:val="both"/>
        <w:ind w:right="160" w:firstLine="8"/>
        <w:spacing w:after="0" w:line="281" w:lineRule="auto"/>
        <w:tabs>
          <w:tab w:leader="none" w:pos="25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Executive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 the preceding paragraph, Executive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Executive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shall use commercially reasonable efforts such that the accounting, law or consulting firm engaged to make the determinations hereunder shall provide its calculations, together with detailed supporting documentation, to Executive and the Company within 15 calendar days after the date on which Executive’s right to a Payment is triggered (if requested at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time by Executive or the Company) or such other time as requested by Executive or the Company.</w:t>
      </w:r>
    </w:p>
    <w:p>
      <w:pPr>
        <w:spacing w:after="0" w:line="221"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b w:val="1"/>
          <w:bCs w:val="1"/>
          <w:color w:val="auto"/>
        </w:rPr>
        <w:t xml:space="preserve">4.9 Application of Internal Revenue Code Section 409A. </w:t>
      </w:r>
      <w:r>
        <w:rPr>
          <w:rFonts w:ascii="Arial" w:cs="Arial" w:eastAsia="Arial" w:hAnsi="Arial"/>
          <w:sz w:val="17"/>
          <w:szCs w:val="17"/>
          <w:color w:val="auto"/>
        </w:rPr>
        <w:t>Notwithstanding anything to the contrary set forth herein, any payments and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under this Agreement (the </w:t>
      </w:r>
      <w:r>
        <w:rPr>
          <w:rFonts w:ascii="Arial" w:cs="Arial" w:eastAsia="Arial" w:hAnsi="Arial"/>
          <w:sz w:val="17"/>
          <w:szCs w:val="17"/>
          <w:b w:val="1"/>
          <w:bCs w:val="1"/>
          <w:i w:val="1"/>
          <w:iCs w:val="1"/>
          <w:color w:val="auto"/>
        </w:rPr>
        <w:t>“Severance Benefits</w:t>
      </w:r>
      <w:r>
        <w:rPr>
          <w:rFonts w:ascii="Arial" w:cs="Arial" w:eastAsia="Arial" w:hAnsi="Arial"/>
          <w:sz w:val="17"/>
          <w:szCs w:val="17"/>
          <w:i w:val="1"/>
          <w:iCs w:val="1"/>
          <w:color w:val="auto"/>
        </w:rPr>
        <w:t>”)</w:t>
      </w:r>
      <w:r>
        <w:rPr>
          <w:rFonts w:ascii="Arial" w:cs="Arial" w:eastAsia="Arial" w:hAnsi="Arial"/>
          <w:sz w:val="17"/>
          <w:szCs w:val="17"/>
          <w:color w:val="auto"/>
        </w:rPr>
        <w:t xml:space="preserve"> that constitute “deferred compensation” within the meaning of Section 409A of the Code and the regulations and other guidance thereunder and any state law of similar effect (collectively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Section 409A</w:t>
      </w:r>
      <w:r>
        <w:rPr>
          <w:rFonts w:ascii="Arial" w:cs="Arial" w:eastAsia="Arial" w:hAnsi="Arial"/>
          <w:sz w:val="17"/>
          <w:szCs w:val="17"/>
          <w:i w:val="1"/>
          <w:iCs w:val="1"/>
          <w:color w:val="auto"/>
        </w:rPr>
        <w:t>”)</w:t>
      </w:r>
      <w:r>
        <w:rPr>
          <w:rFonts w:ascii="Arial" w:cs="Arial" w:eastAsia="Arial" w:hAnsi="Arial"/>
          <w:sz w:val="17"/>
          <w:szCs w:val="17"/>
          <w:color w:val="auto"/>
        </w:rPr>
        <w:t xml:space="preserve"> shall not commence in connection with Executive’s termination of employment unless and until Executive has also incurred a “separation from service” (as such term is defined in Treasury Regulation Section l.409A-l (h)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Separation From Service</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Company reasonably determines that such amounts may be provided to Executive without causing Executive to incur the additional 20% tax under Section 409A.</w:t>
      </w:r>
    </w:p>
    <w:p>
      <w:pPr>
        <w:spacing w:after="0" w:line="17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It is intended that each installment of the Severance Benefits payments provided for in this Agreement is a separate “payment” for purposes of Treasury Regulation Section 1.409A- 2(b)(2)(i). For the avoidance of doubt, it is intended that payments of the Severance Benefits set forth in this Agreement satisfy, to the greatest extent possible, the exemptions from the application of Section 409A provided under Treasury Regulation Sections l.409A-l(b)(4), l.409A-l(b)(5) and 1.409A-l (b)(9). However, if the Company (or, if applicable, the successor entity thereto) determines that the Severance Benefits constitute “deferred compensation” under Section 409A and Executive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Executive’s Separation From Service, or (ii) the date of Executive’s death (such applicable date,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Specified Employee Initial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the successor entity thereto, as applicable) shall (A) pay to Executive a lump sum amount equal to the sum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Benefit payments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69"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Notwithstanding anything to the contrary set forth herein, Executive shall receive the Severance Benefits described above, if and only if Executive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Executive the Severance Benefits Executive would otherwise have received under the Agreement on or prior to such date but for the delay in payment related to the effectiveness of</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3" w:right="279" w:bottom="1440" w:gutter="0" w:footer="0" w:header="0"/>
        </w:sectPr>
      </w:pPr>
    </w:p>
    <w:bookmarkStart w:id="408" w:name="page409"/>
    <w:bookmarkEnd w:id="408"/>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Release, with the balance of the Severance Benefits being paid as originally scheduled. All amounts payable under the Agreement will be subject to standard payroll taxes and deductions.</w:t>
      </w:r>
    </w:p>
    <w:p>
      <w:pPr>
        <w:spacing w:after="0" w:line="16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4.10 Nondisparagement. </w:t>
      </w:r>
      <w:r>
        <w:rPr>
          <w:rFonts w:ascii="Arial" w:cs="Arial" w:eastAsia="Arial" w:hAnsi="Arial"/>
          <w:sz w:val="18"/>
          <w:szCs w:val="18"/>
          <w:color w:val="auto"/>
        </w:rPr>
        <w:t>Executive agrees not to disparage the Company and its officers, directors, employees, shareholders and agents,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likely to be harmful to them or their business, business reputations or personal reputations , and the Company agrees to direct its employees, officers, directors, shareholders and agents not to disparage Executive in any manner likely to be harmful to Executive reputation or future employment; provided that Company and Executive may respond accurately and fully to any question, inquiry or request for information when required by legal process or as part of a government investigation.</w:t>
      </w:r>
    </w:p>
    <w:p>
      <w:pPr>
        <w:spacing w:after="0" w:line="333" w:lineRule="exact"/>
        <w:rPr>
          <w:sz w:val="20"/>
          <w:szCs w:val="20"/>
          <w:color w:val="auto"/>
        </w:rPr>
      </w:pPr>
    </w:p>
    <w:p>
      <w:pPr>
        <w:ind w:left="900" w:hanging="446"/>
        <w:spacing w:after="0"/>
        <w:tabs>
          <w:tab w:leader="none" w:pos="90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AND PROPRIETARY INFORMATION.</w:t>
      </w:r>
    </w:p>
    <w:p>
      <w:pPr>
        <w:spacing w:after="0" w:line="12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Executive has already executed, as a condition of Executive’s employment with the Company, the Company’s standard form of Proprietary Information and Inventions Agreement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PIIA</w:t>
      </w:r>
      <w:r>
        <w:rPr>
          <w:rFonts w:ascii="Arial" w:cs="Arial" w:eastAsia="Arial" w:hAnsi="Arial"/>
          <w:sz w:val="18"/>
          <w:szCs w:val="18"/>
          <w:i w:val="1"/>
          <w:iCs w:val="1"/>
          <w:color w:val="auto"/>
        </w:rPr>
        <w:t>”).</w:t>
      </w:r>
      <w:r>
        <w:rPr>
          <w:rFonts w:ascii="Arial" w:cs="Arial" w:eastAsia="Arial" w:hAnsi="Arial"/>
          <w:sz w:val="18"/>
          <w:szCs w:val="18"/>
          <w:color w:val="auto"/>
        </w:rPr>
        <w:t xml:space="preserve"> The PIIA remains in full force and effect.</w:t>
      </w:r>
    </w:p>
    <w:p>
      <w:pPr>
        <w:spacing w:after="0" w:line="315" w:lineRule="exact"/>
        <w:rPr>
          <w:sz w:val="20"/>
          <w:szCs w:val="20"/>
          <w:color w:val="auto"/>
        </w:rPr>
      </w:pPr>
    </w:p>
    <w:p>
      <w:pPr>
        <w:ind w:left="900" w:hanging="446"/>
        <w:spacing w:after="0"/>
        <w:tabs>
          <w:tab w:leader="none" w:pos="90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BINDING EFFECT.</w:t>
      </w:r>
    </w:p>
    <w:p>
      <w:pPr>
        <w:spacing w:after="0" w:line="121"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This Agreement shall be binding upon and inure to the benefit of Executive and Executive’s heirs, executors, personal representatives, assigns, administrators and legal representatives. Because of the unique and personal nature of Executive’s duties under this Agreement, neither this Agreement nor any rights or obligations under this Agreement shall be assignable by Executive.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309"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Executive under this Agreement shall be given in writing and shall be personally delivered (and receipted for) or faxed during normal business hours or mailed by certified mail, return receipt requested, postage prepaid, addressed as follows: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the Company: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10421 Pacific Center Court, Suite 200 San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Chairman of the Board</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Executive: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Hamza Suria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3" w:right="319" w:bottom="1440" w:gutter="0" w:footer="0" w:header="0"/>
        </w:sectPr>
      </w:pPr>
    </w:p>
    <w:bookmarkStart w:id="409" w:name="page410"/>
    <w:bookmarkEnd w:id="409"/>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326" w:lineRule="exact"/>
        <w:rPr>
          <w:sz w:val="20"/>
          <w:szCs w:val="20"/>
          <w:color w:val="auto"/>
        </w:rPr>
      </w:pPr>
    </w:p>
    <w:p>
      <w:pPr>
        <w:ind w:left="900" w:hanging="446"/>
        <w:spacing w:after="0"/>
        <w:tabs>
          <w:tab w:leader="none" w:pos="90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pacing w:after="0" w:line="315" w:lineRule="exact"/>
        <w:rPr>
          <w:sz w:val="20"/>
          <w:szCs w:val="20"/>
          <w:color w:val="auto"/>
        </w:rPr>
      </w:pPr>
    </w:p>
    <w:p>
      <w:pPr>
        <w:ind w:left="900" w:hanging="446"/>
        <w:spacing w:after="0"/>
        <w:tabs>
          <w:tab w:leader="none" w:pos="90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p>
    <w:p>
      <w:pPr>
        <w:spacing w:after="0" w:line="117"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Executive’s employment and the termination of Executive’s employment, and supersedes any and all prior and/or contemporaneous oral and written employment agreements or arrangements between the Parties.</w:t>
      </w:r>
    </w:p>
    <w:p>
      <w:pPr>
        <w:spacing w:after="0" w:line="325" w:lineRule="exact"/>
        <w:rPr>
          <w:sz w:val="20"/>
          <w:szCs w:val="20"/>
          <w:color w:val="auto"/>
        </w:rPr>
      </w:pPr>
    </w:p>
    <w:p>
      <w:pPr>
        <w:ind w:left="900" w:hanging="446"/>
        <w:spacing w:after="0"/>
        <w:tabs>
          <w:tab w:leader="none" w:pos="90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Executive and the Company.</w:t>
      </w:r>
    </w:p>
    <w:p>
      <w:pPr>
        <w:spacing w:after="0" w:line="370" w:lineRule="exact"/>
        <w:rPr>
          <w:sz w:val="20"/>
          <w:szCs w:val="20"/>
          <w:color w:val="auto"/>
        </w:rPr>
      </w:pPr>
    </w:p>
    <w:p>
      <w:pPr>
        <w:ind w:left="900" w:hanging="446"/>
        <w:spacing w:after="0"/>
        <w:tabs>
          <w:tab w:leader="none" w:pos="90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326" w:lineRule="exact"/>
        <w:rPr>
          <w:sz w:val="20"/>
          <w:szCs w:val="20"/>
          <w:color w:val="auto"/>
        </w:rPr>
      </w:pPr>
    </w:p>
    <w:p>
      <w:pPr>
        <w:ind w:left="900" w:hanging="446"/>
        <w:spacing w:after="0"/>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331" w:lineRule="exact"/>
        <w:rPr>
          <w:sz w:val="20"/>
          <w:szCs w:val="20"/>
          <w:color w:val="auto"/>
        </w:rPr>
      </w:pPr>
    </w:p>
    <w:p>
      <w:pPr>
        <w:ind w:left="900" w:hanging="446"/>
        <w:spacing w:after="0"/>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CONSTRUCTION.</w:t>
      </w:r>
    </w:p>
    <w:p>
      <w:pPr>
        <w:spacing w:after="0" w:line="121"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 independent counsel and tax advisors with respect to the terms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410" w:name="page411"/>
    <w:bookmarkEnd w:id="410"/>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326" w:lineRule="exact"/>
        <w:rPr>
          <w:sz w:val="20"/>
          <w:szCs w:val="20"/>
          <w:color w:val="auto"/>
        </w:rPr>
      </w:pPr>
    </w:p>
    <w:p>
      <w:pPr>
        <w:ind w:left="900" w:hanging="446"/>
        <w:spacing w:after="0"/>
        <w:tabs>
          <w:tab w:leader="none" w:pos="90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w:t>
      </w:r>
    </w:p>
    <w:p>
      <w:pPr>
        <w:spacing w:after="0" w:line="326" w:lineRule="exact"/>
        <w:rPr>
          <w:sz w:val="20"/>
          <w:szCs w:val="20"/>
          <w:color w:val="auto"/>
        </w:rPr>
      </w:pPr>
    </w:p>
    <w:p>
      <w:pPr>
        <w:ind w:left="900" w:hanging="446"/>
        <w:spacing w:after="0"/>
        <w:tabs>
          <w:tab w:leader="none" w:pos="90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This Agreement may be executed in two counterparts, each of which shall be deemed an original, all of which together shall contribute one and the same instrument.</w:t>
      </w:r>
    </w:p>
    <w:p>
      <w:pPr>
        <w:spacing w:after="0" w:line="315" w:lineRule="exact"/>
        <w:rPr>
          <w:sz w:val="20"/>
          <w:szCs w:val="20"/>
          <w:color w:val="auto"/>
        </w:rPr>
      </w:pPr>
    </w:p>
    <w:p>
      <w:pPr>
        <w:ind w:left="900" w:hanging="446"/>
        <w:spacing w:after="0"/>
        <w:tabs>
          <w:tab w:leader="none" w:pos="90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2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To ensure the rapid and economical resolution of disputes that may arise in connection with Executive’s employment with the Company, Executive and the Company agree that any and all disputes, claims, or causes of action, in law or equity, arising from or relating to Executive’s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JAMS</w:t>
      </w:r>
      <w:r>
        <w:rPr>
          <w:rFonts w:ascii="Arial" w:cs="Arial" w:eastAsia="Arial" w:hAnsi="Arial"/>
          <w:sz w:val="16"/>
          <w:szCs w:val="16"/>
          <w:i w:val="1"/>
          <w:iCs w:val="1"/>
          <w:color w:val="auto"/>
        </w:rPr>
        <w:t>”),</w:t>
      </w:r>
      <w:r>
        <w:rPr>
          <w:rFonts w:ascii="Arial" w:cs="Arial" w:eastAsia="Arial" w:hAnsi="Arial"/>
          <w:sz w:val="16"/>
          <w:szCs w:val="16"/>
          <w:color w:val="auto"/>
        </w:rPr>
        <w:t xml:space="preserve"> or its successors, under the then current rules of JAMS for employment disputes; provided that the arbitrator shall:</w:t>
      </w:r>
    </w:p>
    <w:p>
      <w:pPr>
        <w:spacing w:after="0" w:line="2" w:lineRule="exact"/>
        <w:rPr>
          <w:sz w:val="20"/>
          <w:szCs w:val="20"/>
          <w:color w:val="auto"/>
        </w:rPr>
      </w:pPr>
    </w:p>
    <w:p>
      <w:pPr>
        <w:ind w:left="260" w:hanging="252"/>
        <w:spacing w:after="0"/>
        <w:tabs>
          <w:tab w:leader="none" w:pos="26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have the authority to compel adequate discovery for the resolution of the dispute and to award such relief as would otherwise be permitted by law; and</w:t>
      </w:r>
    </w:p>
    <w:p>
      <w:pPr>
        <w:spacing w:after="0" w:line="32" w:lineRule="exact"/>
        <w:rPr>
          <w:rFonts w:ascii="Arial" w:cs="Arial" w:eastAsia="Arial" w:hAnsi="Arial"/>
          <w:sz w:val="16"/>
          <w:szCs w:val="16"/>
          <w:color w:val="auto"/>
        </w:rPr>
      </w:pPr>
    </w:p>
    <w:p>
      <w:pPr>
        <w:ind w:right="20" w:firstLine="8"/>
        <w:spacing w:after="0" w:line="290" w:lineRule="auto"/>
        <w:tabs>
          <w:tab w:leader="none" w:pos="25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issue a written arbitration decision including the arbitrator’s essential findings and conclusions and a statement of the award. Accordingly, Executive and the Company hereby waive any right to a jury trial. Both Executive and the Company shall be entitled to all rights and remedies that either Executive or the Company would be entitled to pursue in a court of law. The Company shall pay any JAMS filing fee and shall pay the arbitrator’s fee.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involving confidential, proprietary or trade secret information, or intellectual property rights, by Court action instead of arbitration.</w:t>
      </w:r>
    </w:p>
    <w:p>
      <w:pPr>
        <w:spacing w:after="0" w:line="309" w:lineRule="exact"/>
        <w:rPr>
          <w:sz w:val="20"/>
          <w:szCs w:val="20"/>
          <w:color w:val="auto"/>
        </w:rPr>
      </w:pPr>
    </w:p>
    <w:p>
      <w:pPr>
        <w:ind w:left="900" w:hanging="446"/>
        <w:spacing w:after="0"/>
        <w:tabs>
          <w:tab w:leader="none" w:pos="90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TRADE SECRETS OF OTHERS.</w:t>
      </w:r>
    </w:p>
    <w:p>
      <w:pPr>
        <w:spacing w:after="0" w:line="12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It is the understanding of both the Company and Executive that Executive shall not divulge to the Company and/or its subsidiaries any confidential information or trade secrets belonging to others, including Executive’s former employers, nor shall the Company and/or its Affiliates seek to elicit from Executive any such information. Consistent with the foregoing,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4" w:right="359" w:bottom="1440" w:gutter="0" w:footer="0" w:header="0"/>
        </w:sectPr>
      </w:pPr>
    </w:p>
    <w:bookmarkStart w:id="411" w:name="page412"/>
    <w:bookmarkEnd w:id="411"/>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shall not provide to the Company and/or its Affiliates, and the Company and/or its Affiliates shall not request, any documents or copies of documents containing such information.</w:t>
      </w:r>
    </w:p>
    <w:p>
      <w:pPr>
        <w:spacing w:after="0" w:line="315" w:lineRule="exact"/>
        <w:rPr>
          <w:sz w:val="20"/>
          <w:szCs w:val="20"/>
          <w:color w:val="auto"/>
        </w:rPr>
      </w:pPr>
    </w:p>
    <w:p>
      <w:pPr>
        <w:ind w:left="900" w:hanging="446"/>
        <w:spacing w:after="0"/>
        <w:tabs>
          <w:tab w:leader="none" w:pos="90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WAIVER.</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Executive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Executive’s name and/or pictures of Executive taken in the course of Executive’s provision of services to the Company appear. Executive hereby waives and releases any claim or right Executive may otherwise have arising out of such use, publication or distribution.</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180"/>
          </w:cols>
          <w:pgMar w:left="240" w:top="274" w:right="479" w:bottom="1440" w:gutter="0" w:footer="0" w:header="0"/>
        </w:sectPr>
      </w:pPr>
    </w:p>
    <w:bookmarkStart w:id="412" w:name="page413"/>
    <w:bookmarkEnd w:id="41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B. Gallagher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Executive Chair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920" w:type="dxa"/>
            <w:vAlign w:val="bottom"/>
          </w:tcPr>
          <w:p>
            <w:pPr>
              <w:spacing w:after="0"/>
              <w:rPr>
                <w:sz w:val="20"/>
                <w:szCs w:val="20"/>
                <w:color w:val="auto"/>
              </w:rPr>
            </w:pPr>
            <w:r>
              <w:rPr>
                <w:rFonts w:ascii="Arial" w:cs="Arial" w:eastAsia="Arial" w:hAnsi="Arial"/>
                <w:sz w:val="18"/>
                <w:szCs w:val="18"/>
                <w:color w:val="auto"/>
              </w:rPr>
              <w:t>1/6/12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01/06/2012</w:t>
      </w:r>
    </w:p>
    <w:p>
      <w:pPr>
        <w:spacing w:after="0" w:line="225"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[SIGNATURE PAGE TO EMPLOYMENT AGREEMENT]</w:t>
      </w:r>
    </w:p>
    <w:p>
      <w:pPr>
        <w:sectPr>
          <w:pgSz w:w="11900" w:h="16838" w:orient="portrait"/>
          <w:cols w:equalWidth="0" w:num="1">
            <w:col w:w="10219"/>
          </w:cols>
          <w:pgMar w:left="240" w:top="269" w:right="1440" w:bottom="1440" w:gutter="0" w:footer="0" w:header="0"/>
        </w:sectPr>
      </w:pPr>
    </w:p>
    <w:bookmarkStart w:id="413" w:name="page414"/>
    <w:bookmarkEnd w:id="4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AND WAIVER OF CLAIMS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 xml:space="preserve">In consideration of the payments and other benefits set forth in the Employment Agreement effective January 1, 2012, to which this form is attached, I, Hamza Suria, hereby furnish </w:t>
      </w:r>
      <w:r>
        <w:rPr>
          <w:rFonts w:ascii="Arial" w:cs="Arial" w:eastAsia="Arial" w:hAnsi="Arial"/>
          <w:sz w:val="16"/>
          <w:szCs w:val="16"/>
          <w:b w:val="1"/>
          <w:bCs w:val="1"/>
          <w:color w:val="auto"/>
        </w:rPr>
        <w:t>ANAPTYSBIO, INC.</w:t>
      </w:r>
      <w:r>
        <w:rPr>
          <w:rFonts w:ascii="Arial" w:cs="Arial" w:eastAsia="Arial" w:hAnsi="Arial"/>
          <w:sz w:val="16"/>
          <w:szCs w:val="16"/>
          <w:color w:val="auto"/>
        </w:rPr>
        <w:t xml:space="preserv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i w:val="1"/>
          <w:iCs w:val="1"/>
          <w:color w:val="auto"/>
        </w:rPr>
        <w:t>”),</w:t>
      </w:r>
      <w:r>
        <w:rPr>
          <w:rFonts w:ascii="Arial" w:cs="Arial" w:eastAsia="Arial" w:hAnsi="Arial"/>
          <w:sz w:val="16"/>
          <w:szCs w:val="16"/>
          <w:color w:val="auto"/>
        </w:rPr>
        <w:t xml:space="preserve"> with the following release and waiver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 and Waiver</w:t>
      </w:r>
      <w:r>
        <w:rPr>
          <w:rFonts w:ascii="Arial" w:cs="Arial" w:eastAsia="Arial" w:hAnsi="Arial"/>
          <w:sz w:val="16"/>
          <w:szCs w:val="16"/>
          <w:i w:val="1"/>
          <w:iCs w:val="1"/>
          <w:color w:val="auto"/>
        </w:rPr>
        <w:t>”).</w:t>
      </w:r>
    </w:p>
    <w:p>
      <w:pPr>
        <w:spacing w:after="0" w:line="124"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Released Parties”</w:t>
      </w:r>
      <w:r>
        <w:rPr>
          <w:rFonts w:ascii="Arial" w:cs="Arial" w:eastAsia="Arial" w:hAnsi="Arial"/>
          <w:sz w:val="17"/>
          <w:szCs w:val="17"/>
          <w:i w:val="1"/>
          <w:iCs w:val="1"/>
          <w:color w:val="auto"/>
        </w:rPr>
        <w:t>)</w:t>
      </w:r>
      <w:r>
        <w:rPr>
          <w:rFonts w:ascii="Arial" w:cs="Arial" w:eastAsia="Arial" w:hAnsi="Arial"/>
          <w:sz w:val="17"/>
          <w:szCs w:val="17"/>
          <w:color w:val="auto"/>
        </w:rPr>
        <w:t xml:space="preserve"> from any and all claims, liabilities and obligations, both known and unknown, that arise out of or are in any way related to events, acts, conduct, or omissions occurring prior to or on the date that I sign this Agreement (collectively,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Released Claims</w:t>
      </w:r>
      <w:r>
        <w:rPr>
          <w:rFonts w:ascii="Arial" w:cs="Arial" w:eastAsia="Arial" w:hAnsi="Arial"/>
          <w:sz w:val="17"/>
          <w:szCs w:val="17"/>
          <w:i w:val="1"/>
          <w:iCs w:val="1"/>
          <w:color w:val="auto"/>
        </w:rPr>
        <w:t>”).</w:t>
      </w:r>
      <w:r>
        <w:rPr>
          <w:rFonts w:ascii="Arial" w:cs="Arial" w:eastAsia="Arial" w:hAnsi="Arial"/>
          <w:sz w:val="17"/>
          <w:szCs w:val="17"/>
          <w:color w:val="auto"/>
        </w:rPr>
        <w:t xml:space="preserve">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ADEA</w:t>
      </w:r>
      <w:r>
        <w:rPr>
          <w:rFonts w:ascii="Arial" w:cs="Arial" w:eastAsia="Arial" w:hAnsi="Arial"/>
          <w:sz w:val="17"/>
          <w:szCs w:val="17"/>
          <w:i w:val="1"/>
          <w:iCs w:val="1"/>
          <w:color w:val="auto"/>
        </w:rPr>
        <w:t xml:space="preserve">”), </w:t>
      </w:r>
      <w:r>
        <w:rPr>
          <w:rFonts w:ascii="Arial" w:cs="Arial" w:eastAsia="Arial" w:hAnsi="Arial"/>
          <w:sz w:val="17"/>
          <w:szCs w:val="17"/>
          <w:color w:val="auto"/>
        </w:rPr>
        <w:t>the California Labor Code, and the California Fair Employment and Housing Act (as amended). Notwithstanding the foregoing, the following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 included in the Released Claims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Excluded Claims</w:t>
      </w:r>
      <w:r>
        <w:rPr>
          <w:rFonts w:ascii="Arial" w:cs="Arial" w:eastAsia="Arial" w:hAnsi="Arial"/>
          <w:sz w:val="17"/>
          <w:szCs w:val="17"/>
          <w:i w:val="1"/>
          <w:iCs w:val="1"/>
          <w:color w:val="auto"/>
        </w:rPr>
        <w:t>”):</w:t>
      </w:r>
      <w:r>
        <w:rPr>
          <w:rFonts w:ascii="Arial" w:cs="Arial" w:eastAsia="Arial" w:hAnsi="Arial"/>
          <w:sz w:val="17"/>
          <w:szCs w:val="17"/>
          <w:color w:val="auto"/>
        </w:rPr>
        <w:t xml:space="preserve">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89"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w:t>
      </w:r>
      <w:r>
        <w:rPr>
          <w:rFonts w:ascii="Arial" w:cs="Arial" w:eastAsia="Arial" w:hAnsi="Arial"/>
          <w:sz w:val="16"/>
          <w:szCs w:val="16"/>
          <w:color w:val="auto"/>
        </w:rPr>
        <w:t xml:space="preserve"> </w:t>
      </w:r>
      <w:r>
        <w:rPr>
          <w:rFonts w:ascii="Arial" w:cs="Arial" w:eastAsia="Arial" w:hAnsi="Arial"/>
          <w:sz w:val="16"/>
          <w:szCs w:val="16"/>
          <w:b w:val="1"/>
          <w:bCs w:val="1"/>
          <w:color w:val="auto"/>
        </w:rPr>
        <w:t>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20"/>
          </w:cols>
          <w:pgMar w:left="240" w:top="269" w:right="239" w:bottom="1440" w:gutter="0" w:footer="0" w:header="0"/>
        </w:sectPr>
      </w:pPr>
    </w:p>
    <w:bookmarkStart w:id="414" w:name="page415"/>
    <w:bookmarkEnd w:id="414"/>
    <w:p>
      <w:pPr>
        <w:ind w:right="2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240" w:firstLine="913"/>
        <w:spacing w:after="0" w:line="286" w:lineRule="auto"/>
        <w:rPr>
          <w:sz w:val="20"/>
          <w:szCs w:val="20"/>
          <w:color w:val="auto"/>
        </w:rPr>
      </w:pPr>
      <w:r>
        <w:rPr>
          <w:rFonts w:ascii="Arial" w:cs="Arial" w:eastAsia="Arial" w:hAnsi="Arial"/>
          <w:sz w:val="17"/>
          <w:szCs w:val="17"/>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Hamza Suria</w:t>
      </w:r>
    </w:p>
    <w:p>
      <w:pPr>
        <w:sectPr>
          <w:pgSz w:w="11900" w:h="16838" w:orient="portrait"/>
          <w:cols w:equalWidth="0" w:num="1">
            <w:col w:w="11420"/>
          </w:cols>
          <w:pgMar w:left="240" w:top="274" w:right="239" w:bottom="1440" w:gutter="0" w:footer="0" w:header="0"/>
        </w:sectPr>
      </w:pPr>
    </w:p>
    <w:bookmarkStart w:id="415" w:name="page416"/>
    <w:bookmarkEnd w:id="41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NO.1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0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1 TO AMENDED AND RESTATED EMPLOYMENT AGREEMENT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Amendment</w:t>
      </w:r>
      <w:r>
        <w:rPr>
          <w:rFonts w:ascii="Arial" w:cs="Arial" w:eastAsia="Arial" w:hAnsi="Arial"/>
          <w:sz w:val="18"/>
          <w:szCs w:val="18"/>
          <w:i w:val="1"/>
          <w:iCs w:val="1"/>
          <w:color w:val="auto"/>
        </w:rPr>
        <w:t>”)</w:t>
      </w:r>
      <w:r>
        <w:rPr>
          <w:rFonts w:ascii="Arial" w:cs="Arial" w:eastAsia="Arial" w:hAnsi="Arial"/>
          <w:sz w:val="18"/>
          <w:szCs w:val="18"/>
          <w:color w:val="auto"/>
        </w:rPr>
        <w:t xml:space="preserve"> is entered into as of October 9, 2012, by and between </w:t>
      </w:r>
      <w:r>
        <w:rPr>
          <w:rFonts w:ascii="Arial" w:cs="Arial" w:eastAsia="Arial" w:hAnsi="Arial"/>
          <w:sz w:val="18"/>
          <w:szCs w:val="18"/>
          <w:b w:val="1"/>
          <w:bCs w:val="1"/>
          <w:color w:val="auto"/>
        </w:rPr>
        <w:t>ANAPTYSBIO, INC</w:t>
      </w:r>
      <w:r>
        <w:rPr>
          <w:rFonts w:ascii="Arial" w:cs="Arial" w:eastAsia="Arial" w:hAnsi="Arial"/>
          <w:sz w:val="18"/>
          <w:szCs w:val="18"/>
          <w:color w:val="auto"/>
        </w:rPr>
        <w:t xml:space="preserv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and Hamza Suria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r>
        <w:rPr>
          <w:rFonts w:ascii="Arial" w:cs="Arial" w:eastAsia="Arial" w:hAnsi="Arial"/>
          <w:sz w:val="18"/>
          <w:szCs w:val="18"/>
          <w:color w:val="auto"/>
        </w:rPr>
        <w:t xml:space="preserve"> Capitalized terms used but not defined herein shall have the meanings ascribed to them in that certain Amended and Restated Employment Agreement, dated June 27, 2012 and effective as of January 1, 2012, by and between the Company and Executive (the </w:t>
      </w:r>
      <w:r>
        <w:rPr>
          <w:rFonts w:ascii="Arial" w:cs="Arial" w:eastAsia="Arial" w:hAnsi="Arial"/>
          <w:sz w:val="18"/>
          <w:szCs w:val="18"/>
          <w:i w:val="1"/>
          <w:iCs w:val="1"/>
          <w:color w:val="auto"/>
        </w:rPr>
        <w:t>“Agreement”).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10 of the Agreement provides that the Agreement cannot be amended or modified except by a written agreement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desire to amend the Agreement as set forth herein.</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207" w:lineRule="exact"/>
        <w:rPr>
          <w:sz w:val="20"/>
          <w:szCs w:val="20"/>
          <w:color w:val="auto"/>
        </w:rPr>
      </w:pPr>
    </w:p>
    <w:p>
      <w:pPr>
        <w:ind w:right="120" w:firstLine="464"/>
        <w:spacing w:after="0" w:line="282" w:lineRule="auto"/>
        <w:tabs>
          <w:tab w:leader="none" w:pos="636"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OF SECTION 4.5.3. </w:t>
      </w:r>
      <w:r>
        <w:rPr>
          <w:rFonts w:ascii="Arial" w:cs="Arial" w:eastAsia="Arial" w:hAnsi="Arial"/>
          <w:sz w:val="18"/>
          <w:szCs w:val="18"/>
          <w:color w:val="auto"/>
        </w:rPr>
        <w:t>Section 4.5.3 of the Agreement is hereby amended by striking the reference to “six months”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of “Severance Period” and replacing it with “12 months”.</w:t>
      </w:r>
    </w:p>
    <w:p>
      <w:pPr>
        <w:spacing w:after="0" w:line="269" w:lineRule="exact"/>
        <w:rPr>
          <w:rFonts w:ascii="Arial" w:cs="Arial" w:eastAsia="Arial" w:hAnsi="Arial"/>
          <w:sz w:val="18"/>
          <w:szCs w:val="18"/>
          <w:b w:val="1"/>
          <w:bCs w:val="1"/>
          <w:color w:val="auto"/>
        </w:rPr>
      </w:pPr>
    </w:p>
    <w:p>
      <w:pPr>
        <w:ind w:left="640" w:hanging="176"/>
        <w:spacing w:after="0"/>
        <w:tabs>
          <w:tab w:leader="none" w:pos="64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This Amendment shall be construed and interpreted in accordance with the internal laws of the State of California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principles.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Except as set forth herein, the Agreement shall remain unchanged and in full force and effect in accordance with its terms.</w:t>
      </w:r>
    </w:p>
    <w:p>
      <w:pPr>
        <w:spacing w:after="0" w:line="225"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This Amendment may be executed in counterparts, each of which shall be deemed an original, and all of which together shall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same instrument. Facsimile and electronic signatures shall be as effective as original signatures.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260"/>
          </w:cols>
          <w:pgMar w:left="240" w:top="270" w:right="399" w:bottom="1440" w:gutter="0" w:footer="0" w:header="0"/>
        </w:sectPr>
      </w:pPr>
    </w:p>
    <w:bookmarkStart w:id="416" w:name="page417"/>
    <w:bookmarkEnd w:id="41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as of the date first set forth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Carol B.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Executive Chair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229"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[SIGNATURE PAGE TO AMENDMENT NO. 1 TO AMENDED AND RESTATED EMPLOYMENT AGREEMENT]</w:t>
      </w:r>
    </w:p>
    <w:p>
      <w:pPr>
        <w:sectPr>
          <w:pgSz w:w="11900" w:h="16838" w:orient="portrait"/>
          <w:cols w:equalWidth="0" w:num="1">
            <w:col w:w="10219"/>
          </w:cols>
          <w:pgMar w:left="240" w:top="270" w:right="1440" w:bottom="1440" w:gutter="0" w:footer="0" w:header="0"/>
        </w:sectPr>
      </w:pPr>
    </w:p>
    <w:bookmarkStart w:id="417" w:name="page418"/>
    <w:bookmarkEnd w:id="4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1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This Amendment No. 2 to Amended and Restated Employment Agreement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entered into as of September 16</w:t>
      </w:r>
      <w:r>
        <w:rPr>
          <w:rFonts w:ascii="Arial" w:cs="Arial" w:eastAsia="Arial" w:hAnsi="Arial"/>
          <w:sz w:val="14"/>
          <w:szCs w:val="14"/>
          <w:color w:val="auto"/>
        </w:rPr>
        <w:t>th</w:t>
      </w:r>
      <w:r>
        <w:rPr>
          <w:rFonts w:ascii="Arial" w:cs="Arial" w:eastAsia="Arial" w:hAnsi="Arial"/>
          <w:sz w:val="17"/>
          <w:szCs w:val="17"/>
          <w:color w:val="auto"/>
        </w:rPr>
        <w:t>, 2014, by and between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Hamza Suria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amends that certain Amended and Restated Employment Agreement dated as of June 27, 2012 and amended by that certain Amendment No. 1 to Amended and Restated Employment Agreement dated as of October 9, 2012, by and between the Company and the Executive (as amended,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w:t>
      </w:r>
    </w:p>
    <w:p>
      <w:pPr>
        <w:spacing w:after="0" w:line="17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WHEREAS, pursuant to the Employment Agreement, the Executive is entitled to a bonus payment calculated based upon the Executive’s achievement of certain objectives as determined from time-to-time by the Company’s Board of Directors (the “</w:t>
      </w:r>
      <w:r>
        <w:rPr>
          <w:rFonts w:ascii="Arial" w:cs="Arial" w:eastAsia="Arial" w:hAnsi="Arial"/>
          <w:sz w:val="17"/>
          <w:szCs w:val="17"/>
          <w:b w:val="1"/>
          <w:bCs w:val="1"/>
          <w:i w:val="1"/>
          <w:iCs w:val="1"/>
          <w:color w:val="auto"/>
        </w:rPr>
        <w:t>Performance Option</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Company and the Executive hereby wish to amend the Employment Agreement to provide for vesting acceleration of the Performance Option upon an initial public offering; and</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Section 10 of the Employment Agreement provides that the Employment Agreement cannot be amended or modified except by a written agreement signed by the Executive and the Company.</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undersigned consent to this Amendment as follows:</w:t>
      </w:r>
    </w:p>
    <w:p>
      <w:pPr>
        <w:spacing w:after="0" w:line="315"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u w:val="single" w:color="auto"/>
          <w:color w:val="auto"/>
        </w:rPr>
        <w:t>Amendment of Section 3.3.2</w:t>
      </w:r>
      <w:r>
        <w:rPr>
          <w:rFonts w:ascii="Arial" w:cs="Arial" w:eastAsia="Arial" w:hAnsi="Arial"/>
          <w:sz w:val="17"/>
          <w:szCs w:val="17"/>
          <w:color w:val="auto"/>
        </w:rPr>
        <w:t>. Section 3.3.2 of the Employment Agreement is hereby amended and restated in its entirety to read as follows:</w:t>
      </w:r>
    </w:p>
    <w:p>
      <w:pPr>
        <w:spacing w:after="0" w:line="129" w:lineRule="exact"/>
        <w:rPr>
          <w:sz w:val="20"/>
          <w:szCs w:val="20"/>
          <w:color w:val="auto"/>
        </w:rPr>
      </w:pPr>
    </w:p>
    <w:p>
      <w:pPr>
        <w:ind w:left="460" w:firstLine="87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3.3.2 Performance Option Grant.</w:t>
      </w:r>
      <w:r>
        <w:rPr>
          <w:rFonts w:ascii="Arial" w:cs="Arial" w:eastAsia="Arial" w:hAnsi="Arial"/>
          <w:sz w:val="16"/>
          <w:szCs w:val="16"/>
          <w:color w:val="auto"/>
        </w:rPr>
        <w:t xml:space="preserve"> In addition to the grant set forth in Section 3.3.1 above, as soon as practicable following the Effective Date, Executive shall be granted an option to purchase up to 684,056 shares of the Company’s Common Stock (the “</w:t>
      </w:r>
      <w:r>
        <w:rPr>
          <w:rFonts w:ascii="Arial" w:cs="Arial" w:eastAsia="Arial" w:hAnsi="Arial"/>
          <w:sz w:val="16"/>
          <w:szCs w:val="16"/>
          <w:b w:val="1"/>
          <w:bCs w:val="1"/>
          <w:i w:val="1"/>
          <w:iCs w:val="1"/>
          <w:color w:val="auto"/>
        </w:rPr>
        <w:t>Performance Option</w:t>
      </w:r>
      <w:r>
        <w:rPr>
          <w:rFonts w:ascii="Arial" w:cs="Arial" w:eastAsia="Arial" w:hAnsi="Arial"/>
          <w:sz w:val="16"/>
          <w:szCs w:val="16"/>
          <w:color w:val="auto"/>
        </w:rPr>
        <w:t>”) pursuant to the terms of the Plan, which represents a number of shares of Common Stock equal to approximately 1% of the fully-diluted capitalization of the Company as of the Effective Date. 100% of the shares subject to the Performance Option shall vest upon the closing, during Executive’s employment, of a Change in Control (as defined in the Plan) that is approved by the Board or a Qualified IPO (as defined in the Company’s current Amended and Restated Certificate of Incorporation). The exercise price per share of the Performance Option will be equal to the fair market value of a single share of Common Stock on the date the Performance Option is granted, as determined in good faith by the Board. The Performance Option will be governed by the Plan and shall be granted pursuant to a separate stock option grant notice and stock option agreement.”</w:t>
      </w:r>
    </w:p>
    <w:p>
      <w:pPr>
        <w:spacing w:after="0" w:line="309" w:lineRule="exact"/>
        <w:rPr>
          <w:sz w:val="20"/>
          <w:szCs w:val="20"/>
          <w:color w:val="auto"/>
        </w:rPr>
      </w:pPr>
    </w:p>
    <w:p>
      <w:pPr>
        <w:ind w:left="460" w:hanging="452"/>
        <w:spacing w:after="0"/>
        <w:tabs>
          <w:tab w:leader="none" w:pos="4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The terms and provisions of the Employment Agreement shall remain in full force and effect except as specifically modified by this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On and after the date hereof, each reference in the Employment Agreement to “this Agreement”, “hereof,” “herein,” “hereto,” “herewith,” “hereunder”</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9" w:right="279" w:bottom="1440" w:gutter="0" w:footer="0" w:header="0"/>
        </w:sectPr>
      </w:pPr>
    </w:p>
    <w:bookmarkStart w:id="418" w:name="page419"/>
    <w:bookmarkEnd w:id="4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any other words of similar import shall, unless otherwise stated, be construed to refer to the Employment Agreement as amended by this Amendment.</w:t>
      </w:r>
    </w:p>
    <w:p>
      <w:pPr>
        <w:spacing w:after="0" w:line="24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This Amendment may be executed in counterparts and delivered by facsimile or any similar electronic transmission device, all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one and the same agreement.</w:t>
      </w:r>
    </w:p>
    <w:p>
      <w:pPr>
        <w:spacing w:after="0" w:line="162"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This Amendment and all acts and transactions pursuant hereto and the rights and obligations of the parties to the Employment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hereby, will be governed, construed and interpreted in accordance with the laws of the State of California, without giving effect to principles of conflicts of law.</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This Amendment, together with the Employment Agreement, as amended, and all exhibits hereto and thereto represent the entire agreement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subject matter herein.</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419" w:name="page420"/>
    <w:bookmarkEnd w:id="4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hereto have executed this Amendment as of the date first written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29210</wp:posOffset>
            </wp:positionV>
            <wp:extent cx="252158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Carol G. Gallagher</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Chairman</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[Signature Page to Amendment No. 2 to Employment Agreement]</w:t>
      </w:r>
    </w:p>
    <w:p>
      <w:pPr>
        <w:sectPr>
          <w:pgSz w:w="11900" w:h="16838" w:orient="portrait"/>
          <w:cols w:equalWidth="0" w:num="1">
            <w:col w:w="9759"/>
          </w:cols>
          <w:pgMar w:left="700" w:top="270" w:right="1440" w:bottom="1440" w:gutter="0" w:footer="0" w:header="0"/>
        </w:sectPr>
      </w:pPr>
    </w:p>
    <w:bookmarkStart w:id="420" w:name="page421"/>
    <w:bookmarkEnd w:id="420"/>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Amendment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Hamza Suria</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[Signature Page to Amendment No. 2 to Employment Agreement]</w:t>
      </w:r>
    </w:p>
    <w:p>
      <w:pPr>
        <w:sectPr>
          <w:pgSz w:w="11900" w:h="16838" w:orient="portrait"/>
          <w:cols w:equalWidth="0" w:num="1">
            <w:col w:w="10219"/>
          </w:cols>
          <w:pgMar w:left="240" w:top="269" w:right="1440"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is made and entered into effective as of January 1, 2012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ANAPTYSBIO, INC.</w:t>
      </w:r>
      <w:r>
        <w:rPr>
          <w:rFonts w:ascii="Arial" w:cs="Arial" w:eastAsia="Arial" w:hAnsi="Arial"/>
          <w:sz w:val="18"/>
          <w:szCs w:val="18"/>
          <w:color w:val="auto"/>
        </w:rPr>
        <w:t xml:space="preserv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and David King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and Executive are hereinafter collectively referred to as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individually referred to as a</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Party</w:t>
      </w:r>
      <w:r>
        <w:rPr>
          <w:rFonts w:ascii="Arial" w:cs="Arial" w:eastAsia="Arial" w:hAnsi="Arial"/>
          <w:sz w:val="18"/>
          <w:szCs w:val="18"/>
          <w:i w:val="1"/>
          <w:iCs w:val="1"/>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desires to continue to employ Executive and Executive is willing to continue to accept such employment by Company, on the terms and subject to the conditions set forth in this Agreement.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EMPLOYMENT.</w:t>
      </w:r>
    </w:p>
    <w:p>
      <w:pPr>
        <w:spacing w:after="0" w:line="117"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 xml:space="preserve">1.1 Title. </w:t>
      </w:r>
      <w:r>
        <w:rPr>
          <w:rFonts w:ascii="Arial" w:cs="Arial" w:eastAsia="Arial" w:hAnsi="Arial"/>
          <w:sz w:val="18"/>
          <w:szCs w:val="18"/>
          <w:color w:val="auto"/>
        </w:rPr>
        <w:t>Effective as of the Effective Date, Executive’s position shall be Chief Scientific Officer of the Company,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1.2 Term. </w:t>
      </w:r>
      <w:r>
        <w:rPr>
          <w:rFonts w:ascii="Arial" w:cs="Arial" w:eastAsia="Arial" w:hAnsi="Arial"/>
          <w:sz w:val="16"/>
          <w:szCs w:val="16"/>
          <w:color w:val="auto"/>
        </w:rPr>
        <w:t>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i w:val="1"/>
          <w:iCs w:val="1"/>
          <w:color w:val="auto"/>
        </w:rPr>
        <w:t>”).</w:t>
      </w:r>
    </w:p>
    <w:p>
      <w:pPr>
        <w:spacing w:after="0" w:line="207" w:lineRule="exact"/>
        <w:rPr>
          <w:sz w:val="20"/>
          <w:szCs w:val="20"/>
          <w:color w:val="auto"/>
        </w:rPr>
      </w:pPr>
    </w:p>
    <w:p>
      <w:pPr>
        <w:ind w:right="740" w:firstLine="913"/>
        <w:spacing w:after="0" w:line="347" w:lineRule="auto"/>
        <w:rPr>
          <w:sz w:val="20"/>
          <w:szCs w:val="20"/>
          <w:color w:val="auto"/>
        </w:rPr>
      </w:pPr>
      <w:r>
        <w:rPr>
          <w:rFonts w:ascii="Arial" w:cs="Arial" w:eastAsia="Arial" w:hAnsi="Arial"/>
          <w:sz w:val="16"/>
          <w:szCs w:val="16"/>
          <w:b w:val="1"/>
          <w:bCs w:val="1"/>
          <w:color w:val="auto"/>
        </w:rPr>
        <w:t xml:space="preserve">1.3 Duties. </w:t>
      </w:r>
      <w:r>
        <w:rPr>
          <w:rFonts w:ascii="Arial" w:cs="Arial" w:eastAsia="Arial" w:hAnsi="Arial"/>
          <w:sz w:val="16"/>
          <w:szCs w:val="16"/>
          <w:color w:val="auto"/>
        </w:rPr>
        <w:t>Executive shall do and perform all services, acts or things necessary or advisable to manage and conduct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that are normally associated with the position of Chief Scientific Officer. Executive shall report to the Chief Executive Officer.</w:t>
      </w:r>
    </w:p>
    <w:p>
      <w:pPr>
        <w:spacing w:after="0" w:line="116"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1.4 Policies and Practices. </w:t>
      </w:r>
      <w:r>
        <w:rPr>
          <w:rFonts w:ascii="Arial" w:cs="Arial" w:eastAsia="Arial" w:hAnsi="Arial"/>
          <w:sz w:val="18"/>
          <w:szCs w:val="18"/>
          <w:color w:val="auto"/>
        </w:rPr>
        <w:t>The employment relationship between the Parties shall be governed by this Agreement and by the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practices established by the Company and/or the Company’s Board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xml:space="preserve"> or any designated committee thereof. In the event that the terms of this Agreement differ from or are in conflict with the Company’s policies or practices or the Company’s Employee Handbook, this Agreement shall control.</w:t>
      </w:r>
    </w:p>
    <w:p>
      <w:pPr>
        <w:spacing w:after="0" w:line="180"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1.5 Location. </w:t>
      </w:r>
      <w:r>
        <w:rPr>
          <w:rFonts w:ascii="Arial" w:cs="Arial" w:eastAsia="Arial" w:hAnsi="Arial"/>
          <w:sz w:val="18"/>
          <w:szCs w:val="18"/>
          <w:color w:val="auto"/>
        </w:rPr>
        <w:t>Unless the Parties otherwise agree in writing, during the Term Executive shall perform the services Executive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 pursuant to this Agreement at the Company’s offices in San Diego, California, </w:t>
      </w:r>
      <w:r>
        <w:rPr>
          <w:rFonts w:ascii="Arial" w:cs="Arial" w:eastAsia="Arial" w:hAnsi="Arial"/>
          <w:sz w:val="18"/>
          <w:szCs w:val="18"/>
          <w:b w:val="1"/>
          <w:bCs w:val="1"/>
          <w:i w:val="1"/>
          <w:iCs w:val="1"/>
          <w:color w:val="auto"/>
        </w:rPr>
        <w:t>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Company may from time to time require Executive to travel temporarily to other locations in connection with the Company’s business.</w:t>
      </w:r>
    </w:p>
    <w:p>
      <w:pPr>
        <w:sectPr>
          <w:pgSz w:w="11900" w:h="16838" w:orient="portrait"/>
          <w:cols w:equalWidth="0" w:num="1">
            <w:col w:w="11420"/>
          </w:cols>
          <w:pgMar w:left="240" w:top="121" w:right="239" w:bottom="1440" w:gutter="0" w:footer="0" w:header="0"/>
        </w:sectPr>
      </w:pPr>
    </w:p>
    <w:bookmarkStart w:id="422" w:name="page423"/>
    <w:bookmarkEnd w:id="42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LOYALTY; NONCOMPETITION; NONSOLICITATION.</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2.1 Loyalty. </w:t>
      </w:r>
      <w:r>
        <w:rPr>
          <w:rFonts w:ascii="Arial" w:cs="Arial" w:eastAsia="Arial" w:hAnsi="Arial"/>
          <w:sz w:val="18"/>
          <w:szCs w:val="18"/>
          <w:color w:val="auto"/>
        </w:rPr>
        <w:t>During Executive’s employment with the Company, Executive shall devote Executive’s full business energies, interest, abilities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 time to the proper and efficient performance of Executive’s duties under this Agreement.</w:t>
      </w:r>
    </w:p>
    <w:p>
      <w:pPr>
        <w:spacing w:after="0" w:line="16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2.2 Agreement not to Participate in Company’s Competitors. </w:t>
      </w:r>
      <w:r>
        <w:rPr>
          <w:rFonts w:ascii="Arial" w:cs="Arial" w:eastAsia="Arial" w:hAnsi="Arial"/>
          <w:sz w:val="16"/>
          <w:szCs w:val="16"/>
          <w:color w:val="auto"/>
        </w:rPr>
        <w:t>During Executive’s employment with the Company, Executive agrees not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acquire, assume or participate in, directly or indirectly, any position, investment or interest known by Executive to be adverse or antagonistic to the Company, its business, or prospects, financial or otherwise, or in any company, person, or entity that is, directly or indirectly, in competition with the business of the Company or any of its Affiliates (as defined below). Ownership by Executive, in professionally managed funds over which Executive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i w:val="1"/>
          <w:iCs w:val="1"/>
          <w:color w:val="auto"/>
        </w:rPr>
        <w:t>,”</w:t>
      </w:r>
      <w:r>
        <w:rPr>
          <w:rFonts w:ascii="Arial" w:cs="Arial" w:eastAsia="Arial" w:hAnsi="Arial"/>
          <w:sz w:val="16"/>
          <w:szCs w:val="16"/>
          <w:color w:val="auto"/>
        </w:rPr>
        <w:t xml:space="preserve"> means, with respect to any specific entity, any other entity that, directly or indirectly, through one or more intermediaries, controls, is controlled by or is under common control with such specified entity.</w:t>
      </w:r>
    </w:p>
    <w:p>
      <w:pPr>
        <w:spacing w:after="0" w:line="160"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b w:val="1"/>
          <w:bCs w:val="1"/>
          <w:color w:val="auto"/>
        </w:rPr>
        <w:t xml:space="preserve">2.3 Covenant not to Compete. </w:t>
      </w:r>
      <w:r>
        <w:rPr>
          <w:rFonts w:ascii="Arial" w:cs="Arial" w:eastAsia="Arial" w:hAnsi="Arial"/>
          <w:sz w:val="16"/>
          <w:szCs w:val="16"/>
          <w:color w:val="auto"/>
        </w:rPr>
        <w:t>During Executive’s employment with the Company, and during any post-termination period in which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is receiving severance benefits from the Company, Executive shall not engage in competition with the Company and/or any of its Affiliates, either directly or indirectly, in any manner or capacity, as adviser, principal, agent, affiliate, promoter, partner, officer, director, employee, stockholder, owner, co-owner, consultant, or member of any association or otherwise, in any phase of the business of developing, manufacturing and marketing of products or services that are in the same field of use or which otherwise compete with the products or services of the Company, except with the prior written consent of the Board.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COMPENSATION OF EXECUTIVE.</w:t>
      </w:r>
    </w:p>
    <w:p>
      <w:pPr>
        <w:spacing w:after="0" w:line="117"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3.1 Base Salary. </w:t>
      </w:r>
      <w:r>
        <w:rPr>
          <w:rFonts w:ascii="Arial" w:cs="Arial" w:eastAsia="Arial" w:hAnsi="Arial"/>
          <w:sz w:val="18"/>
          <w:szCs w:val="18"/>
          <w:color w:val="auto"/>
        </w:rPr>
        <w:t>The Company shall pay Executive a base salary at the annualized rate of $275,000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less payroll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required withholdings, payable in regular periodic installments in accordance with the Company’s normal payroll practices. The Base Salary shall be prorated for any partial year of employment on the basis of a 365-day fiscal year.</w:t>
      </w:r>
    </w:p>
    <w:p>
      <w:pPr>
        <w:spacing w:after="0" w:line="176"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b w:val="1"/>
          <w:bCs w:val="1"/>
          <w:color w:val="auto"/>
        </w:rPr>
        <w:t xml:space="preserve">3.2 Discretionary Bonus. </w:t>
      </w:r>
      <w:r>
        <w:rPr>
          <w:rFonts w:ascii="Arial" w:cs="Arial" w:eastAsia="Arial" w:hAnsi="Arial"/>
          <w:sz w:val="18"/>
          <w:szCs w:val="18"/>
          <w:color w:val="auto"/>
        </w:rPr>
        <w:t>At the sole discretion of the Board, following each calendar year of employment Executive shall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discretionary cash bonus of up to 20% of Executive’s then-current base salary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Executive’s achievement relative to certain performance goals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w:t>
      </w:r>
      <w:r>
        <w:rPr>
          <w:rFonts w:ascii="Arial" w:cs="Arial" w:eastAsia="Arial" w:hAnsi="Arial"/>
          <w:sz w:val="18"/>
          <w:szCs w:val="18"/>
          <w:color w:val="auto"/>
        </w:rPr>
        <w:t xml:space="preserve"> to be established by the Board. The determination of whether Executive has met the Performance Goals for any given year, and if so, the amount of any Bonus that will be paid for such year (if any), shall be determined by the Board in its sole and absolute discretion. In order to be eligible to earn or</w:t>
      </w:r>
    </w:p>
    <w:p>
      <w:pPr>
        <w:sectPr>
          <w:pgSz w:w="11900" w:h="16838" w:orient="portrait"/>
          <w:cols w:equalWidth="0" w:num="1">
            <w:col w:w="11420"/>
          </w:cols>
          <w:pgMar w:left="240" w:top="269" w:right="239"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 any Bonus; Executive must remain employed by the Company through and including the date of payment of such Bonus.</w:t>
      </w:r>
    </w:p>
    <w:p>
      <w:pPr>
        <w:spacing w:after="0" w:line="221" w:lineRule="exact"/>
        <w:rPr>
          <w:sz w:val="20"/>
          <w:szCs w:val="20"/>
          <w:color w:val="auto"/>
        </w:rPr>
      </w:pPr>
    </w:p>
    <w:p>
      <w:pPr>
        <w:jc w:val="both"/>
        <w:ind w:right="100" w:firstLine="913"/>
        <w:spacing w:after="0" w:line="289" w:lineRule="auto"/>
        <w:rPr>
          <w:sz w:val="20"/>
          <w:szCs w:val="20"/>
          <w:color w:val="auto"/>
        </w:rPr>
      </w:pPr>
      <w:r>
        <w:rPr>
          <w:rFonts w:ascii="Arial" w:cs="Arial" w:eastAsia="Arial" w:hAnsi="Arial"/>
          <w:sz w:val="17"/>
          <w:szCs w:val="17"/>
          <w:b w:val="1"/>
          <w:bCs w:val="1"/>
          <w:color w:val="auto"/>
        </w:rPr>
        <w:t xml:space="preserve">3.3 Expense Reimbursements. </w:t>
      </w:r>
      <w:r>
        <w:rPr>
          <w:rFonts w:ascii="Arial" w:cs="Arial" w:eastAsia="Arial" w:hAnsi="Arial"/>
          <w:sz w:val="17"/>
          <w:szCs w:val="17"/>
          <w:color w:val="auto"/>
        </w:rPr>
        <w:t>The Company will reimburse Executive for all reasonable business expenses Executive incurs in conducting his</w:t>
      </w:r>
      <w:r>
        <w:rPr>
          <w:rFonts w:ascii="Arial" w:cs="Arial" w:eastAsia="Arial" w:hAnsi="Arial"/>
          <w:sz w:val="17"/>
          <w:szCs w:val="17"/>
          <w:b w:val="1"/>
          <w:bCs w:val="1"/>
          <w:color w:val="auto"/>
        </w:rPr>
        <w:t xml:space="preserve"> </w:t>
      </w:r>
      <w:r>
        <w:rPr>
          <w:rFonts w:ascii="Arial" w:cs="Arial" w:eastAsia="Arial" w:hAnsi="Arial"/>
          <w:sz w:val="17"/>
          <w:szCs w:val="17"/>
          <w:color w:val="auto"/>
        </w:rPr>
        <w:t>duties hereunder, pursuant to the Company’s usual expense reimbursement policies; provided that Executive supplies the appropriate substantiation for such expenses no later than the end of the calendar month following the month in which such expenses were incurred by Executive.</w:t>
      </w:r>
    </w:p>
    <w:p>
      <w:pPr>
        <w:spacing w:after="0" w:line="158"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3.4 Changes to Compensation. </w:t>
      </w:r>
      <w:r>
        <w:rPr>
          <w:rFonts w:ascii="Arial" w:cs="Arial" w:eastAsia="Arial" w:hAnsi="Arial"/>
          <w:sz w:val="18"/>
          <w:szCs w:val="18"/>
          <w:color w:val="auto"/>
        </w:rPr>
        <w:t>Executive’s compensation will be reviewed annually and may be changed from time to time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w:t>
      </w:r>
    </w:p>
    <w:p>
      <w:pPr>
        <w:spacing w:after="0" w:line="16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3.5 Employment Taxes. </w:t>
      </w:r>
      <w:r>
        <w:rPr>
          <w:rFonts w:ascii="Arial" w:cs="Arial" w:eastAsia="Arial" w:hAnsi="Arial"/>
          <w:sz w:val="18"/>
          <w:szCs w:val="18"/>
          <w:color w:val="auto"/>
        </w:rPr>
        <w:t>All of Executive’s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162"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b w:val="1"/>
          <w:bCs w:val="1"/>
          <w:color w:val="auto"/>
        </w:rPr>
        <w:t xml:space="preserve">3.6 Benefits. </w:t>
      </w:r>
      <w:r>
        <w:rPr>
          <w:rFonts w:ascii="Arial" w:cs="Arial" w:eastAsia="Arial" w:hAnsi="Arial"/>
          <w:sz w:val="16"/>
          <w:szCs w:val="16"/>
          <w:color w:val="auto"/>
        </w:rPr>
        <w:t>Executive shall, in accordance with Company policy and the terms of the applicable plan documents, be eligible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any benefit plan or arrangement that may be in effect from time to time and made available to the Company’s senior management employees.</w:t>
      </w:r>
    </w:p>
    <w:p>
      <w:pPr>
        <w:spacing w:after="0" w:line="116"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3.7 Holidays and Vacation. </w:t>
      </w:r>
      <w:r>
        <w:rPr>
          <w:rFonts w:ascii="Arial" w:cs="Arial" w:eastAsia="Arial" w:hAnsi="Arial"/>
          <w:sz w:val="18"/>
          <w:szCs w:val="18"/>
          <w:color w:val="auto"/>
        </w:rPr>
        <w:t>Executive shall be eligible for paid holiday and vacation time in accordance with Company policy as in effect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TERMINATION.</w:t>
      </w:r>
    </w:p>
    <w:p>
      <w:pPr>
        <w:spacing w:after="0" w:line="117"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4.1 Termination by the Company. </w:t>
      </w:r>
      <w:r>
        <w:rPr>
          <w:rFonts w:ascii="Arial" w:cs="Arial" w:eastAsia="Arial" w:hAnsi="Arial"/>
          <w:sz w:val="18"/>
          <w:szCs w:val="18"/>
          <w:color w:val="auto"/>
        </w:rPr>
        <w:t>Executive’s employment with the Company is at will and may be terminated by the Company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any reason, or for no reason, including, but not limited to, under the following conditions:</w:t>
      </w:r>
    </w:p>
    <w:p>
      <w:pPr>
        <w:spacing w:after="0" w:line="5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4.1.1 Termination by the Company for Cause. </w:t>
      </w:r>
      <w:r>
        <w:rPr>
          <w:rFonts w:ascii="Arial" w:cs="Arial" w:eastAsia="Arial" w:hAnsi="Arial"/>
          <w:sz w:val="17"/>
          <w:szCs w:val="17"/>
          <w:color w:val="auto"/>
        </w:rPr>
        <w:t>The Company may terminate Executive’s employment under this Agreement for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(as defined below) by delivery of written notice to Executive. Any notice of termination given pursuant to this section shall effect termination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notice, or as of such other date specified in the notice.</w:t>
      </w:r>
    </w:p>
    <w:p>
      <w:pPr>
        <w:spacing w:after="0" w:line="99" w:lineRule="exact"/>
        <w:rPr>
          <w:sz w:val="20"/>
          <w:szCs w:val="20"/>
          <w:color w:val="auto"/>
        </w:rPr>
      </w:pPr>
    </w:p>
    <w:p>
      <w:pPr>
        <w:jc w:val="both"/>
        <w:ind w:right="460" w:firstLine="1484"/>
        <w:spacing w:after="0" w:line="266" w:lineRule="auto"/>
        <w:rPr>
          <w:sz w:val="20"/>
          <w:szCs w:val="20"/>
          <w:color w:val="auto"/>
        </w:rPr>
      </w:pPr>
      <w:r>
        <w:rPr>
          <w:rFonts w:ascii="Arial" w:cs="Arial" w:eastAsia="Arial" w:hAnsi="Arial"/>
          <w:sz w:val="18"/>
          <w:szCs w:val="18"/>
          <w:b w:val="1"/>
          <w:bCs w:val="1"/>
          <w:color w:val="auto"/>
        </w:rPr>
        <w:t xml:space="preserve">4.1.2 Termination by the Company without Cause. </w:t>
      </w:r>
      <w:r>
        <w:rPr>
          <w:rFonts w:ascii="Arial" w:cs="Arial" w:eastAsia="Arial" w:hAnsi="Arial"/>
          <w:sz w:val="18"/>
          <w:szCs w:val="18"/>
          <w:color w:val="auto"/>
        </w:rPr>
        <w:t>The Company may terminate Executive’s employment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Cause at any time and for any reason, or for no reason. Such termination shall be effective on the date Executive is so informed, or as otherwise specified by the Company.</w:t>
      </w:r>
    </w:p>
    <w:p>
      <w:pPr>
        <w:spacing w:after="0" w:line="176"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4.2 Termination by Executive. </w:t>
      </w:r>
      <w:r>
        <w:rPr>
          <w:rFonts w:ascii="Arial" w:cs="Arial" w:eastAsia="Arial" w:hAnsi="Arial"/>
          <w:sz w:val="18"/>
          <w:szCs w:val="18"/>
          <w:color w:val="auto"/>
        </w:rPr>
        <w:t>Executive may terminate his employment with the Company at any time and for any reason, or for no reason,</w:t>
      </w:r>
      <w:r>
        <w:rPr>
          <w:rFonts w:ascii="Arial" w:cs="Arial" w:eastAsia="Arial" w:hAnsi="Arial"/>
          <w:sz w:val="18"/>
          <w:szCs w:val="18"/>
          <w:b w:val="1"/>
          <w:bCs w:val="1"/>
          <w:color w:val="auto"/>
        </w:rPr>
        <w:t xml:space="preserve"> </w:t>
      </w:r>
      <w:r>
        <w:rPr>
          <w:rFonts w:ascii="Arial" w:cs="Arial" w:eastAsia="Arial" w:hAnsi="Arial"/>
          <w:sz w:val="18"/>
          <w:szCs w:val="18"/>
          <w:color w:val="auto"/>
        </w:rPr>
        <w:t>upon thirty (30) days written notice to the Company.</w:t>
      </w:r>
    </w:p>
    <w:p>
      <w:pPr>
        <w:spacing w:after="0" w:line="162"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b w:val="1"/>
          <w:bCs w:val="1"/>
          <w:color w:val="auto"/>
        </w:rPr>
        <w:t xml:space="preserve">4.3 Termination for Death or Disability. </w:t>
      </w:r>
      <w:r>
        <w:rPr>
          <w:rFonts w:ascii="Arial" w:cs="Arial" w:eastAsia="Arial" w:hAnsi="Arial"/>
          <w:sz w:val="18"/>
          <w:szCs w:val="18"/>
          <w:color w:val="auto"/>
        </w:rPr>
        <w:t>Executive’s employment with the Company shall automatically terminate effective upon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death or Disability (as defined in the Plan).</w:t>
      </w:r>
    </w:p>
    <w:p>
      <w:pPr>
        <w:sectPr>
          <w:pgSz w:w="11900" w:h="16838" w:orient="portrait"/>
          <w:cols w:equalWidth="0" w:num="1">
            <w:col w:w="11420"/>
          </w:cols>
          <w:pgMar w:left="240" w:top="274" w:right="239" w:bottom="1440" w:gutter="0" w:footer="0" w:header="0"/>
        </w:sectPr>
      </w:pPr>
    </w:p>
    <w:bookmarkStart w:id="424" w:name="page425"/>
    <w:bookmarkEnd w:id="424"/>
    <w:p>
      <w:pPr>
        <w:ind w:right="420" w:firstLine="913"/>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Termination by Mutual Agreement of the Parties. </w:t>
      </w:r>
      <w:r>
        <w:rPr>
          <w:rFonts w:ascii="Arial" w:cs="Arial" w:eastAsia="Arial" w:hAnsi="Arial"/>
          <w:sz w:val="16"/>
          <w:szCs w:val="16"/>
          <w:color w:val="auto"/>
        </w:rPr>
        <w:t>Executive’s employment with the Company may be terminated at any time upon a</w:t>
      </w:r>
      <w:r>
        <w:rPr>
          <w:rFonts w:ascii="Arial" w:cs="Arial" w:eastAsia="Arial" w:hAnsi="Arial"/>
          <w:sz w:val="16"/>
          <w:szCs w:val="16"/>
          <w:b w:val="1"/>
          <w:bCs w:val="1"/>
          <w:color w:val="auto"/>
        </w:rPr>
        <w:t xml:space="preserve"> </w:t>
      </w:r>
      <w:r>
        <w:rPr>
          <w:rFonts w:ascii="Arial" w:cs="Arial" w:eastAsia="Arial" w:hAnsi="Arial"/>
          <w:sz w:val="16"/>
          <w:szCs w:val="16"/>
          <w:color w:val="auto"/>
        </w:rPr>
        <w:t>mutual agreement in writing of the Parties. Any such termination of employment shall have the consequences specified in such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p>
    <w:p>
      <w:pPr>
        <w:spacing w:after="0" w:line="225" w:lineRule="exact"/>
        <w:rPr>
          <w:sz w:val="20"/>
          <w:szCs w:val="20"/>
          <w:color w:val="auto"/>
        </w:rPr>
      </w:pPr>
    </w:p>
    <w:p>
      <w:pPr>
        <w:ind w:firstLine="1484"/>
        <w:spacing w:after="0" w:line="261" w:lineRule="auto"/>
        <w:rPr>
          <w:sz w:val="20"/>
          <w:szCs w:val="20"/>
          <w:color w:val="auto"/>
        </w:rPr>
      </w:pPr>
      <w:r>
        <w:rPr>
          <w:rFonts w:ascii="Arial" w:cs="Arial" w:eastAsia="Arial" w:hAnsi="Arial"/>
          <w:sz w:val="18"/>
          <w:szCs w:val="18"/>
          <w:b w:val="1"/>
          <w:bCs w:val="1"/>
          <w:color w:val="auto"/>
        </w:rPr>
        <w:t xml:space="preserve">4.5.1 Death or Disability. </w:t>
      </w:r>
      <w:r>
        <w:rPr>
          <w:rFonts w:ascii="Arial" w:cs="Arial" w:eastAsia="Arial" w:hAnsi="Arial"/>
          <w:sz w:val="18"/>
          <w:szCs w:val="18"/>
          <w:color w:val="auto"/>
        </w:rPr>
        <w:t>If Executive’s employment is terminated by death or Disability, the Company shall pay to Executive, or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heirs, Executive’s base salary and accrued and unused vacation benefits earned through the date of termination at the rate in effect at the time of termination, less standard deductions and withholdings. The Company shall thereafter have no further obligations to Executive and/or Executive’s heirs under this Agreement, except as otherwise provided by law.</w:t>
      </w:r>
    </w:p>
    <w:p>
      <w:pPr>
        <w:spacing w:after="0" w:line="180" w:lineRule="exact"/>
        <w:rPr>
          <w:sz w:val="20"/>
          <w:szCs w:val="20"/>
          <w:color w:val="auto"/>
        </w:rPr>
      </w:pPr>
    </w:p>
    <w:p>
      <w:pPr>
        <w:ind w:right="120" w:firstLine="1484"/>
        <w:spacing w:after="0" w:line="261" w:lineRule="auto"/>
        <w:rPr>
          <w:sz w:val="20"/>
          <w:szCs w:val="20"/>
          <w:color w:val="auto"/>
        </w:rPr>
      </w:pPr>
      <w:r>
        <w:rPr>
          <w:rFonts w:ascii="Arial" w:cs="Arial" w:eastAsia="Arial" w:hAnsi="Arial"/>
          <w:sz w:val="18"/>
          <w:szCs w:val="18"/>
          <w:b w:val="1"/>
          <w:bCs w:val="1"/>
          <w:color w:val="auto"/>
        </w:rPr>
        <w:t>4.5.2 Termination For Cause</w:t>
      </w:r>
      <w:r>
        <w:rPr>
          <w:rFonts w:ascii="Arial" w:cs="Arial" w:eastAsia="Arial" w:hAnsi="Arial"/>
          <w:sz w:val="18"/>
          <w:szCs w:val="18"/>
          <w:color w:val="auto"/>
        </w:rPr>
        <w:t>. If the Company terminates Executive’s employment for Cause, then the Company shall pay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and accrued and unused vacation benefits earned through the date of termination, at the rate in effect at the time of termination, less standard deductions and withholdings. The Company shall thereafter have no further obligations to Executive under this Agreement, except as otherwise provided by law.</w:t>
      </w:r>
    </w:p>
    <w:p>
      <w:pPr>
        <w:spacing w:after="0" w:line="180" w:lineRule="exact"/>
        <w:rPr>
          <w:sz w:val="20"/>
          <w:szCs w:val="20"/>
          <w:color w:val="auto"/>
        </w:rPr>
      </w:pPr>
    </w:p>
    <w:p>
      <w:pPr>
        <w:ind w:right="40" w:firstLine="1484"/>
        <w:spacing w:after="0" w:line="268" w:lineRule="auto"/>
        <w:rPr>
          <w:sz w:val="20"/>
          <w:szCs w:val="20"/>
          <w:color w:val="auto"/>
        </w:rPr>
      </w:pPr>
      <w:r>
        <w:rPr>
          <w:rFonts w:ascii="Arial" w:cs="Arial" w:eastAsia="Arial" w:hAnsi="Arial"/>
          <w:sz w:val="17"/>
          <w:szCs w:val="17"/>
          <w:b w:val="1"/>
          <w:bCs w:val="1"/>
          <w:color w:val="auto"/>
        </w:rPr>
        <w:t xml:space="preserve">4.5.3 Termination by Company Without Cause or by Executive for Good Reason Not In Connection with a Change in Control. </w:t>
      </w:r>
      <w:r>
        <w:rPr>
          <w:rFonts w:ascii="Arial" w:cs="Arial" w:eastAsia="Arial" w:hAnsi="Arial"/>
          <w:sz w:val="17"/>
          <w:szCs w:val="17"/>
          <w:color w:val="auto"/>
        </w:rPr>
        <w:t>If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terminates Executive’s employment without Cause or if Executive resigns his employment for Good Reason, in either case at any time other than upon the occurrence of, or within the 13 months immediately following, the effective date of a Change in Control, the Company shall pay Executive’s base salary and accrued and unused vacation benefits earned through the date of termination, at the rate in effect at the time of termination, less standard deductions and withholdings. In addition, if Executive furnishes to the Company an executed waiver and release of claims in the form attached hereto as </w:t>
      </w:r>
      <w:r>
        <w:rPr>
          <w:rFonts w:ascii="Arial" w:cs="Arial" w:eastAsia="Arial" w:hAnsi="Arial"/>
          <w:sz w:val="17"/>
          <w:szCs w:val="17"/>
          <w:b w:val="1"/>
          <w:bCs w:val="1"/>
          <w:color w:val="auto"/>
        </w:rPr>
        <w:t xml:space="preserve">Exhibit A </w:t>
      </w:r>
      <w:r>
        <w:rPr>
          <w:rFonts w:ascii="Arial" w:cs="Arial" w:eastAsia="Arial" w:hAnsi="Arial"/>
          <w:sz w:val="17"/>
          <w:szCs w:val="17"/>
          <w:color w:val="auto"/>
        </w:rPr>
        <w:t>(or in such other form as may be specified by the Company)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Release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time period specified therein, but in no event later than 45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following Executive’s termination, and if Executive allows such Release to become effective in accordance with its terms, then (i) Executive shall be entitled to severance in the form of continuation of his base salary, at the rate in effect at the time of termination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Severance Payments</w:t>
      </w:r>
      <w:r>
        <w:rPr>
          <w:rFonts w:ascii="Arial" w:cs="Arial" w:eastAsia="Arial" w:hAnsi="Arial"/>
          <w:sz w:val="17"/>
          <w:szCs w:val="17"/>
          <w:i w:val="1"/>
          <w:iCs w:val="1"/>
          <w:color w:val="auto"/>
        </w:rPr>
        <w:t>”),</w:t>
      </w:r>
      <w:r>
        <w:rPr>
          <w:rFonts w:ascii="Arial" w:cs="Arial" w:eastAsia="Arial" w:hAnsi="Arial"/>
          <w:sz w:val="17"/>
          <w:szCs w:val="17"/>
          <w:color w:val="auto"/>
        </w:rPr>
        <w:t xml:space="preserve"> for a period of six months following the termination date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Severance Period</w:t>
      </w:r>
      <w:r>
        <w:rPr>
          <w:rFonts w:ascii="Arial" w:cs="Arial" w:eastAsia="Arial" w:hAnsi="Arial"/>
          <w:sz w:val="17"/>
          <w:szCs w:val="17"/>
          <w:i w:val="1"/>
          <w:iCs w:val="1"/>
          <w:color w:val="auto"/>
        </w:rPr>
        <w:t>”),</w:t>
      </w:r>
      <w:r>
        <w:rPr>
          <w:rFonts w:ascii="Arial" w:cs="Arial" w:eastAsia="Arial" w:hAnsi="Arial"/>
          <w:sz w:val="17"/>
          <w:szCs w:val="17"/>
          <w:color w:val="auto"/>
        </w:rPr>
        <w:t xml:space="preserve"> and (ii) pay directly to the insurance provider the premium for COBRA continuation coverage for Executive and Executive’s family during the Severance Period or until he obtains new employment, whichever comes first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Coverage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Severance Payments will be subject to standard payroll deductions and withholdings and will be made on the Company’s regular payroll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cycle, provided, however, that any Severance Payments otherwise scheduled to be made prior to the effective date of the Release shall accrue and be paid in the first payroll period that follows such effective date. The Company shall thereafter have no further obligations to Executive under this Agreement, except as otherwise provided by law.</w:t>
      </w:r>
    </w:p>
    <w:p>
      <w:pPr>
        <w:spacing w:after="0" w:line="185" w:lineRule="exact"/>
        <w:rPr>
          <w:sz w:val="20"/>
          <w:szCs w:val="20"/>
          <w:color w:val="auto"/>
        </w:rPr>
      </w:pPr>
    </w:p>
    <w:p>
      <w:pPr>
        <w:jc w:val="both"/>
        <w:ind w:right="40" w:firstLine="1484"/>
        <w:spacing w:after="0" w:line="266" w:lineRule="auto"/>
        <w:rPr>
          <w:sz w:val="20"/>
          <w:szCs w:val="20"/>
          <w:color w:val="auto"/>
        </w:rPr>
      </w:pPr>
      <w:r>
        <w:rPr>
          <w:rFonts w:ascii="Arial" w:cs="Arial" w:eastAsia="Arial" w:hAnsi="Arial"/>
          <w:sz w:val="18"/>
          <w:szCs w:val="18"/>
          <w:b w:val="1"/>
          <w:bCs w:val="1"/>
          <w:color w:val="auto"/>
        </w:rPr>
        <w:t xml:space="preserve">4.5.4 Termination by Company Without Cause or by Executive for Good Reason In Connection with a Change in Control. </w:t>
      </w:r>
      <w:r>
        <w:rPr>
          <w:rFonts w:ascii="Arial" w:cs="Arial" w:eastAsia="Arial" w:hAnsi="Arial"/>
          <w:sz w:val="18"/>
          <w:szCs w:val="18"/>
          <w:color w:val="auto"/>
        </w:rPr>
        <w:t>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terminates Executive’s employment without Cause or if Executive resigns his employment for Good Reason, in either case upon the occurrence of, or within the 13 months immediately following,</w:t>
      </w:r>
    </w:p>
    <w:p>
      <w:pPr>
        <w:sectPr>
          <w:pgSz w:w="11900" w:h="16838" w:orient="portrait"/>
          <w:cols w:equalWidth="0" w:num="1">
            <w:col w:w="11380"/>
          </w:cols>
          <w:pgMar w:left="240" w:top="270" w:right="279" w:bottom="1440" w:gutter="0" w:footer="0" w:header="0"/>
        </w:sectPr>
      </w:pPr>
    </w:p>
    <w:bookmarkStart w:id="425" w:name="page426"/>
    <w:bookmarkEnd w:id="42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effective date of a Change in Control, the Company shall pay Executive’s base salary and accrued and unused vacation benefits earned through the date of termination, at the rate in effect at the time of termination, less standard deductions and withholdings. In addition, if Executive furnishes to the Company an executed Release within the time period specified therein, but in no event later than 45 days following Executive’s termination, and if Executive allows such Release to become effective in accordance with its terms, then Executive shall be entitled to: (1) the Severance Payments and COBRA coverage described in Section 4.5.3 above; and (2) accelerated vesting of any unvested shares subject to the Base Option such that Executive shall become vested in 100% of the shares subject to such Base Option on the effective date of the Release. The Company shall thereafter have no further obligations to Executive under this Agreement, except as otherwise provided by law.</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4.6 Definitions. </w:t>
      </w:r>
      <w:r>
        <w:rPr>
          <w:rFonts w:ascii="Arial" w:cs="Arial" w:eastAsia="Arial" w:hAnsi="Arial"/>
          <w:sz w:val="18"/>
          <w:szCs w:val="18"/>
          <w:color w:val="auto"/>
        </w:rPr>
        <w:t>For purposes of this Agreement, the following terms shall have the following meanings:</w:t>
      </w:r>
    </w:p>
    <w:p>
      <w:pPr>
        <w:spacing w:after="0" w:line="117"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b w:val="1"/>
          <w:bCs w:val="1"/>
          <w:color w:val="auto"/>
        </w:rPr>
        <w:t xml:space="preserve">4.6.1 Cause.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one or more of the following: (i) Executive’s commission of any crime involving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action or conduct described in clauses (iii) and (iv) above will constitute “Cause” only if such action or conduct continues after the Company has provided Executive with written notice thereof and thirty (30) days to cure the same. An occurrence of “Cause” as set forth in the preceding sentence shall be based upon a good faith determination by the Board. Executive’s Disability shall not constitute Cause as set forth herein. The determination that a termination is for Cause shall be by the Board in its sole and exclusive judgment and discretion.</w:t>
      </w:r>
    </w:p>
    <w:p>
      <w:pPr>
        <w:spacing w:after="0" w:line="52" w:lineRule="exact"/>
        <w:rPr>
          <w:sz w:val="20"/>
          <w:szCs w:val="20"/>
          <w:color w:val="auto"/>
        </w:rPr>
      </w:pPr>
    </w:p>
    <w:p>
      <w:pPr>
        <w:ind w:right="40" w:firstLine="1484"/>
        <w:spacing w:after="0" w:line="271" w:lineRule="auto"/>
        <w:rPr>
          <w:sz w:val="20"/>
          <w:szCs w:val="20"/>
          <w:color w:val="auto"/>
        </w:rPr>
      </w:pPr>
      <w:r>
        <w:rPr>
          <w:rFonts w:ascii="Arial" w:cs="Arial" w:eastAsia="Arial" w:hAnsi="Arial"/>
          <w:sz w:val="17"/>
          <w:szCs w:val="17"/>
          <w:b w:val="1"/>
          <w:bCs w:val="1"/>
          <w:color w:val="auto"/>
        </w:rPr>
        <w:t xml:space="preserve">4.6.2 </w:t>
      </w:r>
      <w:r>
        <w:rPr>
          <w:rFonts w:ascii="Arial" w:cs="Arial" w:eastAsia="Arial" w:hAnsi="Arial"/>
          <w:sz w:val="17"/>
          <w:szCs w:val="17"/>
          <w:i w:val="1"/>
          <w:iCs w:val="1"/>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shall mean any of the following actions: (i) the assignment to Executive of any duties or responsibilities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results in a material diminution in Executive’s function as in effect immediately prior to the effective date of the Change in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change in Executive’s title or reporting relationships shall not provide the basis for a voluntary termination with Good Reason; (ii) a reduction by the Company in Executive’s annual base salary as in effect on the effective date of the Change in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Good Reason shall not be deemed to have occurred in the event of a 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w:t>
      </w:r>
    </w:p>
    <w:p>
      <w:pPr>
        <w:sectPr>
          <w:pgSz w:w="11900" w:h="16838" w:orient="portrait"/>
          <w:cols w:equalWidth="0" w:num="1">
            <w:col w:w="11400"/>
          </w:cols>
          <w:pgMar w:left="240" w:top="273" w:right="259" w:bottom="1440" w:gutter="0" w:footer="0" w:header="0"/>
        </w:sectPr>
      </w:pPr>
    </w:p>
    <w:bookmarkStart w:id="426" w:name="page427"/>
    <w:bookmarkEnd w:id="426"/>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Survival of Certain Sections. </w:t>
      </w:r>
      <w:r>
        <w:rPr>
          <w:rFonts w:ascii="Arial" w:cs="Arial" w:eastAsia="Arial" w:hAnsi="Arial"/>
          <w:sz w:val="17"/>
          <w:szCs w:val="17"/>
          <w:color w:val="auto"/>
        </w:rPr>
        <w:t>Sections 2, 3.4 and 4 through 18 of this Agreement will survive the termination of this Agreement.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4.8 Parachute Payment. </w:t>
      </w:r>
      <w:r>
        <w:rPr>
          <w:rFonts w:ascii="Arial" w:cs="Arial" w:eastAsia="Arial" w:hAnsi="Arial"/>
          <w:sz w:val="17"/>
          <w:szCs w:val="17"/>
          <w:color w:val="auto"/>
        </w:rPr>
        <w:t>If any payment or benefit Executive would receive pursuant to this Agreement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w:t>
      </w:r>
      <w:r>
        <w:rPr>
          <w:rFonts w:ascii="Arial" w:cs="Arial" w:eastAsia="Arial" w:hAnsi="Arial"/>
          <w:sz w:val="17"/>
          <w:szCs w:val="17"/>
          <w:b w:val="1"/>
          <w:bCs w:val="1"/>
          <w:i w:val="1"/>
          <w:iCs w:val="1"/>
          <w:color w:val="auto"/>
        </w:rPr>
        <w:t>Payment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280G of the Internal Revenue Code of 1986, as amended (the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Code</w:t>
      </w:r>
      <w:r>
        <w:rPr>
          <w:rFonts w:ascii="Arial" w:cs="Arial" w:eastAsia="Arial" w:hAnsi="Arial"/>
          <w:sz w:val="16"/>
          <w:szCs w:val="16"/>
          <w:i w:val="1"/>
          <w:iCs w:val="1"/>
          <w:color w:val="auto"/>
        </w:rPr>
        <w:t xml:space="preserve">”), </w:t>
      </w:r>
      <w:r>
        <w:rPr>
          <w:rFonts w:ascii="Arial" w:cs="Arial" w:eastAsia="Arial" w:hAnsi="Arial"/>
          <w:sz w:val="16"/>
          <w:szCs w:val="16"/>
          <w:color w:val="auto"/>
        </w:rPr>
        <w:t>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subject to the excise tax imposed by Section 4999 of the Code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Excise Tax</w:t>
      </w:r>
      <w:r>
        <w:rPr>
          <w:rFonts w:ascii="Arial" w:cs="Arial" w:eastAsia="Arial" w:hAnsi="Arial"/>
          <w:sz w:val="16"/>
          <w:szCs w:val="16"/>
          <w:i w:val="1"/>
          <w:iCs w:val="1"/>
          <w:color w:val="auto"/>
        </w:rPr>
        <w:t>”),</w:t>
      </w:r>
      <w:r>
        <w:rPr>
          <w:rFonts w:ascii="Arial" w:cs="Arial" w:eastAsia="Arial" w:hAnsi="Arial"/>
          <w:sz w:val="16"/>
          <w:szCs w:val="16"/>
          <w:color w:val="auto"/>
        </w:rPr>
        <w:t xml:space="preserve"> then such Payment shall be equal to the Reduced Amount.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taxes, and the Excise Tax (all computed at the highest applicable marginal rate), results in Executive’s receipt, on an after-tax basis, of the greatest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 for Executive. If more than one method of reduction will result in the same economic benefit, the items so reduced will be reduced pro rata.</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it is subsequently determined by the Internal Revenue Service that some portion of the Reduced Amount (as determined pursuant to clause</w:t>
      </w:r>
    </w:p>
    <w:p>
      <w:pPr>
        <w:spacing w:after="0" w:line="46" w:lineRule="exact"/>
        <w:rPr>
          <w:sz w:val="20"/>
          <w:szCs w:val="20"/>
          <w:color w:val="auto"/>
        </w:rPr>
      </w:pPr>
    </w:p>
    <w:p>
      <w:pPr>
        <w:jc w:val="both"/>
        <w:ind w:right="160" w:firstLine="8"/>
        <w:spacing w:after="0" w:line="281" w:lineRule="auto"/>
        <w:tabs>
          <w:tab w:leader="none" w:pos="25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Executive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preceding paragraph, Executive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Executive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shall use commercially reasonable efforts such that the accounting, law or consulting firm engaged to make the determinations hereunder shall provide its calculations, together with detailed supporting documentation, to Executive and the Company within 15 calendar days after the date on which Executive’s right to a Payment is triggered (if requested at that time by Executive or the Company) or such other time as requested by Executive or the Company.</w:t>
      </w:r>
    </w:p>
    <w:p>
      <w:pPr>
        <w:spacing w:after="0" w:line="183"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4.9 Application of Internal Revenue Code Section 409A. </w:t>
      </w:r>
      <w:r>
        <w:rPr>
          <w:rFonts w:ascii="Arial" w:cs="Arial" w:eastAsia="Arial" w:hAnsi="Arial"/>
          <w:sz w:val="18"/>
          <w:szCs w:val="18"/>
          <w:color w:val="auto"/>
        </w:rPr>
        <w:t>Notwithstanding anything to the contrary set forth herein, any payments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under this Agreement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Severance Benefits</w:t>
      </w:r>
      <w:r>
        <w:rPr>
          <w:rFonts w:ascii="Arial" w:cs="Arial" w:eastAsia="Arial" w:hAnsi="Arial"/>
          <w:sz w:val="18"/>
          <w:szCs w:val="18"/>
          <w:i w:val="1"/>
          <w:iCs w:val="1"/>
          <w:color w:val="auto"/>
        </w:rPr>
        <w:t>”)</w:t>
      </w:r>
      <w:r>
        <w:rPr>
          <w:rFonts w:ascii="Arial" w:cs="Arial" w:eastAsia="Arial" w:hAnsi="Arial"/>
          <w:sz w:val="18"/>
          <w:szCs w:val="18"/>
          <w:color w:val="auto"/>
        </w:rPr>
        <w:t xml:space="preserve"> that constitute “deferred compensation” within the meaning of Section 409A of the Code and the regulations and other guidance thereunder and any state law of similar effect (collectively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i w:val="1"/>
          <w:iCs w:val="1"/>
          <w:color w:val="auto"/>
        </w:rPr>
        <w:t>”)</w:t>
      </w:r>
      <w:r>
        <w:rPr>
          <w:rFonts w:ascii="Arial" w:cs="Arial" w:eastAsia="Arial" w:hAnsi="Arial"/>
          <w:sz w:val="18"/>
          <w:szCs w:val="18"/>
          <w:color w:val="auto"/>
        </w:rPr>
        <w:t xml:space="preserve"> shall not commence in connection with Executive’s termination of employment unless and until Executive has also incurred a</w:t>
      </w:r>
    </w:p>
    <w:p>
      <w:pPr>
        <w:sectPr>
          <w:pgSz w:w="11900" w:h="16838" w:orient="portrait"/>
          <w:cols w:equalWidth="0" w:num="1">
            <w:col w:w="11420"/>
          </w:cols>
          <w:pgMar w:left="240" w:top="270" w:right="239" w:bottom="1440" w:gutter="0" w:footer="0" w:header="0"/>
        </w:sectPr>
      </w:pPr>
    </w:p>
    <w:bookmarkStart w:id="427" w:name="page428"/>
    <w:bookmarkEnd w:id="427"/>
    <w:p>
      <w:pPr>
        <w:ind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“separation from service” (as such term is defined in Treasury Regulation Section 1.409A-l (h)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Separation From Service</w:t>
      </w:r>
      <w:r>
        <w:rPr>
          <w:rFonts w:ascii="Arial" w:cs="Arial" w:eastAsia="Arial" w:hAnsi="Arial"/>
          <w:sz w:val="16"/>
          <w:szCs w:val="16"/>
          <w:i w:val="1"/>
          <w:iCs w:val="1"/>
          <w:color w:val="auto"/>
        </w:rPr>
        <w:t>”),</w:t>
      </w:r>
      <w:r>
        <w:rPr>
          <w:rFonts w:ascii="Arial" w:cs="Arial" w:eastAsia="Arial" w:hAnsi="Arial"/>
          <w:sz w:val="16"/>
          <w:szCs w:val="16"/>
          <w:color w:val="auto"/>
        </w:rPr>
        <w:t xml:space="preserve"> unless the Company reasonably determines that such amounts may be provided to Executive without causing Executive to incur the additional 20% tax under Section 409A.</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It is intended that each installment of the Severance Benefits payments provided for in this Agreement is a separate “payment” for purposes of Treasury Regulation Section 1.409A- 2(b)(2)(i). For the avoidance of doubt, it is intended that payments of the Severance Benefits set forth in this Agreement satisfy, to the greatest extent possible, the exemptions from the application of Section 409A provided under Treasury Regulation Sections 1.409A-l (b)(4), l.409A-l (b)(5) and 1.409A-l (b)(9). However, if the Company (or, if applicable, the successor entity thereto) determines that the Severance Benefits constitute “deferred compensation” under Section 409A and Executive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Executive’s Separation From Service, or (ii) the date of Executive’s death (such applicable date,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Specified Employee Initial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the successor entity thereto, as applicable) shall (A) pay to Executive a lump sum amount equal to the sum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Benefit payments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6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anything to the contrary set forth herein, Executive shall receive the Severance Benefits described above, if and only if Executive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Executive the Severance Benefits Executive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CONFIDENTIAL AND PROPRIETARY INFORMATION.</w:t>
      </w:r>
    </w:p>
    <w:p>
      <w:pPr>
        <w:spacing w:after="0" w:line="12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 xml:space="preserve">Executive has already executed, as a condition of Executive’s employment with the Company, the Company’s standard form of Proprietary Information and Inventions Agreement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PIIA</w:t>
      </w:r>
      <w:r>
        <w:rPr>
          <w:rFonts w:ascii="Arial" w:cs="Arial" w:eastAsia="Arial" w:hAnsi="Arial"/>
          <w:sz w:val="18"/>
          <w:szCs w:val="18"/>
          <w:i w:val="1"/>
          <w:iCs w:val="1"/>
          <w:color w:val="auto"/>
        </w:rPr>
        <w:t>”).</w:t>
      </w:r>
      <w:r>
        <w:rPr>
          <w:rFonts w:ascii="Arial" w:cs="Arial" w:eastAsia="Arial" w:hAnsi="Arial"/>
          <w:sz w:val="18"/>
          <w:szCs w:val="18"/>
          <w:color w:val="auto"/>
        </w:rPr>
        <w:t xml:space="preserve"> The PIIA remains in full force and effect.</w:t>
      </w:r>
    </w:p>
    <w:p>
      <w:pPr>
        <w:sectPr>
          <w:pgSz w:w="11900" w:h="16838" w:orient="portrait"/>
          <w:cols w:equalWidth="0" w:num="1">
            <w:col w:w="11400"/>
          </w:cols>
          <w:pgMar w:left="240" w:top="273" w:right="259" w:bottom="1440" w:gutter="0" w:footer="0" w:header="0"/>
        </w:sectPr>
      </w:pPr>
    </w:p>
    <w:bookmarkStart w:id="428" w:name="page429"/>
    <w:bookmarkEnd w:id="42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ASSIGNMENT AND BINDING EFFECT.</w:t>
      </w:r>
    </w:p>
    <w:p>
      <w:pPr>
        <w:spacing w:after="0" w:line="121"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This Agreement shall be binding upon and inure to the benefit of Executive and Executive’s heirs, executors, personal representatives, assigns, administrators and legal representatives. Because of the unique and personal nature of Executive’s duties under this Agreement, neither this Agreement nor any rights or obligations under this Agreement shall be assignable by Executive.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NOTICES.</w:t>
      </w:r>
    </w:p>
    <w:p>
      <w:pPr>
        <w:spacing w:after="0" w:line="121"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Executive under this Agreement shall be given in writing and shall be personally delivered (and receipted for) or faxed during normal business hours or mailed by certified mail, return receipt requested, postage prepaid, addressed as follows:</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Chairman of the Board</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If to Executive: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David King</w:t>
      </w:r>
    </w:p>
    <w:p>
      <w:pPr>
        <w:spacing w:after="0" w:line="200" w:lineRule="exact"/>
        <w:rPr>
          <w:sz w:val="20"/>
          <w:szCs w:val="20"/>
          <w:color w:val="auto"/>
        </w:rPr>
      </w:pP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CHOICE OF LAW.</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INTEGRATION.</w:t>
      </w:r>
    </w:p>
    <w:p>
      <w:pPr>
        <w:spacing w:after="0" w:line="117"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Executive’s employment and the termination of Executive’s employment, and supersedes any and all prior</w:t>
      </w:r>
    </w:p>
    <w:p>
      <w:pPr>
        <w:sectPr>
          <w:pgSz w:w="11900" w:h="16838" w:orient="portrait"/>
          <w:cols w:equalWidth="0" w:num="1">
            <w:col w:w="11320"/>
          </w:cols>
          <w:pgMar w:left="240" w:top="270" w:right="33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and/or contemporaneous oral and written employment agreements or arrangements between the Parties.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AMENDMENT.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Executive and the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WAIVER.</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SEVERABILITY.</w:t>
      </w:r>
    </w:p>
    <w:p>
      <w:pPr>
        <w:spacing w:after="0" w:line="12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INTERPRETATION; CONSTRUCTION.</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REPRESENTATIONS AND WARRANTIES.</w:t>
      </w:r>
    </w:p>
    <w:p>
      <w:pPr>
        <w:spacing w:after="0" w:line="121"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COUNTERPARTS.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This Agreement may be executed in two counterparts, each of which shall be deemed an original, all of which together shall contribute one and the same instrument.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ARBITRATION.</w:t>
      </w:r>
    </w:p>
    <w:p>
      <w:pPr>
        <w:spacing w:after="0" w:line="121"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 xml:space="preserve">To ensure the rapid and economical resolution of disputes that may arise in connection with Executive’s employment with the Company, Executive and the Company agree that any and all disputes, claims, or causes of action, in law or equity, arising from or relating to Executive’s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Services/Undisputed, Inc.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JAMS”</w:t>
      </w:r>
      <w:r>
        <w:rPr>
          <w:rFonts w:ascii="Arial" w:cs="Arial" w:eastAsia="Arial" w:hAnsi="Arial"/>
          <w:sz w:val="16"/>
          <w:szCs w:val="16"/>
          <w:i w:val="1"/>
          <w:iCs w:val="1"/>
          <w:color w:val="auto"/>
        </w:rPr>
        <w:t>),</w:t>
      </w:r>
      <w:r>
        <w:rPr>
          <w:rFonts w:ascii="Arial" w:cs="Arial" w:eastAsia="Arial" w:hAnsi="Arial"/>
          <w:sz w:val="16"/>
          <w:szCs w:val="16"/>
          <w:color w:val="auto"/>
        </w:rPr>
        <w:t xml:space="preserve"> or its successors, under the then current rules of JAMS for employment disputes; provided that the arbitrator shall:</w:t>
      </w:r>
    </w:p>
    <w:p>
      <w:pPr>
        <w:spacing w:after="0" w:line="2" w:lineRule="exact"/>
        <w:rPr>
          <w:sz w:val="20"/>
          <w:szCs w:val="20"/>
          <w:color w:val="auto"/>
        </w:rPr>
      </w:pPr>
    </w:p>
    <w:p>
      <w:pPr>
        <w:ind w:left="260" w:hanging="252"/>
        <w:spacing w:after="0"/>
        <w:tabs>
          <w:tab w:leader="none" w:pos="26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have the authority to compel adequate discovery for the resolution of the dispute and to award such relief as would otherwise be permitted by law; and</w:t>
      </w:r>
    </w:p>
    <w:p>
      <w:pPr>
        <w:spacing w:after="0" w:line="32" w:lineRule="exact"/>
        <w:rPr>
          <w:rFonts w:ascii="Arial" w:cs="Arial" w:eastAsia="Arial" w:hAnsi="Arial"/>
          <w:sz w:val="16"/>
          <w:szCs w:val="16"/>
          <w:color w:val="auto"/>
        </w:rPr>
      </w:pPr>
    </w:p>
    <w:p>
      <w:pPr>
        <w:jc w:val="both"/>
        <w:ind w:right="60" w:firstLine="8"/>
        <w:spacing w:after="0" w:line="255" w:lineRule="auto"/>
        <w:tabs>
          <w:tab w:leader="none" w:pos="25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issue a written arbitration decision including the arbitrator’s essential findings and conclusions and a statement of the award. Accordingly, Executive and the Company hereby waive any right to a jury trial. Both Executive and the Company shall be entitled to all rights and remedies that either Executive or the Company would be entitled to pursue in a</w:t>
      </w:r>
    </w:p>
    <w:p>
      <w:pPr>
        <w:sectPr>
          <w:pgSz w:w="11900" w:h="16838" w:orient="portrait"/>
          <w:cols w:equalWidth="0" w:num="1">
            <w:col w:w="11340"/>
          </w:cols>
          <w:pgMar w:left="240" w:top="274" w:right="319" w:bottom="1440" w:gutter="0" w:footer="0" w:header="0"/>
        </w:sectPr>
      </w:pPr>
    </w:p>
    <w:bookmarkStart w:id="430" w:name="page431"/>
    <w:bookmarkEnd w:id="4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court of law. The Company shall pay any JAMS filing fee and shall pay the arbitrator’s fee.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involving confidential, proprietary or trade secret information, or intellectual property rights, by Court action instead of arbitration.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TRADE SECRETS OF OTHERS.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It is the understanding of both the Company and Executive that Executive shall not divulge to the Company and/or its subsidiaries any confidential information or trade secrets belonging to others, including Executive’s former employers, nor shall the Company and/or its Affiliates seek to elicit from Executive any such information. Consistent with the foregoing, Executive shall not provide to the Company and/or its Affiliates, and the Company and/or its Affiliates shall not request, any documents or copies of documents containing such information.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ADVERTISING WAIVER.</w:t>
      </w:r>
    </w:p>
    <w:p>
      <w:pPr>
        <w:spacing w:after="0" w:line="121"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Executive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Executive’s name and/or pictures of Executive taken in the course of Executive’s provision of services to the Company appear. Executive hereby waives and releases any claim or right Executive may otherwise have arising out of such use, publication or distribution.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80"/>
          </w:cols>
          <w:pgMar w:left="240" w:top="273" w:right="279" w:bottom="1440" w:gutter="0" w:footer="0" w:header="0"/>
        </w:sectPr>
      </w:pPr>
    </w:p>
    <w:bookmarkStart w:id="431" w:name="page432"/>
    <w:bookmarkEnd w:id="43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have executed this Agreement as of the dates below.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Hamza Suria</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Its:</w:t>
        <w:tab/>
        <w:t>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6</w:t>
      </w:r>
      <w:r>
        <w:rPr>
          <w:rFonts w:ascii="Arial" w:cs="Arial" w:eastAsia="Arial" w:hAnsi="Arial"/>
          <w:sz w:val="15"/>
          <w:szCs w:val="15"/>
          <w:color w:val="auto"/>
        </w:rPr>
        <w:t>th</w:t>
      </w:r>
      <w:r>
        <w:rPr>
          <w:rFonts w:ascii="Arial" w:cs="Arial" w:eastAsia="Arial" w:hAnsi="Arial"/>
          <w:sz w:val="18"/>
          <w:szCs w:val="18"/>
          <w:color w:val="auto"/>
        </w:rPr>
        <w:t xml:space="preserv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-130810</wp:posOffset>
            </wp:positionV>
            <wp:extent cx="26498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AVID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6</w:t>
      </w:r>
      <w:r>
        <w:rPr>
          <w:rFonts w:ascii="Arial" w:cs="Arial" w:eastAsia="Arial" w:hAnsi="Arial"/>
          <w:sz w:val="13"/>
          <w:szCs w:val="13"/>
          <w:color w:val="auto"/>
        </w:rPr>
        <w:t>th</w:t>
      </w:r>
      <w:r>
        <w:rPr>
          <w:rFonts w:ascii="Arial" w:cs="Arial" w:eastAsia="Arial" w:hAnsi="Arial"/>
          <w:sz w:val="16"/>
          <w:szCs w:val="16"/>
          <w:color w:val="auto"/>
        </w:rPr>
        <w:t xml:space="preserve"> January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AND WAIVER OF CLAIMS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In consideration of the payments and other benefits set forth in the Employment Agreement effective January 1, 2012, to which this form is attached, I, David King, hereby furnish </w:t>
      </w:r>
      <w:r>
        <w:rPr>
          <w:rFonts w:ascii="Arial" w:cs="Arial" w:eastAsia="Arial" w:hAnsi="Arial"/>
          <w:sz w:val="17"/>
          <w:szCs w:val="17"/>
          <w:b w:val="1"/>
          <w:bCs w:val="1"/>
          <w:color w:val="auto"/>
        </w:rPr>
        <w:t>ANAPTYSBIO, INC.</w:t>
      </w:r>
      <w:r>
        <w:rPr>
          <w:rFonts w:ascii="Arial" w:cs="Arial" w:eastAsia="Arial" w:hAnsi="Arial"/>
          <w:sz w:val="17"/>
          <w:szCs w:val="17"/>
          <w:color w:val="auto"/>
        </w:rPr>
        <w:t xml:space="preserv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 xml:space="preserve"> with the following release and waiver </w:t>
      </w:r>
      <w:r>
        <w:rPr>
          <w:rFonts w:ascii="Arial" w:cs="Arial" w:eastAsia="Arial" w:hAnsi="Arial"/>
          <w:sz w:val="17"/>
          <w:szCs w:val="17"/>
          <w:i w:val="1"/>
          <w:iCs w:val="1"/>
          <w:color w:val="auto"/>
        </w:rPr>
        <w:t>( “</w:t>
      </w:r>
      <w:r>
        <w:rPr>
          <w:rFonts w:ascii="Arial" w:cs="Arial" w:eastAsia="Arial" w:hAnsi="Arial"/>
          <w:sz w:val="17"/>
          <w:szCs w:val="17"/>
          <w:b w:val="1"/>
          <w:bCs w:val="1"/>
          <w:i w:val="1"/>
          <w:iCs w:val="1"/>
          <w:color w:val="auto"/>
        </w:rPr>
        <w:t>Release and Waiver</w:t>
      </w:r>
      <w:r>
        <w:rPr>
          <w:rFonts w:ascii="Arial" w:cs="Arial" w:eastAsia="Arial" w:hAnsi="Arial"/>
          <w:sz w:val="17"/>
          <w:szCs w:val="17"/>
          <w:i w:val="1"/>
          <w:iCs w:val="1"/>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exchange for the consideration provided to me by the Employment Agreement that I am not otherwise entitled to receive, I hereby generally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completely release the Company and its current and former directors, officers, employees, stockholders, partners, agents, attorneys, predecessors,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parent and subsidiary entities, insurers, affiliates, and assigns (collectively,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Released Parties</w:t>
      </w:r>
      <w:r>
        <w:rPr>
          <w:rFonts w:ascii="Arial" w:cs="Arial" w:eastAsia="Arial" w:hAnsi="Arial"/>
          <w:sz w:val="16"/>
          <w:szCs w:val="16"/>
          <w:i w:val="1"/>
          <w:iCs w:val="1"/>
          <w:color w:val="auto"/>
        </w:rPr>
        <w:t>”)</w:t>
      </w:r>
      <w:r>
        <w:rPr>
          <w:rFonts w:ascii="Arial" w:cs="Arial" w:eastAsia="Arial" w:hAnsi="Arial"/>
          <w:sz w:val="16"/>
          <w:szCs w:val="16"/>
          <w:color w:val="auto"/>
        </w:rPr>
        <w:t xml:space="preserve"> from any and all claims, liabilities and obligations, both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known and unknown, that arise out of or are in any way related to events, acts, conduct, or omissions occurring prior to or on the date that I sign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(collectively,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Released Claims</w:t>
      </w:r>
      <w:r>
        <w:rPr>
          <w:rFonts w:ascii="Arial" w:cs="Arial" w:eastAsia="Arial" w:hAnsi="Arial"/>
          <w:sz w:val="16"/>
          <w:szCs w:val="16"/>
          <w:i w:val="1"/>
          <w:iCs w:val="1"/>
          <w:color w:val="auto"/>
        </w:rPr>
        <w:t>”).</w:t>
      </w:r>
      <w:r>
        <w:rPr>
          <w:rFonts w:ascii="Arial" w:cs="Arial" w:eastAsia="Arial" w:hAnsi="Arial"/>
          <w:sz w:val="16"/>
          <w:szCs w:val="16"/>
          <w:color w:val="auto"/>
        </w:rPr>
        <w:t xml:space="preserve"> The Released Claims include, but are not limited to: (a) all claims arising out of or in any way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my employment with the Company, or the termination of that employment; (b) all claims related to my compensation or benefits from the Company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bonuses, commissions, vacation pay, expense reimbursements, severance pay, fringe benefits, stock, stock options, or any other ownership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 all claims for breach of contract, wrongful termination, and breach of the implied covenant of good faith and fair dealing; (d) all tort claims,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fraud, defamation, emotional distress, and discharge in violation of public policy; and (e) all federal, state, and local statutory claims,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discrimination, harassment, retaliation, misclassification, attorneys’ fees, or other claims arising under the federal Civil Rights Act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1964 (as amended), the federal Americans with Disabilities Act of 1990, the federal Age Discrimination in Employment Act of 1967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ADEA</w:t>
      </w:r>
      <w:r>
        <w:rPr>
          <w:rFonts w:ascii="Arial" w:cs="Arial" w:eastAsia="Arial" w:hAnsi="Arial"/>
          <w:sz w:val="16"/>
          <w:szCs w:val="16"/>
          <w:i w:val="1"/>
          <w:iCs w:val="1"/>
          <w:color w:val="auto"/>
        </w:rPr>
        <w:t xml:space="preserve">”), </w:t>
      </w:r>
      <w:r>
        <w:rPr>
          <w:rFonts w:ascii="Arial" w:cs="Arial" w:eastAsia="Arial" w:hAnsi="Arial"/>
          <w:sz w:val="16"/>
          <w:szCs w:val="16"/>
          <w:color w:val="auto"/>
        </w:rPr>
        <w:t>the California Labor Code, and the California Fair Employment and Housing Act (as amended). Notwithstanding the foregoing, the following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 included in the Released Claims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Excluded Claims</w:t>
      </w:r>
      <w:r>
        <w:rPr>
          <w:rFonts w:ascii="Arial" w:cs="Arial" w:eastAsia="Arial" w:hAnsi="Arial"/>
          <w:sz w:val="16"/>
          <w:szCs w:val="16"/>
          <w:i w:val="1"/>
          <w:iCs w:val="1"/>
          <w:color w:val="auto"/>
        </w:rPr>
        <w:t>”):</w:t>
      </w:r>
      <w:r>
        <w:rPr>
          <w:rFonts w:ascii="Arial" w:cs="Arial" w:eastAsia="Arial" w:hAnsi="Arial"/>
          <w:sz w:val="16"/>
          <w:szCs w:val="16"/>
          <w:color w:val="auto"/>
        </w:rPr>
        <w:t xml:space="preserve"> (a) any rights or claims for indemnification I may have pursuant to the charter or bylaws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under applicable law; (b) any rights or claims to unemployment compensation, funds accrued in my 401k account, or any vested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incentives; (c) any rights that are not waivable as a matter of law; or (d) any claims arising from the breach of this Agreement. I hereby represent and warrant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other than the Excluded Claims, I am not aware of any claims I have or might have against any of the Released Parties that are not included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 not</w:t>
      </w:r>
      <w:r>
        <w:rPr>
          <w:rFonts w:ascii="Arial" w:cs="Arial" w:eastAsia="Arial" w:hAnsi="Arial"/>
          <w:sz w:val="16"/>
          <w:szCs w:val="16"/>
          <w:color w:val="auto"/>
        </w:rPr>
        <w:t xml:space="preserve"> </w:t>
      </w:r>
      <w:r>
        <w:rPr>
          <w:rFonts w:ascii="Arial" w:cs="Arial" w:eastAsia="Arial" w:hAnsi="Arial"/>
          <w:sz w:val="16"/>
          <w:szCs w:val="16"/>
          <w:b w:val="1"/>
          <w:bCs w:val="1"/>
          <w:color w:val="auto"/>
        </w:rPr>
        <w:t>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00"/>
          </w:cols>
          <w:pgMar w:left="240" w:top="270" w:right="259" w:bottom="1440" w:gutter="0" w:footer="0" w:header="0"/>
        </w:sectPr>
      </w:pPr>
    </w:p>
    <w:bookmarkStart w:id="433" w:name="page434"/>
    <w:bookmarkEnd w:id="433"/>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(b)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89"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696341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34" w:name="page435"/>
    <w:bookmarkEnd w:id="43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AMENDMENT NO. 1 TO EMPLOYMENT AGREEMENT</w:t>
      </w:r>
      <w:r>
        <w:rPr>
          <w:rFonts w:ascii="Arial" w:cs="Arial" w:eastAsia="Arial" w:hAnsi="Arial"/>
          <w:sz w:val="16"/>
          <w:szCs w:val="16"/>
          <w:color w:val="auto"/>
        </w:rPr>
        <w:t xml:space="preserve">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is entered into as of October 4</w:t>
      </w:r>
      <w:r>
        <w:rPr>
          <w:rFonts w:ascii="Arial" w:cs="Arial" w:eastAsia="Arial" w:hAnsi="Arial"/>
          <w:sz w:val="13"/>
          <w:szCs w:val="13"/>
          <w:color w:val="auto"/>
        </w:rPr>
        <w:t>th</w:t>
      </w:r>
      <w:r>
        <w:rPr>
          <w:rFonts w:ascii="Arial" w:cs="Arial" w:eastAsia="Arial" w:hAnsi="Arial"/>
          <w:sz w:val="16"/>
          <w:szCs w:val="16"/>
          <w:color w:val="auto"/>
        </w:rPr>
        <w:t xml:space="preserve">, 2012, by and between </w:t>
      </w:r>
      <w:r>
        <w:rPr>
          <w:rFonts w:ascii="Arial" w:cs="Arial" w:eastAsia="Arial" w:hAnsi="Arial"/>
          <w:sz w:val="16"/>
          <w:szCs w:val="16"/>
          <w:b w:val="1"/>
          <w:bCs w:val="1"/>
          <w:color w:val="auto"/>
        </w:rPr>
        <w:t xml:space="preserve">ANAPTYSBIO, INC.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David King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Capitalized terms used but not defined herein shall have the meanings ascribed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them in that certain Employment Agreement, dated January 1, 2012, by and between the Company and the Executive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10 of the Agreement provides that the Agreement cannot be amended or modified except by a written agreement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desire to amend the Agreement as set forth herein.</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99" w:lineRule="exact"/>
        <w:rPr>
          <w:sz w:val="20"/>
          <w:szCs w:val="20"/>
          <w:color w:val="auto"/>
        </w:rPr>
      </w:pPr>
    </w:p>
    <w:p>
      <w:pPr>
        <w:ind w:right="140" w:firstLine="464"/>
        <w:spacing w:after="0" w:line="282" w:lineRule="auto"/>
        <w:tabs>
          <w:tab w:leader="none" w:pos="636"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OF SECTION 4.5.3. </w:t>
      </w:r>
      <w:r>
        <w:rPr>
          <w:rFonts w:ascii="Arial" w:cs="Arial" w:eastAsia="Arial" w:hAnsi="Arial"/>
          <w:sz w:val="18"/>
          <w:szCs w:val="18"/>
          <w:color w:val="auto"/>
        </w:rPr>
        <w:t>Section 4.5.3. of the Agreement is hereby amended by striking the reference to “six months”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of “Severance Period” and replacing it with “nine months”.</w:t>
      </w:r>
    </w:p>
    <w:p>
      <w:pPr>
        <w:spacing w:after="0" w:line="53" w:lineRule="exact"/>
        <w:rPr>
          <w:rFonts w:ascii="Arial" w:cs="Arial" w:eastAsia="Arial" w:hAnsi="Arial"/>
          <w:sz w:val="18"/>
          <w:szCs w:val="18"/>
          <w:b w:val="1"/>
          <w:bCs w:val="1"/>
          <w:color w:val="auto"/>
        </w:rPr>
      </w:pPr>
    </w:p>
    <w:p>
      <w:pPr>
        <w:ind w:left="640" w:hanging="176"/>
        <w:spacing w:after="0"/>
        <w:tabs>
          <w:tab w:leader="none" w:pos="64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440" w:firstLine="913"/>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This Amendment shall be construed and interpreted in accordance with the internal laws of the State of California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principles.</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Except as set forth herein, the Agreement shall remain unchanged and in full force and effect in accordance with its terms.</w:t>
      </w:r>
    </w:p>
    <w:p>
      <w:pPr>
        <w:spacing w:after="0" w:line="117"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This Amendment may be executed in counterparts, each of which shall be deemed an original, and a11 of which together shall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same instrument. Facsimile and electronic signatures shall be as effective as original signatures.</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40"/>
          </w:cols>
          <w:pgMar w:left="240" w:top="270" w:right="319" w:bottom="1440" w:gutter="0" w:footer="0" w:header="0"/>
        </w:sectPr>
      </w:pPr>
    </w:p>
    <w:bookmarkStart w:id="435" w:name="page436"/>
    <w:bookmarkEnd w:id="43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as of the date first set forth above.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Hamza Suria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27101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-130810</wp:posOffset>
            </wp:positionV>
            <wp:extent cx="27101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AVID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2" w:lineRule="exact"/>
        <w:rPr>
          <w:sz w:val="20"/>
          <w:szCs w:val="20"/>
          <w:color w:val="auto"/>
        </w:rPr>
      </w:pPr>
    </w:p>
    <w:p>
      <w:pPr>
        <w:jc w:val="right"/>
        <w:ind w:right="1339"/>
        <w:spacing w:after="0"/>
        <w:rPr>
          <w:sz w:val="20"/>
          <w:szCs w:val="20"/>
          <w:color w:val="auto"/>
        </w:rPr>
      </w:pPr>
      <w:r>
        <w:rPr>
          <w:rFonts w:ascii="Arial" w:cs="Arial" w:eastAsia="Arial" w:hAnsi="Arial"/>
          <w:sz w:val="18"/>
          <w:szCs w:val="18"/>
          <w:color w:val="auto"/>
        </w:rPr>
        <w:t>[SIGNATURE PAGE TO AMENDMENT NO. 1 TO EMPLOYMENT AGREEMENT]</w:t>
      </w:r>
    </w:p>
    <w:p>
      <w:pPr>
        <w:sectPr>
          <w:pgSz w:w="11900" w:h="16838" w:orient="portrait"/>
          <w:cols w:equalWidth="0" w:num="1">
            <w:col w:w="10219"/>
          </w:cols>
          <w:pgMar w:left="240" w:top="269" w:right="1440"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Consulting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May 1,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between AnaptysBio,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David King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Company and Consultant desire to have Consultant perform services for Company, subject to and in accordance with the terms and conditions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THEREFORE, the parties agree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80" w:hanging="372"/>
        <w:spacing w:after="0"/>
        <w:tabs>
          <w:tab w:leader="none" w:pos="38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Performance of Services</w:t>
      </w:r>
      <w:r>
        <w:rPr>
          <w:rFonts w:ascii="Arial" w:cs="Arial" w:eastAsia="Arial" w:hAnsi="Arial"/>
          <w:sz w:val="18"/>
          <w:szCs w:val="18"/>
          <w:color w:val="auto"/>
        </w:rPr>
        <w:t xml:space="preserve">. Consultant will perform the services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in accordance with the terms and conditions set forth in this Agreement.</w:t>
      </w:r>
    </w:p>
    <w:p>
      <w:pPr>
        <w:spacing w:after="0" w:line="326" w:lineRule="exact"/>
        <w:rPr>
          <w:sz w:val="20"/>
          <w:szCs w:val="20"/>
          <w:color w:val="auto"/>
        </w:rPr>
      </w:pPr>
    </w:p>
    <w:p>
      <w:pPr>
        <w:ind w:left="380" w:hanging="372"/>
        <w:spacing w:after="0"/>
        <w:tabs>
          <w:tab w:leader="none" w:pos="38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Compensation</w:t>
      </w:r>
      <w:r>
        <w:rPr>
          <w:rFonts w:ascii="Arial" w:cs="Arial" w:eastAsia="Arial" w:hAnsi="Arial"/>
          <w:sz w:val="18"/>
          <w:szCs w:val="18"/>
          <w:color w:val="auto"/>
        </w:rPr>
        <w:t>. As Consultant’s sole compensation for the performance of Services, Company shall modify the Consultant’s stock option grants as reflected in Exhibit A.</w:t>
      </w:r>
    </w:p>
    <w:p>
      <w:pPr>
        <w:spacing w:after="0" w:line="326" w:lineRule="exact"/>
        <w:rPr>
          <w:sz w:val="20"/>
          <w:szCs w:val="20"/>
          <w:color w:val="auto"/>
        </w:rPr>
      </w:pPr>
    </w:p>
    <w:p>
      <w:pPr>
        <w:ind w:left="380" w:hanging="372"/>
        <w:spacing w:after="0"/>
        <w:tabs>
          <w:tab w:leader="none" w:pos="38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OF THE PARTIES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Independent Contractor</w:t>
      </w:r>
      <w:r>
        <w:rPr>
          <w:rFonts w:ascii="Arial" w:cs="Arial" w:eastAsia="Arial" w:hAnsi="Arial"/>
          <w:sz w:val="16"/>
          <w:szCs w:val="16"/>
          <w:color w:val="auto"/>
        </w:rPr>
        <w:t>. Consultant is an independent contractor and nothing in this Agreement will be construed as establishing an employment or agency relationship between Company and Consultant. Consultant has no authority to bind Company by contract or otherwise. Consultant will perform Services under the general direction of Company, but Consultant will determine, in Consultant’s sole discretion, the manner and means by which Services are accomplished, subject to the requirement that Consultant will at all times comply with applicable law.</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Taxes and Employee Benefits</w:t>
      </w:r>
      <w:r>
        <w:rPr>
          <w:rFonts w:ascii="Arial" w:cs="Arial" w:eastAsia="Arial" w:hAnsi="Arial"/>
          <w:sz w:val="16"/>
          <w:szCs w:val="16"/>
          <w:color w:val="auto"/>
        </w:rPr>
        <w:t>. Consultant will report to all applicable government agencies as income all compensation received by Consultant pursuant to this Agreement. Consultant will be solely responsible for payment of all withholding taxes, social security, workers’ compensation, unemployment and disability insurance or similar items required by any government agency. Consultant will indemnify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social security, unemployment or disability insurance or similar items in connection with compensation received by Consultant pursuant to this Agreement.</w:t>
      </w:r>
    </w:p>
    <w:p>
      <w:pPr>
        <w:spacing w:after="0" w:line="17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Liability Insurance</w:t>
      </w:r>
      <w:r>
        <w:rPr>
          <w:rFonts w:ascii="Arial" w:cs="Arial" w:eastAsia="Arial" w:hAnsi="Arial"/>
          <w:sz w:val="18"/>
          <w:szCs w:val="18"/>
          <w:color w:val="auto"/>
        </w:rPr>
        <w:t>. Consultant acknowledges that Company will not carry any liability insurance on behalf of Consultant. Consultant will maintain in force adequate liability insurance to protect Consultant from claims of personal injury (or death) or tangible or intangible property damage (including loss of use) that arise out of any act or omission of Consultant.</w:t>
      </w:r>
    </w:p>
    <w:p>
      <w:pPr>
        <w:spacing w:after="0" w:line="338" w:lineRule="exact"/>
        <w:rPr>
          <w:sz w:val="20"/>
          <w:szCs w:val="20"/>
          <w:color w:val="auto"/>
        </w:rPr>
      </w:pPr>
    </w:p>
    <w:p>
      <w:pPr>
        <w:ind w:left="380" w:hanging="372"/>
        <w:spacing w:after="0"/>
        <w:tabs>
          <w:tab w:leader="none" w:pos="38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Disclosure of Work Product</w:t>
      </w:r>
      <w:r>
        <w:rPr>
          <w:rFonts w:ascii="Arial" w:cs="Arial" w:eastAsia="Arial" w:hAnsi="Arial"/>
          <w:sz w:val="17"/>
          <w:szCs w:val="17"/>
          <w:color w:val="auto"/>
        </w:rPr>
        <w:t>. Consultant will, as an integral part of its performance of Services, disclose in writing to Company all inventions, products, designs, drawings, notes, documents, information, documentation, improvements, works of authorship, processes, techniques, know-how, algorithms, specifications, hardware, circuits, computer programs, databases, user interfaces, encoding techniques, and other materials of any kind that Consultant may make, conceive, develop or reduce to practice, alone or jointly with others, in connection with performing Services, or that result from or that are related to such Services, whether or not they are eligible for patent, copyright, mask work, trade secret, trademark or</w:t>
      </w:r>
    </w:p>
    <w:p>
      <w:pPr>
        <w:spacing w:after="0" w:line="366" w:lineRule="exact"/>
        <w:rPr>
          <w:sz w:val="20"/>
          <w:szCs w:val="20"/>
          <w:color w:val="auto"/>
        </w:rPr>
      </w:pPr>
    </w:p>
    <w:p>
      <w:pPr>
        <w:sectPr>
          <w:pgSz w:w="11900" w:h="16838" w:orient="portrait"/>
          <w:cols w:equalWidth="0" w:num="2">
            <w:col w:w="5440" w:space="380"/>
            <w:col w:w="5600"/>
          </w:cols>
          <w:pgMar w:left="240" w:top="121" w:right="23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437" w:name="page438"/>
    <w:bookmarkEnd w:id="437"/>
    <w:p>
      <w:pPr>
        <w:ind w:right="120"/>
        <w:spacing w:after="0" w:line="286" w:lineRule="auto"/>
        <w:rPr>
          <w:sz w:val="20"/>
          <w:szCs w:val="20"/>
          <w:color w:val="auto"/>
        </w:rPr>
      </w:pPr>
      <w:r>
        <w:rPr>
          <w:rFonts w:ascii="Arial" w:cs="Arial" w:eastAsia="Arial" w:hAnsi="Arial"/>
          <w:sz w:val="17"/>
          <w:szCs w:val="17"/>
          <w:color w:val="auto"/>
        </w:rPr>
        <w:t>other legal protection (collectively, “</w:t>
      </w:r>
      <w:r>
        <w:rPr>
          <w:rFonts w:ascii="Arial" w:cs="Arial" w:eastAsia="Arial" w:hAnsi="Arial"/>
          <w:sz w:val="17"/>
          <w:szCs w:val="17"/>
          <w:b w:val="1"/>
          <w:bCs w:val="1"/>
          <w:i w:val="1"/>
          <w:iCs w:val="1"/>
          <w:color w:val="auto"/>
        </w:rPr>
        <w:t>Consultant Work Product</w:t>
      </w:r>
      <w:r>
        <w:rPr>
          <w:rFonts w:ascii="Arial" w:cs="Arial" w:eastAsia="Arial" w:hAnsi="Arial"/>
          <w:sz w:val="17"/>
          <w:szCs w:val="17"/>
          <w:color w:val="auto"/>
        </w:rPr>
        <w:t>”). Consultant Work Product includes without limitation any deliverables that Consultant delivers to Company pursuant to Section 1.3.</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Ownership of Consultant Work Product</w:t>
      </w:r>
      <w:r>
        <w:rPr>
          <w:rFonts w:ascii="Arial" w:cs="Arial" w:eastAsia="Arial" w:hAnsi="Arial"/>
          <w:sz w:val="16"/>
          <w:szCs w:val="16"/>
          <w:color w:val="auto"/>
        </w:rPr>
        <w:t>. Consultant and Company agree that, to the fullest extent permitted by applicable law, each item of Consultant Work Product will be a work made for hire owned exclusively by Company. Consultant agrees that, regardless of whether an item of Consultant Work Product is a work made for hire, all Consultant Work Product will be the sole and exclusive property of Company. Consultant hereby irrevocably transfers and assigns to Company, and agrees to irrevocably transfer and assign to Company, all right, title and interest in and to the Consultant Work Product, including all worldwide patent rights (including patent applications and disclosures), copyright rights, mask work rights, trade secret rights, know-how, and any and all other intellectual property or proprietary rights (collectively, “</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therein. At Company’s request and expense, during and after the term of this Agreement, Consultant will assist and cooperate with Company in all respects, and will execute documents, and will take such further acts reasonably requested by Company to enable Company to acquire, transfer, maintain, perfect and enforce its Intellectual Property Rights and other legal protections for the Consultant Work Product. Consultant hereby appoints the officers of Company as Consultant’s attorney-in-fact to execute documents on behalf of Consultant for this limited purpose.</w:t>
      </w:r>
    </w:p>
    <w:p>
      <w:pPr>
        <w:spacing w:after="0" w:line="16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Moral Rights</w:t>
      </w:r>
      <w:r>
        <w:rPr>
          <w:rFonts w:ascii="Arial" w:cs="Arial" w:eastAsia="Arial" w:hAnsi="Arial"/>
          <w:sz w:val="18"/>
          <w:szCs w:val="18"/>
          <w:color w:val="auto"/>
        </w:rPr>
        <w:t>. To the fullest extent permitted by applicable law, Consultant also hereby irrevocably transfers and assigns to Company, and agrees to irrevocably transfer and assign to Company, and waives and agrees never to assert, any and all Moral Rights (as defined below) that Consultant may have in or with respect to any Consultant Work Product, during</w:t>
      </w:r>
    </w:p>
    <w:p>
      <w:pPr>
        <w:spacing w:after="0" w:line="20" w:lineRule="exact"/>
        <w:rPr>
          <w:sz w:val="20"/>
          <w:szCs w:val="20"/>
          <w:color w:val="auto"/>
        </w:rPr>
      </w:pPr>
      <w:r>
        <w:rPr>
          <w:sz w:val="20"/>
          <w:szCs w:val="20"/>
          <w:color w:val="auto"/>
        </w:rPr>
        <w:br w:type="column"/>
      </w:r>
    </w:p>
    <w:p>
      <w:pPr>
        <w:ind w:left="160"/>
        <w:spacing w:after="0" w:line="255" w:lineRule="auto"/>
        <w:rPr>
          <w:sz w:val="20"/>
          <w:szCs w:val="20"/>
          <w:color w:val="auto"/>
        </w:rPr>
      </w:pPr>
      <w:r>
        <w:rPr>
          <w:rFonts w:ascii="Arial" w:cs="Arial" w:eastAsia="Arial" w:hAnsi="Arial"/>
          <w:sz w:val="18"/>
          <w:szCs w:val="18"/>
          <w:color w:val="auto"/>
        </w:rPr>
        <w:t>and after the term of this Agreement.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mean any rights to claim authorship of a work, to object to or prevent the modification or destruction of a work, to withdraw from circulation or control the publication or distribution of a work, and any similar right, existing under judicial or statutory law of any country in the world, or under any treaty, regardless of whether or not such right as called or generally referred to as a “moral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-1096645</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9"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Related Rights</w:t>
      </w:r>
      <w:r>
        <w:rPr>
          <w:rFonts w:ascii="Arial" w:cs="Arial" w:eastAsia="Arial" w:hAnsi="Arial"/>
          <w:sz w:val="16"/>
          <w:szCs w:val="16"/>
          <w:color w:val="auto"/>
        </w:rPr>
        <w:t>. To the extent that Consultant owns or controls (presently or in the future) any patent rights, copyright rights, mask work rights, trade secret rights, or any other intellectual property or proprietary rights that may block or interfere with, or may otherwise be required for, the exercise by Company of the rights assigned to Company under this Agreement (collectively, “</w:t>
      </w:r>
      <w:r>
        <w:rPr>
          <w:rFonts w:ascii="Arial" w:cs="Arial" w:eastAsia="Arial" w:hAnsi="Arial"/>
          <w:sz w:val="16"/>
          <w:szCs w:val="16"/>
          <w:b w:val="1"/>
          <w:bCs w:val="1"/>
          <w:i w:val="1"/>
          <w:iCs w:val="1"/>
          <w:color w:val="auto"/>
        </w:rPr>
        <w:t>Related Rights</w:t>
      </w:r>
      <w:r>
        <w:rPr>
          <w:rFonts w:ascii="Arial" w:cs="Arial" w:eastAsia="Arial" w:hAnsi="Arial"/>
          <w:sz w:val="16"/>
          <w:szCs w:val="16"/>
          <w:color w:val="auto"/>
        </w:rPr>
        <w:t>”), Consultant hereby grants or will cause to be granted to Company a non-exclusive, royalty-free, irrevocable, perpetual, transferable, worldwide license (with the right to sublicense)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Company to exercise all of the rights assigned to Company under this Agreement.</w:t>
      </w:r>
    </w:p>
    <w:p>
      <w:pPr>
        <w:spacing w:after="0" w:line="316" w:lineRule="exact"/>
        <w:rPr>
          <w:sz w:val="20"/>
          <w:szCs w:val="20"/>
          <w:color w:val="auto"/>
        </w:rPr>
      </w:pPr>
    </w:p>
    <w:p>
      <w:pPr>
        <w:ind w:left="540" w:hanging="371"/>
        <w:spacing w:after="0"/>
        <w:tabs>
          <w:tab w:leader="none" w:pos="5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21"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and will include: (i) any information, materials or knowledge regarding Company and its business, financial condition, products, programming techniques, customers, suppliers, technology or research and development that is disclosed to Consultant or to which Consultant has access in connection with performing Services; (ii) the Consultant Work Product; and</w:t>
      </w:r>
    </w:p>
    <w:p>
      <w:pPr>
        <w:spacing w:after="0" w:line="5" w:lineRule="exact"/>
        <w:rPr>
          <w:sz w:val="20"/>
          <w:szCs w:val="20"/>
          <w:color w:val="auto"/>
        </w:rPr>
      </w:pPr>
    </w:p>
    <w:p>
      <w:pPr>
        <w:ind w:left="160" w:right="160" w:firstLine="9"/>
        <w:spacing w:after="0" w:line="261" w:lineRule="auto"/>
        <w:tabs>
          <w:tab w:leader="none" w:pos="47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terms and conditions of this Agreement. Confidential Information will not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480" w:space="180"/>
            <w:col w:w="5640"/>
          </w:cols>
          <w:pgMar w:left="240" w:top="328" w:right="359" w:bottom="1440" w:gutter="0" w:footer="0" w:header="0"/>
        </w:sectPr>
      </w:pPr>
    </w:p>
    <w:bookmarkStart w:id="438" w:name="page439"/>
    <w:bookmarkEnd w:id="438"/>
    <w:p>
      <w:pPr>
        <w:ind w:right="20"/>
        <w:spacing w:after="0" w:line="287" w:lineRule="auto"/>
        <w:rPr>
          <w:sz w:val="20"/>
          <w:szCs w:val="20"/>
          <w:color w:val="auto"/>
        </w:rPr>
      </w:pPr>
      <w:r>
        <w:rPr>
          <w:rFonts w:ascii="Arial" w:cs="Arial" w:eastAsia="Arial" w:hAnsi="Arial"/>
          <w:sz w:val="16"/>
          <w:szCs w:val="16"/>
          <w:color w:val="auto"/>
        </w:rPr>
        <w:t>include any information that: (a) is or becomes part of the public domain through no fault of Consultant; (b) was rightfully in Consultant’s possession at the time of disclosure, without restriction as to use or disclosure; or (c) Consultant rightfully receives from a third party who has the right to disclose it and who provides it without restriction as to use or disclosure. Consultant agrees to hold all Confidential Information in strict confidence, not to use it in any way, commercially or otherwise, except in performing Services, and not to disclose it to others. Consultant further agrees to take all actions reasonably necessary to protect the confidentiality of all Confidential Information including, without limitation, implementing and enforcing procedures to minimize the possibility of unauthorized use or disclosure of Confidential Information.</w:t>
      </w:r>
    </w:p>
    <w:p>
      <w:pPr>
        <w:spacing w:after="0" w:line="313" w:lineRule="exact"/>
        <w:rPr>
          <w:sz w:val="20"/>
          <w:szCs w:val="20"/>
          <w:color w:val="auto"/>
        </w:rPr>
      </w:pPr>
    </w:p>
    <w:p>
      <w:pPr>
        <w:ind w:left="380" w:hanging="372"/>
        <w:spacing w:after="0"/>
        <w:tabs>
          <w:tab w:leader="none" w:pos="38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No Pre-existing Obligations</w:t>
      </w:r>
      <w:r>
        <w:rPr>
          <w:rFonts w:ascii="Arial" w:cs="Arial" w:eastAsia="Arial" w:hAnsi="Arial"/>
          <w:sz w:val="17"/>
          <w:szCs w:val="17"/>
          <w:color w:val="auto"/>
        </w:rPr>
        <w:t>. Consultant represents and warrants that Consultant has no pre-existing obligations or commitments (and will not assume or otherwise undertake any obligations or commitments) that would be in conflict or inconsistent with or that would hinder Consultant’s performance of its obligations under this Agreement.</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Performance Standard</w:t>
      </w:r>
      <w:r>
        <w:rPr>
          <w:rFonts w:ascii="Arial" w:cs="Arial" w:eastAsia="Arial" w:hAnsi="Arial"/>
          <w:sz w:val="18"/>
          <w:szCs w:val="18"/>
          <w:color w:val="auto"/>
        </w:rPr>
        <w:t>. Consultant represents and warrants that Services will be performed in a thorough and professional manner, consistent with high professional and industry standards by individuals with the requisite training, background, experience, technical knowledge and skills to perform Services.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Non-infringement</w:t>
      </w:r>
      <w:r>
        <w:rPr>
          <w:rFonts w:ascii="Arial" w:cs="Arial" w:eastAsia="Arial" w:hAnsi="Arial"/>
          <w:sz w:val="18"/>
          <w:szCs w:val="18"/>
          <w:color w:val="auto"/>
        </w:rPr>
        <w:t>. Consultant represents and warrants that the Consultant Work Product will not infringe, misappropriate or violate the rights of any third party, including, without limitation, any Intellectual Property Rights or any rights of privacy or rights of publicity, except to the extent any portion of the Consultant Work</w:t>
      </w:r>
    </w:p>
    <w:p>
      <w:pPr>
        <w:spacing w:after="0" w:line="20" w:lineRule="exact"/>
        <w:rPr>
          <w:sz w:val="20"/>
          <w:szCs w:val="20"/>
          <w:color w:val="auto"/>
        </w:rPr>
      </w:pPr>
      <w:r>
        <w:rPr>
          <w:sz w:val="20"/>
          <w:szCs w:val="20"/>
          <w:color w:val="auto"/>
        </w:rPr>
        <w:br w:type="column"/>
      </w:r>
    </w:p>
    <w:p>
      <w:pPr>
        <w:ind w:left="160" w:right="180"/>
        <w:spacing w:after="0" w:line="277" w:lineRule="auto"/>
        <w:rPr>
          <w:sz w:val="20"/>
          <w:szCs w:val="20"/>
          <w:color w:val="auto"/>
        </w:rPr>
      </w:pPr>
      <w:r>
        <w:rPr>
          <w:rFonts w:ascii="Arial" w:cs="Arial" w:eastAsia="Arial" w:hAnsi="Arial"/>
          <w:sz w:val="18"/>
          <w:szCs w:val="18"/>
          <w:color w:val="auto"/>
        </w:rPr>
        <w:t>Product is created, developed or supplied by Company or by a third party on behalf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-422275</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0" w:lineRule="exact"/>
        <w:rPr>
          <w:sz w:val="20"/>
          <w:szCs w:val="20"/>
          <w:color w:val="auto"/>
        </w:rPr>
      </w:pPr>
    </w:p>
    <w:p>
      <w:pPr>
        <w:ind w:left="160" w:right="120"/>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Competitive Activities</w:t>
      </w:r>
      <w:r>
        <w:rPr>
          <w:rFonts w:ascii="Arial" w:cs="Arial" w:eastAsia="Arial" w:hAnsi="Arial"/>
          <w:sz w:val="18"/>
          <w:szCs w:val="18"/>
          <w:color w:val="auto"/>
        </w:rPr>
        <w:t>. During the term of this Agreement, Consultant will not, directly or indirectly, in any individual or representative capacity, engage or participate in or provide services to any business that is competitive with the types and kinds of business being conducted by Company.</w:t>
      </w:r>
    </w:p>
    <w:p>
      <w:pPr>
        <w:spacing w:after="0" w:line="188" w:lineRule="exact"/>
        <w:rPr>
          <w:sz w:val="20"/>
          <w:szCs w:val="20"/>
          <w:color w:val="auto"/>
        </w:rPr>
      </w:pPr>
    </w:p>
    <w:p>
      <w:pPr>
        <w:ind w:left="160" w:right="160"/>
        <w:spacing w:after="0" w:line="30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Non-Solicitation of Personnel</w:t>
      </w:r>
      <w:r>
        <w:rPr>
          <w:rFonts w:ascii="Arial" w:cs="Arial" w:eastAsia="Arial" w:hAnsi="Arial"/>
          <w:sz w:val="16"/>
          <w:szCs w:val="16"/>
          <w:color w:val="auto"/>
        </w:rPr>
        <w:t>. During the term of this Agreement and for a period of one (1) year thereafter, Consultant will not directly or indirectly solicit the services of any Company employee or consultant for Consultant’s own benefit or for the benefit of any other person or entity.</w:t>
      </w:r>
    </w:p>
    <w:p>
      <w:pPr>
        <w:spacing w:after="0" w:line="299" w:lineRule="exact"/>
        <w:rPr>
          <w:sz w:val="20"/>
          <w:szCs w:val="20"/>
          <w:color w:val="auto"/>
        </w:rPr>
      </w:pPr>
    </w:p>
    <w:p>
      <w:pPr>
        <w:ind w:left="540" w:hanging="372"/>
        <w:spacing w:after="0"/>
        <w:tabs>
          <w:tab w:leader="none" w:pos="5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Consultant will defend, indemnify and hold Company harmless from and against all claims, damages, liabilities, losses, expenses and costs (including reasonable fees and expenses of attorneys and other professionals) arising out of or resulting from:</w:t>
      </w:r>
    </w:p>
    <w:p>
      <w:pPr>
        <w:spacing w:after="0" w:line="79" w:lineRule="exact"/>
        <w:rPr>
          <w:sz w:val="20"/>
          <w:szCs w:val="20"/>
          <w:color w:val="auto"/>
        </w:rPr>
      </w:pPr>
    </w:p>
    <w:p>
      <w:pPr>
        <w:ind w:left="160" w:right="80" w:firstLine="368"/>
        <w:spacing w:after="0" w:line="257" w:lineRule="auto"/>
        <w:tabs>
          <w:tab w:leader="none" w:pos="765"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any action by a third party against Company that is based on a claim that any Services performed under this Agreement, or the results of such Services (including any Consultant Work Product), or Company’s use thereof, infringe, misappropriate or violate such third party’s Intellectual Property Rights; and</w:t>
      </w:r>
    </w:p>
    <w:p>
      <w:pPr>
        <w:spacing w:after="0" w:line="188" w:lineRule="exact"/>
        <w:rPr>
          <w:rFonts w:ascii="Arial" w:cs="Arial" w:eastAsia="Arial" w:hAnsi="Arial"/>
          <w:sz w:val="18"/>
          <w:szCs w:val="18"/>
          <w:color w:val="auto"/>
        </w:rPr>
      </w:pPr>
    </w:p>
    <w:p>
      <w:pPr>
        <w:ind w:left="160" w:right="80" w:firstLine="368"/>
        <w:spacing w:after="0" w:line="288" w:lineRule="auto"/>
        <w:tabs>
          <w:tab w:leader="none" w:pos="775" w:val="left"/>
        </w:tabs>
        <w:numPr>
          <w:ilvl w:val="1"/>
          <w:numId w:val="404"/>
        </w:numPr>
        <w:rPr>
          <w:rFonts w:ascii="Arial" w:cs="Arial" w:eastAsia="Arial" w:hAnsi="Arial"/>
          <w:sz w:val="16"/>
          <w:szCs w:val="16"/>
          <w:color w:val="auto"/>
        </w:rPr>
      </w:pPr>
      <w:r>
        <w:rPr>
          <w:rFonts w:ascii="Arial" w:cs="Arial" w:eastAsia="Arial" w:hAnsi="Arial"/>
          <w:sz w:val="16"/>
          <w:szCs w:val="16"/>
          <w:color w:val="auto"/>
        </w:rPr>
        <w:t>any action by a third party against Company that is based on any act or omission of Consultant and that results in: (i) personal injury (or death) or tangible or intangible property damage (including loss of use); or</w:t>
      </w:r>
    </w:p>
    <w:p>
      <w:pPr>
        <w:ind w:left="440" w:hanging="272"/>
        <w:spacing w:after="0"/>
        <w:tabs>
          <w:tab w:leader="none" w:pos="4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violation of any statute, ordinance, or regulation.</w:t>
      </w:r>
    </w:p>
    <w:p>
      <w:pPr>
        <w:spacing w:after="0" w:line="355" w:lineRule="exact"/>
        <w:rPr>
          <w:sz w:val="20"/>
          <w:szCs w:val="20"/>
          <w:color w:val="auto"/>
        </w:rPr>
      </w:pPr>
    </w:p>
    <w:p>
      <w:pPr>
        <w:ind w:left="540" w:hanging="372"/>
        <w:spacing w:after="0"/>
        <w:tabs>
          <w:tab w:leader="none" w:pos="54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commence on the Effective Date and, unless terminated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80" w:space="180"/>
            <w:col w:w="5640"/>
          </w:cols>
          <w:pgMar w:left="240" w:top="328" w:right="359" w:bottom="1440" w:gutter="0" w:footer="0" w:header="0"/>
        </w:sectPr>
      </w:pPr>
    </w:p>
    <w:bookmarkStart w:id="439" w:name="page440"/>
    <w:bookmarkEnd w:id="439"/>
    <w:p>
      <w:pPr>
        <w:ind w:right="40"/>
        <w:spacing w:after="0" w:line="255" w:lineRule="auto"/>
        <w:rPr>
          <w:sz w:val="20"/>
          <w:szCs w:val="20"/>
          <w:color w:val="auto"/>
        </w:rPr>
      </w:pPr>
      <w:r>
        <w:rPr>
          <w:rFonts w:ascii="Arial" w:cs="Arial" w:eastAsia="Arial" w:hAnsi="Arial"/>
          <w:sz w:val="18"/>
          <w:szCs w:val="18"/>
          <w:color w:val="auto"/>
        </w:rPr>
        <w:t>earlier in accordance with the terms of this Agreement, will remain in force and effect for one year, until April 30, 2016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be renewed by the Company for successive one (1) year periods, provided that the Company gives Consultant written notice of its intention to renew at least thirty (30) days prior to the end of the applicable one-year period and Consultant consents in writing to such extension.</w:t>
      </w:r>
    </w:p>
    <w:p>
      <w:pPr>
        <w:spacing w:after="0" w:line="18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Either party may terminate this Agreement (including all Statements of Work) if the other party breaches any material term of this Agreement and fails to cure such breach within thirty (30) days following written notice thereof from the non-breaching party.</w:t>
      </w:r>
    </w:p>
    <w:p>
      <w:pPr>
        <w:spacing w:after="0" w:line="15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Termination for Convenience</w:t>
      </w:r>
      <w:r>
        <w:rPr>
          <w:rFonts w:ascii="Arial" w:cs="Arial" w:eastAsia="Arial" w:hAnsi="Arial"/>
          <w:sz w:val="16"/>
          <w:szCs w:val="16"/>
          <w:color w:val="auto"/>
        </w:rPr>
        <w:t>. Company may terminate this Agreement (including all Statements of Work) at any time, for any reason or no reason, upon at least ten (10) days written notice to Consultant.</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Upon the expiration or termination of this Agreement for any reason: (i) Consultant will promptly deliver to Company all Consultant Work Product, including all work in progress on any Consultant Work Product not previously delivered to Company, if any;</w:t>
      </w:r>
    </w:p>
    <w:p>
      <w:pPr>
        <w:spacing w:after="0" w:line="2" w:lineRule="exact"/>
        <w:rPr>
          <w:sz w:val="20"/>
          <w:szCs w:val="20"/>
          <w:color w:val="auto"/>
        </w:rPr>
      </w:pPr>
    </w:p>
    <w:p>
      <w:pPr>
        <w:ind w:right="100" w:firstLine="8"/>
        <w:spacing w:after="0" w:line="254" w:lineRule="auto"/>
        <w:tabs>
          <w:tab w:leader="none" w:pos="26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Consultant will promptly deliver to Company all Confidential Information in Consultant’s possession or control; and (iii) Company will pay Consultant any accrued but unpaid fees due and payable to Consultant pursuant to Section 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Survival</w:t>
      </w:r>
      <w:r>
        <w:rPr>
          <w:rFonts w:ascii="Arial" w:cs="Arial" w:eastAsia="Arial" w:hAnsi="Arial"/>
          <w:sz w:val="16"/>
          <w:szCs w:val="16"/>
          <w:color w:val="auto"/>
        </w:rPr>
        <w:t>. The rights and obligations of the parties under Sections 2, 3.2,</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3.3, 4, 5, 6.5, 6.6, 7, 8.4, 8.5, 9 and 10 will survive the expiration or termination of this Agreement.</w:t>
      </w:r>
    </w:p>
    <w:p>
      <w:pPr>
        <w:spacing w:after="0" w:line="328" w:lineRule="exact"/>
        <w:rPr>
          <w:sz w:val="20"/>
          <w:szCs w:val="20"/>
          <w:color w:val="auto"/>
        </w:rPr>
      </w:pPr>
    </w:p>
    <w:p>
      <w:pPr>
        <w:ind w:left="380" w:hanging="372"/>
        <w:spacing w:after="0"/>
        <w:tabs>
          <w:tab w:leader="none" w:pos="38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9.1 IN NO EVENT WILL COMPANY BE LIABLE FOR ANY SPECIAL, INCIDENTAL,</w:t>
      </w:r>
    </w:p>
    <w:p>
      <w:pPr>
        <w:spacing w:after="0" w:line="20" w:lineRule="exact"/>
        <w:rPr>
          <w:sz w:val="20"/>
          <w:szCs w:val="20"/>
          <w:color w:val="auto"/>
        </w:rPr>
      </w:pPr>
      <w:r>
        <w:rPr>
          <w:sz w:val="20"/>
          <w:szCs w:val="20"/>
          <w:color w:val="auto"/>
        </w:rPr>
        <w:br w:type="column"/>
      </w:r>
    </w:p>
    <w:p>
      <w:pPr>
        <w:ind w:left="160" w:right="260"/>
        <w:spacing w:after="0" w:line="259" w:lineRule="auto"/>
        <w:rPr>
          <w:sz w:val="20"/>
          <w:szCs w:val="20"/>
          <w:color w:val="auto"/>
        </w:rPr>
      </w:pPr>
      <w:r>
        <w:rPr>
          <w:rFonts w:ascii="Arial" w:cs="Arial" w:eastAsia="Arial" w:hAnsi="Arial"/>
          <w:sz w:val="18"/>
          <w:szCs w:val="18"/>
          <w:color w:val="auto"/>
        </w:rPr>
        <w:t>PUNITIVE, EXEMPLARY OR CONSEQUENTIAL DAMAGES OF ANY KIND IN CONNECTION WITH THIS AGREEMENT, EVEN IF COMPANY HAS BEEN INFORMED IN ADVANCE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-685800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10.  GENERAL</w:t>
      </w:r>
    </w:p>
    <w:p>
      <w:pPr>
        <w:spacing w:after="0" w:line="121" w:lineRule="exact"/>
        <w:rPr>
          <w:sz w:val="20"/>
          <w:szCs w:val="20"/>
          <w:color w:val="auto"/>
        </w:rPr>
      </w:pPr>
    </w:p>
    <w:p>
      <w:pPr>
        <w:ind w:left="160" w:right="80"/>
        <w:spacing w:after="0" w:line="276"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Assignment</w:t>
      </w:r>
      <w:r>
        <w:rPr>
          <w:rFonts w:ascii="Arial" w:cs="Arial" w:eastAsia="Arial" w:hAnsi="Arial"/>
          <w:sz w:val="17"/>
          <w:szCs w:val="17"/>
          <w:color w:val="auto"/>
        </w:rPr>
        <w:t>. Consultant may not assign or transfer this Agreement, in whole or in part, without Company’s express prior written consent. Any attempt to assign this Agreement, without such consent, will be void. Subject to the foregoing, this Agreement will bind and benefit the parties and their respective successors and assigns.</w:t>
      </w:r>
    </w:p>
    <w:p>
      <w:pPr>
        <w:spacing w:after="0" w:line="173" w:lineRule="exact"/>
        <w:rPr>
          <w:sz w:val="20"/>
          <w:szCs w:val="20"/>
          <w:color w:val="auto"/>
        </w:rPr>
      </w:pPr>
    </w:p>
    <w:p>
      <w:pPr>
        <w:ind w:left="160" w:right="100"/>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Election of Remedies</w:t>
      </w:r>
      <w:r>
        <w:rPr>
          <w:rFonts w:ascii="Arial" w:cs="Arial" w:eastAsia="Arial" w:hAnsi="Arial"/>
          <w:sz w:val="18"/>
          <w:szCs w:val="18"/>
          <w:color w:val="auto"/>
        </w:rPr>
        <w:t>. Except as expressly set forth in this Agreement, the exercise by Company of any of its remedies under this Agreement will not be deemed an election of remedies and will be without prejudice to its other remedies under this Agreement or available at law or in equity or otherwise.</w:t>
      </w:r>
    </w:p>
    <w:p>
      <w:pPr>
        <w:spacing w:after="0" w:line="188"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Equitable Remedies</w:t>
      </w:r>
      <w:r>
        <w:rPr>
          <w:rFonts w:ascii="Arial" w:cs="Arial" w:eastAsia="Arial" w:hAnsi="Arial"/>
          <w:sz w:val="17"/>
          <w:szCs w:val="17"/>
          <w:color w:val="auto"/>
        </w:rPr>
        <w:t>. Because the Services are personal and unique and because Consultant will have access to Confidential Information of Company, Company will have the right to enforce this Agreement and any of its provisions by injunction, specific performance or other equitable relief, without having to post a bond or other consideration, in addition to all other remedies that Company may have for a breach of this Agreement at law or otherwise.</w:t>
      </w:r>
    </w:p>
    <w:p>
      <w:pPr>
        <w:spacing w:after="0" w:line="178" w:lineRule="exact"/>
        <w:rPr>
          <w:sz w:val="20"/>
          <w:szCs w:val="20"/>
          <w:color w:val="auto"/>
        </w:rPr>
      </w:pPr>
    </w:p>
    <w:p>
      <w:pPr>
        <w:jc w:val="both"/>
        <w:ind w:left="160" w:right="100"/>
        <w:spacing w:after="0" w:line="27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is necessary to enforce the terms of this Agreement, the substantially prevailing party will be entitled to reasonable attorneys’ fees, costs and expenses in addition to any other relief to which such prevailing party may be entitled.</w:t>
      </w:r>
    </w:p>
    <w:p>
      <w:pPr>
        <w:spacing w:after="0" w:line="171"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80" w:space="180"/>
            <w:col w:w="5640"/>
          </w:cols>
          <w:pgMar w:left="240" w:top="328" w:right="359" w:bottom="1440" w:gutter="0" w:footer="0" w:header="0"/>
        </w:sectPr>
      </w:pPr>
    </w:p>
    <w:bookmarkStart w:id="440" w:name="page441"/>
    <w:bookmarkEnd w:id="440"/>
    <w:p>
      <w:pPr>
        <w:spacing w:after="0" w:line="276" w:lineRule="auto"/>
        <w:rPr>
          <w:sz w:val="20"/>
          <w:szCs w:val="20"/>
          <w:color w:val="auto"/>
        </w:rPr>
      </w:pPr>
      <w:r>
        <w:rPr>
          <w:rFonts w:ascii="Arial" w:cs="Arial" w:eastAsia="Arial" w:hAnsi="Arial"/>
          <w:sz w:val="17"/>
          <w:szCs w:val="17"/>
          <w:color w:val="auto"/>
        </w:rPr>
        <w:t>the laws of the State of California, excluding its body of law controlling conflict of laws. Any legal action or proceeding arising under this Agreement will be brought exclusively in the federal or state courts located in the Northern District of California and the parties irrevocably consent to the personal jurisdiction and venue therein.</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 court of competent jurisdiction, the remaining provisions of this Agreement will remain in full force and effect, and the provision affected will be construed so as to be enforceable to the maximum extent permissible by law.</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by either party to enforce any provision of this Agreement will not constitute a waiver of future enforcement of that or any other provision.</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required or permitted under this Agreement will be in writing, will reference this Agreement, and will be deemed given:</w:t>
      </w:r>
    </w:p>
    <w:p>
      <w:pPr>
        <w:ind w:firstLine="8"/>
        <w:spacing w:after="0" w:line="252" w:lineRule="auto"/>
        <w:tabs>
          <w:tab w:leader="none" w:pos="21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when delivered personally; (ii) one (1) business day after deposit with a nationally-recognized express courier, with written confirmation of receipt; or (iii) three (3) business days after having been sent by registered or certified mail, return receipt requested, postage prepaid. All such notices will be sent to the addresses set forth above or to such other address as may be specified by either party to the other party in accordance with this Section.</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together with </w:t>
      </w:r>
      <w:r>
        <w:rPr>
          <w:rFonts w:ascii="Arial" w:cs="Arial" w:eastAsia="Arial" w:hAnsi="Arial"/>
          <w:sz w:val="18"/>
          <w:szCs w:val="18"/>
          <w:u w:val="single" w:color="auto"/>
          <w:color w:val="auto"/>
        </w:rPr>
        <w:t>Exhibit A</w:t>
      </w:r>
      <w:r>
        <w:rPr>
          <w:rFonts w:ascii="Arial" w:cs="Arial" w:eastAsia="Arial" w:hAnsi="Arial"/>
          <w:sz w:val="18"/>
          <w:szCs w:val="18"/>
          <w:color w:val="auto"/>
        </w:rPr>
        <w:t>, constitutes the complete and exclusive understanding and agreement of the parties with respect to its subject matter and supersedes all prior understandings and agreements, whether written or oral, with respect to its subject matter. Any waiver, modification or amendment of any provision of this Agreement will be effective only if in writing and signed by the parties hereto.</w:t>
      </w:r>
    </w:p>
    <w:p>
      <w:pPr>
        <w:spacing w:after="0" w:line="20" w:lineRule="exact"/>
        <w:rPr>
          <w:sz w:val="20"/>
          <w:szCs w:val="20"/>
          <w:color w:val="auto"/>
        </w:rPr>
      </w:pPr>
      <w:r>
        <w:rPr>
          <w:sz w:val="20"/>
          <w:szCs w:val="20"/>
          <w:color w:val="auto"/>
        </w:rPr>
        <w:br w:type="column"/>
      </w:r>
    </w:p>
    <w:p>
      <w:pPr>
        <w:ind w:left="160" w:right="40"/>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-552450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left="160" w:right="120"/>
        <w:spacing w:after="0" w:line="277" w:lineRule="auto"/>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COMPANY:</w:t>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Hamza Suria</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Chief Executive Officer</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w:t>
            </w:r>
            <w:r>
              <w:rPr>
                <w:rFonts w:ascii="Arial" w:cs="Arial" w:eastAsia="Arial" w:hAnsi="Arial"/>
                <w:sz w:val="15"/>
                <w:szCs w:val="15"/>
                <w:color w:val="auto"/>
              </w:rPr>
              <w:t>st</w:t>
            </w:r>
            <w:r>
              <w:rPr>
                <w:rFonts w:ascii="Arial" w:cs="Arial" w:eastAsia="Arial" w:hAnsi="Arial"/>
                <w:sz w:val="18"/>
                <w:szCs w:val="18"/>
                <w:color w:val="auto"/>
              </w:rPr>
              <w:t>, 2015</w:t>
            </w: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r>
      <w:tr>
        <w:trPr>
          <w:trHeight w:val="338"/>
        </w:trPr>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King</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King</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xml:space="preserve"> May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40" w:space="220"/>
            <w:col w:w="5640"/>
          </w:cols>
          <w:pgMar w:left="240" w:top="327" w:right="35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AND COMPENSATION</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Statement of Work is issued under and subject to all of the terms and conditions of the Consulting Agreement dated as of May 1, 2015, between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David King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w:t>
      </w:r>
    </w:p>
    <w:p>
      <w:pPr>
        <w:spacing w:after="0" w:line="166" w:lineRule="exact"/>
        <w:rPr>
          <w:sz w:val="20"/>
          <w:szCs w:val="20"/>
          <w:color w:val="auto"/>
        </w:rPr>
      </w:pPr>
    </w:p>
    <w:p>
      <w:pPr>
        <w:ind w:left="180" w:hanging="172"/>
        <w:spacing w:after="0"/>
        <w:tabs>
          <w:tab w:leader="none" w:pos="180"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Description of Services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Consultant will provide services as a member of the Company’s Scientific Advisory Board as mutually determined by the Company and Consultant.</w:t>
      </w:r>
    </w:p>
    <w:p>
      <w:pPr>
        <w:spacing w:after="0" w:line="233" w:lineRule="exact"/>
        <w:rPr>
          <w:sz w:val="20"/>
          <w:szCs w:val="20"/>
          <w:color w:val="auto"/>
        </w:rPr>
      </w:pPr>
    </w:p>
    <w:p>
      <w:pPr>
        <w:ind w:left="180" w:hanging="172"/>
        <w:spacing w:after="0"/>
        <w:tabs>
          <w:tab w:leader="none" w:pos="180"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Modification of Stock Option Grants</w:t>
      </w:r>
      <w:r>
        <w:rPr>
          <w:rFonts w:ascii="Arial" w:cs="Arial" w:eastAsia="Arial" w:hAnsi="Arial"/>
          <w:sz w:val="18"/>
          <w:szCs w:val="18"/>
          <w:color w:val="auto"/>
        </w:rPr>
        <w:t>:</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Pursuant to the terms of the Stock Option Agreements by and between you and the Company and the Company’s 2006 Equity Incentive Plan (such agreements and plan hereafter collectively referred to as the “</w:t>
      </w:r>
      <w:r>
        <w:rPr>
          <w:rFonts w:ascii="Arial" w:cs="Arial" w:eastAsia="Arial" w:hAnsi="Arial"/>
          <w:sz w:val="16"/>
          <w:szCs w:val="16"/>
          <w:b w:val="1"/>
          <w:bCs w:val="1"/>
          <w:i w:val="1"/>
          <w:iCs w:val="1"/>
          <w:color w:val="auto"/>
        </w:rPr>
        <w:t>Option Agreements</w:t>
      </w:r>
      <w:r>
        <w:rPr>
          <w:rFonts w:ascii="Arial" w:cs="Arial" w:eastAsia="Arial" w:hAnsi="Arial"/>
          <w:sz w:val="16"/>
          <w:szCs w:val="16"/>
          <w:color w:val="auto"/>
        </w:rPr>
        <w:t>”), you were granted options to purchase an aggregate total of 1,333,077 shares of the Company’s Common Stock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As of the Separation Date, the Options have vested as to 1,111,979 shares (the “</w:t>
      </w:r>
      <w:r>
        <w:rPr>
          <w:rFonts w:ascii="Arial" w:cs="Arial" w:eastAsia="Arial" w:hAnsi="Arial"/>
          <w:sz w:val="16"/>
          <w:szCs w:val="16"/>
          <w:b w:val="1"/>
          <w:bCs w:val="1"/>
          <w:i w:val="1"/>
          <w:iCs w:val="1"/>
          <w:color w:val="auto"/>
        </w:rPr>
        <w:t>Vested Shares</w:t>
      </w:r>
      <w:r>
        <w:rPr>
          <w:rFonts w:ascii="Arial" w:cs="Arial" w:eastAsia="Arial" w:hAnsi="Arial"/>
          <w:sz w:val="16"/>
          <w:szCs w:val="16"/>
          <w:color w:val="auto"/>
        </w:rPr>
        <w:t>”), and remain unvested as to 221,098 shares (the “</w:t>
      </w:r>
      <w:r>
        <w:rPr>
          <w:rFonts w:ascii="Arial" w:cs="Arial" w:eastAsia="Arial" w:hAnsi="Arial"/>
          <w:sz w:val="16"/>
          <w:szCs w:val="16"/>
          <w:b w:val="1"/>
          <w:bCs w:val="1"/>
          <w:i w:val="1"/>
          <w:iCs w:val="1"/>
          <w:color w:val="auto"/>
        </w:rPr>
        <w:t>Unvested Shares</w:t>
      </w:r>
      <w:r>
        <w:rPr>
          <w:rFonts w:ascii="Arial" w:cs="Arial" w:eastAsia="Arial" w:hAnsi="Arial"/>
          <w:sz w:val="16"/>
          <w:szCs w:val="16"/>
          <w:color w:val="auto"/>
        </w:rPr>
        <w:t>”). With respect to the Options, you have exercised none of the Vested Shares leaving 1,111,979 unexercised Vested Shares (the “</w:t>
      </w:r>
      <w:r>
        <w:rPr>
          <w:rFonts w:ascii="Arial" w:cs="Arial" w:eastAsia="Arial" w:hAnsi="Arial"/>
          <w:sz w:val="16"/>
          <w:szCs w:val="16"/>
          <w:b w:val="1"/>
          <w:bCs w:val="1"/>
          <w:i w:val="1"/>
          <w:iCs w:val="1"/>
          <w:color w:val="auto"/>
        </w:rPr>
        <w:t>Unexercised Vested Shares</w:t>
      </w:r>
      <w:r>
        <w:rPr>
          <w:rFonts w:ascii="Arial" w:cs="Arial" w:eastAsia="Arial" w:hAnsi="Arial"/>
          <w:sz w:val="16"/>
          <w:szCs w:val="16"/>
          <w:color w:val="auto"/>
        </w:rPr>
        <w:t xml:space="preserve">”). Because your employment is terminating as of May 1st 2015, none of the Unvested Shares would ever vest. However, as compensation for the Services above, the Option will continue to vest under its original vesting schedule during the Term. Per the Option Agreement, you will have three (3) months following the termination of the Term to exercise any then-unexercised vested shares under the Option Agreements. After this date, you will no longer have a right to exercise the Options as to any shares. </w:t>
      </w:r>
      <w:r>
        <w:rPr>
          <w:rFonts w:ascii="Arial" w:cs="Arial" w:eastAsia="Arial" w:hAnsi="Arial"/>
          <w:sz w:val="16"/>
          <w:szCs w:val="16"/>
          <w:b w:val="1"/>
          <w:bCs w:val="1"/>
          <w:u w:val="single" w:color="auto"/>
          <w:color w:val="auto"/>
        </w:rPr>
        <w:t>However, please note that (i) if you do not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exercise the Unexercised Vested Shares within three (3) months of the Separation Date, the Unexercised Vested Shares will cease to have Incentive Stock Option (ISO) status, and will instead be considered Nonqualified Stock Options (NSO); and (ii) any shares that vest during the term of the Consultancy will be NSOs, regardless of when they are exercised. Please consult your accountant or tax advisor with respect to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AGREED AS OF MAY 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6720" w:type="dxa"/>
            <w:vAlign w:val="bottom"/>
            <w:gridSpan w:val="2"/>
          </w:tcPr>
          <w:p>
            <w:pPr>
              <w:ind w:left="2140"/>
              <w:spacing w:after="0"/>
              <w:rPr>
                <w:sz w:val="20"/>
                <w:szCs w:val="20"/>
                <w:color w:val="auto"/>
              </w:rPr>
            </w:pPr>
            <w:r>
              <w:rPr>
                <w:rFonts w:ascii="Arial" w:cs="Arial" w:eastAsia="Arial" w:hAnsi="Arial"/>
                <w:sz w:val="18"/>
                <w:szCs w:val="18"/>
                <w:b w:val="1"/>
                <w:bCs w:val="1"/>
                <w:color w:val="auto"/>
              </w:rPr>
              <w:t>CONSULTANT: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/s/Hamza Suria</w:t>
            </w:r>
          </w:p>
        </w:tc>
        <w:tc>
          <w:tcPr>
            <w:tcW w:w="2740" w:type="dxa"/>
            <w:vAlign w:val="bottom"/>
          </w:tcPr>
          <w:p>
            <w:pPr>
              <w:ind w:left="21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King</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Hamza Suria</w:t>
            </w:r>
          </w:p>
        </w:tc>
        <w:tc>
          <w:tcPr>
            <w:tcW w:w="2740" w:type="dxa"/>
            <w:vAlign w:val="bottom"/>
          </w:tcPr>
          <w:p>
            <w:pPr>
              <w:ind w:left="2140"/>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King</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Chief Executive Officer</w:t>
            </w:r>
          </w:p>
        </w:tc>
        <w:tc>
          <w:tcPr>
            <w:tcW w:w="2740" w:type="dxa"/>
            <w:vAlign w:val="bottom"/>
          </w:tcPr>
          <w:p>
            <w:pPr>
              <w:ind w:left="2140"/>
              <w:spacing w:after="0"/>
              <w:rPr>
                <w:sz w:val="20"/>
                <w:szCs w:val="20"/>
                <w:color w:val="auto"/>
              </w:rPr>
            </w:pPr>
            <w:r>
              <w:rPr>
                <w:rFonts w:ascii="Arial" w:cs="Arial" w:eastAsia="Arial" w:hAnsi="Arial"/>
                <w:sz w:val="18"/>
                <w:szCs w:val="18"/>
                <w:color w:val="auto"/>
              </w:rPr>
              <w:t>Date: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xml:space="preserve"> May 2015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19</w:t>
            </w:r>
            <w:r>
              <w:rPr>
                <w:rFonts w:ascii="Arial" w:cs="Arial" w:eastAsia="Arial" w:hAnsi="Arial"/>
                <w:sz w:val="15"/>
                <w:szCs w:val="15"/>
                <w:color w:val="auto"/>
              </w:rPr>
              <w:t>th</w:t>
            </w:r>
            <w:r>
              <w:rPr>
                <w:rFonts w:ascii="Arial" w:cs="Arial" w:eastAsia="Arial" w:hAnsi="Arial"/>
                <w:sz w:val="18"/>
                <w:szCs w:val="18"/>
                <w:color w:val="auto"/>
              </w:rPr>
              <w:t xml:space="preserve"> 2015</w:t>
            </w:r>
          </w:p>
        </w:tc>
        <w:tc>
          <w:tcPr>
            <w:tcW w:w="27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from October 20, 2014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Marco Londei (“</w:t>
      </w:r>
      <w:r>
        <w:rPr>
          <w:rFonts w:ascii="Arial" w:cs="Arial" w:eastAsia="Arial" w:hAnsi="Arial"/>
          <w:sz w:val="18"/>
          <w:szCs w:val="18"/>
          <w:b w:val="1"/>
          <w:bCs w:val="1"/>
          <w:i w:val="1"/>
          <w:iCs w:val="1"/>
          <w:color w:val="auto"/>
        </w:rPr>
        <w:t>CDO</w:t>
      </w:r>
      <w:r>
        <w:rPr>
          <w:rFonts w:ascii="Arial" w:cs="Arial" w:eastAsia="Arial" w:hAnsi="Arial"/>
          <w:sz w:val="18"/>
          <w:szCs w:val="18"/>
          <w:color w:val="auto"/>
        </w:rPr>
        <w:t>”). The Company and CDO are hereinafter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desires to continue to employ CDO and CDO is willing to continue to accept such employment by Company, on the terms and subject to the conditions set forth in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234" w:lineRule="exact"/>
        <w:rPr>
          <w:sz w:val="20"/>
          <w:szCs w:val="20"/>
          <w:color w:val="auto"/>
        </w:rPr>
      </w:pPr>
    </w:p>
    <w:p>
      <w:pPr>
        <w:ind w:left="900" w:hanging="446"/>
        <w:spacing w:after="0"/>
        <w:tabs>
          <w:tab w:leader="none" w:pos="90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b w:val="1"/>
          <w:bCs w:val="1"/>
          <w:color w:val="auto"/>
        </w:rPr>
        <w:t>.</w:t>
      </w:r>
    </w:p>
    <w:p>
      <w:pPr>
        <w:spacing w:after="0" w:line="225" w:lineRule="exact"/>
        <w:rPr>
          <w:sz w:val="20"/>
          <w:szCs w:val="20"/>
          <w:color w:val="auto"/>
        </w:rPr>
      </w:pPr>
    </w:p>
    <w:p>
      <w:pPr>
        <w:ind w:right="560" w:firstLine="913"/>
        <w:spacing w:after="0" w:line="282" w:lineRule="auto"/>
        <w:rPr>
          <w:sz w:val="20"/>
          <w:szCs w:val="20"/>
          <w:color w:val="auto"/>
        </w:rPr>
      </w:pPr>
      <w:r>
        <w:rPr>
          <w:rFonts w:ascii="Arial" w:cs="Arial" w:eastAsia="Arial" w:hAnsi="Arial"/>
          <w:sz w:val="18"/>
          <w:szCs w:val="18"/>
          <w:b w:val="1"/>
          <w:bCs w:val="1"/>
          <w:color w:val="auto"/>
        </w:rPr>
        <w:t xml:space="preserve">1.1 Title. </w:t>
      </w:r>
      <w:r>
        <w:rPr>
          <w:rFonts w:ascii="Arial" w:cs="Arial" w:eastAsia="Arial" w:hAnsi="Arial"/>
          <w:sz w:val="18"/>
          <w:szCs w:val="18"/>
          <w:color w:val="auto"/>
        </w:rPr>
        <w:t>Effective as of the Effective Date, CDO’s position shall be Chief Development Officer of the Company,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1.2 Term. </w:t>
      </w:r>
      <w:r>
        <w:rPr>
          <w:rFonts w:ascii="Arial" w:cs="Arial" w:eastAsia="Arial" w:hAnsi="Arial"/>
          <w:sz w:val="16"/>
          <w:szCs w:val="16"/>
          <w:color w:val="auto"/>
        </w:rPr>
        <w:t>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207"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 xml:space="preserve">1.3 Duties. </w:t>
      </w:r>
      <w:r>
        <w:rPr>
          <w:rFonts w:ascii="Arial" w:cs="Arial" w:eastAsia="Arial" w:hAnsi="Arial"/>
          <w:sz w:val="18"/>
          <w:szCs w:val="18"/>
          <w:color w:val="auto"/>
        </w:rPr>
        <w:t>CDO shall do and perform all services, acts or things necessary or advisable to manage and conduct the business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normally associated with the position of Chief Development Officer. CDO shall report to the Chief Executive Officer.</w:t>
      </w:r>
    </w:p>
    <w:p>
      <w:pPr>
        <w:spacing w:after="0" w:line="162"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 xml:space="preserve">1.4 Policies and Practices. </w:t>
      </w:r>
      <w:r>
        <w:rPr>
          <w:rFonts w:ascii="Arial" w:cs="Arial" w:eastAsia="Arial" w:hAnsi="Arial"/>
          <w:sz w:val="17"/>
          <w:szCs w:val="17"/>
          <w:color w:val="auto"/>
        </w:rPr>
        <w:t>The employment relationship between the Parties shall be governed by this Agreement and by the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58"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b w:val="1"/>
          <w:bCs w:val="1"/>
          <w:color w:val="auto"/>
        </w:rPr>
        <w:t>1.5 Location</w:t>
      </w:r>
      <w:r>
        <w:rPr>
          <w:rFonts w:ascii="Arial" w:cs="Arial" w:eastAsia="Arial" w:hAnsi="Arial"/>
          <w:sz w:val="18"/>
          <w:szCs w:val="18"/>
          <w:color w:val="auto"/>
        </w:rPr>
        <w:t>. Unless the Parties otherwise agree in writing, during the Term CDO shall perform the services CDO is required to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Agreement at the Company’s offices in San Diego, California, </w:t>
      </w:r>
      <w:r>
        <w:rPr>
          <w:rFonts w:ascii="Arial" w:cs="Arial" w:eastAsia="Arial" w:hAnsi="Arial"/>
          <w:sz w:val="18"/>
          <w:szCs w:val="18"/>
          <w:b w:val="1"/>
          <w:bCs w:val="1"/>
          <w:i w:val="1"/>
          <w:iCs w:val="1"/>
          <w:color w:val="auto"/>
        </w:rPr>
        <w:t>provided, 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the Company may from time to time require CDO to travel temporarily to other locations in connection with the Company’s business.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43" w:name="page444"/>
    <w:bookmarkEnd w:id="443"/>
    <w:p>
      <w:pPr>
        <w:ind w:left="900" w:hanging="446"/>
        <w:spacing w:after="0"/>
        <w:tabs>
          <w:tab w:leader="none" w:pos="90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5"/>
          <w:szCs w:val="15"/>
          <w:b w:val="1"/>
          <w:bCs w:val="1"/>
          <w:color w:val="auto"/>
        </w:rPr>
        <w:t>OYALTY</w:t>
      </w:r>
      <w:r>
        <w:rPr>
          <w:rFonts w:ascii="Arial" w:cs="Arial" w:eastAsia="Arial" w:hAnsi="Arial"/>
          <w:sz w:val="18"/>
          <w:szCs w:val="18"/>
          <w:b w:val="1"/>
          <w:bCs w:val="1"/>
          <w:color w:val="auto"/>
        </w:rPr>
        <w:t>; N</w:t>
      </w:r>
      <w:r>
        <w:rPr>
          <w:rFonts w:ascii="Arial" w:cs="Arial" w:eastAsia="Arial" w:hAnsi="Arial"/>
          <w:sz w:val="15"/>
          <w:szCs w:val="15"/>
          <w:b w:val="1"/>
          <w:bCs w:val="1"/>
          <w:color w:val="auto"/>
        </w:rPr>
        <w:t>ONCOMPETITION</w:t>
      </w:r>
      <w:r>
        <w:rPr>
          <w:rFonts w:ascii="Arial" w:cs="Arial" w:eastAsia="Arial" w:hAnsi="Arial"/>
          <w:sz w:val="18"/>
          <w:szCs w:val="18"/>
          <w:b w:val="1"/>
          <w:bCs w:val="1"/>
          <w:color w:val="auto"/>
        </w:rPr>
        <w:t>; N</w:t>
      </w:r>
      <w:r>
        <w:rPr>
          <w:rFonts w:ascii="Arial" w:cs="Arial" w:eastAsia="Arial" w:hAnsi="Arial"/>
          <w:sz w:val="15"/>
          <w:szCs w:val="15"/>
          <w:b w:val="1"/>
          <w:bCs w:val="1"/>
          <w:color w:val="auto"/>
        </w:rPr>
        <w:t>ONSOLICITATION</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2.1 Loyalty. </w:t>
      </w:r>
      <w:r>
        <w:rPr>
          <w:rFonts w:ascii="Arial" w:cs="Arial" w:eastAsia="Arial" w:hAnsi="Arial"/>
          <w:sz w:val="18"/>
          <w:szCs w:val="18"/>
          <w:color w:val="auto"/>
        </w:rPr>
        <w:t>During CDO’s employment with the Company, CDO shall devote CDO’s full business energies, interest, abilities and productive</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the proper and efficient performance of CDO’s duties under this Agreement.</w:t>
      </w:r>
    </w:p>
    <w:p>
      <w:pPr>
        <w:spacing w:after="0" w:line="16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2.2 Agreement not to Participate in Company’s Competitors</w:t>
      </w:r>
      <w:r>
        <w:rPr>
          <w:rFonts w:ascii="Arial" w:cs="Arial" w:eastAsia="Arial" w:hAnsi="Arial"/>
          <w:sz w:val="16"/>
          <w:szCs w:val="16"/>
          <w:color w:val="auto"/>
        </w:rPr>
        <w:t>. During CDO’s employment with the Company, CDO agrees not to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or participate in, directly or indirectly, any position, investment or interest known by CDO to be adverse or antagonistic to the Company, its business, or prospects, financial or otherwise, or in any company, person, or entity that is, directly or indirectly, in competition with the business of the Company or any of its Affiliates (as defined below). Ownership by CDO, in professionally managed funds over which CDO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specific entity, any other entity that, directly or indirectly, through one or more intermediaries, controls, is controlled by or is under common control with such specified entity.</w:t>
      </w:r>
    </w:p>
    <w:p>
      <w:pPr>
        <w:spacing w:after="0" w:line="16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b w:val="1"/>
          <w:bCs w:val="1"/>
          <w:color w:val="auto"/>
        </w:rPr>
        <w:t>2.3 Covenant not to Compete</w:t>
      </w:r>
      <w:r>
        <w:rPr>
          <w:rFonts w:ascii="Arial" w:cs="Arial" w:eastAsia="Arial" w:hAnsi="Arial"/>
          <w:sz w:val="18"/>
          <w:szCs w:val="18"/>
          <w:color w:val="auto"/>
        </w:rPr>
        <w:t>. During CDO’s employment with the Company, CDO shall not engage in competition with the Company and/or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in any manner or capacity, as adviser, principal, agent, affiliate, promoter, partner, officer, director, employee, stockholder, owner, co-owner, consultant, in any phase of the business of developing, manufacturing and marketing of products or services that directly compete with the products or services of the Company, except with the prior written consent of the Board. CDO shall be entitled to request written consent of the Board with respect to potential advisory and/or director opportunities presented to CDO by a third party, which CDO believes in good faith will not interfere or compete with the on-going business of the Company, during CDO’s employment.</w:t>
      </w:r>
    </w:p>
    <w:p>
      <w:pPr>
        <w:spacing w:after="0" w:line="215" w:lineRule="exact"/>
        <w:rPr>
          <w:sz w:val="20"/>
          <w:szCs w:val="20"/>
          <w:color w:val="auto"/>
        </w:rPr>
      </w:pPr>
    </w:p>
    <w:p>
      <w:pPr>
        <w:ind w:left="900" w:hanging="446"/>
        <w:spacing w:after="0"/>
        <w:tabs>
          <w:tab w:leader="none" w:pos="90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OMPENSATION OF</w:t>
      </w:r>
      <w:r>
        <w:rPr>
          <w:rFonts w:ascii="Arial" w:cs="Arial" w:eastAsia="Arial" w:hAnsi="Arial"/>
          <w:sz w:val="18"/>
          <w:szCs w:val="18"/>
          <w:b w:val="1"/>
          <w:bCs w:val="1"/>
          <w:color w:val="auto"/>
        </w:rPr>
        <w:t xml:space="preserve"> CDO.</w:t>
      </w:r>
    </w:p>
    <w:p>
      <w:pPr>
        <w:spacing w:after="0" w:line="225"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b w:val="1"/>
          <w:bCs w:val="1"/>
          <w:color w:val="auto"/>
        </w:rPr>
        <w:t xml:space="preserve">3.1 Base Salary. </w:t>
      </w:r>
      <w:r>
        <w:rPr>
          <w:rFonts w:ascii="Arial" w:cs="Arial" w:eastAsia="Arial" w:hAnsi="Arial"/>
          <w:sz w:val="18"/>
          <w:szCs w:val="18"/>
          <w:color w:val="auto"/>
        </w:rPr>
        <w:t>The Company shall pay CDO a base salary at the annualized rate of $350,000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payroll deductions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required withholdings, payable in regular periodic installments in accordance with the Company’s normal payroll practices. The Base Salary shall be prorated for any partial year of employment on the basis of a 365-day fiscal year.</w:t>
      </w:r>
    </w:p>
    <w:p>
      <w:pPr>
        <w:spacing w:after="0" w:line="17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3.2 Discretionary Bonus. </w:t>
      </w:r>
      <w:r>
        <w:rPr>
          <w:rFonts w:ascii="Arial" w:cs="Arial" w:eastAsia="Arial" w:hAnsi="Arial"/>
          <w:sz w:val="18"/>
          <w:szCs w:val="18"/>
          <w:color w:val="auto"/>
        </w:rPr>
        <w:t>At the sole discretion of the Board and Chief Executive Officer, promptly following each calendar year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CDO shall be eligible to receive a discretionary cash bonus of up to 25% of CDO’s then-current base salary (the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based on CDO’s achievement relative to certain performance goals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to be established by the Chief Executive Officer in writing in a manner reasonably consistent with the Company’s priorities. The determination of whether CDO has met the Performance Goals for any given year, and if so, the amount of any Bonus that will be paid 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44" w:name="page445"/>
    <w:bookmarkEnd w:id="44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year (if any), shall be determined by the Board and Chief Executive Officer in their sole and absolute discretion. In order to be eligible to earn or receive any Bonus, CDO must remain employed by the Company through and including the date of payment of such Bonus.</w:t>
      </w:r>
    </w:p>
    <w:p>
      <w:pPr>
        <w:spacing w:after="0" w:line="166" w:lineRule="exact"/>
        <w:rPr>
          <w:sz w:val="20"/>
          <w:szCs w:val="20"/>
          <w:color w:val="auto"/>
        </w:rPr>
      </w:pPr>
    </w:p>
    <w:p>
      <w:pPr>
        <w:ind w:right="800" w:firstLine="913"/>
        <w:spacing w:after="0" w:line="282" w:lineRule="auto"/>
        <w:rPr>
          <w:sz w:val="20"/>
          <w:szCs w:val="20"/>
          <w:color w:val="auto"/>
        </w:rPr>
      </w:pPr>
      <w:r>
        <w:rPr>
          <w:rFonts w:ascii="Arial" w:cs="Arial" w:eastAsia="Arial" w:hAnsi="Arial"/>
          <w:sz w:val="18"/>
          <w:szCs w:val="18"/>
          <w:b w:val="1"/>
          <w:bCs w:val="1"/>
          <w:color w:val="auto"/>
        </w:rPr>
        <w:t xml:space="preserve">3.3 Additional Discretionary Bonus(es). </w:t>
      </w:r>
      <w:r>
        <w:rPr>
          <w:rFonts w:ascii="Arial" w:cs="Arial" w:eastAsia="Arial" w:hAnsi="Arial"/>
          <w:sz w:val="18"/>
          <w:szCs w:val="18"/>
          <w:color w:val="auto"/>
        </w:rPr>
        <w:t>CDO shall be eligible to receive to following additional performance-based cash bonuses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and Chief Executive Officer in their sole and absolute discretion.</w:t>
      </w:r>
    </w:p>
    <w:p>
      <w:pPr>
        <w:spacing w:after="0" w:line="16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3.4 Stock Option. </w:t>
      </w:r>
      <w:r>
        <w:rPr>
          <w:rFonts w:ascii="Arial" w:cs="Arial" w:eastAsia="Arial" w:hAnsi="Arial"/>
          <w:sz w:val="16"/>
          <w:szCs w:val="16"/>
          <w:color w:val="auto"/>
        </w:rPr>
        <w:t>As soon as practicable following the Effective Date, CDO will be granted an option to purchase up to 1,126,756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(the “Base Option”) pursuant to the terms of the Company’s 2006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For purposes of this Section 3.3, “</w:t>
      </w:r>
      <w:r>
        <w:rPr>
          <w:rFonts w:ascii="Arial" w:cs="Arial" w:eastAsia="Arial" w:hAnsi="Arial"/>
          <w:sz w:val="16"/>
          <w:szCs w:val="16"/>
          <w:b w:val="1"/>
          <w:bCs w:val="1"/>
          <w:i w:val="1"/>
          <w:iCs w:val="1"/>
          <w:color w:val="auto"/>
        </w:rPr>
        <w:t>fully-diluted capitalization of the Company</w:t>
      </w:r>
      <w:r>
        <w:rPr>
          <w:rFonts w:ascii="Arial" w:cs="Arial" w:eastAsia="Arial" w:hAnsi="Arial"/>
          <w:sz w:val="16"/>
          <w:szCs w:val="16"/>
          <w:color w:val="auto"/>
        </w:rPr>
        <w:t>” means (1) all issued and outstanding equity securities of the Company, (2) all shares issuable upon the conversion, exercise, or exchange of any outstanding options, warrants, or other convertible or exchangeable securities of the Company and (3) all shares reserved for future issuance pursuant to the Plan. The Base Option shall be subject to vesting such that, subject to CDO’s continued employment with the Company, 1/4 of the shares subject to the Base Option shall vest as of the first anniversary of the Effective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 For clarity, any and all preferred shares of the Company purchased by CDO, prior to or following the Effective Date, are not included in the aforementioned consideration due to CDO.</w:t>
      </w:r>
    </w:p>
    <w:p>
      <w:pPr>
        <w:spacing w:after="0" w:line="164"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b w:val="1"/>
          <w:bCs w:val="1"/>
          <w:color w:val="auto"/>
        </w:rPr>
        <w:t xml:space="preserve">3.5 Expense Reimbursements. </w:t>
      </w:r>
      <w:r>
        <w:rPr>
          <w:rFonts w:ascii="Arial" w:cs="Arial" w:eastAsia="Arial" w:hAnsi="Arial"/>
          <w:sz w:val="17"/>
          <w:szCs w:val="17"/>
          <w:color w:val="auto"/>
        </w:rPr>
        <w:t>The Company will reimburse CDO for all reasonable business expenses CDO incurs in conducting his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pursuant to the Company’s usual expense reimbursement policies; provided that CDO supplies the appropriate substantiation for such expenses no later than the end of the calendar month following the month in which such expenses were incurred by CDO.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3.6 Changes to Compensation. </w:t>
      </w:r>
      <w:r>
        <w:rPr>
          <w:rFonts w:ascii="Arial" w:cs="Arial" w:eastAsia="Arial" w:hAnsi="Arial"/>
          <w:sz w:val="16"/>
          <w:szCs w:val="16"/>
          <w:color w:val="auto"/>
        </w:rPr>
        <w:t>CDO’s compensation will be reviewed annually and may be changed from time to time in the Company’s sole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07"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3.7 Employment Taxes</w:t>
      </w:r>
      <w:r>
        <w:rPr>
          <w:rFonts w:ascii="Arial" w:cs="Arial" w:eastAsia="Arial" w:hAnsi="Arial"/>
          <w:sz w:val="18"/>
          <w:szCs w:val="18"/>
          <w:color w:val="auto"/>
        </w:rPr>
        <w:t>. All of CDO’s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162" w:lineRule="exact"/>
        <w:rPr>
          <w:sz w:val="20"/>
          <w:szCs w:val="20"/>
          <w:color w:val="auto"/>
        </w:rPr>
      </w:pPr>
    </w:p>
    <w:p>
      <w:pPr>
        <w:ind w:right="140" w:firstLine="913"/>
        <w:spacing w:after="0" w:line="347" w:lineRule="auto"/>
        <w:rPr>
          <w:sz w:val="20"/>
          <w:szCs w:val="20"/>
          <w:color w:val="auto"/>
        </w:rPr>
      </w:pPr>
      <w:r>
        <w:rPr>
          <w:rFonts w:ascii="Arial" w:cs="Arial" w:eastAsia="Arial" w:hAnsi="Arial"/>
          <w:sz w:val="16"/>
          <w:szCs w:val="16"/>
          <w:b w:val="1"/>
          <w:bCs w:val="1"/>
          <w:color w:val="auto"/>
        </w:rPr>
        <w:t>3.8 Benefits</w:t>
      </w:r>
      <w:r>
        <w:rPr>
          <w:rFonts w:ascii="Arial" w:cs="Arial" w:eastAsia="Arial" w:hAnsi="Arial"/>
          <w:sz w:val="16"/>
          <w:szCs w:val="16"/>
          <w:color w:val="auto"/>
        </w:rPr>
        <w:t>. CDO shall, in accordance with Company policy and the terms of the applicable plan documents, be eligible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any benefit plan or arrangement that may be in effect from time to time and made available to the Company’s senior management employees.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45" w:name="page446"/>
    <w:bookmarkEnd w:id="445"/>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3.9 Holidays and Vacation. </w:t>
      </w:r>
      <w:r>
        <w:rPr>
          <w:rFonts w:ascii="Arial" w:cs="Arial" w:eastAsia="Arial" w:hAnsi="Arial"/>
          <w:sz w:val="16"/>
          <w:szCs w:val="16"/>
          <w:color w:val="auto"/>
        </w:rPr>
        <w:t>CDO shall be eligible for paid holiday and vacation time in accordance with Company policy as in effect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34" w:lineRule="exact"/>
        <w:rPr>
          <w:sz w:val="20"/>
          <w:szCs w:val="20"/>
          <w:color w:val="auto"/>
        </w:rPr>
      </w:pPr>
    </w:p>
    <w:p>
      <w:pPr>
        <w:ind w:left="900" w:hanging="446"/>
        <w:spacing w:after="0"/>
        <w:tabs>
          <w:tab w:leader="none" w:pos="90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4.1 Termination by the Company</w:t>
      </w:r>
      <w:r>
        <w:rPr>
          <w:rFonts w:ascii="Arial" w:cs="Arial" w:eastAsia="Arial" w:hAnsi="Arial"/>
          <w:sz w:val="18"/>
          <w:szCs w:val="18"/>
          <w:color w:val="auto"/>
        </w:rPr>
        <w:t>. CDO’s employment with the Company is at will and may be terminated by the Company at any time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or for no reason, including, but not limited to, under the following conditions:</w:t>
      </w:r>
    </w:p>
    <w:p>
      <w:pPr>
        <w:spacing w:after="0" w:line="162" w:lineRule="exact"/>
        <w:rPr>
          <w:sz w:val="20"/>
          <w:szCs w:val="20"/>
          <w:color w:val="auto"/>
        </w:rPr>
      </w:pPr>
    </w:p>
    <w:p>
      <w:pPr>
        <w:ind w:right="20" w:firstLine="1484"/>
        <w:spacing w:after="0" w:line="266" w:lineRule="auto"/>
        <w:rPr>
          <w:sz w:val="20"/>
          <w:szCs w:val="20"/>
          <w:color w:val="auto"/>
        </w:rPr>
      </w:pPr>
      <w:r>
        <w:rPr>
          <w:rFonts w:ascii="Arial" w:cs="Arial" w:eastAsia="Arial" w:hAnsi="Arial"/>
          <w:sz w:val="18"/>
          <w:szCs w:val="18"/>
          <w:b w:val="1"/>
          <w:bCs w:val="1"/>
          <w:color w:val="auto"/>
        </w:rPr>
        <w:t>4.1.1 Termination by the Company for Cause</w:t>
      </w:r>
      <w:r>
        <w:rPr>
          <w:rFonts w:ascii="Arial" w:cs="Arial" w:eastAsia="Arial" w:hAnsi="Arial"/>
          <w:sz w:val="18"/>
          <w:szCs w:val="18"/>
          <w:color w:val="auto"/>
        </w:rPr>
        <w:t>. The Company may terminate CDO’s employment under this Agreement for “Cause”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by delivery of written notice to CDO. Any notice of termination given pursuant to this section shall effect termination as of the date of the notice, or as of such other date specified in the notice.</w:t>
      </w:r>
    </w:p>
    <w:p>
      <w:pPr>
        <w:spacing w:after="0" w:line="176" w:lineRule="exact"/>
        <w:rPr>
          <w:sz w:val="20"/>
          <w:szCs w:val="20"/>
          <w:color w:val="auto"/>
        </w:rPr>
      </w:pPr>
    </w:p>
    <w:p>
      <w:pPr>
        <w:jc w:val="both"/>
        <w:ind w:right="220" w:firstLine="1484"/>
        <w:spacing w:after="0" w:line="266" w:lineRule="auto"/>
        <w:rPr>
          <w:sz w:val="20"/>
          <w:szCs w:val="20"/>
          <w:color w:val="auto"/>
        </w:rPr>
      </w:pPr>
      <w:r>
        <w:rPr>
          <w:rFonts w:ascii="Arial" w:cs="Arial" w:eastAsia="Arial" w:hAnsi="Arial"/>
          <w:sz w:val="18"/>
          <w:szCs w:val="18"/>
          <w:b w:val="1"/>
          <w:bCs w:val="1"/>
          <w:color w:val="auto"/>
        </w:rPr>
        <w:t>4.1.2 Termination by the Company without Cause</w:t>
      </w:r>
      <w:r>
        <w:rPr>
          <w:rFonts w:ascii="Arial" w:cs="Arial" w:eastAsia="Arial" w:hAnsi="Arial"/>
          <w:sz w:val="18"/>
          <w:szCs w:val="18"/>
          <w:color w:val="auto"/>
        </w:rPr>
        <w:t>. The Company may terminate CDO’s employment under this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Cause at any time and for any reason, or for no reason. Such termination shall be effective on the date CDO is so informed, or as otherwise specified by the Company.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4.2 Termination by CDO</w:t>
      </w:r>
      <w:r>
        <w:rPr>
          <w:rFonts w:ascii="Arial" w:cs="Arial" w:eastAsia="Arial" w:hAnsi="Arial"/>
          <w:sz w:val="16"/>
          <w:szCs w:val="16"/>
          <w:color w:val="auto"/>
        </w:rPr>
        <w:t>. CDO may terminate his employment with the Company at any time and for any reason, or for no reason, upon thirty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(30) days written notice to the Company.</w:t>
      </w:r>
    </w:p>
    <w:p>
      <w:pPr>
        <w:spacing w:after="0" w:line="207"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4.3 Termination for Death or Disability</w:t>
      </w:r>
      <w:r>
        <w:rPr>
          <w:rFonts w:ascii="Arial" w:cs="Arial" w:eastAsia="Arial" w:hAnsi="Arial"/>
          <w:sz w:val="18"/>
          <w:szCs w:val="18"/>
          <w:color w:val="auto"/>
        </w:rPr>
        <w:t>. CDO’s employment with the Company shall automatically terminate effective upon the date of CDO’s</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(as defined in the Plan).</w:t>
      </w:r>
    </w:p>
    <w:p>
      <w:pPr>
        <w:spacing w:after="0" w:line="162" w:lineRule="exact"/>
        <w:rPr>
          <w:sz w:val="20"/>
          <w:szCs w:val="20"/>
          <w:color w:val="auto"/>
        </w:rPr>
      </w:pPr>
    </w:p>
    <w:p>
      <w:pPr>
        <w:ind w:right="260" w:firstLine="913"/>
        <w:spacing w:after="0" w:line="313" w:lineRule="auto"/>
        <w:rPr>
          <w:sz w:val="20"/>
          <w:szCs w:val="20"/>
          <w:color w:val="auto"/>
        </w:rPr>
      </w:pPr>
      <w:r>
        <w:rPr>
          <w:rFonts w:ascii="Arial" w:cs="Arial" w:eastAsia="Arial" w:hAnsi="Arial"/>
          <w:sz w:val="17"/>
          <w:szCs w:val="17"/>
          <w:b w:val="1"/>
          <w:bCs w:val="1"/>
          <w:color w:val="auto"/>
        </w:rPr>
        <w:t>4.4 Termination by Mutual Agreement of the Parties</w:t>
      </w:r>
      <w:r>
        <w:rPr>
          <w:rFonts w:ascii="Arial" w:cs="Arial" w:eastAsia="Arial" w:hAnsi="Arial"/>
          <w:sz w:val="17"/>
          <w:szCs w:val="17"/>
          <w:color w:val="auto"/>
        </w:rPr>
        <w:t>. CDO’s employment with the Company may be terminated at any time upon a mutual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writing of the Parties. Any such termination of employment shall have the consequences specified in such agreement.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p>
    <w:p>
      <w:pPr>
        <w:spacing w:after="0" w:line="225" w:lineRule="exact"/>
        <w:rPr>
          <w:sz w:val="20"/>
          <w:szCs w:val="20"/>
          <w:color w:val="auto"/>
        </w:rPr>
      </w:pPr>
    </w:p>
    <w:p>
      <w:pPr>
        <w:ind w:right="20" w:firstLine="1484"/>
        <w:spacing w:after="0" w:line="261" w:lineRule="auto"/>
        <w:rPr>
          <w:sz w:val="20"/>
          <w:szCs w:val="20"/>
          <w:color w:val="auto"/>
        </w:rPr>
      </w:pPr>
      <w:r>
        <w:rPr>
          <w:rFonts w:ascii="Arial" w:cs="Arial" w:eastAsia="Arial" w:hAnsi="Arial"/>
          <w:sz w:val="18"/>
          <w:szCs w:val="18"/>
          <w:b w:val="1"/>
          <w:bCs w:val="1"/>
          <w:color w:val="auto"/>
        </w:rPr>
        <w:t>4.5.1 Death or Disability</w:t>
      </w:r>
      <w:r>
        <w:rPr>
          <w:rFonts w:ascii="Arial" w:cs="Arial" w:eastAsia="Arial" w:hAnsi="Arial"/>
          <w:sz w:val="18"/>
          <w:szCs w:val="18"/>
          <w:color w:val="auto"/>
        </w:rPr>
        <w:t>. If CDO’s employment is terminated by death or Disability, the Company shall pay to CDO, or to CDO’s heirs,</w:t>
      </w:r>
      <w:r>
        <w:rPr>
          <w:rFonts w:ascii="Arial" w:cs="Arial" w:eastAsia="Arial" w:hAnsi="Arial"/>
          <w:sz w:val="18"/>
          <w:szCs w:val="18"/>
          <w:b w:val="1"/>
          <w:bCs w:val="1"/>
          <w:color w:val="auto"/>
        </w:rPr>
        <w:t xml:space="preserve"> </w:t>
      </w:r>
      <w:r>
        <w:rPr>
          <w:rFonts w:ascii="Arial" w:cs="Arial" w:eastAsia="Arial" w:hAnsi="Arial"/>
          <w:sz w:val="18"/>
          <w:szCs w:val="18"/>
          <w:color w:val="auto"/>
        </w:rPr>
        <w:t>CDO’s base salary and accrued and unused vacation benefits earned through the date of termination at the rate in effect at the time of termination, less standard deductions and withholdings. The Company shall thereafter have no further obligations to CDO and/or CDO’s heirs under this Agreement, except as otherwise provided by law.</w:t>
      </w:r>
    </w:p>
    <w:p>
      <w:pPr>
        <w:spacing w:after="0" w:line="180" w:lineRule="exact"/>
        <w:rPr>
          <w:sz w:val="20"/>
          <w:szCs w:val="20"/>
          <w:color w:val="auto"/>
        </w:rPr>
      </w:pPr>
    </w:p>
    <w:p>
      <w:pPr>
        <w:ind w:firstLine="1484"/>
        <w:spacing w:after="0" w:line="314" w:lineRule="auto"/>
        <w:rPr>
          <w:sz w:val="20"/>
          <w:szCs w:val="20"/>
          <w:color w:val="auto"/>
        </w:rPr>
      </w:pPr>
      <w:r>
        <w:rPr>
          <w:rFonts w:ascii="Arial" w:cs="Arial" w:eastAsia="Arial" w:hAnsi="Arial"/>
          <w:sz w:val="16"/>
          <w:szCs w:val="16"/>
          <w:b w:val="1"/>
          <w:bCs w:val="1"/>
          <w:color w:val="auto"/>
        </w:rPr>
        <w:t xml:space="preserve">4.5.2 Termination For Cause. </w:t>
      </w:r>
      <w:r>
        <w:rPr>
          <w:rFonts w:ascii="Arial" w:cs="Arial" w:eastAsia="Arial" w:hAnsi="Arial"/>
          <w:sz w:val="16"/>
          <w:szCs w:val="16"/>
          <w:color w:val="auto"/>
        </w:rPr>
        <w:t>If the Company terminates CDO’s employment for Cause, then the Company shall pay CDO’s 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and accrued and unused vacation benefits earned through the date of termination, at the rate in effect at the time of termination, less standard deductions and withholdings. The Company shall thereafter have no further obligations to CDO under this Agreement, except as otherwise provided by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446" w:name="page447"/>
    <w:bookmarkEnd w:id="446"/>
    <w:p>
      <w:pPr>
        <w:ind w:right="20" w:firstLine="1484"/>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4.5.3 Termination by Company Without Cause or by CDO for Good Reason Not In Connection with a Change in Control. </w:t>
      </w:r>
      <w:r>
        <w:rPr>
          <w:rFonts w:ascii="Arial" w:cs="Arial" w:eastAsia="Arial" w:hAnsi="Arial"/>
          <w:sz w:val="17"/>
          <w:szCs w:val="17"/>
          <w:color w:val="auto"/>
        </w:rPr>
        <w:t>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terminates CDO’s employment without Cause or if CDO resigns his employment for Good Reason, in either case at any time other than upon the occurrence of, or within the 13 months immediately following, the effective date of a Change in Control, the Company shall pay CDO’s base salary and accrued and unused vacation benefits earned through the date of termination, at the rate in effect at the time of termination, less standard deductions and withholdings. In addition, if CDO furnishes to the Company an executed waiver and release of claims in the form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(or in such other form as may be specified by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within the time period specified therein, but in no event later than 45 days following CDO’s termination, and if CDO allows such Release to become effective in accordance with its terms, then (i) CDO shall be entitled to severance in the form of continuation of his base salary, at the base salary rate in effect at the time of termination (the “</w:t>
      </w:r>
      <w:r>
        <w:rPr>
          <w:rFonts w:ascii="Arial" w:cs="Arial" w:eastAsia="Arial" w:hAnsi="Arial"/>
          <w:sz w:val="17"/>
          <w:szCs w:val="17"/>
          <w:b w:val="1"/>
          <w:bCs w:val="1"/>
          <w:i w:val="1"/>
          <w:iCs w:val="1"/>
          <w:color w:val="auto"/>
        </w:rPr>
        <w:t>Severance Payments</w:t>
      </w:r>
      <w:r>
        <w:rPr>
          <w:rFonts w:ascii="Arial" w:cs="Arial" w:eastAsia="Arial" w:hAnsi="Arial"/>
          <w:sz w:val="17"/>
          <w:szCs w:val="17"/>
          <w:color w:val="auto"/>
        </w:rPr>
        <w:t>”), for a period of nine months following the termination date (the “</w:t>
      </w:r>
      <w:r>
        <w:rPr>
          <w:rFonts w:ascii="Arial" w:cs="Arial" w:eastAsia="Arial" w:hAnsi="Arial"/>
          <w:sz w:val="17"/>
          <w:szCs w:val="17"/>
          <w:b w:val="1"/>
          <w:bCs w:val="1"/>
          <w:i w:val="1"/>
          <w:iCs w:val="1"/>
          <w:color w:val="auto"/>
        </w:rPr>
        <w:t>Severance Period</w:t>
      </w:r>
      <w:r>
        <w:rPr>
          <w:rFonts w:ascii="Arial" w:cs="Arial" w:eastAsia="Arial" w:hAnsi="Arial"/>
          <w:sz w:val="17"/>
          <w:szCs w:val="17"/>
          <w:color w:val="auto"/>
        </w:rPr>
        <w:t xml:space="preserve">”), and (ii) the Company will pay directly to the insurance provider the premium for COBRA continuation coverage for CDO and CDO’s family during the Severance Period or until he obtains new employment, whichever comes first (the </w:t>
      </w:r>
      <w:r>
        <w:rPr>
          <w:rFonts w:ascii="Arial" w:cs="Arial" w:eastAsia="Arial" w:hAnsi="Arial"/>
          <w:sz w:val="17"/>
          <w:szCs w:val="17"/>
          <w:b w:val="1"/>
          <w:bCs w:val="1"/>
          <w:i w:val="1"/>
          <w:iCs w:val="1"/>
          <w:color w:val="auto"/>
        </w:rPr>
        <w:t>“COBRA Coverage”</w:t>
      </w:r>
      <w:r>
        <w:rPr>
          <w:rFonts w:ascii="Arial" w:cs="Arial" w:eastAsia="Arial" w:hAnsi="Arial"/>
          <w:sz w:val="17"/>
          <w:szCs w:val="17"/>
          <w:color w:val="auto"/>
        </w:rPr>
        <w:t>).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The Company shall thereafter have no further obligations to CDO under this Agreement, except as otherwise provided by law.</w:t>
      </w:r>
    </w:p>
    <w:p>
      <w:pPr>
        <w:spacing w:after="0" w:line="185" w:lineRule="exact"/>
        <w:rPr>
          <w:sz w:val="20"/>
          <w:szCs w:val="20"/>
          <w:color w:val="auto"/>
        </w:rPr>
      </w:pPr>
    </w:p>
    <w:p>
      <w:pPr>
        <w:ind w:firstLine="1484"/>
        <w:spacing w:after="0" w:line="271" w:lineRule="auto"/>
        <w:rPr>
          <w:sz w:val="20"/>
          <w:szCs w:val="20"/>
          <w:color w:val="auto"/>
        </w:rPr>
      </w:pPr>
      <w:r>
        <w:rPr>
          <w:rFonts w:ascii="Arial" w:cs="Arial" w:eastAsia="Arial" w:hAnsi="Arial"/>
          <w:sz w:val="17"/>
          <w:szCs w:val="17"/>
          <w:b w:val="1"/>
          <w:bCs w:val="1"/>
          <w:color w:val="auto"/>
        </w:rPr>
        <w:t xml:space="preserve">4.5.4 Termination by Company Without Cause or by CDO for Good Reason In Connection with a Change in Control. </w:t>
      </w:r>
      <w:r>
        <w:rPr>
          <w:rFonts w:ascii="Arial" w:cs="Arial" w:eastAsia="Arial" w:hAnsi="Arial"/>
          <w:sz w:val="17"/>
          <w:szCs w:val="17"/>
          <w:color w:val="auto"/>
        </w:rPr>
        <w:t>If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terminates CDO’s employment without Cause or if CDO resigns his employment for Good Reason, in either case upon the occurrence of, or within the 13 months immediately following, the effective date of a Change in Control, the Company shall pay CDO’s base salary and accrued and unused vacation benefits earned through the date of termination, at the rate in effect at the time of termination, less standard deductions and withholdings. In addition, if CDO furnishes to the Company an executed Release within the time period specified therein, but in no event later than 45 days following CDO’s termination, and if CDO allows such Release to become effective in accordance with its terms, then CDO shall be entitled to: (1) the Severance Payments and COBRA coverage described in Section 4.5.3 above and (2) accelerated vesting of any unvested shares subject to the Base Option such that CDO shall become vested in 100% of the shares subject to such Base Option on the effective date of the Release. The Company shall thereafter have no further obligations to CDO under this Agreement, except as otherwise provided by law.</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4.6 Definitions</w:t>
      </w:r>
      <w:r>
        <w:rPr>
          <w:rFonts w:ascii="Arial" w:cs="Arial" w:eastAsia="Arial" w:hAnsi="Arial"/>
          <w:sz w:val="18"/>
          <w:szCs w:val="18"/>
          <w:color w:val="auto"/>
        </w:rPr>
        <w:t>. For purposes of this Agreement, the following terms shall have the following meanings:</w:t>
      </w:r>
    </w:p>
    <w:p>
      <w:pPr>
        <w:spacing w:after="0" w:line="225" w:lineRule="exact"/>
        <w:rPr>
          <w:sz w:val="20"/>
          <w:szCs w:val="20"/>
          <w:color w:val="auto"/>
        </w:rPr>
      </w:pPr>
    </w:p>
    <w:p>
      <w:pPr>
        <w:ind w:right="140" w:firstLine="1484"/>
        <w:spacing w:after="0" w:line="314" w:lineRule="auto"/>
        <w:rPr>
          <w:sz w:val="20"/>
          <w:szCs w:val="20"/>
          <w:color w:val="auto"/>
        </w:rPr>
      </w:pPr>
      <w:r>
        <w:rPr>
          <w:rFonts w:ascii="Arial" w:cs="Arial" w:eastAsia="Arial" w:hAnsi="Arial"/>
          <w:sz w:val="16"/>
          <w:szCs w:val="16"/>
          <w:b w:val="1"/>
          <w:bCs w:val="1"/>
          <w:color w:val="auto"/>
        </w:rPr>
        <w:t>4.6.1 Cause</w:t>
      </w:r>
      <w:r>
        <w:rPr>
          <w:rFonts w:ascii="Arial" w:cs="Arial" w:eastAsia="Arial" w:hAnsi="Arial"/>
          <w:sz w:val="16"/>
          <w:szCs w:val="16"/>
          <w:color w:val="auto"/>
        </w:rPr>
        <w: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the occurrence of any one or more of the following: (i) CDO’s commission of any crime involving</w:t>
      </w:r>
      <w:r>
        <w:rPr>
          <w:rFonts w:ascii="Arial" w:cs="Arial" w:eastAsia="Arial" w:hAnsi="Arial"/>
          <w:sz w:val="16"/>
          <w:szCs w:val="16"/>
          <w:b w:val="1"/>
          <w:bCs w:val="1"/>
          <w:color w:val="auto"/>
        </w:rPr>
        <w:t xml:space="preserve"> </w:t>
      </w:r>
      <w:r>
        <w:rPr>
          <w:rFonts w:ascii="Arial" w:cs="Arial" w:eastAsia="Arial" w:hAnsi="Arial"/>
          <w:sz w:val="16"/>
          <w:szCs w:val="16"/>
          <w:color w:val="auto"/>
        </w:rPr>
        <w:t>fraud, dishonesty or moral turpitude; (ii) CDO’s attempted commission of or participation in a fraud or act of dishonesty against the Company that results in (or might have reasonably resulted in) material harm to the business of the Company; (iii) CDO’s intentional, material violation of any contract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447" w:name="page448"/>
    <w:bookmarkEnd w:id="44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between CDO and the Company or any statutory duty CDO owes to the Company; or (iv) CDO’s conduct that constitutes gross insubordination, incompetence or habitual neglect of duties and that results in (or might have reasonably resulted in) material harm to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action or conduct described in clauses (iii) and (iv) above will constitute “Cause” only if such action or conduct continues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provided CDO with written notice thereof and thirty (30) days to cure, or otherwise remedy to the extent possible under direct control of the CDO, the same. An occurrence of “Cause” as set forth in the preceding sentence shall be based upon a good faith determination by the Board. CDO’s Disability shall not constitute Cause as set forth herein. The determination that a termination is for Cause shall be by the Board in its sole and exclusive judgment and discretion.</w:t>
      </w:r>
    </w:p>
    <w:p>
      <w:pPr>
        <w:spacing w:after="0" w:line="185" w:lineRule="exact"/>
        <w:rPr>
          <w:sz w:val="20"/>
          <w:szCs w:val="20"/>
          <w:color w:val="auto"/>
        </w:rPr>
      </w:pPr>
    </w:p>
    <w:p>
      <w:pPr>
        <w:ind w:right="40" w:firstLine="1484"/>
        <w:spacing w:after="0" w:line="254" w:lineRule="auto"/>
        <w:rPr>
          <w:sz w:val="20"/>
          <w:szCs w:val="20"/>
          <w:color w:val="auto"/>
        </w:rPr>
      </w:pPr>
      <w:r>
        <w:rPr>
          <w:rFonts w:ascii="Arial" w:cs="Arial" w:eastAsia="Arial" w:hAnsi="Arial"/>
          <w:sz w:val="18"/>
          <w:szCs w:val="18"/>
          <w:b w:val="1"/>
          <w:bCs w:val="1"/>
          <w:color w:val="auto"/>
        </w:rPr>
        <w:t xml:space="preserve">4.6.2 </w:t>
      </w: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any of the following actions: (i) the assignment to CDO of any duties or responsibilities that results in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diminution in CDO’s function as in effect immediately prior to the effective date of the Change in Control; provided, however, that a change in CDO’s title or reporting relationships shall not provide the basis for a voluntary termination with Good Reason; (ii) a reduction by the Company in CDO’s annual base salary as in effect on the effective date of the Change in Control; provided, however, that Good Reason shall not be deemed to have occurred in the event of a reduction in CDO’s annual base salary that is pursuant to a salary reduction program affecting substantially all of the employees of the Company and that does not adversely affect CDO to a greater extent than other similarly situated employees; or (iii) a relocation of CDO’s primary business office to a location more than 50 miles from the location of CDO’s primary business office as of the effective date of the Change in Control, except for required travel by CDO on the Company’s business to an extent substantially consistent with CDO’s business travel obligations prior to the effective date of the Change in Control.</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4.7 Survival of Certain Sections. </w:t>
      </w:r>
      <w:r>
        <w:rPr>
          <w:rFonts w:ascii="Arial" w:cs="Arial" w:eastAsia="Arial" w:hAnsi="Arial"/>
          <w:sz w:val="17"/>
          <w:szCs w:val="17"/>
          <w:color w:val="auto"/>
        </w:rPr>
        <w:t>Sections 2, 3.4 and 4 through 18 of this Agreement will survive the termination of this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4.8 Parachute Payment. </w:t>
      </w:r>
      <w:r>
        <w:rPr>
          <w:rFonts w:ascii="Arial" w:cs="Arial" w:eastAsia="Arial" w:hAnsi="Arial"/>
          <w:sz w:val="17"/>
          <w:szCs w:val="17"/>
          <w:color w:val="auto"/>
        </w:rPr>
        <w:t>If any payment or benefit CDO would receive pursuant to this Agreement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color w:val="auto"/>
        </w:rPr>
        <w: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color w:val="auto"/>
        </w:rPr>
        <w:t>” 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taxes, and the Excise Tax (all computed at the highest applicable marginal rate), results in CDO’s receipt, on an after-tax basis, of the greatest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for CDO. If more than one method of reduction will result in the same economic benefit, the items so reduced will be reduced pro rata.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48" w:name="page449"/>
    <w:bookmarkEnd w:id="44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it is subsequently determined by the Internal Revenue Service that some portion of the Reduced Amount (as determined pursuant to clause</w:t>
      </w:r>
    </w:p>
    <w:p>
      <w:pPr>
        <w:spacing w:after="0" w:line="46" w:lineRule="exact"/>
        <w:rPr>
          <w:sz w:val="20"/>
          <w:szCs w:val="20"/>
          <w:color w:val="auto"/>
        </w:rPr>
      </w:pPr>
    </w:p>
    <w:p>
      <w:pPr>
        <w:ind w:right="320" w:firstLine="8"/>
        <w:spacing w:after="0" w:line="281" w:lineRule="auto"/>
        <w:tabs>
          <w:tab w:leader="none" w:pos="255"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CDO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in the preceding paragraph, CDO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CDO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shall use commercially reasonable efforts such that the accounting, law or consulting firm engaged to make the determinations hereunder shall provide its calculations, together with detailed supporting documentation, to CDO and the Company within 15 calendar days after the date on which CDO’s right to a Payment is triggered (if requested at that time by CDO or the Company) or such other time as requested by CDO or the Company.</w:t>
      </w:r>
    </w:p>
    <w:p>
      <w:pPr>
        <w:spacing w:after="0" w:line="143"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b w:val="1"/>
          <w:bCs w:val="1"/>
          <w:color w:val="auto"/>
        </w:rPr>
        <w:t xml:space="preserve">4.9 Application of Internal Revenue Code Section 409A. </w:t>
      </w:r>
      <w:r>
        <w:rPr>
          <w:rFonts w:ascii="Arial" w:cs="Arial" w:eastAsia="Arial" w:hAnsi="Arial"/>
          <w:sz w:val="16"/>
          <w:szCs w:val="16"/>
          <w:color w:val="auto"/>
        </w:rPr>
        <w:t>Notwithstanding anything to the contrary set forth herein, any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under this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that constitute “deferred compensation” within the meaning of Section 409A of the Code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shall not commence in connection with CDO’s termination of employment unless and until CDO has also incurred a “separation from service” (as such term is defined in Treasury Regulation</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unless the Company reasonably determines that such amounts may be provided to CDO without causing CDO to incur the additional 20% tax under Section 409A.</w:t>
      </w:r>
    </w:p>
    <w:p>
      <w:pPr>
        <w:spacing w:after="0" w:line="184"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w:t>
      </w:r>
    </w:p>
    <w:p>
      <w:pPr>
        <w:ind w:firstLine="8"/>
        <w:spacing w:after="0" w:line="252" w:lineRule="auto"/>
        <w:tabs>
          <w:tab w:leader="none" w:pos="25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and 1.409A-1(b)(9). However, if the Company (or, if applicable, the successor entity thereto) determines that the Severance Benefits constitute “deferred compensation” under Section 409A and CDO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CDO’s Separation From Service, or (ii) the date of CDO’s death (such applicable date, the “</w:t>
      </w:r>
      <w:r>
        <w:rPr>
          <w:rFonts w:ascii="Arial" w:cs="Arial" w:eastAsia="Arial" w:hAnsi="Arial"/>
          <w:sz w:val="18"/>
          <w:szCs w:val="18"/>
          <w:b w:val="1"/>
          <w:bCs w:val="1"/>
          <w:i w:val="1"/>
          <w:iCs w:val="1"/>
          <w:color w:val="auto"/>
        </w:rPr>
        <w:t>Specified Employee Initial Payment Date</w:t>
      </w:r>
      <w:r>
        <w:rPr>
          <w:rFonts w:ascii="Arial" w:cs="Arial" w:eastAsia="Arial" w:hAnsi="Arial"/>
          <w:sz w:val="18"/>
          <w:szCs w:val="18"/>
          <w:color w:val="auto"/>
        </w:rPr>
        <w:t>”), the Company (or the successor entity thereto, as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49" w:name="page450"/>
    <w:bookmarkEnd w:id="449"/>
    <w:p>
      <w:pPr>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(A) pay to CDO a lump sum amount equal to the sum of the Severance Benefit payments that CDO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anything to the contrary set forth herein, CDO shall receive the Severance Benefits described above, if and only if CDO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CDO the Severance Benefits CDO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89" w:lineRule="exact"/>
        <w:rPr>
          <w:sz w:val="20"/>
          <w:szCs w:val="20"/>
          <w:color w:val="auto"/>
        </w:rPr>
      </w:pPr>
    </w:p>
    <w:p>
      <w:pPr>
        <w:ind w:left="900" w:hanging="446"/>
        <w:spacing w:after="0"/>
        <w:tabs>
          <w:tab w:leader="none" w:pos="90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ONFIDENTIAL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CDO has already executed, as a condition of CDO’s employment with the Company, the Company’s standard form of Proprietary Information and Inventions Agreement (the “</w:t>
      </w:r>
      <w:r>
        <w:rPr>
          <w:rFonts w:ascii="Arial" w:cs="Arial" w:eastAsia="Arial" w:hAnsi="Arial"/>
          <w:sz w:val="18"/>
          <w:szCs w:val="18"/>
          <w:b w:val="1"/>
          <w:bCs w:val="1"/>
          <w:i w:val="1"/>
          <w:iCs w:val="1"/>
          <w:color w:val="auto"/>
        </w:rPr>
        <w:t>PIIA</w:t>
      </w:r>
      <w:r>
        <w:rPr>
          <w:rFonts w:ascii="Arial" w:cs="Arial" w:eastAsia="Arial" w:hAnsi="Arial"/>
          <w:sz w:val="18"/>
          <w:szCs w:val="18"/>
          <w:color w:val="auto"/>
        </w:rPr>
        <w:t>”). The PIIA remains in full force and effect.</w:t>
      </w:r>
    </w:p>
    <w:p>
      <w:pPr>
        <w:spacing w:after="0" w:line="193" w:lineRule="exact"/>
        <w:rPr>
          <w:sz w:val="20"/>
          <w:szCs w:val="20"/>
          <w:color w:val="auto"/>
        </w:rPr>
      </w:pPr>
    </w:p>
    <w:p>
      <w:pPr>
        <w:ind w:left="900" w:hanging="446"/>
        <w:spacing w:after="0"/>
        <w:tabs>
          <w:tab w:leader="none" w:pos="90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SSIGNMENT AND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INDING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FFECT</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This Agreement shall be binding upon and inure to the benefit of CDO and CDO’s heirs, executors, personal representatives, assigns, administrators and legal representatives. Because of the unique and personal nature of CDO’s duties under this Agreement, neither this Agreement nor any rights or obligations under this Agreement shall be assignable by CDO.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201" w:lineRule="exact"/>
        <w:rPr>
          <w:sz w:val="20"/>
          <w:szCs w:val="20"/>
          <w:color w:val="auto"/>
        </w:rPr>
      </w:pPr>
    </w:p>
    <w:p>
      <w:pPr>
        <w:ind w:left="900" w:hanging="446"/>
        <w:spacing w:after="0"/>
        <w:tabs>
          <w:tab w:leader="none" w:pos="90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CDO under this Agreement shall be given in writing and shall be personally delivered (and receipted for) or faxed during normal business hours or mailed by certified mail, return receipt requested, postage prepaid, addressed as follows: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50" w:name="page451"/>
    <w:bookmarkEnd w:id="45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CDO:</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152400</wp:posOffset>
            </wp:positionV>
            <wp:extent cx="30441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30441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204" w:lineRule="exact"/>
        <w:rPr>
          <w:sz w:val="20"/>
          <w:szCs w:val="20"/>
          <w:color w:val="auto"/>
        </w:rPr>
      </w:pPr>
    </w:p>
    <w:p>
      <w:pPr>
        <w:ind w:left="900" w:hanging="446"/>
        <w:spacing w:after="0"/>
        <w:tabs>
          <w:tab w:leader="none" w:pos="90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pacing w:after="0" w:line="193" w:lineRule="exact"/>
        <w:rPr>
          <w:sz w:val="20"/>
          <w:szCs w:val="20"/>
          <w:color w:val="auto"/>
        </w:rPr>
      </w:pPr>
    </w:p>
    <w:p>
      <w:pPr>
        <w:ind w:left="900" w:hanging="446"/>
        <w:spacing w:after="0"/>
        <w:tabs>
          <w:tab w:leader="none" w:pos="90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NTEGRATION</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CDO’s employment and the termination of CDO’s employment, and supersedes any and all prior and/or contemporaneous oral and written employment agreements or arrangements between the Parties.</w:t>
      </w:r>
    </w:p>
    <w:p>
      <w:pPr>
        <w:spacing w:after="0" w:line="203" w:lineRule="exact"/>
        <w:rPr>
          <w:sz w:val="20"/>
          <w:szCs w:val="20"/>
          <w:color w:val="auto"/>
        </w:rPr>
      </w:pPr>
    </w:p>
    <w:p>
      <w:pPr>
        <w:ind w:left="900" w:hanging="446"/>
        <w:spacing w:after="0"/>
        <w:tabs>
          <w:tab w:leader="none" w:pos="90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CDO and the Company.</w:t>
      </w:r>
    </w:p>
    <w:p>
      <w:pPr>
        <w:spacing w:after="0" w:line="248" w:lineRule="exact"/>
        <w:rPr>
          <w:sz w:val="20"/>
          <w:szCs w:val="20"/>
          <w:color w:val="auto"/>
        </w:rPr>
      </w:pPr>
    </w:p>
    <w:p>
      <w:pPr>
        <w:ind w:left="900" w:hanging="446"/>
        <w:spacing w:after="0"/>
        <w:tabs>
          <w:tab w:leader="none" w:pos="90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204" w:lineRule="exact"/>
        <w:rPr>
          <w:sz w:val="20"/>
          <w:szCs w:val="20"/>
          <w:color w:val="auto"/>
        </w:rPr>
      </w:pPr>
    </w:p>
    <w:p>
      <w:pPr>
        <w:ind w:left="900" w:hanging="446"/>
        <w:spacing w:after="0"/>
        <w:tabs>
          <w:tab w:leader="none" w:pos="90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69" w:right="33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which most accurately represents the Parties’ intention with respect to the invalid or unenforceable term, or provision.</w:t>
      </w:r>
    </w:p>
    <w:p>
      <w:pPr>
        <w:spacing w:after="0" w:line="248" w:lineRule="exact"/>
        <w:rPr>
          <w:sz w:val="20"/>
          <w:szCs w:val="20"/>
          <w:color w:val="auto"/>
        </w:rPr>
      </w:pPr>
    </w:p>
    <w:p>
      <w:pPr>
        <w:ind w:left="900" w:hanging="446"/>
        <w:spacing w:after="0"/>
        <w:tabs>
          <w:tab w:leader="none" w:pos="90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NTERPRETATION</w:t>
      </w:r>
      <w:r>
        <w:rPr>
          <w:rFonts w:ascii="Arial" w:cs="Arial" w:eastAsia="Arial" w:hAnsi="Arial"/>
          <w:sz w:val="18"/>
          <w:szCs w:val="18"/>
          <w:b w:val="1"/>
          <w:bCs w:val="1"/>
          <w:color w:val="auto"/>
        </w:rPr>
        <w:t>; C</w:t>
      </w:r>
      <w:r>
        <w:rPr>
          <w:rFonts w:ascii="Arial" w:cs="Arial" w:eastAsia="Arial" w:hAnsi="Arial"/>
          <w:sz w:val="15"/>
          <w:szCs w:val="15"/>
          <w:b w:val="1"/>
          <w:bCs w:val="1"/>
          <w:color w:val="auto"/>
        </w:rPr>
        <w:t>ONSTRUCTION</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The headings set forth in this Agreement are for convenience of reference only and shall not be used in interpreting this Agreement. This Agreement has been drafted by legal counsel representing the Company, but CDO has been encouraged to consult with, and has consulted with, CDO’s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96" w:lineRule="exact"/>
        <w:rPr>
          <w:sz w:val="20"/>
          <w:szCs w:val="20"/>
          <w:color w:val="auto"/>
        </w:rPr>
      </w:pPr>
    </w:p>
    <w:p>
      <w:pPr>
        <w:ind w:left="900" w:hanging="446"/>
        <w:spacing w:after="0"/>
        <w:tabs>
          <w:tab w:leader="none" w:pos="90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CDO represents and warrants that CDO is not restricted or prohibited, contractually or otherwise, from entering into and performing each of the terms and covenants contained in this Agreement, and that CDO’s execution and performance of this Agreement will not violate or breach any other agreements between CDO and any other person or entity.</w:t>
      </w:r>
    </w:p>
    <w:p>
      <w:pPr>
        <w:spacing w:after="0" w:line="204" w:lineRule="exact"/>
        <w:rPr>
          <w:sz w:val="20"/>
          <w:szCs w:val="20"/>
          <w:color w:val="auto"/>
        </w:rPr>
      </w:pPr>
    </w:p>
    <w:p>
      <w:pPr>
        <w:ind w:left="900" w:hanging="446"/>
        <w:spacing w:after="0"/>
        <w:tabs>
          <w:tab w:leader="none" w:pos="90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OUNTERPARTS</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This Agreement may be executed in two counterparts, each of which shall be deemed an original, all of which together shall contribute one and the same instrument.</w:t>
      </w:r>
    </w:p>
    <w:p>
      <w:pPr>
        <w:spacing w:after="0" w:line="193" w:lineRule="exact"/>
        <w:rPr>
          <w:sz w:val="20"/>
          <w:szCs w:val="20"/>
          <w:color w:val="auto"/>
        </w:rPr>
      </w:pPr>
    </w:p>
    <w:p>
      <w:pPr>
        <w:ind w:left="900" w:hanging="446"/>
        <w:spacing w:after="0"/>
        <w:tabs>
          <w:tab w:leader="none" w:pos="90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RBITRATION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To ensure the rapid and economical resolution of disputes that may arise in connection with CDO’s employment with the Company, CDO and the Company agree that any and all disputes, claims, or causes of action, in law or equity, arising from or relating to CDO’s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CDO and the Company hereby waive any right to a jury trial. Both CDO and the Company shall be entitled to all rights and remedies that either CDO or the Company would be entitled to pursue in a court of law. The Company shall pay any JAMS filing fee and shall pay the arbitrator’s fee. Nothing in this Agreement is intended to prevent either CDO or the Company from obtaining injunctive relief in court to prevent irreparable harm pending the conclusion of any such arbitration. Notwithstanding the foregoing, CDO and the Company each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52" w:name="page453"/>
    <w:bookmarkEnd w:id="45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the right to resolve any issue or dispute involving confidential, proprietary or trade secret information, or intellectual property rights, by Court action instead of arbitration.</w:t>
      </w:r>
    </w:p>
    <w:p>
      <w:pPr>
        <w:spacing w:after="0" w:line="193" w:lineRule="exact"/>
        <w:rPr>
          <w:sz w:val="20"/>
          <w:szCs w:val="20"/>
          <w:color w:val="auto"/>
        </w:rPr>
      </w:pPr>
    </w:p>
    <w:p>
      <w:pPr>
        <w:ind w:left="900" w:hanging="446"/>
        <w:spacing w:after="0"/>
        <w:tabs>
          <w:tab w:leader="none" w:pos="90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RADE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ECRETS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THERS</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It is the understanding of both the Company and CDO that CDO shall not divulge to the Company and/or its subsidiaries any confidential information or trade secrets belonging to others, including CDO’s former employers, nor shall the Company and/or its Affiliates seek to elicit from CDO any such information. Consistent with the foregoing, CDO shall not provide to the Company and/or its Affiliates, and the Company and/or its Affiliates shall not request, any documents or copies of documents containing such information.</w:t>
      </w:r>
    </w:p>
    <w:p>
      <w:pPr>
        <w:spacing w:after="0" w:line="210" w:lineRule="exact"/>
        <w:rPr>
          <w:sz w:val="20"/>
          <w:szCs w:val="20"/>
          <w:color w:val="auto"/>
        </w:rPr>
      </w:pPr>
    </w:p>
    <w:p>
      <w:pPr>
        <w:ind w:left="900" w:hanging="446"/>
        <w:spacing w:after="0"/>
        <w:tabs>
          <w:tab w:leader="none" w:pos="90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DVERTISING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CDO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CDO’s name and/or pictures of CDO taken in the course of CDO’s provision of services to the Company appear. CDO hereby waives and releases any claim or right CDO may otherwise have arising out of such use, publication or distribution.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3" w:right="339" w:bottom="1440" w:gutter="0" w:footer="0" w:header="0"/>
        </w:sectPr>
      </w:pPr>
    </w:p>
    <w:bookmarkStart w:id="453" w:name="page454"/>
    <w:bookmarkEnd w:id="45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executed this Agreement as of the dates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1"/>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920" w:type="dxa"/>
            <w:vAlign w:val="bottom"/>
          </w:tcPr>
          <w:p>
            <w:pPr>
              <w:spacing w:after="0"/>
              <w:rPr>
                <w:sz w:val="20"/>
                <w:szCs w:val="20"/>
                <w:color w:val="auto"/>
              </w:rPr>
            </w:pPr>
            <w:r>
              <w:rPr>
                <w:rFonts w:ascii="Arial" w:cs="Arial" w:eastAsia="Arial" w:hAnsi="Arial"/>
                <w:sz w:val="18"/>
                <w:szCs w:val="18"/>
                <w:color w:val="auto"/>
              </w:rPr>
              <w:t>July 8</w:t>
            </w:r>
            <w:r>
              <w:rPr>
                <w:rFonts w:ascii="Arial" w:cs="Arial" w:eastAsia="Arial" w:hAnsi="Arial"/>
                <w:sz w:val="15"/>
                <w:szCs w:val="15"/>
                <w:color w:val="auto"/>
              </w:rPr>
              <w:t>th</w:t>
            </w:r>
            <w:r>
              <w:rPr>
                <w:rFonts w:ascii="Arial" w:cs="Arial" w:eastAsia="Arial" w:hAnsi="Arial"/>
                <w:sz w:val="18"/>
                <w:szCs w:val="18"/>
                <w:color w:val="auto"/>
              </w:rPr>
              <w:t xml:space="preserve"> 2015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ARCO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ONDEI</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8</w:t>
      </w:r>
      <w:r>
        <w:rPr>
          <w:rFonts w:ascii="Arial" w:cs="Arial" w:eastAsia="Arial" w:hAnsi="Arial"/>
          <w:sz w:val="13"/>
          <w:szCs w:val="13"/>
          <w:color w:val="auto"/>
        </w:rPr>
        <w:t>th</w:t>
      </w:r>
      <w:r>
        <w:rPr>
          <w:rFonts w:ascii="Arial" w:cs="Arial" w:eastAsia="Arial" w:hAnsi="Arial"/>
          <w:sz w:val="16"/>
          <w:szCs w:val="16"/>
          <w:color w:val="auto"/>
        </w:rPr>
        <w:t xml:space="preserve"> 2015</w:t>
      </w:r>
    </w:p>
    <w:p>
      <w:pPr>
        <w:spacing w:after="0" w:line="225"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E</w:t>
      </w:r>
      <w:r>
        <w:rPr>
          <w:rFonts w:ascii="Arial" w:cs="Arial" w:eastAsia="Arial" w:hAnsi="Arial"/>
          <w:sz w:val="15"/>
          <w:szCs w:val="15"/>
          <w:color w:val="auto"/>
        </w:rPr>
        <w:t>MPLOYMENT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454" w:name="page455"/>
    <w:bookmarkEnd w:id="4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AND WAIVER OF CLAIMS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In consideration of the payments and other benefits set forth in the Employment Agreement effective , 2015, to which this form is attached, I, Marco Londei, hereby furnish </w:t>
      </w:r>
      <w:r>
        <w:rPr>
          <w:rFonts w:ascii="Arial" w:cs="Arial" w:eastAsia="Arial" w:hAnsi="Arial"/>
          <w:sz w:val="17"/>
          <w:szCs w:val="17"/>
          <w:b w:val="1"/>
          <w:bCs w:val="1"/>
          <w:color w:val="auto"/>
        </w:rPr>
        <w:t>A</w:t>
      </w:r>
      <w:r>
        <w:rPr>
          <w:rFonts w:ascii="Arial" w:cs="Arial" w:eastAsia="Arial" w:hAnsi="Arial"/>
          <w:sz w:val="14"/>
          <w:szCs w:val="14"/>
          <w:b w:val="1"/>
          <w:bCs w:val="1"/>
          <w:color w:val="auto"/>
        </w:rPr>
        <w:t>NAPTYS</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following release and waiver (</w:t>
      </w:r>
      <w:r>
        <w:rPr>
          <w:rFonts w:ascii="Arial" w:cs="Arial" w:eastAsia="Arial" w:hAnsi="Arial"/>
          <w:sz w:val="17"/>
          <w:szCs w:val="17"/>
          <w:b w:val="1"/>
          <w:bCs w:val="1"/>
          <w:i w:val="1"/>
          <w:iCs w:val="1"/>
          <w:color w:val="auto"/>
        </w:rPr>
        <w:t>“Release and Waiver”</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exchange for the consideration provided to me by the Employment Agreement that I am not otherwise entitled to receive, I hereby generally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completely release the Company and its current and former directors, officers, employees, stockholders, partners, agents, attorneys, predecessors,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known and unknown, that arise out of or are in any way related to events, acts, conduct, or omissions occurring prior to or on the date that I sign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(a) all claims arising out of or in any way related to my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 the Company, or the termination of that employment; (b) all claims related to my compensation or benefits from the Company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bonuses, commissions, vacation pay, expense reimbursements, severance pay, fringe benefits, stock, stock options, or any other ownership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 all claims for breach of contract, wrongful termination, and breach of the implied covenant of good faith and fair dealing; (d) all tort claims,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fraud, defamation, emotional distress, and discharge in violation of public policy; and (e) all federal, state, and local statutory claims,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discrimination, harassment, retaliation, misclassification, attorneys’ fees, or other claims arising under the federal Civil Rights Act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1964 (as amended), the federal Americans with Disabilities Act of 1990, the federal Age Discrimination in Employment Act of 1967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California Labor Code, and the California Fair Employment and Housing Act (as amended). Notwithstanding the foregoing, the following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(a) any rights or claims for indemnification I may have pursuant to the charter or bylaws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or under applicable law; (b) any rights or claims to unemployment compensation, funds accrued in my 401k account, or any vested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incentives; (c) any rights that are not waivable as a matter of law; or (d) any claims arising from the breach of this Agreement. I hereby represent and warrant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other than the Excluded Claims, I am not aware of any claims I have or might have against any of the Released Parties that are not included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 not</w:t>
      </w:r>
      <w:r>
        <w:rPr>
          <w:rFonts w:ascii="Arial" w:cs="Arial" w:eastAsia="Arial" w:hAnsi="Arial"/>
          <w:sz w:val="16"/>
          <w:szCs w:val="16"/>
          <w:color w:val="auto"/>
        </w:rPr>
        <w:t xml:space="preserve"> </w:t>
      </w:r>
      <w:r>
        <w:rPr>
          <w:rFonts w:ascii="Arial" w:cs="Arial" w:eastAsia="Arial" w:hAnsi="Arial"/>
          <w:sz w:val="16"/>
          <w:szCs w:val="16"/>
          <w:b w:val="1"/>
          <w:bCs w:val="1"/>
          <w:color w:val="auto"/>
        </w:rPr>
        <w:t>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00"/>
          </w:cols>
          <w:pgMar w:left="240" w:top="270" w:right="259" w:bottom="1440" w:gutter="0" w:footer="0" w:header="0"/>
        </w:sectPr>
      </w:pPr>
    </w:p>
    <w:bookmarkStart w:id="455" w:name="page456"/>
    <w:bookmarkEnd w:id="455"/>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8001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Marco Londei</w:t>
      </w:r>
    </w:p>
    <w:p>
      <w:pPr>
        <w:sectPr>
          <w:pgSz w:w="11900" w:h="16838" w:orient="portrait"/>
          <w:cols w:equalWidth="0" w:num="1">
            <w:col w:w="11400"/>
          </w:cols>
          <w:pgMar w:left="240" w:top="273" w:right="25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OFFICE LEASE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KILROY REALTY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KILROY REALTY, L.P.,</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limited partnership,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1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ANAPTYSBIO, INC.,</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Tenant.</w:t>
      </w:r>
    </w:p>
    <w:p>
      <w:pPr>
        <w:sectPr>
          <w:pgSz w:w="11900" w:h="16838" w:orient="portrait"/>
          <w:cols w:equalWidth="0" w:num="1">
            <w:col w:w="10220"/>
          </w:cols>
          <w:pgMar w:left="1440" w:top="121" w:right="239" w:bottom="1440" w:gutter="0" w:footer="0" w:header="0"/>
        </w:sectPr>
      </w:pPr>
    </w:p>
    <w:bookmarkStart w:id="457" w:name="page458"/>
    <w:bookmarkEnd w:id="457"/>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vMerge w:val="restart"/>
          </w:tcPr>
          <w:p>
            <w:pPr>
              <w:spacing w:after="0"/>
              <w:rPr>
                <w:sz w:val="20"/>
                <w:szCs w:val="20"/>
                <w:color w:val="auto"/>
              </w:rPr>
            </w:pPr>
            <w:r>
              <w:rPr>
                <w:rFonts w:ascii="Arial" w:cs="Arial" w:eastAsia="Arial" w:hAnsi="Arial"/>
                <w:sz w:val="18"/>
                <w:szCs w:val="18"/>
                <w:color w:val="auto"/>
              </w:rPr>
              <w:t>ARTICLE 1 PREMISES, BUILDING, PROJECT, AND COMMON AREAS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2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020" w:type="dxa"/>
            <w:vAlign w:val="bottom"/>
          </w:tcPr>
          <w:p>
            <w:pPr>
              <w:spacing w:after="0"/>
              <w:rPr>
                <w:sz w:val="20"/>
                <w:szCs w:val="20"/>
                <w:color w:val="auto"/>
              </w:rPr>
            </w:pPr>
            <w:r>
              <w:rPr>
                <w:rFonts w:ascii="Arial" w:cs="Arial" w:eastAsia="Arial" w:hAnsi="Arial"/>
                <w:sz w:val="18"/>
                <w:szCs w:val="18"/>
                <w:color w:val="auto"/>
              </w:rPr>
              <w:t>ARTICLE 2 LEASE TERM; TERMINATION RIGHT, OPTION TERM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3 BASE RENT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4 ADDITIONAL RENT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5 USE OF PREMISES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6 SERVICES AND UTILITIES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7 REPAIRS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8 ADDITIONS AND ALTERATIONS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9 COVENANT AGAINST LIENS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10 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11 DAMAGE AND DESTRUCTION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12 NONWAIVER</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13 CONDEMNATION</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14 ASSIGNMENT AND SUBLETTING</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15 SURRENDER OF PREMISES; OWNERSHIP AND REMOVAL OF TRADE FIXTURES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16 HOLDING OVER</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17 ESTOPPEL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18 SUBORDINATION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19 DEFAULTS;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20 COVENANT OF QUIET ENJOYMENT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21 SECURITY DEPOSIT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22 LETTER OF CREDIT</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23 SIGNS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020" w:type="dxa"/>
            <w:vAlign w:val="bottom"/>
          </w:tcPr>
          <w:p>
            <w:pPr>
              <w:ind w:left="568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69" w:right="339" w:bottom="1440" w:gutter="0" w:footer="0" w:header="0"/>
        </w:sectPr>
      </w:pPr>
    </w:p>
    <w:bookmarkStart w:id="458" w:name="page459"/>
    <w:bookmarkEnd w:id="4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ARTICLE 24 COMPLIANCE WITH LAW</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25 LATE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26 LANDLORD’S RIGHT TO CURE DEFAULT; PAYMENTS BY TENANT</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27 ENTRY BY LANDLORD</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28 TENANT PARKING</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29 MISCELLANEOUS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82" w:right="339" w:bottom="1440" w:gutter="0" w:footer="0" w:header="0"/>
        </w:sectPr>
      </w:pPr>
    </w:p>
    <w:bookmarkStart w:id="459" w:name="page460"/>
    <w:bookmarkEnd w:id="459"/>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460" w:type="dxa"/>
            <w:vAlign w:val="bottom"/>
          </w:tcPr>
          <w:p>
            <w:pPr>
              <w:jc w:val="right"/>
              <w:ind w:right="5230"/>
              <w:spacing w:after="0"/>
              <w:rPr>
                <w:sz w:val="20"/>
                <w:szCs w:val="20"/>
                <w:color w:val="auto"/>
              </w:rPr>
            </w:pPr>
            <w:r>
              <w:rPr>
                <w:rFonts w:ascii="Arial" w:cs="Arial" w:eastAsia="Arial" w:hAnsi="Arial"/>
                <w:sz w:val="18"/>
                <w:szCs w:val="18"/>
                <w:b w:val="1"/>
                <w:bCs w:val="1"/>
                <w:color w:val="auto"/>
              </w:rPr>
              <w:t>INDEX</w:t>
            </w:r>
          </w:p>
        </w:tc>
      </w:tr>
      <w:tr>
        <w:trPr>
          <w:trHeight w:val="377"/>
        </w:trPr>
        <w:tc>
          <w:tcPr>
            <w:tcW w:w="3860" w:type="dxa"/>
            <w:vAlign w:val="bottom"/>
          </w:tcPr>
          <w:p>
            <w:pPr>
              <w:spacing w:after="0"/>
              <w:rPr>
                <w:sz w:val="24"/>
                <w:szCs w:val="24"/>
                <w:color w:val="auto"/>
              </w:rPr>
            </w:pPr>
          </w:p>
        </w:tc>
        <w:tc>
          <w:tcPr>
            <w:tcW w:w="746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Abatement Event</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Accountant</w:t>
            </w:r>
          </w:p>
        </w:tc>
        <w:tc>
          <w:tcPr>
            <w:tcW w:w="7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Additional Notice</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Additional Rent</w:t>
            </w:r>
          </w:p>
        </w:tc>
        <w:tc>
          <w:tcPr>
            <w:tcW w:w="7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Alterations</w:t>
            </w:r>
          </w:p>
        </w:tc>
        <w:tc>
          <w:tcPr>
            <w:tcW w:w="7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Applicable Laws</w:t>
            </w:r>
          </w:p>
        </w:tc>
        <w:tc>
          <w:tcPr>
            <w:tcW w:w="7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Award</w:t>
            </w:r>
          </w:p>
        </w:tc>
        <w:tc>
          <w:tcPr>
            <w:tcW w:w="7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w:t>
            </w:r>
          </w:p>
        </w:tc>
        <w:tc>
          <w:tcPr>
            <w:tcW w:w="7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 Prime Loan</w:t>
            </w:r>
          </w:p>
        </w:tc>
        <w:tc>
          <w:tcPr>
            <w:tcW w:w="7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Bank’s Credit Rating Threshold</w:t>
            </w:r>
          </w:p>
        </w:tc>
        <w:tc>
          <w:tcPr>
            <w:tcW w:w="7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Bankruptcy Code</w:t>
            </w:r>
          </w:p>
        </w:tc>
        <w:tc>
          <w:tcPr>
            <w:tcW w:w="7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Building</w:t>
            </w:r>
          </w:p>
        </w:tc>
        <w:tc>
          <w:tcPr>
            <w:tcW w:w="7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Rent</w:t>
            </w:r>
          </w:p>
        </w:tc>
        <w:tc>
          <w:tcPr>
            <w:tcW w:w="7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Rent Abatement</w:t>
            </w:r>
          </w:p>
        </w:tc>
        <w:tc>
          <w:tcPr>
            <w:tcW w:w="7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Rent Abatement Period</w:t>
            </w:r>
          </w:p>
        </w:tc>
        <w:tc>
          <w:tcPr>
            <w:tcW w:w="7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Brokers</w:t>
            </w:r>
          </w:p>
        </w:tc>
        <w:tc>
          <w:tcPr>
            <w:tcW w:w="7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BS/BS Exception</w:t>
            </w:r>
          </w:p>
        </w:tc>
        <w:tc>
          <w:tcPr>
            <w:tcW w:w="7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w:t>
            </w:r>
          </w:p>
        </w:tc>
        <w:tc>
          <w:tcPr>
            <w:tcW w:w="7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Common Areas,</w:t>
            </w:r>
          </w:p>
        </w:tc>
        <w:tc>
          <w:tcPr>
            <w:tcW w:w="7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Common Areas</w:t>
            </w:r>
          </w:p>
        </w:tc>
        <w:tc>
          <w:tcPr>
            <w:tcW w:w="7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Hours</w:t>
            </w:r>
          </w:p>
        </w:tc>
        <w:tc>
          <w:tcPr>
            <w:tcW w:w="7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Structure</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Systems</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Building-Top Sign</w:t>
            </w:r>
          </w:p>
        </w:tc>
        <w:tc>
          <w:tcPr>
            <w:tcW w:w="7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CC&amp;Rs</w:t>
            </w:r>
          </w:p>
        </w:tc>
        <w:tc>
          <w:tcPr>
            <w:tcW w:w="7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Comparable Buildings</w:t>
            </w:r>
          </w:p>
        </w:tc>
        <w:tc>
          <w:tcPr>
            <w:tcW w:w="7460" w:type="dxa"/>
            <w:vAlign w:val="bottom"/>
          </w:tcPr>
          <w:p>
            <w:pPr>
              <w:jc w:val="right"/>
              <w:spacing w:after="0"/>
              <w:rPr>
                <w:sz w:val="20"/>
                <w:szCs w:val="20"/>
                <w:color w:val="auto"/>
              </w:rPr>
            </w:pPr>
            <w:r>
              <w:rPr>
                <w:rFonts w:ascii="Arial" w:cs="Arial" w:eastAsia="Arial" w:hAnsi="Arial"/>
                <w:sz w:val="18"/>
                <w:szCs w:val="18"/>
                <w:color w:val="auto"/>
              </w:rPr>
              <w:t>5, 2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Contemplated Effective Date</w:t>
            </w:r>
          </w:p>
        </w:tc>
        <w:tc>
          <w:tcPr>
            <w:tcW w:w="7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Contemplated Transfer Space</w:t>
            </w:r>
          </w:p>
        </w:tc>
        <w:tc>
          <w:tcPr>
            <w:tcW w:w="7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Control</w:t>
            </w:r>
          </w:p>
        </w:tc>
        <w:tc>
          <w:tcPr>
            <w:tcW w:w="7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Controllable Expenses</w:t>
            </w:r>
          </w:p>
        </w:tc>
        <w:tc>
          <w:tcPr>
            <w:tcW w:w="7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Cosmetic Alterations</w:t>
            </w:r>
          </w:p>
        </w:tc>
        <w:tc>
          <w:tcPr>
            <w:tcW w:w="7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Damage Termination Date</w:t>
            </w:r>
          </w:p>
        </w:tc>
        <w:tc>
          <w:tcPr>
            <w:tcW w:w="7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Damage Termination Notice</w:t>
            </w:r>
          </w:p>
        </w:tc>
        <w:tc>
          <w:tcPr>
            <w:tcW w:w="7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Direct Expenses</w:t>
            </w:r>
          </w:p>
        </w:tc>
        <w:tc>
          <w:tcPr>
            <w:tcW w:w="7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Eligibility Period</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Environmental Laws</w:t>
            </w:r>
          </w:p>
        </w:tc>
        <w:tc>
          <w:tcPr>
            <w:tcW w:w="7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w:t>
            </w:r>
          </w:p>
        </w:tc>
        <w:tc>
          <w:tcPr>
            <w:tcW w:w="7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 Statement</w:t>
            </w:r>
          </w:p>
        </w:tc>
        <w:tc>
          <w:tcPr>
            <w:tcW w:w="7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Estimated Direct Expenses</w:t>
            </w:r>
          </w:p>
        </w:tc>
        <w:tc>
          <w:tcPr>
            <w:tcW w:w="7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Excess</w:t>
            </w:r>
          </w:p>
        </w:tc>
        <w:tc>
          <w:tcPr>
            <w:tcW w:w="7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Exercise Notice</w:t>
            </w:r>
          </w:p>
        </w:tc>
        <w:tc>
          <w:tcPr>
            <w:tcW w:w="7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Expense Year</w:t>
            </w:r>
          </w:p>
        </w:tc>
        <w:tc>
          <w:tcPr>
            <w:tcW w:w="7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Force Majeure</w:t>
            </w:r>
          </w:p>
        </w:tc>
        <w:tc>
          <w:tcPr>
            <w:tcW w:w="74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Hazardous Material(s)</w:t>
            </w:r>
          </w:p>
        </w:tc>
        <w:tc>
          <w:tcPr>
            <w:tcW w:w="4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Holidays</w:t>
            </w:r>
          </w:p>
        </w:tc>
        <w:tc>
          <w:tcPr>
            <w:tcW w:w="4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HVAC</w:t>
            </w:r>
          </w:p>
        </w:tc>
        <w:tc>
          <w:tcPr>
            <w:tcW w:w="4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Initial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Intention to Transfer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Rate</w:t>
            </w:r>
          </w:p>
        </w:tc>
        <w:tc>
          <w:tcPr>
            <w:tcW w:w="4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w:t>
            </w:r>
          </w:p>
        </w:tc>
        <w:tc>
          <w:tcPr>
            <w:tcW w:w="446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Parties</w:t>
            </w:r>
          </w:p>
        </w:tc>
        <w:tc>
          <w:tcPr>
            <w:tcW w:w="4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Repair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Response Date</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Response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Landlord’s Option Rent Calculation</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Amount</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Draw Event</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Expiration Date</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FDIC Replacement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w:t>
            </w:r>
          </w:p>
        </w:tc>
        <w:tc>
          <w:tcPr>
            <w:tcW w:w="4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Commencement Date</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Expiration Date</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Term</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Year</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Lines</w:t>
            </w:r>
          </w:p>
        </w:tc>
        <w:tc>
          <w:tcPr>
            <w:tcW w:w="4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Mail</w:t>
            </w:r>
          </w:p>
        </w:tc>
        <w:tc>
          <w:tcPr>
            <w:tcW w:w="4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Management Fee Cap</w:t>
            </w:r>
          </w:p>
        </w:tc>
        <w:tc>
          <w:tcPr>
            <w:tcW w:w="4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Neutral Arbitrator</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Nine Month Period</w:t>
            </w:r>
          </w:p>
        </w:tc>
        <w:tc>
          <w:tcPr>
            <w:tcW w:w="4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Notices</w:t>
            </w:r>
          </w:p>
        </w:tc>
        <w:tc>
          <w:tcPr>
            <w:tcW w:w="4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4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Option Rent</w:t>
            </w:r>
          </w:p>
        </w:tc>
        <w:tc>
          <w:tcPr>
            <w:tcW w:w="4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Option Term</w:t>
            </w:r>
          </w:p>
        </w:tc>
        <w:tc>
          <w:tcPr>
            <w:tcW w:w="4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Original Tenant</w:t>
            </w:r>
          </w:p>
        </w:tc>
        <w:tc>
          <w:tcPr>
            <w:tcW w:w="4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Outside Agreement Date</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Permitted Transferee</w:t>
            </w:r>
          </w:p>
        </w:tc>
        <w:tc>
          <w:tcPr>
            <w:tcW w:w="4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Premises</w:t>
            </w:r>
          </w:p>
        </w:tc>
        <w:tc>
          <w:tcPr>
            <w:tcW w:w="4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Project</w:t>
            </w:r>
          </w:p>
        </w:tc>
        <w:tc>
          <w:tcPr>
            <w:tcW w:w="4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Project Common Areas</w:t>
            </w:r>
          </w:p>
        </w:tc>
        <w:tc>
          <w:tcPr>
            <w:tcW w:w="4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Project Common Areas,</w:t>
            </w:r>
          </w:p>
        </w:tc>
        <w:tc>
          <w:tcPr>
            <w:tcW w:w="4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Proposition 13</w:t>
            </w:r>
          </w:p>
        </w:tc>
        <w:tc>
          <w:tcPr>
            <w:tcW w:w="4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Recapture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Renovations</w:t>
            </w:r>
          </w:p>
        </w:tc>
        <w:tc>
          <w:tcPr>
            <w:tcW w:w="4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Rent.</w:t>
            </w:r>
          </w:p>
        </w:tc>
        <w:tc>
          <w:tcPr>
            <w:tcW w:w="4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Review Period</w:t>
            </w:r>
          </w:p>
        </w:tc>
        <w:tc>
          <w:tcPr>
            <w:tcW w:w="4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Security Deposit</w:t>
            </w:r>
          </w:p>
        </w:tc>
        <w:tc>
          <w:tcPr>
            <w:tcW w:w="4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Security Deposit Laws</w:t>
            </w:r>
          </w:p>
        </w:tc>
        <w:tc>
          <w:tcPr>
            <w:tcW w:w="4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Sign Specifications</w:t>
            </w:r>
          </w:p>
        </w:tc>
        <w:tc>
          <w:tcPr>
            <w:tcW w:w="44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461" w:name="page462"/>
    <w:bookmarkEnd w:id="461"/>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Statement</w:t>
            </w:r>
          </w:p>
        </w:tc>
        <w:tc>
          <w:tcPr>
            <w:tcW w:w="4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Subject Space</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Summary</w:t>
            </w:r>
          </w:p>
        </w:tc>
        <w:tc>
          <w:tcPr>
            <w:tcW w:w="454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Tax Expenses</w:t>
            </w:r>
          </w:p>
        </w:tc>
        <w:tc>
          <w:tcPr>
            <w:tcW w:w="4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TCCs</w:t>
            </w:r>
          </w:p>
        </w:tc>
        <w:tc>
          <w:tcPr>
            <w:tcW w:w="4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Telecommunications Equipment</w:t>
            </w:r>
          </w:p>
        </w:tc>
        <w:tc>
          <w:tcPr>
            <w:tcW w:w="4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w:t>
            </w:r>
          </w:p>
        </w:tc>
        <w:tc>
          <w:tcPr>
            <w:tcW w:w="4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Tenant’s Occupants</w:t>
            </w:r>
          </w:p>
        </w:tc>
        <w:tc>
          <w:tcPr>
            <w:tcW w:w="4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Tenant’s Option Rent Calculation</w:t>
            </w:r>
          </w:p>
        </w:tc>
        <w:tc>
          <w:tcPr>
            <w:tcW w:w="4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Tenant’s Share</w:t>
            </w:r>
          </w:p>
        </w:tc>
        <w:tc>
          <w:tcPr>
            <w:tcW w:w="4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Termination Date</w:t>
            </w:r>
          </w:p>
        </w:tc>
        <w:tc>
          <w:tcPr>
            <w:tcW w:w="4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Termination Fee</w:t>
            </w:r>
          </w:p>
        </w:tc>
        <w:tc>
          <w:tcPr>
            <w:tcW w:w="4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Termination Notice</w:t>
            </w:r>
          </w:p>
        </w:tc>
        <w:tc>
          <w:tcPr>
            <w:tcW w:w="4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Third Party Contractor</w:t>
            </w:r>
          </w:p>
        </w:tc>
        <w:tc>
          <w:tcPr>
            <w:tcW w:w="4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w:t>
            </w:r>
          </w:p>
        </w:tc>
        <w:tc>
          <w:tcPr>
            <w:tcW w:w="4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 Notice</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 Premium</w:t>
            </w:r>
          </w:p>
        </w:tc>
        <w:tc>
          <w:tcPr>
            <w:tcW w:w="4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Transferee</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Transfers</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Utilities Costs</w:t>
            </w:r>
          </w:p>
        </w:tc>
        <w:tc>
          <w:tcPr>
            <w:tcW w:w="4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Violation Notice</w:t>
            </w:r>
          </w:p>
        </w:tc>
        <w:tc>
          <w:tcPr>
            <w:tcW w:w="4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Work Letter</w:t>
            </w:r>
          </w:p>
        </w:tc>
        <w:tc>
          <w:tcPr>
            <w:tcW w:w="45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4" w:right="33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PACIFIC CORPORATE CENTER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Office Lease (the “</w:t>
      </w:r>
      <w:r>
        <w:rPr>
          <w:rFonts w:ascii="Arial" w:cs="Arial" w:eastAsia="Arial" w:hAnsi="Arial"/>
          <w:sz w:val="17"/>
          <w:szCs w:val="17"/>
          <w:b w:val="1"/>
          <w:bCs w:val="1"/>
          <w:color w:val="auto"/>
        </w:rPr>
        <w:t>Lease</w:t>
      </w:r>
      <w:r>
        <w:rPr>
          <w:rFonts w:ascii="Arial" w:cs="Arial" w:eastAsia="Arial" w:hAnsi="Arial"/>
          <w:sz w:val="17"/>
          <w:szCs w:val="17"/>
          <w:color w:val="auto"/>
        </w:rPr>
        <w:t>”), dated as of the date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Section l</w:t>
      </w:r>
      <w:r>
        <w:rPr>
          <w:rFonts w:ascii="Arial" w:cs="Arial" w:eastAsia="Arial" w:hAnsi="Arial"/>
          <w:sz w:val="17"/>
          <w:szCs w:val="17"/>
          <w:color w:val="auto"/>
        </w:rPr>
        <w:t xml:space="preserve"> of the Summary of Basic Lease Information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Summary</w:t>
      </w:r>
      <w:r>
        <w:rPr>
          <w:rFonts w:ascii="Arial" w:cs="Arial" w:eastAsia="Arial" w:hAnsi="Arial"/>
          <w:sz w:val="16"/>
          <w:szCs w:val="16"/>
          <w:color w:val="auto"/>
        </w:rPr>
        <w:t>”), below, is made by and between KILROY REALTY, L.P., a Delaware limited partnership (“</w:t>
      </w:r>
      <w:r>
        <w:rPr>
          <w:rFonts w:ascii="Arial" w:cs="Arial" w:eastAsia="Arial" w:hAnsi="Arial"/>
          <w:sz w:val="16"/>
          <w:szCs w:val="16"/>
          <w:b w:val="1"/>
          <w:bCs w:val="1"/>
          <w:color w:val="auto"/>
        </w:rPr>
        <w:t>Landlord</w:t>
      </w:r>
      <w:r>
        <w:rPr>
          <w:rFonts w:ascii="Arial" w:cs="Arial" w:eastAsia="Arial" w:hAnsi="Arial"/>
          <w:sz w:val="16"/>
          <w:szCs w:val="16"/>
          <w:color w:val="auto"/>
        </w:rPr>
        <w:t>”), and ANAPTYSBIO, INC.,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SUMMARY OF BASIC LEASE INFORMATION</w:t>
            </w:r>
          </w:p>
        </w:tc>
        <w:tc>
          <w:tcPr>
            <w:tcW w:w="3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1.</w:t>
            </w: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TERMS OF LEASE</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gridSpan w:val="5"/>
          </w:tcPr>
          <w:p>
            <w:pPr>
              <w:ind w:left="30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24"/>
        </w:trPr>
        <w:tc>
          <w:tcPr>
            <w:tcW w:w="360" w:type="dxa"/>
            <w:vAlign w:val="bottom"/>
            <w:vMerge w:val="continue"/>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140" w:type="dxa"/>
            <w:vAlign w:val="bottom"/>
          </w:tcPr>
          <w:p>
            <w:pPr>
              <w:spacing w:after="0"/>
              <w:rPr>
                <w:sz w:val="19"/>
                <w:szCs w:val="19"/>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rPr>
              <w:t>April 19, 2011.</w:t>
            </w:r>
          </w:p>
        </w:tc>
        <w:tc>
          <w:tcPr>
            <w:tcW w:w="0" w:type="dxa"/>
            <w:vAlign w:val="bottom"/>
          </w:tcPr>
          <w:p>
            <w:pPr>
              <w:spacing w:after="0"/>
              <w:rPr>
                <w:sz w:val="1"/>
                <w:szCs w:val="1"/>
                <w:color w:val="auto"/>
              </w:rPr>
            </w:pPr>
          </w:p>
        </w:tc>
      </w:tr>
      <w:tr>
        <w:trPr>
          <w:trHeight w:val="31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3100" w:type="dxa"/>
            <w:vAlign w:val="bottom"/>
            <w:gridSpan w:val="2"/>
          </w:tcPr>
          <w:p>
            <w:pPr>
              <w:spacing w:after="0"/>
              <w:rPr>
                <w:sz w:val="20"/>
                <w:szCs w:val="20"/>
                <w:color w:val="auto"/>
              </w:rPr>
            </w:pPr>
            <w:r>
              <w:rPr>
                <w:rFonts w:ascii="Arial" w:cs="Arial" w:eastAsia="Arial" w:hAnsi="Arial"/>
                <w:sz w:val="18"/>
                <w:szCs w:val="18"/>
                <w:color w:val="auto"/>
              </w:rPr>
              <w:t>Premises: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2.1</w:t>
            </w:r>
          </w:p>
        </w:tc>
        <w:tc>
          <w:tcPr>
            <w:tcW w:w="2860" w:type="dxa"/>
            <w:vAlign w:val="bottom"/>
          </w:tcPr>
          <w:p>
            <w:pPr>
              <w:ind w:left="20"/>
              <w:spacing w:after="0"/>
              <w:rPr>
                <w:sz w:val="20"/>
                <w:szCs w:val="20"/>
                <w:color w:val="auto"/>
              </w:rPr>
            </w:pPr>
            <w:r>
              <w:rPr>
                <w:rFonts w:ascii="Arial" w:cs="Arial" w:eastAsia="Arial" w:hAnsi="Arial"/>
                <w:sz w:val="18"/>
                <w:szCs w:val="18"/>
                <w:color w:val="auto"/>
              </w:rPr>
              <w:t>Building:</w:t>
            </w:r>
          </w:p>
        </w:tc>
        <w:tc>
          <w:tcPr>
            <w:tcW w:w="140" w:type="dxa"/>
            <w:vAlign w:val="bottom"/>
          </w:tcPr>
          <w:p>
            <w:pPr>
              <w:spacing w:after="0"/>
              <w:rPr>
                <w:sz w:val="24"/>
                <w:szCs w:val="24"/>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2"/>
              </w:rPr>
              <w:t>That certain building located at 10421 Pacific Center Court, San Diego, California 92121, containing a 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rPr>
              <w:t>of 75,745 rentable square feet of space.</w:t>
            </w: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2.2</w:t>
            </w:r>
          </w:p>
        </w:tc>
        <w:tc>
          <w:tcPr>
            <w:tcW w:w="2860" w:type="dxa"/>
            <w:vAlign w:val="bottom"/>
          </w:tcPr>
          <w:p>
            <w:pPr>
              <w:ind w:left="20"/>
              <w:spacing w:after="0"/>
              <w:rPr>
                <w:sz w:val="20"/>
                <w:szCs w:val="20"/>
                <w:color w:val="auto"/>
              </w:rPr>
            </w:pPr>
            <w:r>
              <w:rPr>
                <w:rFonts w:ascii="Arial" w:cs="Arial" w:eastAsia="Arial" w:hAnsi="Arial"/>
                <w:sz w:val="18"/>
                <w:szCs w:val="18"/>
                <w:color w:val="auto"/>
              </w:rPr>
              <w:t>Premises:</w:t>
            </w:r>
          </w:p>
        </w:tc>
        <w:tc>
          <w:tcPr>
            <w:tcW w:w="140" w:type="dxa"/>
            <w:vAlign w:val="bottom"/>
          </w:tcPr>
          <w:p>
            <w:pPr>
              <w:spacing w:after="0"/>
              <w:rPr>
                <w:sz w:val="24"/>
                <w:szCs w:val="24"/>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6"/>
              </w:rPr>
              <w:t>Approximately 25,296 rentable square feet of space consisting (i) primarily of Suite 200 located on the</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1"/>
              </w:rPr>
              <w:t>second (2</w:t>
            </w:r>
            <w:r>
              <w:rPr>
                <w:rFonts w:ascii="Arial" w:cs="Arial" w:eastAsia="Arial" w:hAnsi="Arial"/>
                <w:sz w:val="15"/>
                <w:szCs w:val="15"/>
                <w:color w:val="auto"/>
                <w:w w:val="91"/>
              </w:rPr>
              <w:t>nd</w:t>
            </w:r>
            <w:r>
              <w:rPr>
                <w:rFonts w:ascii="Arial" w:cs="Arial" w:eastAsia="Arial" w:hAnsi="Arial"/>
                <w:sz w:val="18"/>
                <w:szCs w:val="18"/>
                <w:color w:val="auto"/>
                <w:w w:val="91"/>
              </w:rPr>
              <w:t>) floor of the Building, and (ii) an approximately 154 square foot conference room located on the</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20" w:type="dxa"/>
            <w:vAlign w:val="bottom"/>
            <w:gridSpan w:val="7"/>
          </w:tcPr>
          <w:p>
            <w:pPr>
              <w:spacing w:after="0" w:line="194" w:lineRule="exact"/>
              <w:rPr>
                <w:sz w:val="20"/>
                <w:szCs w:val="20"/>
                <w:color w:val="auto"/>
              </w:rPr>
            </w:pPr>
            <w:r>
              <w:rPr>
                <w:rFonts w:ascii="Arial" w:cs="Arial" w:eastAsia="Arial" w:hAnsi="Arial"/>
                <w:sz w:val="18"/>
                <w:szCs w:val="18"/>
                <w:color w:val="auto"/>
                <w:w w:val="96"/>
              </w:rPr>
              <w:t>first (1</w:t>
            </w:r>
            <w:r>
              <w:rPr>
                <w:rFonts w:ascii="Arial" w:cs="Arial" w:eastAsia="Arial" w:hAnsi="Arial"/>
                <w:sz w:val="15"/>
                <w:szCs w:val="15"/>
                <w:color w:val="auto"/>
                <w:w w:val="96"/>
              </w:rPr>
              <w:t>st</w:t>
            </w:r>
            <w:r>
              <w:rPr>
                <w:rFonts w:ascii="Arial" w:cs="Arial" w:eastAsia="Arial" w:hAnsi="Arial"/>
                <w:sz w:val="18"/>
                <w:szCs w:val="18"/>
                <w:color w:val="auto"/>
                <w:w w:val="96"/>
              </w:rPr>
              <w:t xml:space="preserve">) floor of the Building adjoining the main lobby areas, all as further set forth in </w:t>
            </w:r>
            <w:r>
              <w:rPr>
                <w:rFonts w:ascii="Arial" w:cs="Arial" w:eastAsia="Arial" w:hAnsi="Arial"/>
                <w:sz w:val="18"/>
                <w:szCs w:val="18"/>
                <w:b w:val="1"/>
                <w:bCs w:val="1"/>
                <w:color w:val="auto"/>
                <w:w w:val="96"/>
              </w:rPr>
              <w:t>Exhibit A</w:t>
            </w:r>
            <w:r>
              <w:rPr>
                <w:rFonts w:ascii="Arial" w:cs="Arial" w:eastAsia="Arial" w:hAnsi="Arial"/>
                <w:sz w:val="18"/>
                <w:szCs w:val="18"/>
                <w:color w:val="auto"/>
                <w:w w:val="96"/>
              </w:rPr>
              <w:t xml:space="preserve"> to the</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80" w:type="dxa"/>
            <w:vAlign w:val="bottom"/>
            <w:gridSpan w:val="4"/>
          </w:tcPr>
          <w:p>
            <w:pPr>
              <w:spacing w:after="0"/>
              <w:rPr>
                <w:sz w:val="20"/>
                <w:szCs w:val="20"/>
                <w:color w:val="auto"/>
              </w:rPr>
            </w:pPr>
            <w:r>
              <w:rPr>
                <w:rFonts w:ascii="Arial" w:cs="Arial" w:eastAsia="Arial" w:hAnsi="Arial"/>
                <w:sz w:val="18"/>
                <w:szCs w:val="18"/>
                <w:color w:val="auto"/>
              </w:rPr>
              <w:t>Office Lease.</w:t>
            </w:r>
          </w:p>
        </w:tc>
        <w:tc>
          <w:tcPr>
            <w:tcW w:w="740" w:type="dxa"/>
            <w:vAlign w:val="bottom"/>
            <w:tcBorders>
              <w:top w:val="single" w:sz="8" w:color="auto"/>
            </w:tcBorders>
          </w:tcPr>
          <w:p>
            <w:pPr>
              <w:spacing w:after="0"/>
              <w:rPr>
                <w:sz w:val="20"/>
                <w:szCs w:val="20"/>
                <w:color w:val="auto"/>
              </w:rPr>
            </w:pPr>
          </w:p>
        </w:tc>
        <w:tc>
          <w:tcPr>
            <w:tcW w:w="8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2.3</w:t>
            </w:r>
          </w:p>
        </w:tc>
        <w:tc>
          <w:tcPr>
            <w:tcW w:w="2860" w:type="dxa"/>
            <w:vAlign w:val="bottom"/>
          </w:tcPr>
          <w:p>
            <w:pPr>
              <w:ind w:left="20"/>
              <w:spacing w:after="0"/>
              <w:rPr>
                <w:sz w:val="20"/>
                <w:szCs w:val="20"/>
                <w:color w:val="auto"/>
              </w:rPr>
            </w:pPr>
            <w:r>
              <w:rPr>
                <w:rFonts w:ascii="Arial" w:cs="Arial" w:eastAsia="Arial" w:hAnsi="Arial"/>
                <w:sz w:val="18"/>
                <w:szCs w:val="18"/>
                <w:color w:val="auto"/>
              </w:rPr>
              <w:t>Project:</w:t>
            </w:r>
          </w:p>
        </w:tc>
        <w:tc>
          <w:tcPr>
            <w:tcW w:w="140" w:type="dxa"/>
            <w:vAlign w:val="bottom"/>
          </w:tcPr>
          <w:p>
            <w:pPr>
              <w:spacing w:after="0"/>
              <w:rPr>
                <w:sz w:val="24"/>
                <w:szCs w:val="24"/>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1"/>
              </w:rPr>
              <w:t>The Building is part of an office project known as “</w:t>
            </w:r>
            <w:r>
              <w:rPr>
                <w:rFonts w:ascii="Arial" w:cs="Arial" w:eastAsia="Arial" w:hAnsi="Arial"/>
                <w:sz w:val="18"/>
                <w:szCs w:val="18"/>
                <w:b w:val="1"/>
                <w:bCs w:val="1"/>
                <w:i w:val="1"/>
                <w:iCs w:val="1"/>
                <w:color w:val="auto"/>
                <w:w w:val="91"/>
              </w:rPr>
              <w:t>Pacific Corporate Center</w:t>
            </w:r>
            <w:r>
              <w:rPr>
                <w:rFonts w:ascii="Arial" w:cs="Arial" w:eastAsia="Arial" w:hAnsi="Arial"/>
                <w:sz w:val="18"/>
                <w:szCs w:val="18"/>
                <w:color w:val="auto"/>
                <w:w w:val="91"/>
              </w:rPr>
              <w:t>,” as further set forth in Section</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6"/>
          </w:tcPr>
          <w:p>
            <w:pPr>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1.2</w:t>
            </w:r>
            <w:r>
              <w:rPr>
                <w:rFonts w:ascii="Arial" w:cs="Arial" w:eastAsia="Arial" w:hAnsi="Arial"/>
                <w:sz w:val="18"/>
                <w:szCs w:val="18"/>
                <w:color w:val="auto"/>
              </w:rPr>
              <w:t xml:space="preserve"> of this Lease.</w:t>
            </w:r>
          </w:p>
        </w:tc>
        <w:tc>
          <w:tcPr>
            <w:tcW w:w="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360" w:right="10220" w:hanging="352"/>
        <w:spacing w:after="0" w:line="381" w:lineRule="auto"/>
        <w:tabs>
          <w:tab w:leader="none" w:pos="360" w:val="left"/>
        </w:tabs>
        <w:numPr>
          <w:ilvl w:val="0"/>
          <w:numId w:val="432"/>
        </w:numPr>
        <w:rPr>
          <w:rFonts w:ascii="Arial" w:cs="Arial" w:eastAsia="Arial" w:hAnsi="Arial"/>
          <w:sz w:val="15"/>
          <w:szCs w:val="15"/>
          <w:color w:val="auto"/>
        </w:rPr>
      </w:pPr>
      <w:r>
        <w:rPr>
          <w:rFonts w:ascii="Arial" w:cs="Arial" w:eastAsia="Arial" w:hAnsi="Arial"/>
          <w:sz w:val="15"/>
          <w:szCs w:val="15"/>
          <w:color w:val="auto"/>
        </w:rPr>
        <w:t>Lease Term (</w:t>
      </w:r>
      <w:r>
        <w:rPr>
          <w:rFonts w:ascii="Arial" w:cs="Arial" w:eastAsia="Arial" w:hAnsi="Arial"/>
          <w:sz w:val="15"/>
          <w:szCs w:val="15"/>
          <w:u w:val="single" w:color="auto"/>
          <w:color w:val="auto"/>
        </w:rPr>
        <w:t>Article 2)</w:t>
      </w:r>
      <w:r>
        <w:rPr>
          <w:rFonts w:ascii="Arial" w:cs="Arial" w:eastAsia="Arial" w:hAnsi="Arial"/>
          <w:sz w:val="15"/>
          <w:szCs w:val="15"/>
          <w:color w:val="auto"/>
        </w:rPr>
        <w:t>:</w:t>
      </w:r>
    </w:p>
    <w:p>
      <w:pPr>
        <w:spacing w:after="0" w:line="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2540" w:type="dxa"/>
            <w:vAlign w:val="bottom"/>
          </w:tcPr>
          <w:p>
            <w:pPr>
              <w:ind w:left="20"/>
              <w:spacing w:after="0"/>
              <w:rPr>
                <w:sz w:val="20"/>
                <w:szCs w:val="20"/>
                <w:color w:val="auto"/>
              </w:rPr>
            </w:pPr>
            <w:r>
              <w:rPr>
                <w:rFonts w:ascii="Arial" w:cs="Arial" w:eastAsia="Arial" w:hAnsi="Arial"/>
                <w:sz w:val="18"/>
                <w:szCs w:val="18"/>
                <w:color w:val="auto"/>
              </w:rPr>
              <w:t>Length of Term:</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rPr>
              <w:t>Approximately five (5) years.</w:t>
            </w:r>
          </w:p>
        </w:tc>
      </w:tr>
      <w:tr>
        <w:trPr>
          <w:trHeight w:val="324"/>
        </w:trPr>
        <w:tc>
          <w:tcPr>
            <w:tcW w:w="24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2540" w:type="dxa"/>
            <w:vAlign w:val="bottom"/>
          </w:tcPr>
          <w:p>
            <w:pPr>
              <w:ind w:left="20"/>
              <w:spacing w:after="0"/>
              <w:rPr>
                <w:sz w:val="20"/>
                <w:szCs w:val="20"/>
                <w:color w:val="auto"/>
              </w:rPr>
            </w:pPr>
            <w:r>
              <w:rPr>
                <w:rFonts w:ascii="Arial" w:cs="Arial" w:eastAsia="Arial" w:hAnsi="Arial"/>
                <w:sz w:val="18"/>
                <w:szCs w:val="18"/>
                <w:color w:val="auto"/>
              </w:rPr>
              <w:t>Lease Commencement Date:</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rPr>
              <w:t>August 16, 2011.</w:t>
            </w:r>
          </w:p>
        </w:tc>
      </w:tr>
      <w:tr>
        <w:trPr>
          <w:trHeight w:val="324"/>
        </w:trPr>
        <w:tc>
          <w:tcPr>
            <w:tcW w:w="24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2540" w:type="dxa"/>
            <w:vAlign w:val="bottom"/>
          </w:tcPr>
          <w:p>
            <w:pPr>
              <w:ind w:left="20"/>
              <w:spacing w:after="0"/>
              <w:rPr>
                <w:sz w:val="20"/>
                <w:szCs w:val="20"/>
                <w:color w:val="auto"/>
              </w:rPr>
            </w:pPr>
            <w:r>
              <w:rPr>
                <w:rFonts w:ascii="Arial" w:cs="Arial" w:eastAsia="Arial" w:hAnsi="Arial"/>
                <w:sz w:val="18"/>
                <w:szCs w:val="18"/>
                <w:color w:val="auto"/>
              </w:rPr>
              <w:t>Lease Expiration Date:</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rPr>
              <w:t>August 31, 2016.</w:t>
            </w:r>
          </w:p>
        </w:tc>
      </w:tr>
      <w:tr>
        <w:trPr>
          <w:trHeight w:val="284"/>
        </w:trPr>
        <w:tc>
          <w:tcPr>
            <w:tcW w:w="24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2540" w:type="dxa"/>
            <w:vAlign w:val="bottom"/>
          </w:tcPr>
          <w:p>
            <w:pPr>
              <w:ind w:left="20"/>
              <w:spacing w:after="0"/>
              <w:rPr>
                <w:sz w:val="20"/>
                <w:szCs w:val="20"/>
                <w:color w:val="auto"/>
              </w:rPr>
            </w:pPr>
            <w:r>
              <w:rPr>
                <w:rFonts w:ascii="Arial" w:cs="Arial" w:eastAsia="Arial" w:hAnsi="Arial"/>
                <w:sz w:val="18"/>
                <w:szCs w:val="18"/>
                <w:color w:val="auto"/>
              </w:rPr>
              <w:t>Option Term:</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w w:val="91"/>
              </w:rPr>
              <w:t>One (1) five (5)-year option to renew, as more particularly set forth in Section 2.2 of this Lease.</w:t>
            </w:r>
          </w:p>
        </w:tc>
      </w:tr>
      <w:tr>
        <w:trPr>
          <w:trHeight w:val="20"/>
        </w:trPr>
        <w:tc>
          <w:tcPr>
            <w:tcW w:w="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463" w:name="page464"/>
    <w:bookmarkEnd w:id="463"/>
    <w:p>
      <w:pPr>
        <w:ind w:left="360" w:hanging="352"/>
        <w:spacing w:after="0"/>
        <w:tabs>
          <w:tab w:leader="none" w:pos="3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Rent (Article 3):</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Monthly</w:t>
            </w: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Annual</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Rental Rate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1"/>
              </w:rPr>
              <w:t>Lease Year</w:t>
            </w:r>
          </w:p>
        </w:tc>
        <w:tc>
          <w:tcPr>
            <w:tcW w:w="5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Installment</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Rentable</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5140" w:type="dxa"/>
            <w:vAlign w:val="bottom"/>
          </w:tcPr>
          <w:p>
            <w:pPr>
              <w:spacing w:after="0"/>
              <w:rPr>
                <w:sz w:val="15"/>
                <w:szCs w:val="15"/>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Base Rent*</w:t>
            </w:r>
          </w:p>
        </w:tc>
        <w:tc>
          <w:tcPr>
            <w:tcW w:w="280" w:type="dxa"/>
            <w:vAlign w:val="bottom"/>
          </w:tcPr>
          <w:p>
            <w:pPr>
              <w:spacing w:after="0"/>
              <w:rPr>
                <w:sz w:val="15"/>
                <w:szCs w:val="15"/>
                <w:color w:val="auto"/>
              </w:rPr>
            </w:pPr>
          </w:p>
        </w:tc>
        <w:tc>
          <w:tcPr>
            <w:tcW w:w="13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of Base Rent*</w:t>
            </w:r>
          </w:p>
        </w:tc>
        <w:tc>
          <w:tcPr>
            <w:tcW w:w="9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Square Foot*</w:t>
            </w:r>
          </w:p>
        </w:tc>
        <w:tc>
          <w:tcPr>
            <w:tcW w:w="0" w:type="dxa"/>
            <w:vAlign w:val="bottom"/>
          </w:tcPr>
          <w:p>
            <w:pPr>
              <w:spacing w:after="0"/>
              <w:rPr>
                <w:sz w:val="1"/>
                <w:szCs w:val="1"/>
                <w:color w:val="auto"/>
              </w:rPr>
            </w:pPr>
          </w:p>
        </w:tc>
      </w:tr>
      <w:tr>
        <w:trPr>
          <w:trHeight w:val="203"/>
        </w:trPr>
        <w:tc>
          <w:tcPr>
            <w:tcW w:w="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w:t>
            </w:r>
          </w:p>
        </w:tc>
        <w:tc>
          <w:tcPr>
            <w:tcW w:w="5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$449,256.96</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$ 37,438.08</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4"/>
              </w:rPr>
              <w:t>1.480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630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$462,734.67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$ 38,561.22</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30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$476,616.71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$ 39,718.06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630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$490,915.21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$ 40,909.60</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30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$505,642.67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$ 42,136.89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The initial Annual Base Rent (and Monthly Installment of Base Rent) was calculated by multiplying the initial Monthly Rental Rate per Rentable</w:t>
      </w:r>
    </w:p>
    <w:p>
      <w:pPr>
        <w:spacing w:after="0" w:line="35" w:lineRule="exact"/>
        <w:rPr>
          <w:sz w:val="20"/>
          <w:szCs w:val="20"/>
          <w:color w:val="auto"/>
        </w:rPr>
      </w:pPr>
    </w:p>
    <w:p>
      <w:pPr>
        <w:ind w:left="460" w:right="240"/>
        <w:spacing w:after="0" w:line="250" w:lineRule="auto"/>
        <w:rPr>
          <w:sz w:val="20"/>
          <w:szCs w:val="20"/>
          <w:color w:val="auto"/>
        </w:rPr>
      </w:pPr>
      <w:r>
        <w:rPr>
          <w:rFonts w:ascii="Arial" w:cs="Arial" w:eastAsia="Arial" w:hAnsi="Arial"/>
          <w:sz w:val="18"/>
          <w:szCs w:val="18"/>
          <w:color w:val="auto"/>
        </w:rPr>
        <w:t>Square Foot by the number of rentable square feet of space in the Premises. In all subsequent Lease Years, the calculation of Annual Base Rent (and Monthly Installment of Base Rent) reflects an annual increase of three percent (3.0%), with the corresponding Monthly Rental Rate per Rentable Square Foot being an approximation thereof.</w:t>
      </w:r>
    </w:p>
    <w:p>
      <w:pPr>
        <w:spacing w:after="0" w:line="1" w:lineRule="exact"/>
        <w:rPr>
          <w:sz w:val="20"/>
          <w:szCs w:val="20"/>
          <w:color w:val="auto"/>
        </w:rPr>
      </w:pPr>
    </w:p>
    <w:p>
      <w:pPr>
        <w:ind w:left="460" w:right="80" w:hanging="452"/>
        <w:spacing w:after="0" w:line="255" w:lineRule="auto"/>
        <w:tabs>
          <w:tab w:leader="none" w:pos="4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Pursuant to the express terms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Lease, and notwithstanding any provision to the contrary set forth herein, Tenant shall not be obligated to pay, and shall not pay, the monthly installments of Base Rent attributable to the “Base Rent Abatement Period” (as that term is defined in, and as more particularly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below).</w:t>
      </w:r>
    </w:p>
    <w:p>
      <w:pPr>
        <w:spacing w:after="0" w:line="217" w:lineRule="exact"/>
        <w:rPr>
          <w:sz w:val="20"/>
          <w:szCs w:val="20"/>
          <w:color w:val="auto"/>
        </w:rPr>
      </w:pPr>
    </w:p>
    <w:p>
      <w:pPr>
        <w:ind w:left="380" w:right="9440" w:hanging="372"/>
        <w:spacing w:after="0" w:line="277" w:lineRule="auto"/>
        <w:tabs>
          <w:tab w:leader="none" w:pos="3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Intentionally Omitted (Article 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Tenant’s Share</w:t>
            </w:r>
          </w:p>
        </w:tc>
        <w:tc>
          <w:tcPr>
            <w:tcW w:w="8740" w:type="dxa"/>
            <w:vAlign w:val="bottom"/>
          </w:tcPr>
          <w:p>
            <w:pPr>
              <w:ind w:left="1100"/>
              <w:spacing w:after="0"/>
              <w:rPr>
                <w:sz w:val="20"/>
                <w:szCs w:val="20"/>
                <w:color w:val="auto"/>
              </w:rPr>
            </w:pPr>
            <w:r>
              <w:rPr>
                <w:rFonts w:ascii="Arial" w:cs="Arial" w:eastAsia="Arial" w:hAnsi="Arial"/>
                <w:sz w:val="18"/>
                <w:szCs w:val="18"/>
                <w:color w:val="auto"/>
              </w:rPr>
              <w:t>Approximately 33.3963%.</w:t>
            </w:r>
          </w:p>
        </w:tc>
      </w:tr>
      <w:tr>
        <w:trPr>
          <w:trHeight w:val="190"/>
        </w:trPr>
        <w:tc>
          <w:tcPr>
            <w:tcW w:w="260" w:type="dxa"/>
            <w:vAlign w:val="bottom"/>
          </w:tcPr>
          <w:p>
            <w:pPr>
              <w:spacing w:after="0"/>
              <w:rPr>
                <w:sz w:val="16"/>
                <w:szCs w:val="16"/>
                <w:color w:val="auto"/>
              </w:rPr>
            </w:pPr>
          </w:p>
        </w:tc>
        <w:tc>
          <w:tcPr>
            <w:tcW w:w="230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(Article 4):</w:t>
            </w:r>
          </w:p>
        </w:tc>
        <w:tc>
          <w:tcPr>
            <w:tcW w:w="874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34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7.</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Permitted Use</w:t>
            </w:r>
          </w:p>
        </w:tc>
        <w:tc>
          <w:tcPr>
            <w:tcW w:w="8740" w:type="dxa"/>
            <w:vAlign w:val="bottom"/>
          </w:tcPr>
          <w:p>
            <w:pPr>
              <w:ind w:left="1100"/>
              <w:spacing w:after="0"/>
              <w:rPr>
                <w:sz w:val="20"/>
                <w:szCs w:val="20"/>
                <w:color w:val="auto"/>
              </w:rPr>
            </w:pPr>
            <w:r>
              <w:rPr>
                <w:rFonts w:ascii="Arial" w:cs="Arial" w:eastAsia="Arial" w:hAnsi="Arial"/>
                <w:sz w:val="18"/>
                <w:szCs w:val="18"/>
                <w:color w:val="auto"/>
                <w:w w:val="90"/>
              </w:rPr>
              <w:t>Tenant shall use the Premises solely for (i) general office use, (ii) the manufacturing, testing, and research</w:t>
            </w:r>
          </w:p>
        </w:tc>
      </w:tr>
      <w:tr>
        <w:trPr>
          <w:trHeight w:val="190"/>
        </w:trPr>
        <w:tc>
          <w:tcPr>
            <w:tcW w:w="260" w:type="dxa"/>
            <w:vAlign w:val="bottom"/>
          </w:tcPr>
          <w:p>
            <w:pPr>
              <w:spacing w:after="0"/>
              <w:rPr>
                <w:sz w:val="16"/>
                <w:szCs w:val="16"/>
                <w:color w:val="auto"/>
              </w:rPr>
            </w:pPr>
          </w:p>
        </w:tc>
        <w:tc>
          <w:tcPr>
            <w:tcW w:w="230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(Article 5):</w:t>
            </w:r>
          </w:p>
        </w:tc>
        <w:tc>
          <w:tcPr>
            <w:tcW w:w="8740" w:type="dxa"/>
            <w:vAlign w:val="bottom"/>
          </w:tcPr>
          <w:p>
            <w:pPr>
              <w:ind w:left="1100"/>
              <w:spacing w:after="0" w:line="190" w:lineRule="exact"/>
              <w:rPr>
                <w:sz w:val="20"/>
                <w:szCs w:val="20"/>
                <w:color w:val="auto"/>
              </w:rPr>
            </w:pPr>
            <w:r>
              <w:rPr>
                <w:rFonts w:ascii="Arial" w:cs="Arial" w:eastAsia="Arial" w:hAnsi="Arial"/>
                <w:sz w:val="18"/>
                <w:szCs w:val="18"/>
                <w:color w:val="auto"/>
                <w:w w:val="92"/>
              </w:rPr>
              <w:t>and development of biotechnology and/or pharmaceutical products, (iii) a rodent vivarium, and (iv) other</w:t>
            </w:r>
          </w:p>
        </w:tc>
      </w:tr>
      <w:tr>
        <w:trPr>
          <w:trHeight w:val="237"/>
        </w:trPr>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8740" w:type="dxa"/>
            <w:vAlign w:val="bottom"/>
          </w:tcPr>
          <w:p>
            <w:pPr>
              <w:ind w:left="1100"/>
              <w:spacing w:after="0"/>
              <w:rPr>
                <w:sz w:val="20"/>
                <w:szCs w:val="20"/>
                <w:color w:val="auto"/>
              </w:rPr>
            </w:pPr>
            <w:r>
              <w:rPr>
                <w:rFonts w:ascii="Arial" w:cs="Arial" w:eastAsia="Arial" w:hAnsi="Arial"/>
                <w:sz w:val="18"/>
                <w:szCs w:val="18"/>
                <w:color w:val="auto"/>
                <w:w w:val="91"/>
              </w:rPr>
              <w:t>uses, to the extent the foregoing are permitted under (A) all “Applicable Laws,” as that term is set forth in</w:t>
            </w:r>
          </w:p>
        </w:tc>
      </w:tr>
    </w:tbl>
    <w:p>
      <w:pPr>
        <w:ind w:left="3660"/>
        <w:spacing w:after="0" w:line="255" w:lineRule="auto"/>
        <w:rPr>
          <w:sz w:val="20"/>
          <w:szCs w:val="20"/>
          <w:color w:val="auto"/>
        </w:rPr>
      </w:pPr>
      <w:r>
        <w:rPr>
          <w:rFonts w:ascii="Arial" w:cs="Arial" w:eastAsia="Arial" w:hAnsi="Arial"/>
          <w:sz w:val="18"/>
          <w:szCs w:val="18"/>
          <w:u w:val="single" w:color="auto"/>
          <w:color w:val="auto"/>
        </w:rPr>
        <w:t>Article 24</w:t>
      </w:r>
      <w:r>
        <w:rPr>
          <w:rFonts w:ascii="Arial" w:cs="Arial" w:eastAsia="Arial" w:hAnsi="Arial"/>
          <w:sz w:val="18"/>
          <w:szCs w:val="18"/>
          <w:color w:val="auto"/>
        </w:rPr>
        <w:t xml:space="preserve"> of this Lease, (B) all applicable zoning, building codes and the “CC&amp;Rs,” as that term is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this Lease, and (C) the character of the Project as a first-class office building Project (collectively, as applicable, the “</w:t>
      </w:r>
      <w:r>
        <w:rPr>
          <w:rFonts w:ascii="Arial" w:cs="Arial" w:eastAsia="Arial" w:hAnsi="Arial"/>
          <w:sz w:val="18"/>
          <w:szCs w:val="18"/>
          <w:b w:val="1"/>
          <w:bCs w:val="1"/>
          <w:color w:val="auto"/>
        </w:rPr>
        <w:t>Permitted Use</w:t>
      </w:r>
      <w:r>
        <w:rPr>
          <w:rFonts w:ascii="Arial" w:cs="Arial" w:eastAsia="Arial" w:hAnsi="Arial"/>
          <w:sz w:val="18"/>
          <w:szCs w:val="18"/>
          <w:color w:val="auto"/>
        </w:rPr>
        <w:t>”).</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382" w:right="299" w:bottom="1440" w:gutter="0" w:footer="0" w:header="0"/>
        </w:sectPr>
      </w:pPr>
    </w:p>
    <w:bookmarkStart w:id="464" w:name="page465"/>
    <w:bookmarkEnd w:id="464"/>
    <w:p>
      <w:pPr>
        <w:ind w:left="372" w:hanging="372"/>
        <w:spacing w:after="0"/>
        <w:tabs>
          <w:tab w:leader="none" w:pos="372"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Enhancement:</w:t>
      </w:r>
    </w:p>
    <w:p>
      <w:pPr>
        <w:spacing w:after="0" w:line="117" w:lineRule="exact"/>
        <w:rPr>
          <w:sz w:val="20"/>
          <w:szCs w:val="20"/>
          <w:color w:val="auto"/>
        </w:rPr>
      </w:pPr>
    </w:p>
    <w:tbl>
      <w:tblPr>
        <w:tblLayout w:type="fixed"/>
        <w:tblInd w:w="372"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8.1</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Security Deposit</w:t>
            </w: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$42,136.89.</w:t>
            </w:r>
          </w:p>
        </w:tc>
        <w:tc>
          <w:tcPr>
            <w:tcW w:w="6280" w:type="dxa"/>
            <w:vAlign w:val="bottom"/>
          </w:tcPr>
          <w:p>
            <w:pPr>
              <w:spacing w:after="0"/>
              <w:rPr>
                <w:sz w:val="18"/>
                <w:szCs w:val="18"/>
                <w:color w:val="auto"/>
              </w:rPr>
            </w:pPr>
          </w:p>
        </w:tc>
      </w:tr>
      <w:tr>
        <w:trPr>
          <w:trHeight w:val="190"/>
        </w:trPr>
        <w:tc>
          <w:tcPr>
            <w:tcW w:w="280" w:type="dxa"/>
            <w:vAlign w:val="bottom"/>
          </w:tcPr>
          <w:p>
            <w:pPr>
              <w:spacing w:after="0"/>
              <w:rPr>
                <w:sz w:val="16"/>
                <w:szCs w:val="16"/>
                <w:color w:val="auto"/>
              </w:rPr>
            </w:pPr>
          </w:p>
        </w:tc>
        <w:tc>
          <w:tcPr>
            <w:tcW w:w="2620" w:type="dxa"/>
            <w:vAlign w:val="bottom"/>
            <w:gridSpan w:val="8"/>
          </w:tcPr>
          <w:p>
            <w:pPr>
              <w:ind w:left="80"/>
              <w:spacing w:after="0" w:line="190" w:lineRule="exact"/>
              <w:rPr>
                <w:sz w:val="20"/>
                <w:szCs w:val="20"/>
                <w:color w:val="auto"/>
              </w:rPr>
            </w:pPr>
            <w:r>
              <w:rPr>
                <w:rFonts w:ascii="Arial" w:cs="Arial" w:eastAsia="Arial" w:hAnsi="Arial"/>
                <w:sz w:val="18"/>
                <w:szCs w:val="18"/>
                <w:color w:val="auto"/>
              </w:rPr>
              <w:t>(Article 21):</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0"/>
        </w:trPr>
        <w:tc>
          <w:tcPr>
            <w:tcW w:w="280" w:type="dxa"/>
            <w:vAlign w:val="bottom"/>
          </w:tcPr>
          <w:p>
            <w:pPr>
              <w:spacing w:after="0"/>
              <w:rPr>
                <w:sz w:val="20"/>
                <w:szCs w:val="20"/>
                <w:color w:val="auto"/>
              </w:rPr>
            </w:pPr>
            <w:r>
              <w:rPr>
                <w:rFonts w:ascii="Arial" w:cs="Arial" w:eastAsia="Arial" w:hAnsi="Arial"/>
                <w:sz w:val="18"/>
                <w:szCs w:val="18"/>
                <w:color w:val="auto"/>
              </w:rPr>
              <w:t>8.2</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Letter of Credit</w:t>
            </w: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$160,000.00.</w:t>
            </w:r>
          </w:p>
        </w:tc>
        <w:tc>
          <w:tcPr>
            <w:tcW w:w="6280" w:type="dxa"/>
            <w:vAlign w:val="bottom"/>
          </w:tcPr>
          <w:p>
            <w:pPr>
              <w:spacing w:after="0"/>
              <w:rPr>
                <w:sz w:val="24"/>
                <w:szCs w:val="24"/>
                <w:color w:val="auto"/>
              </w:rPr>
            </w:pPr>
          </w:p>
        </w:tc>
      </w:tr>
      <w:tr>
        <w:trPr>
          <w:trHeight w:val="190"/>
        </w:trPr>
        <w:tc>
          <w:tcPr>
            <w:tcW w:w="280" w:type="dxa"/>
            <w:vAlign w:val="bottom"/>
          </w:tcPr>
          <w:p>
            <w:pPr>
              <w:spacing w:after="0"/>
              <w:rPr>
                <w:sz w:val="16"/>
                <w:szCs w:val="16"/>
                <w:color w:val="auto"/>
              </w:rPr>
            </w:pPr>
          </w:p>
        </w:tc>
        <w:tc>
          <w:tcPr>
            <w:tcW w:w="2620" w:type="dxa"/>
            <w:vAlign w:val="bottom"/>
            <w:gridSpan w:val="8"/>
          </w:tcPr>
          <w:p>
            <w:pPr>
              <w:ind w:left="20"/>
              <w:spacing w:after="0" w:line="190" w:lineRule="exact"/>
              <w:rPr>
                <w:sz w:val="20"/>
                <w:szCs w:val="20"/>
                <w:color w:val="auto"/>
              </w:rPr>
            </w:pPr>
            <w:r>
              <w:rPr>
                <w:rFonts w:ascii="Arial" w:cs="Arial" w:eastAsia="Arial" w:hAnsi="Arial"/>
                <w:sz w:val="18"/>
                <w:szCs w:val="18"/>
                <w:color w:val="auto"/>
              </w:rPr>
              <w:t>(Article 22):</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Parking Pass Ratio</w:t>
            </w:r>
          </w:p>
        </w:tc>
        <w:tc>
          <w:tcPr>
            <w:tcW w:w="7960" w:type="dxa"/>
            <w:vAlign w:val="bottom"/>
            <w:gridSpan w:val="3"/>
          </w:tcPr>
          <w:p>
            <w:pPr>
              <w:ind w:left="380"/>
              <w:spacing w:after="0" w:line="222" w:lineRule="exact"/>
              <w:rPr>
                <w:sz w:val="20"/>
                <w:szCs w:val="20"/>
                <w:color w:val="auto"/>
              </w:rPr>
            </w:pPr>
            <w:r>
              <w:rPr>
                <w:rFonts w:ascii="Arial" w:cs="Arial" w:eastAsia="Arial" w:hAnsi="Arial"/>
                <w:sz w:val="16"/>
                <w:szCs w:val="16"/>
                <w:color w:val="auto"/>
                <w:w w:val="99"/>
              </w:rPr>
              <w:t xml:space="preserve">Three and one-half (3 </w:t>
            </w:r>
            <w:r>
              <w:rPr>
                <w:rFonts w:ascii="Arial" w:cs="Arial" w:eastAsia="Arial" w:hAnsi="Arial"/>
                <w:sz w:val="25"/>
                <w:szCs w:val="25"/>
                <w:color w:val="auto"/>
                <w:w w:val="99"/>
                <w:vertAlign w:val="superscript"/>
              </w:rPr>
              <w:t>1</w:t>
            </w:r>
            <w:r>
              <w:rPr>
                <w:rFonts w:ascii="Arial" w:cs="Arial" w:eastAsia="Arial" w:hAnsi="Arial"/>
                <w:sz w:val="16"/>
                <w:szCs w:val="16"/>
                <w:color w:val="auto"/>
                <w:w w:val="99"/>
              </w:rPr>
              <w:t>⁄</w:t>
            </w:r>
            <w:r>
              <w:rPr>
                <w:rFonts w:ascii="Arial" w:cs="Arial" w:eastAsia="Arial" w:hAnsi="Arial"/>
                <w:sz w:val="25"/>
                <w:szCs w:val="25"/>
                <w:color w:val="auto"/>
                <w:w w:val="99"/>
                <w:vertAlign w:val="subscript"/>
              </w:rPr>
              <w:t>2</w:t>
            </w:r>
            <w:r>
              <w:rPr>
                <w:rFonts w:ascii="Arial" w:cs="Arial" w:eastAsia="Arial" w:hAnsi="Arial"/>
                <w:sz w:val="16"/>
                <w:szCs w:val="16"/>
                <w:color w:val="auto"/>
                <w:w w:val="99"/>
              </w:rPr>
              <w:t>) unreserved parking passes for every 1,000 rentable square feet of the Premises.</w:t>
            </w:r>
          </w:p>
        </w:tc>
      </w:tr>
      <w:tr>
        <w:trPr>
          <w:trHeight w:val="190"/>
        </w:trPr>
        <w:tc>
          <w:tcPr>
            <w:tcW w:w="280" w:type="dxa"/>
            <w:vAlign w:val="bottom"/>
          </w:tcPr>
          <w:p>
            <w:pPr>
              <w:spacing w:after="0"/>
              <w:rPr>
                <w:sz w:val="16"/>
                <w:szCs w:val="16"/>
                <w:color w:val="auto"/>
              </w:rPr>
            </w:pPr>
          </w:p>
        </w:tc>
        <w:tc>
          <w:tcPr>
            <w:tcW w:w="2620" w:type="dxa"/>
            <w:vAlign w:val="bottom"/>
            <w:gridSpan w:val="8"/>
          </w:tcPr>
          <w:p>
            <w:pPr>
              <w:ind w:left="80"/>
              <w:spacing w:after="0" w:line="190" w:lineRule="exact"/>
              <w:rPr>
                <w:sz w:val="20"/>
                <w:szCs w:val="20"/>
                <w:color w:val="auto"/>
              </w:rPr>
            </w:pPr>
            <w:r>
              <w:rPr>
                <w:rFonts w:ascii="Arial" w:cs="Arial" w:eastAsia="Arial" w:hAnsi="Arial"/>
                <w:sz w:val="18"/>
                <w:szCs w:val="18"/>
                <w:color w:val="auto"/>
              </w:rPr>
              <w:t>(Article 28):</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0"/>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2620" w:type="dxa"/>
            <w:vAlign w:val="bottom"/>
            <w:gridSpan w:val="8"/>
          </w:tcPr>
          <w:p>
            <w:pPr>
              <w:ind w:left="60"/>
              <w:spacing w:after="0"/>
              <w:rPr>
                <w:sz w:val="20"/>
                <w:szCs w:val="20"/>
                <w:color w:val="auto"/>
              </w:rPr>
            </w:pPr>
            <w:r>
              <w:rPr>
                <w:rFonts w:ascii="Arial" w:cs="Arial" w:eastAsia="Arial" w:hAnsi="Arial"/>
                <w:sz w:val="18"/>
                <w:szCs w:val="18"/>
                <w:color w:val="auto"/>
              </w:rPr>
              <w:t>Address of Tenant</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AnaptysBio, Inc.</w:t>
            </w:r>
          </w:p>
        </w:tc>
      </w:tr>
      <w:tr>
        <w:trPr>
          <w:trHeight w:val="190"/>
        </w:trPr>
        <w:tc>
          <w:tcPr>
            <w:tcW w:w="280" w:type="dxa"/>
            <w:vAlign w:val="bottom"/>
          </w:tcPr>
          <w:p>
            <w:pPr>
              <w:spacing w:after="0"/>
              <w:rPr>
                <w:sz w:val="16"/>
                <w:szCs w:val="16"/>
                <w:color w:val="auto"/>
              </w:rPr>
            </w:pPr>
          </w:p>
        </w:tc>
        <w:tc>
          <w:tcPr>
            <w:tcW w:w="2620" w:type="dxa"/>
            <w:vAlign w:val="bottom"/>
            <w:gridSpan w:val="8"/>
          </w:tcPr>
          <w:p>
            <w:pPr>
              <w:ind w:left="20"/>
              <w:spacing w:after="0" w:line="190" w:lineRule="exact"/>
              <w:rPr>
                <w:sz w:val="20"/>
                <w:szCs w:val="20"/>
                <w:color w:val="auto"/>
              </w:rPr>
            </w:pPr>
            <w:r>
              <w:rPr>
                <w:rFonts w:ascii="Arial" w:cs="Arial" w:eastAsia="Arial" w:hAnsi="Arial"/>
                <w:sz w:val="18"/>
                <w:szCs w:val="18"/>
                <w:color w:val="auto"/>
              </w:rPr>
              <w:t>(Section 29.18):</w:t>
            </w:r>
          </w:p>
        </w:tc>
        <w:tc>
          <w:tcPr>
            <w:tcW w:w="796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10835 Road to the Cure, Suite 100</w:t>
            </w:r>
          </w:p>
        </w:tc>
      </w:tr>
      <w:tr>
        <w:trPr>
          <w:trHeight w:val="222"/>
        </w:trPr>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San Diego, California 92121</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Attention: Chairman and CEO</w:t>
            </w:r>
          </w:p>
        </w:tc>
      </w:tr>
      <w:tr>
        <w:trPr>
          <w:trHeight w:val="230"/>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to Lease Commencement Date</w:t>
            </w:r>
            <w:r>
              <w:rPr>
                <w:rFonts w:ascii="Arial" w:cs="Arial" w:eastAsia="Arial" w:hAnsi="Arial"/>
                <w:sz w:val="18"/>
                <w:szCs w:val="18"/>
                <w:color w:val="auto"/>
              </w:rPr>
              <w:t>)</w:t>
            </w: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AnaptysBio, Inc.</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10421 Pacific Center Court, Suite 200</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San Diego, California 92121</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Attention: Chairman and CEO</w:t>
            </w:r>
          </w:p>
        </w:tc>
      </w:tr>
      <w:tr>
        <w:trPr>
          <w:trHeight w:val="230"/>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After Lease Commencement Date</w:t>
            </w:r>
            <w:r>
              <w:rPr>
                <w:rFonts w:ascii="Arial" w:cs="Arial" w:eastAsia="Arial" w:hAnsi="Arial"/>
                <w:sz w:val="18"/>
                <w:szCs w:val="18"/>
                <w:color w:val="auto"/>
              </w:rPr>
              <w:t>)</w:t>
            </w:r>
          </w:p>
        </w:tc>
      </w:tr>
      <w:tr>
        <w:trPr>
          <w:trHeight w:val="297"/>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2620" w:type="dxa"/>
            <w:vAlign w:val="bottom"/>
            <w:gridSpan w:val="8"/>
          </w:tcPr>
          <w:p>
            <w:pPr>
              <w:ind w:left="60"/>
              <w:spacing w:after="0"/>
              <w:rPr>
                <w:sz w:val="20"/>
                <w:szCs w:val="20"/>
                <w:color w:val="auto"/>
              </w:rPr>
            </w:pPr>
            <w:r>
              <w:rPr>
                <w:rFonts w:ascii="Arial" w:cs="Arial" w:eastAsia="Arial" w:hAnsi="Arial"/>
                <w:sz w:val="18"/>
                <w:szCs w:val="18"/>
                <w:color w:val="auto"/>
              </w:rPr>
              <w:t>Address of Landlord</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See Section 29.18 of the Lease.</w:t>
            </w:r>
          </w:p>
        </w:tc>
      </w:tr>
      <w:tr>
        <w:trPr>
          <w:trHeight w:val="196"/>
        </w:trPr>
        <w:tc>
          <w:tcPr>
            <w:tcW w:w="280" w:type="dxa"/>
            <w:vAlign w:val="bottom"/>
          </w:tcPr>
          <w:p>
            <w:pPr>
              <w:spacing w:after="0"/>
              <w:rPr>
                <w:sz w:val="17"/>
                <w:szCs w:val="17"/>
                <w:color w:val="auto"/>
              </w:rPr>
            </w:pPr>
          </w:p>
        </w:tc>
        <w:tc>
          <w:tcPr>
            <w:tcW w:w="2620" w:type="dxa"/>
            <w:vAlign w:val="bottom"/>
            <w:gridSpan w:val="8"/>
          </w:tcPr>
          <w:p>
            <w:pPr>
              <w:ind w:left="80"/>
              <w:spacing w:after="0" w:line="196" w:lineRule="exact"/>
              <w:rPr>
                <w:sz w:val="20"/>
                <w:szCs w:val="20"/>
                <w:color w:val="auto"/>
              </w:rPr>
            </w:pPr>
            <w:r>
              <w:rPr>
                <w:rFonts w:ascii="Arial" w:cs="Arial" w:eastAsia="Arial" w:hAnsi="Arial"/>
                <w:sz w:val="18"/>
                <w:szCs w:val="18"/>
                <w:color w:val="auto"/>
              </w:rPr>
              <w:t>(Section 29.18):</w:t>
            </w:r>
          </w:p>
        </w:tc>
        <w:tc>
          <w:tcPr>
            <w:tcW w:w="7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8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0"/>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Broker(s)</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190"/>
        </w:trPr>
        <w:tc>
          <w:tcPr>
            <w:tcW w:w="280" w:type="dxa"/>
            <w:vAlign w:val="bottom"/>
          </w:tcPr>
          <w:p>
            <w:pPr>
              <w:spacing w:after="0"/>
              <w:rPr>
                <w:sz w:val="16"/>
                <w:szCs w:val="16"/>
                <w:color w:val="auto"/>
              </w:rPr>
            </w:pPr>
          </w:p>
        </w:tc>
        <w:tc>
          <w:tcPr>
            <w:tcW w:w="2620" w:type="dxa"/>
            <w:vAlign w:val="bottom"/>
            <w:gridSpan w:val="8"/>
          </w:tcPr>
          <w:p>
            <w:pPr>
              <w:ind w:left="20"/>
              <w:spacing w:after="0" w:line="190" w:lineRule="exact"/>
              <w:rPr>
                <w:sz w:val="20"/>
                <w:szCs w:val="20"/>
                <w:color w:val="auto"/>
              </w:rPr>
            </w:pPr>
            <w:r>
              <w:rPr>
                <w:rFonts w:ascii="Arial" w:cs="Arial" w:eastAsia="Arial" w:hAnsi="Arial"/>
                <w:sz w:val="18"/>
                <w:szCs w:val="18"/>
                <w:color w:val="auto"/>
              </w:rPr>
              <w:t>(Section 29.24):</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380" w:type="dxa"/>
            <w:vAlign w:val="bottom"/>
            <w:gridSpan w:val="3"/>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60" w:type="dxa"/>
            <w:vAlign w:val="bottom"/>
            <w:gridSpan w:val="3"/>
          </w:tcPr>
          <w:p>
            <w:pPr>
              <w:spacing w:after="0" w:line="20" w:lineRule="exact"/>
              <w:rPr>
                <w:sz w:val="1"/>
                <w:szCs w:val="1"/>
                <w:color w:val="auto"/>
              </w:rPr>
            </w:pPr>
          </w:p>
        </w:tc>
      </w:tr>
      <w:tr>
        <w:trPr>
          <w:trHeight w:val="345"/>
        </w:trPr>
        <w:tc>
          <w:tcPr>
            <w:tcW w:w="2900" w:type="dxa"/>
            <w:vAlign w:val="bottom"/>
            <w:gridSpan w:val="9"/>
          </w:tcPr>
          <w:p>
            <w:pPr>
              <w:spacing w:after="0"/>
              <w:rPr>
                <w:sz w:val="20"/>
                <w:szCs w:val="20"/>
                <w:color w:val="auto"/>
              </w:rPr>
            </w:pPr>
            <w:r>
              <w:rPr>
                <w:rFonts w:ascii="Arial" w:cs="Arial" w:eastAsia="Arial" w:hAnsi="Arial"/>
                <w:sz w:val="18"/>
                <w:szCs w:val="18"/>
                <w:i w:val="1"/>
                <w:iCs w:val="1"/>
                <w:color w:val="auto"/>
              </w:rPr>
              <w:t>Representing Tenant:</w:t>
            </w:r>
          </w:p>
        </w:tc>
        <w:tc>
          <w:tcPr>
            <w:tcW w:w="7960" w:type="dxa"/>
            <w:vAlign w:val="bottom"/>
            <w:gridSpan w:val="3"/>
          </w:tcPr>
          <w:p>
            <w:pPr>
              <w:ind w:left="380"/>
              <w:spacing w:after="0"/>
              <w:rPr>
                <w:sz w:val="20"/>
                <w:szCs w:val="20"/>
                <w:color w:val="auto"/>
              </w:rPr>
            </w:pPr>
            <w:r>
              <w:rPr>
                <w:rFonts w:ascii="Arial" w:cs="Arial" w:eastAsia="Arial" w:hAnsi="Arial"/>
                <w:sz w:val="18"/>
                <w:szCs w:val="18"/>
                <w:i w:val="1"/>
                <w:iCs w:val="1"/>
                <w:color w:val="auto"/>
              </w:rPr>
              <w:t>Representing Landlord:</w:t>
            </w:r>
          </w:p>
        </w:tc>
      </w:tr>
      <w:tr>
        <w:trPr>
          <w:trHeight w:val="324"/>
        </w:trPr>
        <w:tc>
          <w:tcPr>
            <w:tcW w:w="2900" w:type="dxa"/>
            <w:vAlign w:val="bottom"/>
            <w:gridSpan w:val="9"/>
          </w:tcPr>
          <w:p>
            <w:pPr>
              <w:spacing w:after="0"/>
              <w:rPr>
                <w:sz w:val="20"/>
                <w:szCs w:val="20"/>
                <w:color w:val="auto"/>
              </w:rPr>
            </w:pPr>
            <w:r>
              <w:rPr>
                <w:rFonts w:ascii="Arial" w:cs="Arial" w:eastAsia="Arial" w:hAnsi="Arial"/>
                <w:sz w:val="18"/>
                <w:szCs w:val="18"/>
                <w:color w:val="auto"/>
              </w:rPr>
              <w:t xml:space="preserve">Irving Hughes </w:t>
            </w:r>
            <w:r>
              <w:rPr>
                <w:rFonts w:ascii="Arial" w:cs="Arial" w:eastAsia="Arial" w:hAnsi="Arial"/>
                <w:sz w:val="18"/>
                <w:szCs w:val="18"/>
                <w:i w:val="1"/>
                <w:iCs w:val="1"/>
                <w:color w:val="auto"/>
              </w:rPr>
              <w:t>and</w:t>
            </w:r>
            <w:r>
              <w:rPr>
                <w:rFonts w:ascii="Arial" w:cs="Arial" w:eastAsia="Arial" w:hAnsi="Arial"/>
                <w:sz w:val="18"/>
                <w:szCs w:val="18"/>
                <w:color w:val="auto"/>
              </w:rPr>
              <w:t xml:space="preserve"> Hughes Marino</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Colliers International</w:t>
            </w:r>
          </w:p>
        </w:tc>
      </w:tr>
      <w:tr>
        <w:trPr>
          <w:trHeight w:val="30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Improvement Allowance</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w w:val="92"/>
              </w:rPr>
              <w:t>$328,848.00 (</w:t>
            </w:r>
            <w:r>
              <w:rPr>
                <w:rFonts w:ascii="Arial" w:cs="Arial" w:eastAsia="Arial" w:hAnsi="Arial"/>
                <w:sz w:val="18"/>
                <w:szCs w:val="18"/>
                <w:i w:val="1"/>
                <w:iCs w:val="1"/>
                <w:color w:val="auto"/>
                <w:w w:val="92"/>
              </w:rPr>
              <w:t>i.e</w:t>
            </w:r>
            <w:r>
              <w:rPr>
                <w:rFonts w:ascii="Arial" w:cs="Arial" w:eastAsia="Arial" w:hAnsi="Arial"/>
                <w:sz w:val="18"/>
                <w:szCs w:val="18"/>
                <w:color w:val="auto"/>
                <w:w w:val="92"/>
              </w:rPr>
              <w:t>., Thirteen and No/100 Dollars ($13.00) for each rentable square foot of the Premises).</w:t>
            </w:r>
          </w:p>
        </w:tc>
      </w:tr>
      <w:tr>
        <w:trPr>
          <w:trHeight w:val="194"/>
        </w:trPr>
        <w:tc>
          <w:tcPr>
            <w:tcW w:w="280" w:type="dxa"/>
            <w:vAlign w:val="bottom"/>
          </w:tcPr>
          <w:p>
            <w:pPr>
              <w:spacing w:after="0"/>
              <w:rPr>
                <w:sz w:val="16"/>
                <w:szCs w:val="16"/>
                <w:color w:val="auto"/>
              </w:rPr>
            </w:pPr>
          </w:p>
        </w:tc>
        <w:tc>
          <w:tcPr>
            <w:tcW w:w="2620" w:type="dxa"/>
            <w:vAlign w:val="bottom"/>
            <w:gridSpan w:val="8"/>
          </w:tcPr>
          <w:p>
            <w:pPr>
              <w:ind w:left="20"/>
              <w:spacing w:after="0" w:line="194" w:lineRule="exact"/>
              <w:rPr>
                <w:sz w:val="20"/>
                <w:szCs w:val="20"/>
                <w:color w:val="auto"/>
              </w:rPr>
            </w:pPr>
            <w:r>
              <w:rPr>
                <w:rFonts w:ascii="Arial" w:cs="Arial" w:eastAsia="Arial" w:hAnsi="Arial"/>
                <w:sz w:val="18"/>
                <w:szCs w:val="18"/>
                <w:color w:val="auto"/>
              </w:rPr>
              <w:t xml:space="preserve">(Section 2 of </w:t>
            </w:r>
            <w:r>
              <w:rPr>
                <w:rFonts w:ascii="Arial" w:cs="Arial" w:eastAsia="Arial" w:hAnsi="Arial"/>
                <w:sz w:val="18"/>
                <w:szCs w:val="18"/>
                <w:b w:val="1"/>
                <w:bCs w:val="1"/>
                <w:color w:val="auto"/>
              </w:rPr>
              <w:t>Exhibit B</w:t>
            </w:r>
            <w:r>
              <w:rPr>
                <w:rFonts w:ascii="Arial" w:cs="Arial" w:eastAsia="Arial" w:hAnsi="Arial"/>
                <w:sz w:val="18"/>
                <w:szCs w:val="18"/>
                <w:color w:val="auto"/>
              </w:rPr>
              <w:t>):</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385"/>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gridSpan w:val="3"/>
          </w:tcPr>
          <w:p>
            <w:pPr>
              <w:ind w:left="23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32"/>
          </w:cols>
          <w:pgMar w:left="248" w:top="382" w:right="419" w:bottom="1440" w:gutter="0" w:footer="0" w:header="0"/>
        </w:sectPr>
      </w:pPr>
    </w:p>
    <w:bookmarkStart w:id="465" w:name="page466"/>
    <w:bookmarkEnd w:id="465"/>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PREMISES, BUILDING, PROJECT, AND COMMON AREAS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Premises, Building, Project and Common Areas</w:t>
      </w:r>
      <w:r>
        <w:rPr>
          <w:rFonts w:ascii="Arial" w:cs="Arial" w:eastAsia="Arial" w:hAnsi="Arial"/>
          <w:sz w:val="18"/>
          <w:szCs w:val="18"/>
          <w:u w:val="single" w:color="auto"/>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The Premises</w:t>
      </w:r>
      <w:r>
        <w:rPr>
          <w:rFonts w:ascii="Arial" w:cs="Arial" w:eastAsia="Arial" w:hAnsi="Arial"/>
          <w:sz w:val="16"/>
          <w:szCs w:val="16"/>
          <w:color w:val="auto"/>
        </w:rPr>
        <w:t xml:space="preserve">. Landlord hereby leases to Tenant and Tenant hereby leases from Landlord the premises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outline of the Premises is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and contains approximately the number of rentable square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feet as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parties hereto agree that the lease of the Premises is upon and subject to the terms, covenants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 “</w:t>
      </w:r>
      <w:r>
        <w:rPr>
          <w:rFonts w:ascii="Arial" w:cs="Arial" w:eastAsia="Arial" w:hAnsi="Arial"/>
          <w:sz w:val="16"/>
          <w:szCs w:val="16"/>
          <w:b w:val="1"/>
          <w:bCs w:val="1"/>
          <w:color w:val="auto"/>
        </w:rPr>
        <w:t>TCCs</w:t>
      </w:r>
      <w:r>
        <w:rPr>
          <w:rFonts w:ascii="Arial" w:cs="Arial" w:eastAsia="Arial" w:hAnsi="Arial"/>
          <w:sz w:val="16"/>
          <w:szCs w:val="16"/>
          <w:color w:val="auto"/>
        </w:rPr>
        <w:t>”) herein set forth, and Tenant covenants as a material part of the consideration for this Lease to keep and perform each and all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TCCs by it to be kept and performed and that this Lease is made upon the condition of such performance. The parties hereto hereby acknowledge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purpose of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to show the approximate location of the Premises in the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below, only, and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is not meant to constitute an agreement, representation or warranty as to the construction of the Premises, the precise area thereof or the specific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location of the “</w:t>
      </w:r>
      <w:r>
        <w:rPr>
          <w:rFonts w:ascii="Arial" w:cs="Arial" w:eastAsia="Arial" w:hAnsi="Arial"/>
          <w:sz w:val="17"/>
          <w:szCs w:val="17"/>
          <w:b w:val="1"/>
          <w:bCs w:val="1"/>
          <w:color w:val="auto"/>
        </w:rPr>
        <w:t>Common Areas</w:t>
      </w:r>
      <w:r>
        <w:rPr>
          <w:rFonts w:ascii="Arial" w:cs="Arial" w:eastAsia="Arial" w:hAnsi="Arial"/>
          <w:sz w:val="17"/>
          <w:szCs w:val="17"/>
          <w:color w:val="auto"/>
        </w:rPr>
        <w:t xml:space="preserve">,” as that term is defined in </w:t>
      </w:r>
      <w:r>
        <w:rPr>
          <w:rFonts w:ascii="Arial" w:cs="Arial" w:eastAsia="Arial" w:hAnsi="Arial"/>
          <w:sz w:val="17"/>
          <w:szCs w:val="17"/>
          <w:u w:val="single" w:color="auto"/>
          <w:color w:val="auto"/>
        </w:rPr>
        <w:t>Section 1.1.3</w:t>
      </w:r>
      <w:r>
        <w:rPr>
          <w:rFonts w:ascii="Arial" w:cs="Arial" w:eastAsia="Arial" w:hAnsi="Arial"/>
          <w:sz w:val="17"/>
          <w:szCs w:val="17"/>
          <w:color w:val="auto"/>
        </w:rPr>
        <w:t>, below, or the elements thereof or of the accessways to the Premises 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w:t>
      </w:r>
      <w:r>
        <w:rPr>
          <w:rFonts w:ascii="Arial" w:cs="Arial" w:eastAsia="Arial" w:hAnsi="Arial"/>
          <w:sz w:val="16"/>
          <w:szCs w:val="16"/>
          <w:color w:val="auto"/>
        </w:rPr>
        <w:t xml:space="preserve">,”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Except as specifically set forth in this Lease and in the Work Letter attached hereto as </w:t>
      </w:r>
      <w:r>
        <w:rPr>
          <w:rFonts w:ascii="Arial" w:cs="Arial" w:eastAsia="Arial" w:hAnsi="Arial"/>
          <w:sz w:val="16"/>
          <w:szCs w:val="16"/>
          <w:b w:val="1"/>
          <w:bCs w:val="1"/>
          <w:u w:val="single" w:color="auto"/>
          <w:color w:val="auto"/>
        </w:rPr>
        <w:t>Exhibit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Work Letter</w:t>
      </w:r>
      <w:r>
        <w:rPr>
          <w:rFonts w:ascii="Arial" w:cs="Arial" w:eastAsia="Arial" w:hAnsi="Arial"/>
          <w:sz w:val="16"/>
          <w:szCs w:val="16"/>
          <w:color w:val="auto"/>
        </w:rPr>
        <w:t>”), Landlord shall not be obligated to provide or pay for any improvement work or services related to the improvement of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also acknowledges that neither Landlord nor any agent of Landlord has made any representation or warranty regarding the condition of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Building or the Project or with respect to the suitability of any of the foregoing for the conduct of Tenant’s business, except as specifically set forth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and the Work Letter. The taking of possession of the Premises by Tenant shall conclusively establish that the Premises and the Building were at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in good and sanitary order, condition and repair, subject only to (i) Landlord’s obligations under the Work Letter with respect to a list of punchlist items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prepared by Landlord and Tenant in accordance therewith, (ii) latent defects as well as defects in the mechanical, electrical and plumbing systems brought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Landlord’s attention in writing within one (1) year following Landlord’s delivery of the Premises to Tenant, (iii) Landlord’s obligations set forth in </w:t>
      </w:r>
      <w:r>
        <w:rPr>
          <w:rFonts w:ascii="Arial" w:cs="Arial" w:eastAsia="Arial" w:hAnsi="Arial"/>
          <w:sz w:val="17"/>
          <w:szCs w:val="17"/>
          <w:u w:val="single" w:color="auto"/>
          <w:color w:val="auto"/>
        </w:rPr>
        <w:t>Article 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this Lease, (iv) Landlord’s obligations set forth in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of this Lease, and (v) Landlord’s obligations set forth in Section </w:t>
      </w:r>
      <w:r>
        <w:rPr>
          <w:rFonts w:ascii="Arial" w:cs="Arial" w:eastAsia="Arial" w:hAnsi="Arial"/>
          <w:sz w:val="16"/>
          <w:szCs w:val="16"/>
          <w:u w:val="single" w:color="auto"/>
          <w:color w:val="auto"/>
        </w:rPr>
        <w:t>29.33</w:t>
      </w:r>
      <w:r>
        <w:rPr>
          <w:rFonts w:ascii="Arial" w:cs="Arial" w:eastAsia="Arial" w:hAnsi="Arial"/>
          <w:sz w:val="16"/>
          <w:szCs w:val="16"/>
          <w:color w:val="auto"/>
        </w:rPr>
        <w:t xml:space="preserve"> of this Lease.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 knowledge of Mrs. Kathleen Bristol (Landlord’s Asset Manager with respect to the Project), Mr. Brian Galligan (Landlord’s Vice President of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Ms. Theresa Amos (Property Manager of the Building), without any duty of investigation or any duty of inquiry, Landlord has not,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Date, received from any applicable governmental agency any written notice (a “</w:t>
      </w:r>
      <w:r>
        <w:rPr>
          <w:rFonts w:ascii="Arial" w:cs="Arial" w:eastAsia="Arial" w:hAnsi="Arial"/>
          <w:sz w:val="16"/>
          <w:szCs w:val="16"/>
          <w:b w:val="1"/>
          <w:bCs w:val="1"/>
          <w:color w:val="auto"/>
        </w:rPr>
        <w:t>Violation Notice</w:t>
      </w:r>
      <w:r>
        <w:rPr>
          <w:rFonts w:ascii="Arial" w:cs="Arial" w:eastAsia="Arial" w:hAnsi="Arial"/>
          <w:sz w:val="16"/>
          <w:szCs w:val="16"/>
          <w:color w:val="auto"/>
        </w:rPr>
        <w:t>”) of violation or violations (or claim thereof)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relating to Applicable Laws, or applicable zoning, ordinances, building codes or CC&amp;Rs with regard to the Premises or the Building existing as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provided, however, the foregoing representation does not apply with respect to any alterations, additions or improvements made (or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by Tenant. Landlord represents and warrants that, as of the Effective Date and as it pertains to Landlord’s organization, the three (3) individuals listed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are the suitable individuals as it relates to knowledge of the Premises. If Landlord receives any Violation Notice at any time after the Effective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promptly deliver a copy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466" w:name="page467"/>
    <w:bookmarkEnd w:id="466"/>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Violation Notice to Tenant. In the event of a conflict between the terms set forth in the Summary and the TCCs of the body of this Lease, the latter shall control.</w:t>
      </w:r>
    </w:p>
    <w:p>
      <w:pPr>
        <w:spacing w:after="0" w:line="58"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The Building and The Project</w:t>
      </w:r>
      <w:r>
        <w:rPr>
          <w:rFonts w:ascii="Arial" w:cs="Arial" w:eastAsia="Arial" w:hAnsi="Arial"/>
          <w:sz w:val="16"/>
          <w:szCs w:val="16"/>
          <w:color w:val="auto"/>
        </w:rPr>
        <w:t xml:space="preserve">. The Premises are a part of the building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Building</w:t>
      </w:r>
      <w:r>
        <w:rPr>
          <w:rFonts w:ascii="Arial" w:cs="Arial" w:eastAsia="Arial" w:hAnsi="Arial"/>
          <w:sz w:val="16"/>
          <w:szCs w:val="16"/>
          <w:color w:val="auto"/>
        </w:rPr>
        <w:t>”). The Building is part of an office project known as “</w:t>
      </w:r>
      <w:r>
        <w:rPr>
          <w:rFonts w:ascii="Arial" w:cs="Arial" w:eastAsia="Arial" w:hAnsi="Arial"/>
          <w:sz w:val="16"/>
          <w:szCs w:val="16"/>
          <w:b w:val="1"/>
          <w:bCs w:val="1"/>
          <w:i w:val="1"/>
          <w:iCs w:val="1"/>
          <w:color w:val="auto"/>
        </w:rPr>
        <w:t>Pacific Corporate Center</w:t>
      </w:r>
      <w:r>
        <w:rPr>
          <w:rFonts w:ascii="Arial" w:cs="Arial" w:eastAsia="Arial" w:hAnsi="Arial"/>
          <w:sz w:val="16"/>
          <w:szCs w:val="16"/>
          <w:color w:val="auto"/>
        </w:rPr>
        <w:t>.” The term “</w:t>
      </w:r>
      <w:r>
        <w:rPr>
          <w:rFonts w:ascii="Arial" w:cs="Arial" w:eastAsia="Arial" w:hAnsi="Arial"/>
          <w:sz w:val="16"/>
          <w:szCs w:val="16"/>
          <w:b w:val="1"/>
          <w:bCs w:val="1"/>
          <w:color w:val="auto"/>
        </w:rPr>
        <w:t>Project</w:t>
      </w:r>
      <w:r>
        <w:rPr>
          <w:rFonts w:ascii="Arial" w:cs="Arial" w:eastAsia="Arial" w:hAnsi="Arial"/>
          <w:sz w:val="16"/>
          <w:szCs w:val="16"/>
          <w:color w:val="auto"/>
        </w:rPr>
        <w:t>,” as used in this Lease, shall mean (i) the Building and the Common Areas, and (ii) the land (which is improved with landscaping, parking facilities and other improvements) upon which the Building and the Common Areas are located, and (iii) the other office building located adjacent to the Building and the land upon which such adjacent office building is located.</w:t>
      </w:r>
    </w:p>
    <w:p>
      <w:pPr>
        <w:spacing w:after="0" w:line="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xml:space="preserve">. Tenant shall have the non-exclusive right to use in common with other tenants in the Project, and subject to the rules and regulations referred to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[such as those areas reserved for the exclusive use of the tenant leasing the balance of the Building, which areas are identified as “Tanvex Exclusive Areas” on the attached </w:t>
      </w:r>
      <w:r>
        <w:rPr>
          <w:rFonts w:ascii="Arial" w:cs="Arial" w:eastAsia="Arial" w:hAnsi="Arial"/>
          <w:sz w:val="16"/>
          <w:szCs w:val="16"/>
          <w:b w:val="1"/>
          <w:bCs w:val="1"/>
          <w:u w:val="single" w:color="auto"/>
          <w:color w:val="auto"/>
        </w:rPr>
        <w:t>Exhibit A-2</w:t>
      </w:r>
      <w:r>
        <w:rPr>
          <w:rFonts w:ascii="Arial" w:cs="Arial" w:eastAsia="Arial" w:hAnsi="Arial"/>
          <w:sz w:val="16"/>
          <w:szCs w:val="16"/>
          <w:color w:val="auto"/>
        </w:rPr>
        <w:t>], or to otherwise be shared by Landlord and certain tenants,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The Common Areas shall consist of the “</w:t>
      </w:r>
      <w:r>
        <w:rPr>
          <w:rFonts w:ascii="Arial" w:cs="Arial" w:eastAsia="Arial" w:hAnsi="Arial"/>
          <w:sz w:val="16"/>
          <w:szCs w:val="16"/>
          <w:b w:val="1"/>
          <w:bCs w:val="1"/>
          <w:color w:val="auto"/>
        </w:rPr>
        <w:t>Project Common Areas</w:t>
      </w:r>
      <w:r>
        <w:rPr>
          <w:rFonts w:ascii="Arial" w:cs="Arial" w:eastAsia="Arial" w:hAnsi="Arial"/>
          <w:sz w:val="16"/>
          <w:szCs w:val="16"/>
          <w:color w:val="auto"/>
        </w:rPr>
        <w:t>” and the “</w:t>
      </w:r>
      <w:r>
        <w:rPr>
          <w:rFonts w:ascii="Arial" w:cs="Arial" w:eastAsia="Arial" w:hAnsi="Arial"/>
          <w:sz w:val="16"/>
          <w:szCs w:val="16"/>
          <w:b w:val="1"/>
          <w:bCs w:val="1"/>
          <w:color w:val="auto"/>
        </w:rPr>
        <w:t>Building Common</w:t>
      </w:r>
      <w:r>
        <w:rPr>
          <w:rFonts w:ascii="Arial" w:cs="Arial" w:eastAsia="Arial" w:hAnsi="Arial"/>
          <w:sz w:val="16"/>
          <w:szCs w:val="16"/>
          <w:color w:val="auto"/>
        </w:rPr>
        <w:t xml:space="preserve"> </w:t>
      </w:r>
      <w:r>
        <w:rPr>
          <w:rFonts w:ascii="Arial" w:cs="Arial" w:eastAsia="Arial" w:hAnsi="Arial"/>
          <w:sz w:val="16"/>
          <w:szCs w:val="16"/>
          <w:b w:val="1"/>
          <w:bCs w:val="1"/>
          <w:color w:val="auto"/>
        </w:rPr>
        <w:t>Areas</w:t>
      </w:r>
      <w:r>
        <w:rPr>
          <w:rFonts w:ascii="Arial" w:cs="Arial" w:eastAsia="Arial" w:hAnsi="Arial"/>
          <w:sz w:val="16"/>
          <w:szCs w:val="16"/>
          <w:color w:val="auto"/>
        </w:rPr>
        <w:t>.” The term “</w:t>
      </w:r>
      <w:r>
        <w:rPr>
          <w:rFonts w:ascii="Arial" w:cs="Arial" w:eastAsia="Arial" w:hAnsi="Arial"/>
          <w:sz w:val="16"/>
          <w:szCs w:val="16"/>
          <w:b w:val="1"/>
          <w:bCs w:val="1"/>
          <w:color w:val="auto"/>
        </w:rPr>
        <w:t>Project Common Areas</w:t>
      </w:r>
      <w:r>
        <w:rPr>
          <w:rFonts w:ascii="Arial" w:cs="Arial" w:eastAsia="Arial" w:hAnsi="Arial"/>
          <w:sz w:val="16"/>
          <w:szCs w:val="16"/>
          <w:color w:val="auto"/>
        </w:rPr>
        <w:t>,” as used in this Lease, shall mean the portion of the Project designated as such by Landlord. The term “</w:t>
      </w:r>
      <w:r>
        <w:rPr>
          <w:rFonts w:ascii="Arial" w:cs="Arial" w:eastAsia="Arial" w:hAnsi="Arial"/>
          <w:sz w:val="16"/>
          <w:szCs w:val="16"/>
          <w:b w:val="1"/>
          <w:bCs w:val="1"/>
          <w:color w:val="auto"/>
        </w:rPr>
        <w:t>Building Common Areas</w:t>
      </w:r>
      <w:r>
        <w:rPr>
          <w:rFonts w:ascii="Arial" w:cs="Arial" w:eastAsia="Arial" w:hAnsi="Arial"/>
          <w:sz w:val="16"/>
          <w:szCs w:val="16"/>
          <w:color w:val="auto"/>
        </w:rPr>
        <w:t>,” as used in this Lease, shall mean the portions of the Common Areas located within the Building designated as such by Landlord.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in which the Common Areas are maintained and operated shall be at the sole discretion of Landlord, provided that Landlord shall maintain and operate the same in a manner consistent with that of other Comparable Buildings (as that term is defined in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xml:space="preserve"> attached hereto) and the use thereof shall be subject to such rules, regulations and restrictions as Landlord may make from time to time, provided that such rules, regulations and restrictions do not unreasonably interfere with the rights granted to Tenant under this Lease and the Permitted Use (as that term is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the Summary and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below). Upon reasonable prior written notice to Tenant (except in the event of emergencies) Landlord reserves the right to close temporarily, make alterations or additions to, or change the location of elements of the Project and the Common Areas; provided that no such changes shall be permitted which materially reduce Tenant’s rights or access hereunder. Except when and where Tenant’s right of access is specifically excluded in this Lease, Tenant shall have the right of access to the Premises, the Building, and the Project parking facility twenty-four (24) hours per day, seven (7) days per week during the “Lease Term,” as that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below.</w:t>
      </w:r>
    </w:p>
    <w:p>
      <w:pPr>
        <w:spacing w:after="0" w:line="6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Stipulation of Rentable Square Feet of Premises</w:t>
      </w:r>
      <w:r>
        <w:rPr>
          <w:rFonts w:ascii="Arial" w:cs="Arial" w:eastAsia="Arial" w:hAnsi="Arial"/>
          <w:sz w:val="18"/>
          <w:szCs w:val="18"/>
          <w:color w:val="auto"/>
        </w:rPr>
        <w:t xml:space="preserve">. For purposes of this Lease, “rentable square feet” of the Premises shall be deemed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Summary.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67" w:name="page468"/>
    <w:bookmarkEnd w:id="46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LEASE TERM; TERMINATION RIGHT, OPTION TERM</w:t>
      </w:r>
    </w:p>
    <w:p>
      <w:pPr>
        <w:spacing w:after="0" w:line="22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Initial Lease Term</w:t>
      </w:r>
      <w:r>
        <w:rPr>
          <w:rFonts w:ascii="Arial" w:cs="Arial" w:eastAsia="Arial" w:hAnsi="Arial"/>
          <w:sz w:val="16"/>
          <w:szCs w:val="16"/>
          <w:color w:val="auto"/>
        </w:rPr>
        <w:t>. The TCCs and provisions of this Lease shall be effective as of the Effective Date. The term of this Lease (the “</w:t>
      </w:r>
      <w:r>
        <w:rPr>
          <w:rFonts w:ascii="Arial" w:cs="Arial" w:eastAsia="Arial" w:hAnsi="Arial"/>
          <w:sz w:val="16"/>
          <w:szCs w:val="16"/>
          <w:b w:val="1"/>
          <w:bCs w:val="1"/>
          <w:color w:val="auto"/>
        </w:rPr>
        <w:t>Lease Term</w:t>
      </w:r>
      <w:r>
        <w:rPr>
          <w:rFonts w:ascii="Arial" w:cs="Arial" w:eastAsia="Arial" w:hAnsi="Arial"/>
          <w:sz w:val="16"/>
          <w:szCs w:val="16"/>
          <w:color w:val="auto"/>
        </w:rPr>
        <w:t xml:space="preserve">”) shall be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Summary, shall commence on the date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Commencement Date</w:t>
      </w:r>
      <w:r>
        <w:rPr>
          <w:rFonts w:ascii="Arial" w:cs="Arial" w:eastAsia="Arial" w:hAnsi="Arial"/>
          <w:sz w:val="16"/>
          <w:szCs w:val="16"/>
          <w:color w:val="auto"/>
        </w:rPr>
        <w:t xml:space="preserve">”), and shall terminate on the date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Expiration Date</w:t>
      </w:r>
      <w:r>
        <w:rPr>
          <w:rFonts w:ascii="Arial" w:cs="Arial" w:eastAsia="Arial" w:hAnsi="Arial"/>
          <w:sz w:val="16"/>
          <w:szCs w:val="16"/>
          <w:color w:val="auto"/>
        </w:rPr>
        <w:t xml:space="preserve">”) unless this Lease is sooner terminated as hereinafter provided; provided, however, the Lease Commencement Date and the Lease Expiration Date shall be subject to tolling as more particularly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Tenant Work Letter. For purposes of this Lease, the term “</w:t>
      </w:r>
      <w:r>
        <w:rPr>
          <w:rFonts w:ascii="Arial" w:cs="Arial" w:eastAsia="Arial" w:hAnsi="Arial"/>
          <w:sz w:val="16"/>
          <w:szCs w:val="16"/>
          <w:b w:val="1"/>
          <w:bCs w:val="1"/>
          <w:color w:val="auto"/>
        </w:rPr>
        <w:t>Lease Year</w:t>
      </w:r>
      <w:r>
        <w:rPr>
          <w:rFonts w:ascii="Arial" w:cs="Arial" w:eastAsia="Arial" w:hAnsi="Arial"/>
          <w:sz w:val="16"/>
          <w:szCs w:val="16"/>
          <w:color w:val="auto"/>
        </w:rPr>
        <w:t xml:space="preserve">” shall mean each consecutive twelve (12) month period during the Lease Term; provided, however, that the first Lease Year shall commence on the Lease Commencement Date (e.g., August 16, 2011, as previously scheduled) and end on the last day of the month in which the first anniversary of the Lease Commencement Date occurs (e.g., August 31, 2012, as previously scheduled), and the second and each succeeding Lease Year shall commence on the first day of the next calendar month; and further provided that the last Lease Year shall end on the Lease Expiration Date. At any time during the Lease Term, Landlord may deliver to Tenant a factually correct notice in the form as set forth in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attached hereto, as a confirmation only of the information set forth therein, which Tenant shall execute and return to Landlord within five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 days of receipt thereof to the extent such notice is factually correct.</w:t>
      </w:r>
    </w:p>
    <w:p>
      <w:pPr>
        <w:spacing w:after="0" w:line="9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Tenant Termination Right</w:t>
      </w:r>
      <w:r>
        <w:rPr>
          <w:rFonts w:ascii="Arial" w:cs="Arial" w:eastAsia="Arial" w:hAnsi="Arial"/>
          <w:sz w:val="16"/>
          <w:szCs w:val="16"/>
          <w:color w:val="auto"/>
        </w:rPr>
        <w:t>. Notwithstanding any provision to the contrary contained in this Lease, Tenant shall have the right to terminate and cancel this Lease in its entirety effective as of either August 31, 2012, August 31, 2013, August 31, 2014 or August 31, 2015 (as applicable, the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upon Tenant’s delivery of written notice to Landlord (the “</w:t>
      </w:r>
      <w:r>
        <w:rPr>
          <w:rFonts w:ascii="Arial" w:cs="Arial" w:eastAsia="Arial" w:hAnsi="Arial"/>
          <w:sz w:val="16"/>
          <w:szCs w:val="16"/>
          <w:b w:val="1"/>
          <w:bCs w:val="1"/>
          <w:color w:val="auto"/>
        </w:rPr>
        <w:t>Termination Notice</w:t>
      </w:r>
      <w:r>
        <w:rPr>
          <w:rFonts w:ascii="Arial" w:cs="Arial" w:eastAsia="Arial" w:hAnsi="Arial"/>
          <w:sz w:val="16"/>
          <w:szCs w:val="16"/>
          <w:color w:val="auto"/>
        </w:rPr>
        <w:t>”), which notice shall be delivered to Landlord on or before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six (6) full calendar months prior to the subject Termination Date, and, concurrently with its delivery of such Termination Notice, Tenant shall deliver to Landlord the “Termination Fee,’’ as that term is defined hereinbelow, as consideration for and as a condition precedent to such early termination. The “</w:t>
      </w:r>
      <w:r>
        <w:rPr>
          <w:rFonts w:ascii="Arial" w:cs="Arial" w:eastAsia="Arial" w:hAnsi="Arial"/>
          <w:sz w:val="16"/>
          <w:szCs w:val="16"/>
          <w:b w:val="1"/>
          <w:bCs w:val="1"/>
          <w:color w:val="auto"/>
        </w:rPr>
        <w:t>Termination Fee</w:t>
      </w:r>
      <w:r>
        <w:rPr>
          <w:rFonts w:ascii="Arial" w:cs="Arial" w:eastAsia="Arial" w:hAnsi="Arial"/>
          <w:sz w:val="16"/>
          <w:szCs w:val="16"/>
          <w:color w:val="auto"/>
        </w:rPr>
        <w:t>” shall be equal to either (A) Four Hundred Forty-Two Thousand Seven Hundred Eighty One and No/100 Dollars ($442,781.00) in connection with an August 31, 2012 termination, (B) Three Hundred Thirty-Two Thousand Eighty-Six and No/100 Dollars ($332,086.00) in connection with an August 31, 2013 termination, (C) Two Hundred Twenty-One Thousand Three Hundred Ninety and No/100 Dollars ($221,390.00) in connection with an August 31, 2014 termination, or (D) One Hundred Ten Thousand Six Hundred Ninety-Six and No/100 Dollars ($110,696.00) in connection with an</w:t>
      </w:r>
    </w:p>
    <w:p>
      <w:pPr>
        <w:spacing w:after="0" w:line="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August 31, 2015 termination. Subject to Landlord’s timely receipt of the Termination Notice and the corresponding Termination Fee, this Lease shall automatically terminate and be of no further force or effect as of the Termination Date, and Landlord and Tenant shall be relieved of their respective obligations under this Lease, as of the Termination Date, except with respect to those obligations set forth in this Lease, which specifically survive the expiration or earlier termination of this Lease, including, without limitation, the payment by Tenant of all amounts owed by Tenant under this Lease, up to and including the Termination Date. The termination right granted to Tenant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automatically terminate and be of no further force or effect in the event (w) Tenant fails to properly and timely exercise such termination right as set forth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468" w:name="page469"/>
    <w:bookmarkEnd w:id="468"/>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(x) Tenant assigns or subleases all or essentially all of the Premises for all or essentially all of the then-remaining Lease Term to entities or persons other than “Permitted Transferees” (as that term is defined in </w:t>
      </w:r>
      <w:r>
        <w:rPr>
          <w:rFonts w:ascii="Arial" w:cs="Arial" w:eastAsia="Arial" w:hAnsi="Arial"/>
          <w:sz w:val="16"/>
          <w:szCs w:val="16"/>
          <w:u w:val="single" w:color="auto"/>
          <w:color w:val="auto"/>
        </w:rPr>
        <w:t>Section 14.8</w:t>
      </w:r>
      <w:r>
        <w:rPr>
          <w:rFonts w:ascii="Arial" w:cs="Arial" w:eastAsia="Arial" w:hAnsi="Arial"/>
          <w:sz w:val="16"/>
          <w:szCs w:val="16"/>
          <w:color w:val="auto"/>
        </w:rPr>
        <w:t xml:space="preserve">, below), (y) Tenant’s right to possession of the Premises has previously been terminated pursuant to </w:t>
      </w: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of this Lease, or (z) Tenant is in “Economic Default” (as defined in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below) under this Lease (beyond any applicable notice and cure periods), as of the date of Tenant’s delivery of the Termination Notice to Landlord or, at Landlord’s election, as of the Termination Date. The termination right granted to Tenant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is personal to the Tenant named in this Lease (the “</w:t>
      </w:r>
      <w:r>
        <w:rPr>
          <w:rFonts w:ascii="Arial" w:cs="Arial" w:eastAsia="Arial" w:hAnsi="Arial"/>
          <w:sz w:val="16"/>
          <w:szCs w:val="16"/>
          <w:b w:val="1"/>
          <w:bCs w:val="1"/>
          <w:color w:val="auto"/>
        </w:rPr>
        <w:t>Original Tenant</w:t>
      </w:r>
      <w:r>
        <w:rPr>
          <w:rFonts w:ascii="Arial" w:cs="Arial" w:eastAsia="Arial" w:hAnsi="Arial"/>
          <w:sz w:val="16"/>
          <w:szCs w:val="16"/>
          <w:color w:val="auto"/>
        </w:rPr>
        <w:t>”), and any Permitted Transferee, and may not be exercised by any other assignee, sublessee, or transferee of the Original Tenant’s interest in this Lease.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Option Term(s)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Landlord hereby grants the Original Tenant and its Permitted Transferees one (1) option to extend the Lease Term for the entire Premises by a period of five (5) years (the “</w:t>
      </w:r>
      <w:r>
        <w:rPr>
          <w:rFonts w:ascii="Arial" w:cs="Arial" w:eastAsia="Arial" w:hAnsi="Arial"/>
          <w:sz w:val="16"/>
          <w:szCs w:val="16"/>
          <w:b w:val="1"/>
          <w:bCs w:val="1"/>
          <w:color w:val="auto"/>
        </w:rPr>
        <w:t>Option Term</w:t>
      </w:r>
      <w:r>
        <w:rPr>
          <w:rFonts w:ascii="Arial" w:cs="Arial" w:eastAsia="Arial" w:hAnsi="Arial"/>
          <w:sz w:val="16"/>
          <w:szCs w:val="16"/>
          <w:color w:val="auto"/>
        </w:rPr>
        <w:t xml:space="preserve">”). Such option shall be exercisable only by Notice delivered by Tenant to Landlord as provided below, provided that, as of the date of delivery of such Notice, (i) Tenant is not then in “Economic Default” or “Material Non-Economic Default” under this Lease (beyond the applicable notice and cure periods), and (ii) Tenant has not been in Economic Default or Material Non-Economic Default under this Lease (beyond the applicable notice and cure periods) more than twice during the prior twenty-four (24) month period. Upon the proper exercise of such option to extend, and provided that, as of the end of the Lease Term, (A) Tenant is not in Economic Default or Material Non-Economic Default under this Lease (beyond the applicable notice and cure periods), and (B) Tenant has not been in Economic Default or Material Non-Economic Default under this Lease (beyond the applicable notice and cure periods) more than twice during the prior twenty-four (24) month period, then the Lease Term, as it applies to the entire Premises, shall be extended for a period of five (5) years. The rights contained in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only be exercised by the Original Tenant or its Permitted Transferee (and not any other assignee, sublessee or other transferee of the Original Tenant’s interest in this Lease) if Original Tenant and/or its Permitted Transferee is in occupancy of not less than fifty percent (50%) of the Premises. For purposes hereof, an “</w:t>
      </w:r>
      <w:r>
        <w:rPr>
          <w:rFonts w:ascii="Arial" w:cs="Arial" w:eastAsia="Arial" w:hAnsi="Arial"/>
          <w:sz w:val="16"/>
          <w:szCs w:val="16"/>
          <w:b w:val="1"/>
          <w:bCs w:val="1"/>
          <w:color w:val="auto"/>
        </w:rPr>
        <w:t>Economic Default</w:t>
      </w:r>
      <w:r>
        <w:rPr>
          <w:rFonts w:ascii="Arial" w:cs="Arial" w:eastAsia="Arial" w:hAnsi="Arial"/>
          <w:sz w:val="16"/>
          <w:szCs w:val="16"/>
          <w:color w:val="auto"/>
        </w:rPr>
        <w:t xml:space="preserve">” shall mean any default contemplated by the terms of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this Lease, and a “</w:t>
      </w:r>
      <w:r>
        <w:rPr>
          <w:rFonts w:ascii="Arial" w:cs="Arial" w:eastAsia="Arial" w:hAnsi="Arial"/>
          <w:sz w:val="16"/>
          <w:szCs w:val="16"/>
          <w:b w:val="1"/>
          <w:bCs w:val="1"/>
          <w:color w:val="auto"/>
        </w:rPr>
        <w:t>Material Non-Economic Default</w:t>
      </w:r>
      <w:r>
        <w:rPr>
          <w:rFonts w:ascii="Arial" w:cs="Arial" w:eastAsia="Arial" w:hAnsi="Arial"/>
          <w:sz w:val="16"/>
          <w:szCs w:val="16"/>
          <w:color w:val="auto"/>
        </w:rPr>
        <w:t xml:space="preserve">” shall mean any of the defaults identified in Sections </w:t>
      </w:r>
      <w:r>
        <w:rPr>
          <w:rFonts w:ascii="Arial" w:cs="Arial" w:eastAsia="Arial" w:hAnsi="Arial"/>
          <w:sz w:val="16"/>
          <w:szCs w:val="16"/>
          <w:u w:val="single" w:color="auto"/>
          <w:color w:val="auto"/>
        </w:rPr>
        <w:t>19.1.3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19.1.6</w:t>
      </w:r>
      <w:r>
        <w:rPr>
          <w:rFonts w:ascii="Arial" w:cs="Arial" w:eastAsia="Arial" w:hAnsi="Arial"/>
          <w:sz w:val="16"/>
          <w:szCs w:val="16"/>
          <w:color w:val="auto"/>
        </w:rPr>
        <w:t xml:space="preserve"> of this Lease; provided, however, that in no event shall (1) any one circumstance (e.g. an instance of failed rent payment, a failure to timely complete an estoppel certificate, a failure to comply with CC&amp;Rs, etc.) result in, or constitute, more than one Economic Default or Material Non-Economic Default, and/or (2) any circumstance be deemed an Economic Default or Material Non-Economic Default under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to the extent such matter has been reasonably disputed in accordance with the TCCs of this Lease by Tenant and remains unresolved.</w:t>
      </w:r>
    </w:p>
    <w:p>
      <w:pPr>
        <w:spacing w:after="0" w:line="57"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u w:val="single" w:color="auto"/>
          <w:color w:val="auto"/>
        </w:rPr>
        <w:t>Option Rent</w:t>
      </w:r>
      <w:r>
        <w:rPr>
          <w:rFonts w:ascii="Arial" w:cs="Arial" w:eastAsia="Arial" w:hAnsi="Arial"/>
          <w:sz w:val="18"/>
          <w:szCs w:val="18"/>
          <w:color w:val="auto"/>
        </w:rPr>
        <w:t>. The Rent payable by Tenant during the Option Terms (the “</w:t>
      </w:r>
      <w:r>
        <w:rPr>
          <w:rFonts w:ascii="Arial" w:cs="Arial" w:eastAsia="Arial" w:hAnsi="Arial"/>
          <w:sz w:val="18"/>
          <w:szCs w:val="18"/>
          <w:b w:val="1"/>
          <w:bCs w:val="1"/>
          <w:color w:val="auto"/>
        </w:rPr>
        <w:t>Option Rent</w:t>
      </w:r>
      <w:r>
        <w:rPr>
          <w:rFonts w:ascii="Arial" w:cs="Arial" w:eastAsia="Arial" w:hAnsi="Arial"/>
          <w:sz w:val="18"/>
          <w:szCs w:val="18"/>
          <w:color w:val="auto"/>
        </w:rPr>
        <w:t xml:space="preserve">”) shall be equal to the “Market Rent,” as that term is defined in, and determined pursuant to,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xml:space="preserve"> attached hereto, which Market Rent shall include annual escalations in connection with such Market Rent determination. The calculation of the Market Rent shall be derived from a review of, and comparison to, the “Net Equivalent Lease Rates” of the “Comparable Transactions,” as provided for in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3" w:right="319" w:bottom="1440" w:gutter="0" w:footer="0" w:header="0"/>
        </w:sectPr>
      </w:pPr>
    </w:p>
    <w:bookmarkStart w:id="469" w:name="page470"/>
    <w:bookmarkEnd w:id="469"/>
    <w:p>
      <w:pPr>
        <w:ind w:right="6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2.3.3 </w:t>
      </w: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xml:space="preserve">. The option contained in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exercised by Tenant, if at all, only in the manner set forth in this </w:t>
      </w:r>
      <w:r>
        <w:rPr>
          <w:rFonts w:ascii="Arial" w:cs="Arial" w:eastAsia="Arial" w:hAnsi="Arial"/>
          <w:sz w:val="16"/>
          <w:szCs w:val="16"/>
          <w:u w:val="single" w:color="auto"/>
          <w:color w:val="auto"/>
        </w:rPr>
        <w:t>Section 2.3</w:t>
      </w:r>
      <w:r>
        <w:rPr>
          <w:rFonts w:ascii="Arial" w:cs="Arial" w:eastAsia="Arial" w:hAnsi="Arial"/>
          <w:sz w:val="16"/>
          <w:szCs w:val="16"/>
          <w:color w:val="auto"/>
        </w:rPr>
        <w:t>. Tenant shall deliver notice (the “</w:t>
      </w:r>
      <w:r>
        <w:rPr>
          <w:rFonts w:ascii="Arial" w:cs="Arial" w:eastAsia="Arial" w:hAnsi="Arial"/>
          <w:sz w:val="16"/>
          <w:szCs w:val="16"/>
          <w:b w:val="1"/>
          <w:bCs w:val="1"/>
          <w:color w:val="auto"/>
        </w:rPr>
        <w:t>Exercise Notice</w:t>
      </w:r>
      <w:r>
        <w:rPr>
          <w:rFonts w:ascii="Arial" w:cs="Arial" w:eastAsia="Arial" w:hAnsi="Arial"/>
          <w:sz w:val="16"/>
          <w:szCs w:val="16"/>
          <w:color w:val="auto"/>
        </w:rPr>
        <w:t>”) to Landlord not more than twelve (12) months nor less than nine (9) months prior to the expiration of the initial Lease Term, stating that Tenant is exercising its option. Concurrently with such Exercise Notice, Tenant shall deliver to Landlord Tenant’s calculation of the Market Rent (the “</w:t>
      </w:r>
      <w:r>
        <w:rPr>
          <w:rFonts w:ascii="Arial" w:cs="Arial" w:eastAsia="Arial" w:hAnsi="Arial"/>
          <w:sz w:val="16"/>
          <w:szCs w:val="16"/>
          <w:b w:val="1"/>
          <w:bCs w:val="1"/>
          <w:color w:val="auto"/>
        </w:rPr>
        <w:t>Tenant’s Option Rent Calculation</w:t>
      </w:r>
      <w:r>
        <w:rPr>
          <w:rFonts w:ascii="Arial" w:cs="Arial" w:eastAsia="Arial" w:hAnsi="Arial"/>
          <w:sz w:val="16"/>
          <w:szCs w:val="16"/>
          <w:color w:val="auto"/>
        </w:rPr>
        <w:t>”). Landlord shall deliver notice (the “</w:t>
      </w:r>
      <w:r>
        <w:rPr>
          <w:rFonts w:ascii="Arial" w:cs="Arial" w:eastAsia="Arial" w:hAnsi="Arial"/>
          <w:sz w:val="16"/>
          <w:szCs w:val="16"/>
          <w:b w:val="1"/>
          <w:bCs w:val="1"/>
          <w:color w:val="auto"/>
        </w:rPr>
        <w:t>Landlord Response Notice</w:t>
      </w:r>
      <w:r>
        <w:rPr>
          <w:rFonts w:ascii="Arial" w:cs="Arial" w:eastAsia="Arial" w:hAnsi="Arial"/>
          <w:sz w:val="16"/>
          <w:szCs w:val="16"/>
          <w:color w:val="auto"/>
        </w:rPr>
        <w:t>”) to Tenant on or before the date which is thirty (30) days after Landlord’s receipt of the Exercise Notice and Tenant’s Option Rent Calculation (the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Response Date</w:t>
      </w:r>
      <w:r>
        <w:rPr>
          <w:rFonts w:ascii="Arial" w:cs="Arial" w:eastAsia="Arial" w:hAnsi="Arial"/>
          <w:sz w:val="16"/>
          <w:szCs w:val="16"/>
          <w:color w:val="auto"/>
        </w:rPr>
        <w:t>”), stating that (A) Landlord is accepting Tenant’s Option Rent Calculation as the Market Rent, or (B) rejecting Tenant’s Option Rent</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and setting forth Landlord’s calculation of the Market Rent (the “</w:t>
      </w:r>
      <w:r>
        <w:rPr>
          <w:rFonts w:ascii="Arial" w:cs="Arial" w:eastAsia="Arial" w:hAnsi="Arial"/>
          <w:sz w:val="16"/>
          <w:szCs w:val="16"/>
          <w:b w:val="1"/>
          <w:bCs w:val="1"/>
          <w:color w:val="auto"/>
        </w:rPr>
        <w:t>Landlord’s Option Rent Calculation</w:t>
      </w:r>
      <w:r>
        <w:rPr>
          <w:rFonts w:ascii="Arial" w:cs="Arial" w:eastAsia="Arial" w:hAnsi="Arial"/>
          <w:sz w:val="16"/>
          <w:szCs w:val="16"/>
          <w:color w:val="auto"/>
        </w:rPr>
        <w:t xml:space="preserve">”). Within ten (10) business days of its receipt of the Landlord Response Notice, Tenant may, at its option, accept the Market Rent contained in the Landlord’s Option Rent Calculation. If Tenant does not affirmatively accept or Tenant rejects the Market Rent specified in the Landlord’s Option Rent Calculation, the parties shall follow the procedure set forth in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below, and the Market Rent shall be determined in accordance with the terms of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below.</w:t>
      </w:r>
    </w:p>
    <w:p>
      <w:pPr>
        <w:spacing w:after="0" w:line="5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b w:val="1"/>
          <w:bCs w:val="1"/>
          <w:u w:val="single" w:color="auto"/>
          <w:color w:val="auto"/>
        </w:rPr>
        <w:t>Determination of Market Rent</w:t>
      </w:r>
      <w:r>
        <w:rPr>
          <w:rFonts w:ascii="Arial" w:cs="Arial" w:eastAsia="Arial" w:hAnsi="Arial"/>
          <w:sz w:val="16"/>
          <w:szCs w:val="16"/>
          <w:color w:val="auto"/>
        </w:rPr>
        <w:t>. In the event Tenant objects or is deemed to have objected to the Market Rent, Landlord and Tenant shall attempt to agree upon the Market Rent using reasonable good-faith efforts. If Landlord and Tenant fail to reach agreement within sixty (60) days following Tenant’s objection or deemed objection to the Landlord’s Option Rent Calculation (the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within two (2) business days following such Outside Agreement Date, (</w:t>
      </w:r>
      <w:r>
        <w:rPr>
          <w:rFonts w:ascii="Arial" w:cs="Arial" w:eastAsia="Arial" w:hAnsi="Arial"/>
          <w:sz w:val="16"/>
          <w:szCs w:val="16"/>
          <w:i w:val="1"/>
          <w:iCs w:val="1"/>
          <w:color w:val="auto"/>
        </w:rPr>
        <w:t>x</w:t>
      </w:r>
      <w:r>
        <w:rPr>
          <w:rFonts w:ascii="Arial" w:cs="Arial" w:eastAsia="Arial" w:hAnsi="Arial"/>
          <w:sz w:val="16"/>
          <w:szCs w:val="16"/>
          <w:color w:val="auto"/>
        </w:rPr>
        <w:t>) Landlord may re-calculate the Landlord’s Option Rent Calculation by delivering written notice thereof to Tenant, and (</w:t>
      </w:r>
      <w:r>
        <w:rPr>
          <w:rFonts w:ascii="Arial" w:cs="Arial" w:eastAsia="Arial" w:hAnsi="Arial"/>
          <w:sz w:val="16"/>
          <w:szCs w:val="16"/>
          <w:i w:val="1"/>
          <w:iCs w:val="1"/>
          <w:color w:val="auto"/>
        </w:rPr>
        <w:t>y</w:t>
      </w:r>
      <w:r>
        <w:rPr>
          <w:rFonts w:ascii="Arial" w:cs="Arial" w:eastAsia="Arial" w:hAnsi="Arial"/>
          <w:sz w:val="16"/>
          <w:szCs w:val="16"/>
          <w:color w:val="auto"/>
        </w:rPr>
        <w:t xml:space="preserve">) Tenant may re-calculate the Tenant’s Option Rent Calculation by delivering written notice thereof to Tenant. If Landlord and Tenant thereafter fail to reach agreement within seven (7) business days of the Outside Agreement Date, then in connection with the Option Rent, Landlord’s Option Rent Calculation and Tenant’s Option Rent Calculation, each as most recently delivered to the other party pursuant to the TCCs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submitted to the “Neutral Arbitrator,” as that term is defined in </w:t>
      </w:r>
      <w:r>
        <w:rPr>
          <w:rFonts w:ascii="Arial" w:cs="Arial" w:eastAsia="Arial" w:hAnsi="Arial"/>
          <w:sz w:val="16"/>
          <w:szCs w:val="16"/>
          <w:u w:val="single" w:color="auto"/>
          <w:color w:val="auto"/>
        </w:rPr>
        <w:t>Section 2.3.4.1</w:t>
      </w:r>
      <w:r>
        <w:rPr>
          <w:rFonts w:ascii="Arial" w:cs="Arial" w:eastAsia="Arial" w:hAnsi="Arial"/>
          <w:sz w:val="16"/>
          <w:szCs w:val="16"/>
          <w:color w:val="auto"/>
        </w:rPr>
        <w:t xml:space="preserve"> of this Lease, pursuant to the TCCs of this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The submittals shall be made concurrently with the selection of the Neutral Arbitrator pursuant to this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and shall be submitted to arbitration in accordance with </w:t>
      </w:r>
      <w:r>
        <w:rPr>
          <w:rFonts w:ascii="Arial" w:cs="Arial" w:eastAsia="Arial" w:hAnsi="Arial"/>
          <w:sz w:val="16"/>
          <w:szCs w:val="16"/>
          <w:u w:val="single" w:color="auto"/>
          <w:color w:val="auto"/>
        </w:rPr>
        <w:t>Section 2.3.4.1</w:t>
      </w:r>
      <w:r>
        <w:rPr>
          <w:rFonts w:ascii="Arial" w:cs="Arial" w:eastAsia="Arial" w:hAnsi="Arial"/>
          <w:sz w:val="16"/>
          <w:szCs w:val="16"/>
          <w:color w:val="auto"/>
        </w:rPr>
        <w:t xml:space="preserve"> </w:t>
      </w:r>
      <w:r>
        <w:rPr>
          <w:rFonts w:ascii="Arial" w:cs="Arial" w:eastAsia="Arial" w:hAnsi="Arial"/>
          <w:sz w:val="16"/>
          <w:szCs w:val="16"/>
          <w:u w:val="single" w:color="auto"/>
          <w:color w:val="auto"/>
        </w:rPr>
        <w:t>through 2.3.4.5</w:t>
      </w:r>
      <w:r>
        <w:rPr>
          <w:rFonts w:ascii="Arial" w:cs="Arial" w:eastAsia="Arial" w:hAnsi="Arial"/>
          <w:sz w:val="16"/>
          <w:szCs w:val="16"/>
          <w:color w:val="auto"/>
        </w:rPr>
        <w:t xml:space="preserve"> of this Lease, but subject to the conditions, when appropriate, of </w:t>
      </w:r>
      <w:r>
        <w:rPr>
          <w:rFonts w:ascii="Arial" w:cs="Arial" w:eastAsia="Arial" w:hAnsi="Arial"/>
          <w:sz w:val="16"/>
          <w:szCs w:val="16"/>
          <w:u w:val="single" w:color="auto"/>
          <w:color w:val="auto"/>
        </w:rPr>
        <w:t>Section 2.3.3</w:t>
      </w:r>
      <w:r>
        <w:rPr>
          <w:rFonts w:ascii="Arial" w:cs="Arial" w:eastAsia="Arial" w:hAnsi="Arial"/>
          <w:sz w:val="16"/>
          <w:szCs w:val="16"/>
          <w:color w:val="auto"/>
        </w:rPr>
        <w:t>.</w:t>
      </w:r>
    </w:p>
    <w:p>
      <w:pPr>
        <w:spacing w:after="0" w:line="57" w:lineRule="exact"/>
        <w:rPr>
          <w:sz w:val="20"/>
          <w:szCs w:val="20"/>
          <w:color w:val="auto"/>
        </w:rPr>
      </w:pPr>
    </w:p>
    <w:p>
      <w:pPr>
        <w:ind w:right="100" w:firstLine="1484"/>
        <w:spacing w:after="0" w:line="271" w:lineRule="auto"/>
        <w:rPr>
          <w:sz w:val="20"/>
          <w:szCs w:val="20"/>
          <w:color w:val="auto"/>
        </w:rPr>
      </w:pPr>
      <w:r>
        <w:rPr>
          <w:rFonts w:ascii="Arial" w:cs="Arial" w:eastAsia="Arial" w:hAnsi="Arial"/>
          <w:sz w:val="17"/>
          <w:szCs w:val="17"/>
          <w:color w:val="auto"/>
        </w:rPr>
        <w:t>2.3.4.1 Landlord and Tenant shall mutually and reasonably agree on the appointment of one (1) arbitrator who shall by profession be a real estate broker, appraiser or attorney who shall have been active over the five (5) year period ending on the date of such appointment in the leasing (or appraisal, as the case may be) of first-class commercial properties in the Comparable Area (the “</w:t>
      </w:r>
      <w:r>
        <w:rPr>
          <w:rFonts w:ascii="Arial" w:cs="Arial" w:eastAsia="Arial" w:hAnsi="Arial"/>
          <w:sz w:val="17"/>
          <w:szCs w:val="17"/>
          <w:b w:val="1"/>
          <w:bCs w:val="1"/>
          <w:color w:val="auto"/>
        </w:rPr>
        <w:t>Neutral Arbitrator</w:t>
      </w:r>
      <w:r>
        <w:rPr>
          <w:rFonts w:ascii="Arial" w:cs="Arial" w:eastAsia="Arial" w:hAnsi="Arial"/>
          <w:sz w:val="17"/>
          <w:szCs w:val="17"/>
          <w:color w:val="auto"/>
        </w:rPr>
        <w:t xml:space="preserve">”). The determination of the Neutral Arbitrator shall be limited solely to the issue of whether Landlord’s Option Rent Calculation or Tenant’s Option Rent Calculation, each as submitted to the Neutral Arbitrator pursuant to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above, is the closest to the actual Market Rent as determined by such Neutral Arbitrator, taking into account the requirements of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of this Lease. Such Neutral Arbitrator shall be appointed within fifteen (15) days after the applicable Outside Agreement Date. Neither the Landlord or Tenant or either party’s arbitrator may, directly or indirectly, consult with the Neutral Arbitrator prior to, or subsequent to, his or her appearance. The Neutral Arbitrator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retained via an engagement letter jointly prepared by Landlord’s counsel and Tenant’s counsel.</w:t>
      </w:r>
    </w:p>
    <w:p>
      <w:pPr>
        <w:spacing w:after="0" w:line="117"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2.3.4.2 The Neutral Arbitrator shall, within thirty (30) days of his/her appointment, reach a decision as to Market Rent and determine whether the Landlord’s Option Rent Calculation or Tenant’s Option Rent Calculation, each as submitted to the Neutral Arbitrator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above, is closest to Market Rent as determined by such Neutral Arbitrator and simultaneously publish a ruling (“</w:t>
      </w:r>
      <w:r>
        <w:rPr>
          <w:rFonts w:ascii="Arial" w:cs="Arial" w:eastAsia="Arial" w:hAnsi="Arial"/>
          <w:sz w:val="18"/>
          <w:szCs w:val="18"/>
          <w:b w:val="1"/>
          <w:bCs w:val="1"/>
          <w:color w:val="auto"/>
        </w:rPr>
        <w:t>Award</w:t>
      </w:r>
      <w:r>
        <w:rPr>
          <w:rFonts w:ascii="Arial" w:cs="Arial" w:eastAsia="Arial" w:hAnsi="Arial"/>
          <w:sz w:val="18"/>
          <w:szCs w:val="18"/>
          <w:color w:val="auto"/>
        </w:rPr>
        <w:t>”) indicating whether Landlord’s Option Rent Calculation or Tenant’s Option Rent Calculation is closest to the Market Rent as determined by such Neutral Arbitrator. Following notification of the Award, the Landlord’s Option Rent Calculation or Tenant’s Option Rent Calculation, whichever is selected by the Neutral Arbitrator as being closest to Market Rent, shall become the then applicable Option Rent.</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2.3.4.3 The Award issued by such Neutral Arbitrator shall be binding upon Landlord and Tenant.</w:t>
      </w:r>
    </w:p>
    <w:p>
      <w:pPr>
        <w:spacing w:after="0" w:line="117" w:lineRule="exact"/>
        <w:rPr>
          <w:sz w:val="20"/>
          <w:szCs w:val="20"/>
          <w:color w:val="auto"/>
        </w:rPr>
      </w:pPr>
    </w:p>
    <w:p>
      <w:pPr>
        <w:ind w:firstLine="1484"/>
        <w:spacing w:after="0" w:line="274" w:lineRule="auto"/>
        <w:rPr>
          <w:sz w:val="20"/>
          <w:szCs w:val="20"/>
          <w:color w:val="auto"/>
        </w:rPr>
      </w:pPr>
      <w:r>
        <w:rPr>
          <w:rFonts w:ascii="Arial" w:cs="Arial" w:eastAsia="Arial" w:hAnsi="Arial"/>
          <w:sz w:val="17"/>
          <w:szCs w:val="17"/>
          <w:color w:val="auto"/>
        </w:rPr>
        <w:t>2.3.4.4 If Landlord and Tenant fail to appoint the Neutral Arbitrator within fifteen (15) days after the applicable Outside Agreement Date, either party may petition the presiding judge of the Superior Court of San Diego County to appoint such Neutral Arbitrator subject to the criteria in</w:t>
      </w:r>
    </w:p>
    <w:p>
      <w:pPr>
        <w:ind w:right="360"/>
        <w:spacing w:after="0" w:line="261" w:lineRule="auto"/>
        <w:rPr>
          <w:sz w:val="20"/>
          <w:szCs w:val="20"/>
          <w:color w:val="auto"/>
        </w:rPr>
      </w:pPr>
      <w:r>
        <w:rPr>
          <w:rFonts w:ascii="Arial" w:cs="Arial" w:eastAsia="Arial" w:hAnsi="Arial"/>
          <w:sz w:val="18"/>
          <w:szCs w:val="18"/>
          <w:u w:val="single" w:color="auto"/>
          <w:color w:val="auto"/>
        </w:rPr>
        <w:t>Section 2.2.4.1</w:t>
      </w:r>
      <w:r>
        <w:rPr>
          <w:rFonts w:ascii="Arial" w:cs="Arial" w:eastAsia="Arial" w:hAnsi="Arial"/>
          <w:sz w:val="18"/>
          <w:szCs w:val="18"/>
          <w:color w:val="auto"/>
        </w:rPr>
        <w:t xml:space="preserve"> of this Lease, or if he or she refuses to act, either party may petition any judge having jurisdiction over the parties to appoint such Neutral Arbitrator.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arbitration shall be paid by Landlord and Tenant equally.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BASE RENT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Tenant shall pay, without prior notice or demand, to Landlord or Landlord’s agent at the 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7"/>
          <w:szCs w:val="17"/>
          <w:b w:val="1"/>
          <w:bCs w:val="1"/>
          <w:color w:val="auto"/>
        </w:rPr>
        <w:t>Base Rent</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payable in equal monthly installments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in advance on or before the first day of each and every calendar month during the Lease Term, without any setoff or deduction whatsoever (unless and to the extent otherwise expressly set forth in this Lease). In connection with the designated place for payment identified in the preceding sentence, to the extent Landlord elects to effectuate any change in location for such payment, Landlord shall deliver written notice setting forth such newly designated place no less than fifteen (15) days in advance of the due date of the first such payment of Base Rent following such re-designation.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such fractional month shall accrue on a daily basis during such fractional month and shall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471" w:name="page472"/>
    <w:bookmarkEnd w:id="47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an amount equal to the product of (i) a fraction, the numerator of which is the number of days in such fractional month and the denominator of which is the actual number of days occurring in such calendar month, and (ii) the then-applicable Monthly Installment of Base Rent. All other payments or adjustments required to be made under the TCCs of this Lease that require proration on a time basis shall be prorated on the same basis.</w:t>
      </w:r>
    </w:p>
    <w:p>
      <w:pPr>
        <w:spacing w:after="0" w:line="53"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Abated Base Rent</w:t>
      </w:r>
      <w:r>
        <w:rPr>
          <w:rFonts w:ascii="Arial" w:cs="Arial" w:eastAsia="Arial" w:hAnsi="Arial"/>
          <w:sz w:val="16"/>
          <w:szCs w:val="16"/>
          <w:color w:val="auto"/>
        </w:rPr>
        <w:t xml:space="preserve">. Notwithstanding any contrary provisions set forth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Tenant shall not be obligated to pay (and therefore shall not pay) the monthly installments of Base Rent attributable to the Premises (the “</w:t>
      </w:r>
      <w:r>
        <w:rPr>
          <w:rFonts w:ascii="Arial" w:cs="Arial" w:eastAsia="Arial" w:hAnsi="Arial"/>
          <w:sz w:val="16"/>
          <w:szCs w:val="16"/>
          <w:b w:val="1"/>
          <w:bCs w:val="1"/>
          <w:color w:val="auto"/>
        </w:rPr>
        <w:t>Base Rent Abatement</w:t>
      </w:r>
      <w:r>
        <w:rPr>
          <w:rFonts w:ascii="Arial" w:cs="Arial" w:eastAsia="Arial" w:hAnsi="Arial"/>
          <w:sz w:val="16"/>
          <w:szCs w:val="16"/>
          <w:color w:val="auto"/>
        </w:rPr>
        <w:t>”) for the six</w:t>
      </w:r>
    </w:p>
    <w:p>
      <w:pPr>
        <w:spacing w:after="0" w:line="1" w:lineRule="exact"/>
        <w:rPr>
          <w:sz w:val="20"/>
          <w:szCs w:val="20"/>
          <w:color w:val="auto"/>
        </w:rPr>
      </w:pPr>
    </w:p>
    <w:p>
      <w:pPr>
        <w:ind w:right="20" w:firstLine="8"/>
        <w:spacing w:after="0" w:line="284" w:lineRule="auto"/>
        <w:tabs>
          <w:tab w:leader="none" w:pos="255" w:val="left"/>
        </w:tabs>
        <w:numPr>
          <w:ilvl w:val="0"/>
          <w:numId w:val="438"/>
        </w:numPr>
        <w:rPr>
          <w:rFonts w:ascii="Arial" w:cs="Arial" w:eastAsia="Arial" w:hAnsi="Arial"/>
          <w:sz w:val="16"/>
          <w:szCs w:val="16"/>
          <w:color w:val="auto"/>
        </w:rPr>
      </w:pPr>
      <w:r>
        <w:rPr>
          <w:rFonts w:ascii="Arial" w:cs="Arial" w:eastAsia="Arial" w:hAnsi="Arial"/>
          <w:sz w:val="16"/>
          <w:szCs w:val="16"/>
          <w:color w:val="auto"/>
        </w:rPr>
        <w:t>month period commencing on November 1, 2011 and ending on April 30, 2012 (the “</w:t>
      </w:r>
      <w:r>
        <w:rPr>
          <w:rFonts w:ascii="Arial" w:cs="Arial" w:eastAsia="Arial" w:hAnsi="Arial"/>
          <w:sz w:val="16"/>
          <w:szCs w:val="16"/>
          <w:b w:val="1"/>
          <w:bCs w:val="1"/>
          <w:color w:val="auto"/>
        </w:rPr>
        <w:t>Base Rent Abatement Period</w:t>
      </w:r>
      <w:r>
        <w:rPr>
          <w:rFonts w:ascii="Arial" w:cs="Arial" w:eastAsia="Arial" w:hAnsi="Arial"/>
          <w:sz w:val="16"/>
          <w:szCs w:val="16"/>
          <w:color w:val="auto"/>
        </w:rPr>
        <w:t xml:space="preserve">”). In connection with the foregoing, the Base Rent Abatement provided to Tenant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during the Base Rent Abatement Period shall not exceed an aggregate of Two Hundred Twenty-Four Thousand Six Hundred Twenty-Eight and 48/100 Dollars ($224,628.48). Tenant acknowledges and agrees that during such Base Rent Abatement Period, such abatement of Base Rent shall have no effect on the calculation of any Direct Expenses payable by Tenant pursuant to the terms of this Lease, which any Direct Expenses shall be payable during the Base Rent Abatement Period without regard to the Base Rent Abatement. Additionally, notwithstanding the foregoing, Tenant shall be obligated to pay all “Additional Rent,’’ as that term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below, during the Base Rent Abatement Period. The foregoing Base Rent Abatement has been agreed to by Landlord and Tenant as additional consideration for entering into this Lease, and for Tenant’s agreement to pay the rent and for the parties to perform the terms and conditions otherwise required under this Lease. If Tenant shall be in Economic Default of this Lease and shall fail to cure such default within any applicable notice and cure period, then Landlord may elect at its option, by notice to Tenant and in addition to any other remedies Landlord may have under this Lease, that the dollar amount of the unapplied portion of such Base Rent Abatement as of such default shall be converted to a credit to be applied to the Base Rent applicable to the Premises at the end of the Lease Term and Tenant shall immediately be obligated to begin paying Base Rent for the Premises in full; provided however, to the extent the Lease is terminated pursuant to the provisions of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below, then as a part of the recovery set forth in </w:t>
      </w: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below, Landlord shall be entitled to recover the then-unamortized portion of the monthly Base Rent that was abated under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which Base Rent Abatement shall be amortized on a level payment basis over a period of sixty (60) months, employing an interest factor of zero percent (0%).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RENT</w:t>
      </w:r>
    </w:p>
    <w:p>
      <w:pPr>
        <w:spacing w:after="0" w:line="22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Tenant shall additionally pay “</w:t>
      </w:r>
      <w:r>
        <w:rPr>
          <w:rFonts w:ascii="Arial" w:cs="Arial" w:eastAsia="Arial" w:hAnsi="Arial"/>
          <w:sz w:val="16"/>
          <w:szCs w:val="16"/>
          <w:b w:val="1"/>
          <w:bCs w:val="1"/>
          <w:color w:val="auto"/>
        </w:rPr>
        <w:t>Tenant’s Share</w:t>
      </w:r>
      <w:r>
        <w:rPr>
          <w:rFonts w:ascii="Arial" w:cs="Arial" w:eastAsia="Arial" w:hAnsi="Arial"/>
          <w:sz w:val="16"/>
          <w:szCs w:val="16"/>
          <w:color w:val="auto"/>
        </w:rPr>
        <w:t>” of the annual “</w:t>
      </w:r>
      <w:r>
        <w:rPr>
          <w:rFonts w:ascii="Arial" w:cs="Arial" w:eastAsia="Arial" w:hAnsi="Arial"/>
          <w:sz w:val="16"/>
          <w:szCs w:val="16"/>
          <w:b w:val="1"/>
          <w:bCs w:val="1"/>
          <w:color w:val="auto"/>
        </w:rPr>
        <w:t>Direct Expenses</w:t>
      </w:r>
      <w:r>
        <w:rPr>
          <w:rFonts w:ascii="Arial" w:cs="Arial" w:eastAsia="Arial" w:hAnsi="Arial"/>
          <w:sz w:val="16"/>
          <w:szCs w:val="16"/>
          <w:color w:val="auto"/>
        </w:rPr>
        <w:t xml:space="preserve">,’’ as those terms are defined in </w:t>
      </w:r>
      <w:r>
        <w:rPr>
          <w:rFonts w:ascii="Arial" w:cs="Arial" w:eastAsia="Arial" w:hAnsi="Arial"/>
          <w:sz w:val="16"/>
          <w:szCs w:val="16"/>
          <w:u w:val="single" w:color="auto"/>
          <w:color w:val="auto"/>
        </w:rPr>
        <w:t>Sections 4.2.6 and 4.2.2</w:t>
      </w:r>
      <w:r>
        <w:rPr>
          <w:rFonts w:ascii="Arial" w:cs="Arial" w:eastAsia="Arial" w:hAnsi="Arial"/>
          <w:sz w:val="16"/>
          <w:szCs w:val="16"/>
          <w:color w:val="auto"/>
        </w:rPr>
        <w:t>, respectively, of this Lease. Such additional payments by Tenant, together with any and all other amounts payable by Tenant to Landlord pursuant to the TCCs of this Lease (exclusive of Base Rent), are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 Rent shall be payable for the same periods and in the same manner as the Base Rent. Without limitation on other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72" w:name="page473"/>
    <w:bookmarkEnd w:id="47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Tenant which survive the expiration of the Lease Term, the obligations of Tenant to pay the Additional Rent provided for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survive the expiration of the Lease Term (subject to the limitation in </w:t>
      </w:r>
      <w:r>
        <w:rPr>
          <w:rFonts w:ascii="Arial" w:cs="Arial" w:eastAsia="Arial" w:hAnsi="Arial"/>
          <w:sz w:val="18"/>
          <w:szCs w:val="18"/>
          <w:u w:val="single" w:color="auto"/>
          <w:color w:val="auto"/>
        </w:rPr>
        <w:t>Section 4.4. l</w:t>
      </w:r>
      <w:r>
        <w:rPr>
          <w:rFonts w:ascii="Arial" w:cs="Arial" w:eastAsia="Arial" w:hAnsi="Arial"/>
          <w:sz w:val="18"/>
          <w:szCs w:val="18"/>
          <w:color w:val="auto"/>
        </w:rPr>
        <w:t xml:space="preserve"> below).</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Definitions of Key Terms Relating to Additional Rent</w:t>
      </w:r>
      <w:r>
        <w:rPr>
          <w:rFonts w:ascii="Arial" w:cs="Arial" w:eastAsia="Arial" w:hAnsi="Arial"/>
          <w:sz w:val="17"/>
          <w:szCs w:val="17"/>
          <w:color w:val="auto"/>
        </w:rPr>
        <w:t xml:space="preserve">. As used m this </w:t>
      </w:r>
      <w:r>
        <w:rPr>
          <w:rFonts w:ascii="Arial" w:cs="Arial" w:eastAsia="Arial" w:hAnsi="Arial"/>
          <w:sz w:val="17"/>
          <w:szCs w:val="17"/>
          <w:u w:val="single" w:color="auto"/>
          <w:color w:val="auto"/>
        </w:rPr>
        <w:t>Article 4</w:t>
      </w:r>
      <w:r>
        <w:rPr>
          <w:rFonts w:ascii="Arial" w:cs="Arial" w:eastAsia="Arial" w:hAnsi="Arial"/>
          <w:sz w:val="17"/>
          <w:szCs w:val="17"/>
          <w:color w:val="auto"/>
        </w:rPr>
        <w:t>, the following terms shall have the meanings hereinafter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4.2.1 Intentionally Deleted.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4.2.2 “</w:t>
      </w:r>
      <w:r>
        <w:rPr>
          <w:rFonts w:ascii="Arial" w:cs="Arial" w:eastAsia="Arial" w:hAnsi="Arial"/>
          <w:sz w:val="18"/>
          <w:szCs w:val="18"/>
          <w:b w:val="1"/>
          <w:bCs w:val="1"/>
          <w:color w:val="auto"/>
        </w:rPr>
        <w:t>Direct Expenses</w:t>
      </w:r>
      <w:r>
        <w:rPr>
          <w:rFonts w:ascii="Arial" w:cs="Arial" w:eastAsia="Arial" w:hAnsi="Arial"/>
          <w:sz w:val="18"/>
          <w:szCs w:val="18"/>
          <w:color w:val="auto"/>
        </w:rPr>
        <w:t>” shall mean “Operating Expenses” “Tax Expenses” and “Utility Costs.”</w:t>
      </w:r>
    </w:p>
    <w:p>
      <w:pPr>
        <w:spacing w:after="0" w:line="11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color w:val="auto"/>
        </w:rPr>
        <w:t>“Expense Year</w:t>
      </w:r>
      <w:r>
        <w:rPr>
          <w:rFonts w:ascii="Arial" w:cs="Arial" w:eastAsia="Arial" w:hAnsi="Arial"/>
          <w:sz w:val="18"/>
          <w:szCs w:val="18"/>
          <w:color w:val="auto"/>
        </w:rPr>
        <w:t>” shall mean each calendar year in which any portion of the Lease Term falls, through and including the calendar year in which the Lease Term expires, provided that Landlord, upon notice to Tenant and receipt of reasonable approval from Tenant, may change the Expense Year from time to time to any other twelve (12) consecutive month period, and, in the event of any such change, Tenant’s Share of Direct Expenses shall be equitably adjusted for any Expense Year involved in any such change; provided, however, in no event shall any such change in the Expense Year result in any net increase in Rent due under this Lease.</w:t>
      </w:r>
    </w:p>
    <w:p>
      <w:pPr>
        <w:spacing w:after="0" w:line="76"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4.2.4 “</w:t>
      </w:r>
      <w:r>
        <w:rPr>
          <w:rFonts w:ascii="Arial" w:cs="Arial" w:eastAsia="Arial" w:hAnsi="Arial"/>
          <w:sz w:val="16"/>
          <w:szCs w:val="16"/>
          <w:b w:val="1"/>
          <w:bCs w:val="1"/>
          <w:color w:val="auto"/>
        </w:rPr>
        <w:t>Operating Expenses</w:t>
      </w:r>
      <w:r>
        <w:rPr>
          <w:rFonts w:ascii="Arial" w:cs="Arial" w:eastAsia="Arial" w:hAnsi="Arial"/>
          <w:sz w:val="16"/>
          <w:szCs w:val="16"/>
          <w:color w:val="auto"/>
        </w:rPr>
        <w:t>” shall mean expenses, costs and amounts which Landlord pays or accrues during any Expense Year because of or in connection with the ownership, management, maintenance, security, repair, replacement, restoration or operation of the Project, or any portion thereof, in accordance with sound real estate management and accounting principles, consistently applied. Without limiting the generality of the foregoing, Operating Expenses shall specifically include the following: (i) the cost of operating, repairing, maintaining, and renovating the utility, telephone, mechanical, sanitary, storm drainage, and elevator systems, and the cost of maintenance and service contracts in connection therewith; (ii) the cost of licenses, certificates, permits and inspections, the costs incurred in connection with a governmentally mandated transportation system management program or similar program and to the extent savings therefrom are reasonably anticipated, the cost of contesting any governmental enactments which may affect Operating Expenses,; (iii) the cost of all insurance carried by Landlord in connection with the Project; (iv) the cost of landscaping, relamping, and all supplies, tools, equipment and materials used in the operation, repair and maintenance of the Project, or any portion thereof; (v) costs incurred in connection with the parking areas servicing the Project; (vi) fees and other costs, including management fees (subject to the Management Fee Cap set forth hereinbelow), consulting fees, legal fees and accounting fees, of all contractors and consultants in connection with the management, operation, maintenance and repair of the Project; (vii) payments under any equipment rental agreements and the fair rental value of any management office space; (viii) wages, salaries and other compensation and benefits, including taxes levied thereon, of all persons (other than persons generally considered to be higher in rank than the position of “Property Manager”) to the extent engaged in the operation, maintenance and security of the Project; (ix) costs under any instrument pertaining to the sharing of costs by the Project;</w:t>
      </w:r>
    </w:p>
    <w:p>
      <w:pPr>
        <w:spacing w:after="0" w:line="6" w:lineRule="exact"/>
        <w:rPr>
          <w:sz w:val="20"/>
          <w:szCs w:val="20"/>
          <w:color w:val="auto"/>
        </w:rPr>
      </w:pPr>
    </w:p>
    <w:p>
      <w:pPr>
        <w:ind w:left="260" w:hanging="252"/>
        <w:spacing w:after="0"/>
        <w:tabs>
          <w:tab w:leader="none" w:pos="26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operation, repair, maintenance and replacement (subject to item (xiii), below) of all systems and equipment and components thereof of the Building;</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cost of janitorial, alarm, security and other services, replacement of wall and floor coverings, ceiling tiles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3" w:right="279" w:bottom="1440" w:gutter="0" w:footer="0" w:header="0"/>
        </w:sectPr>
      </w:pPr>
    </w:p>
    <w:bookmarkStart w:id="473" w:name="page474"/>
    <w:bookmarkEnd w:id="47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fixtures in common areas, maintenance and replacement of curbs and walkways, repair to roofs and re-roofing; (xii) amortization of the cost of acquiring or the rental expense of personal property used in the maintenance, operation and repair of the Project, or any portion thereof (which amortization calculation shall include interest at the “Interest Rate,” as that term is set forth in </w:t>
      </w:r>
      <w:r>
        <w:rPr>
          <w:rFonts w:ascii="Arial" w:cs="Arial" w:eastAsia="Arial" w:hAnsi="Arial"/>
          <w:sz w:val="17"/>
          <w:szCs w:val="17"/>
          <w:u w:val="single" w:color="auto"/>
          <w:color w:val="auto"/>
        </w:rPr>
        <w:t>Article 25</w:t>
      </w:r>
      <w:r>
        <w:rPr>
          <w:rFonts w:ascii="Arial" w:cs="Arial" w:eastAsia="Arial" w:hAnsi="Arial"/>
          <w:sz w:val="17"/>
          <w:szCs w:val="17"/>
          <w:color w:val="auto"/>
        </w:rPr>
        <w:t xml:space="preserve"> of this Lease); (xiii) the cost of capital improvements or other costs incurred in connection with the Project (A) which are intended to effect economies in the operation or maintenance of the Project, or any portion thereof, (B) that are required to comply with mandatory conservation programs, or (C) that are required under any governmental law or regulation by a federal, state or local governmental agency, except for capital repairs, replacements or other improvements to remedy a condition existing prior to the Lease Commencement Date which an applicable governmental authority, if it had knowledge of such condition prior to the Lease Commencement Date, would have then required to be remedied pursuant to then-current governmental laws or regulations in their form existing as of the Lease Commencement Date and pursuant to the then-current interpretation of such governmental laws or regulations by the applicable governmental authority as of the Lease Commencement Date; provided, however, that any capital expenditure shall be shall be amortized with interest at the Interest Rate its useful life as Landlord shall reasonably determine in accordance with sound real estate management and accounting principles;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7"/>
          <w:szCs w:val="17"/>
          <w:u w:val="single" w:color="auto"/>
          <w:color w:val="auto"/>
        </w:rPr>
        <w:t>Section 4.2.5</w:t>
      </w:r>
      <w:r>
        <w:rPr>
          <w:rFonts w:ascii="Arial" w:cs="Arial" w:eastAsia="Arial" w:hAnsi="Arial"/>
          <w:sz w:val="17"/>
          <w:szCs w:val="17"/>
          <w:color w:val="auto"/>
        </w:rPr>
        <w:t>, below; and (xv) payments under any easement, license, operating agreement, declaration, restrictive covenant, or instrument pertaining to the sharing of costs by the Building. Notwithstanding the foregoing, for purposes of this Lease, Operating Expenses shall not, however, include:</w:t>
      </w:r>
    </w:p>
    <w:p>
      <w:pPr>
        <w:spacing w:after="0" w:line="75" w:lineRule="exact"/>
        <w:rPr>
          <w:sz w:val="20"/>
          <w:szCs w:val="20"/>
          <w:color w:val="auto"/>
        </w:rPr>
      </w:pPr>
    </w:p>
    <w:p>
      <w:pPr>
        <w:ind w:firstLine="1492"/>
        <w:spacing w:after="0" w:line="257" w:lineRule="auto"/>
        <w:tabs>
          <w:tab w:leader="none" w:pos="172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premises for tenants or other occupants of the Project;</w:t>
      </w:r>
    </w:p>
    <w:p>
      <w:pPr>
        <w:spacing w:after="0" w:line="80" w:lineRule="exact"/>
        <w:rPr>
          <w:rFonts w:ascii="Arial" w:cs="Arial" w:eastAsia="Arial" w:hAnsi="Arial"/>
          <w:sz w:val="18"/>
          <w:szCs w:val="18"/>
          <w:color w:val="auto"/>
        </w:rPr>
      </w:pPr>
    </w:p>
    <w:p>
      <w:pPr>
        <w:ind w:right="40" w:firstLine="1492"/>
        <w:spacing w:after="0" w:line="308" w:lineRule="auto"/>
        <w:tabs>
          <w:tab w:leader="none" w:pos="1738" w:val="left"/>
        </w:tabs>
        <w:numPr>
          <w:ilvl w:val="0"/>
          <w:numId w:val="440"/>
        </w:numPr>
        <w:rPr>
          <w:rFonts w:ascii="Arial" w:cs="Arial" w:eastAsia="Arial" w:hAnsi="Arial"/>
          <w:sz w:val="17"/>
          <w:szCs w:val="17"/>
          <w:color w:val="auto"/>
        </w:rPr>
      </w:pPr>
      <w:r>
        <w:rPr>
          <w:rFonts w:ascii="Arial" w:cs="Arial" w:eastAsia="Arial" w:hAnsi="Arial"/>
          <w:sz w:val="17"/>
          <w:szCs w:val="17"/>
          <w:color w:val="auto"/>
        </w:rPr>
        <w:t>except as set forth in items (xii), (xiii), and (xiv) above, costs of capital repairs and alterations, and costs of capital improvements and equipment, and depreciation, interest and principal payments on mortgages and other debt costs, if any, penalties and interest;</w:t>
      </w:r>
    </w:p>
    <w:p>
      <w:pPr>
        <w:spacing w:after="0" w:line="38" w:lineRule="exact"/>
        <w:rPr>
          <w:rFonts w:ascii="Arial" w:cs="Arial" w:eastAsia="Arial" w:hAnsi="Arial"/>
          <w:sz w:val="17"/>
          <w:szCs w:val="17"/>
          <w:color w:val="auto"/>
        </w:rPr>
      </w:pPr>
    </w:p>
    <w:p>
      <w:pPr>
        <w:ind w:right="120" w:firstLine="1492"/>
        <w:spacing w:after="0" w:line="264" w:lineRule="auto"/>
        <w:tabs>
          <w:tab w:leader="none" w:pos="172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costs for which the Landlord is reimbursed (or is otherwise entitled to reimbursement) by any tenant or occupant of the Project or by insurance by its carrier or any tenant’s carrier or by anyone else, and electric power and other utility costs for which any tenant directly contracts with the local public service company;</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117" w:lineRule="exact"/>
        <w:rPr>
          <w:rFonts w:ascii="Arial" w:cs="Arial" w:eastAsia="Arial" w:hAnsi="Arial"/>
          <w:sz w:val="18"/>
          <w:szCs w:val="18"/>
          <w:color w:val="auto"/>
        </w:rPr>
      </w:pPr>
    </w:p>
    <w:p>
      <w:pPr>
        <w:ind w:right="640" w:firstLine="1492"/>
        <w:spacing w:after="0" w:line="277" w:lineRule="auto"/>
        <w:tabs>
          <w:tab w:leader="none" w:pos="172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costs associated with the operation of the business of the partnership or entity which constitutes the Landlord, as the same are distinguished from the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474" w:name="page475"/>
    <w:bookmarkEnd w:id="47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and Landlord’s general corporate overhead and general and administrative expenses;</w:t>
      </w:r>
    </w:p>
    <w:p>
      <w:pPr>
        <w:spacing w:after="0" w:line="85" w:lineRule="exact"/>
        <w:rPr>
          <w:sz w:val="20"/>
          <w:szCs w:val="20"/>
          <w:color w:val="auto"/>
        </w:rPr>
      </w:pPr>
    </w:p>
    <w:p>
      <w:pPr>
        <w:ind w:right="140" w:firstLine="1492"/>
        <w:spacing w:after="0" w:line="259" w:lineRule="auto"/>
        <w:tabs>
          <w:tab w:leader="none" w:pos="170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amount paid as ground rental for the Project by the Landlord;</w:t>
      </w:r>
    </w:p>
    <w:p>
      <w:pPr>
        <w:spacing w:after="0" w:line="117" w:lineRule="exact"/>
        <w:rPr>
          <w:rFonts w:ascii="Arial" w:cs="Arial" w:eastAsia="Arial" w:hAnsi="Arial"/>
          <w:sz w:val="18"/>
          <w:szCs w:val="18"/>
          <w:color w:val="auto"/>
        </w:rPr>
      </w:pPr>
    </w:p>
    <w:p>
      <w:pPr>
        <w:ind w:right="300" w:firstLine="1492"/>
        <w:spacing w:after="0" w:line="308" w:lineRule="auto"/>
        <w:tabs>
          <w:tab w:leader="none" w:pos="173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38" w:lineRule="exact"/>
        <w:rPr>
          <w:rFonts w:ascii="Arial" w:cs="Arial" w:eastAsia="Arial" w:hAnsi="Arial"/>
          <w:sz w:val="17"/>
          <w:szCs w:val="17"/>
          <w:color w:val="auto"/>
        </w:rPr>
      </w:pPr>
    </w:p>
    <w:p>
      <w:pPr>
        <w:ind w:right="140" w:firstLine="1492"/>
        <w:spacing w:after="0" w:line="277" w:lineRule="auto"/>
        <w:tabs>
          <w:tab w:leader="none" w:pos="169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62" w:lineRule="exact"/>
        <w:rPr>
          <w:rFonts w:ascii="Arial" w:cs="Arial" w:eastAsia="Arial" w:hAnsi="Arial"/>
          <w:sz w:val="18"/>
          <w:szCs w:val="18"/>
          <w:color w:val="auto"/>
        </w:rPr>
      </w:pPr>
    </w:p>
    <w:p>
      <w:pPr>
        <w:ind w:right="20" w:firstLine="1492"/>
        <w:spacing w:after="0" w:line="312" w:lineRule="auto"/>
        <w:tabs>
          <w:tab w:leader="none" w:pos="1698" w:val="left"/>
        </w:tabs>
        <w:numPr>
          <w:ilvl w:val="0"/>
          <w:numId w:val="441"/>
        </w:numPr>
        <w:rPr>
          <w:rFonts w:ascii="Arial" w:cs="Arial" w:eastAsia="Arial" w:hAnsi="Arial"/>
          <w:sz w:val="16"/>
          <w:szCs w:val="16"/>
          <w:color w:val="auto"/>
        </w:rPr>
      </w:pPr>
      <w:r>
        <w:rPr>
          <w:rFonts w:ascii="Arial" w:cs="Arial" w:eastAsia="Arial" w:hAnsi="Arial"/>
          <w:sz w:val="16"/>
          <w:szCs w:val="16"/>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38" w:lineRule="exact"/>
        <w:rPr>
          <w:rFonts w:ascii="Arial" w:cs="Arial" w:eastAsia="Arial" w:hAnsi="Arial"/>
          <w:sz w:val="16"/>
          <w:szCs w:val="16"/>
          <w:color w:val="auto"/>
        </w:rPr>
      </w:pPr>
    </w:p>
    <w:p>
      <w:pPr>
        <w:ind w:firstLine="1492"/>
        <w:spacing w:after="0" w:line="277" w:lineRule="auto"/>
        <w:tabs>
          <w:tab w:leader="none" w:pos="173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costs, other than those incurred in ordinary maintenance and repair, for sculpture, paintings, fountains or other objects of art;</w:t>
      </w:r>
    </w:p>
    <w:p>
      <w:pPr>
        <w:spacing w:after="0" w:line="128" w:lineRule="exact"/>
        <w:rPr>
          <w:rFonts w:ascii="Arial" w:cs="Arial" w:eastAsia="Arial" w:hAnsi="Arial"/>
          <w:sz w:val="17"/>
          <w:szCs w:val="17"/>
          <w:color w:val="auto"/>
        </w:rPr>
      </w:pPr>
    </w:p>
    <w:p>
      <w:pPr>
        <w:ind w:left="1800" w:hanging="308"/>
        <w:spacing w:after="0"/>
        <w:tabs>
          <w:tab w:leader="none" w:pos="18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costs expressly excluded from Operating Expenses elsewhere in this Lease;</w:t>
      </w:r>
    </w:p>
    <w:p>
      <w:pPr>
        <w:spacing w:after="0" w:line="117"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vicinity of the Building, with adjustment where appropriate for the size of the applicable project;</w:t>
      </w:r>
    </w:p>
    <w:p>
      <w:pPr>
        <w:spacing w:after="0" w:line="117" w:lineRule="exact"/>
        <w:rPr>
          <w:sz w:val="20"/>
          <w:szCs w:val="20"/>
          <w:color w:val="auto"/>
        </w:rPr>
      </w:pPr>
    </w:p>
    <w:p>
      <w:pPr>
        <w:ind w:right="80" w:firstLine="1492"/>
        <w:spacing w:after="0" w:line="277" w:lineRule="auto"/>
        <w:tabs>
          <w:tab w:leader="none" w:pos="173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costs to the extent arising from the gross negligence or willful misconduct of Landlord or its agents, employees, vendors, contractors, or providers of materials or services; and</w:t>
      </w:r>
    </w:p>
    <w:p>
      <w:pPr>
        <w:spacing w:after="0" w:line="62" w:lineRule="exact"/>
        <w:rPr>
          <w:rFonts w:ascii="Arial" w:cs="Arial" w:eastAsia="Arial" w:hAnsi="Arial"/>
          <w:sz w:val="18"/>
          <w:szCs w:val="18"/>
          <w:color w:val="auto"/>
        </w:rPr>
      </w:pPr>
    </w:p>
    <w:p>
      <w:pPr>
        <w:ind w:firstLine="1492"/>
        <w:spacing w:after="0" w:line="255" w:lineRule="auto"/>
        <w:tabs>
          <w:tab w:leader="none" w:pos="173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costs incurred to comply with Applicable Law with respect to “Hazardous Material,” as that term is defined in </w:t>
      </w:r>
      <w:r>
        <w:rPr>
          <w:rFonts w:ascii="Arial" w:cs="Arial" w:eastAsia="Arial" w:hAnsi="Arial"/>
          <w:sz w:val="18"/>
          <w:szCs w:val="18"/>
          <w:u w:val="single" w:color="auto"/>
          <w:color w:val="auto"/>
        </w:rPr>
        <w:t>Section 29.33</w:t>
      </w:r>
      <w:r>
        <w:rPr>
          <w:rFonts w:ascii="Arial" w:cs="Arial" w:eastAsia="Arial" w:hAnsi="Arial"/>
          <w:sz w:val="18"/>
          <w:szCs w:val="18"/>
          <w:color w:val="auto"/>
        </w:rPr>
        <w:t xml:space="preserve"> of this Lease, (including, without limitation, with respect to the monitoring, testing and reporting relating thereto) which was in existence in the Building or on the Project prior to the Lease Commencement Date; and costs incurred with respect to Hazardous Material (including, without limitation, with respect to the monitoring, testing and reporting relating thereto), which Hazardous Material is brought into the Building or onto the Project after the date hereof by Landlord or any other tenant of the Project or by anyone other than Tenant or its partners, subpartners and their respective officers, agents, servants, employees, and independent contractors ·</w:t>
      </w:r>
    </w:p>
    <w:p>
      <w:pPr>
        <w:spacing w:after="0" w:line="85" w:lineRule="exact"/>
        <w:rPr>
          <w:rFonts w:ascii="Arial" w:cs="Arial" w:eastAsia="Arial" w:hAnsi="Arial"/>
          <w:sz w:val="18"/>
          <w:szCs w:val="18"/>
          <w:color w:val="auto"/>
        </w:rPr>
      </w:pPr>
    </w:p>
    <w:p>
      <w:pPr>
        <w:ind w:right="520" w:firstLine="1492"/>
        <w:spacing w:after="0" w:line="277" w:lineRule="auto"/>
        <w:tabs>
          <w:tab w:leader="none" w:pos="173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tax penalties incurred as a result of Landlord’s negligence, inability or unwillingness to make payments when due or to file any income tax or informational returns when due;</w:t>
      </w:r>
    </w:p>
    <w:p>
      <w:pPr>
        <w:spacing w:after="0" w:line="62" w:lineRule="exact"/>
        <w:rPr>
          <w:rFonts w:ascii="Arial" w:cs="Arial" w:eastAsia="Arial" w:hAnsi="Arial"/>
          <w:sz w:val="18"/>
          <w:szCs w:val="18"/>
          <w:color w:val="auto"/>
        </w:rPr>
      </w:pPr>
    </w:p>
    <w:p>
      <w:pPr>
        <w:ind w:right="100" w:firstLine="1492"/>
        <w:spacing w:after="0" w:line="277" w:lineRule="auto"/>
        <w:tabs>
          <w:tab w:leader="none" w:pos="170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any Tax Expenses or Utility Costs due to the fact that such expenses are to be included as Direct Expenses pursuant to </w:t>
      </w:r>
      <w:r>
        <w:rPr>
          <w:rFonts w:ascii="Arial" w:cs="Arial" w:eastAsia="Arial" w:hAnsi="Arial"/>
          <w:sz w:val="18"/>
          <w:szCs w:val="18"/>
          <w:u w:val="single" w:color="auto"/>
          <w:color w:val="auto"/>
        </w:rPr>
        <w:t>Sections 4.2.2</w:t>
      </w:r>
      <w:r>
        <w:rPr>
          <w:rFonts w:ascii="Arial" w:cs="Arial" w:eastAsia="Arial" w:hAnsi="Arial"/>
          <w:sz w:val="18"/>
          <w:szCs w:val="18"/>
          <w:color w:val="auto"/>
        </w:rPr>
        <w:t xml:space="preserve">, </w:t>
      </w:r>
      <w:r>
        <w:rPr>
          <w:rFonts w:ascii="Arial" w:cs="Arial" w:eastAsia="Arial" w:hAnsi="Arial"/>
          <w:sz w:val="18"/>
          <w:szCs w:val="18"/>
          <w:u w:val="single" w:color="auto"/>
          <w:color w:val="auto"/>
        </w:rPr>
        <w:t>4.2.5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4.2.7</w:t>
      </w:r>
      <w:r>
        <w:rPr>
          <w:rFonts w:ascii="Arial" w:cs="Arial" w:eastAsia="Arial" w:hAnsi="Arial"/>
          <w:sz w:val="18"/>
          <w:szCs w:val="18"/>
          <w:color w:val="auto"/>
        </w:rPr>
        <w:t xml:space="preserve"> of this Lease;</w:t>
      </w:r>
    </w:p>
    <w:p>
      <w:pPr>
        <w:spacing w:after="0" w:line="62" w:lineRule="exact"/>
        <w:rPr>
          <w:rFonts w:ascii="Arial" w:cs="Arial" w:eastAsia="Arial" w:hAnsi="Arial"/>
          <w:sz w:val="18"/>
          <w:szCs w:val="18"/>
          <w:color w:val="auto"/>
        </w:rPr>
      </w:pPr>
    </w:p>
    <w:p>
      <w:pPr>
        <w:ind w:right="260" w:firstLine="1492"/>
        <w:spacing w:after="0" w:line="277" w:lineRule="auto"/>
        <w:tabs>
          <w:tab w:leader="none" w:pos="171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rentals for items (except as expressly permitted under </w:t>
      </w:r>
      <w:r>
        <w:rPr>
          <w:rFonts w:ascii="Arial" w:cs="Arial" w:eastAsia="Arial" w:hAnsi="Arial"/>
          <w:sz w:val="18"/>
          <w:szCs w:val="18"/>
          <w:u w:val="single" w:color="auto"/>
          <w:color w:val="auto"/>
        </w:rPr>
        <w:t>Section 4.2.4(xii)</w:t>
      </w:r>
      <w:r>
        <w:rPr>
          <w:rFonts w:ascii="Arial" w:cs="Arial" w:eastAsia="Arial" w:hAnsi="Arial"/>
          <w:sz w:val="18"/>
          <w:szCs w:val="18"/>
          <w:color w:val="auto"/>
        </w:rPr>
        <w:t>) which, if purchased, rather than rented, would constitute a capital improvement specifically excluded above;</w:t>
      </w:r>
    </w:p>
    <w:p>
      <w:pPr>
        <w:spacing w:after="0" w:line="62" w:lineRule="exact"/>
        <w:rPr>
          <w:rFonts w:ascii="Arial" w:cs="Arial" w:eastAsia="Arial" w:hAnsi="Arial"/>
          <w:sz w:val="18"/>
          <w:szCs w:val="18"/>
          <w:color w:val="auto"/>
        </w:rPr>
      </w:pPr>
    </w:p>
    <w:p>
      <w:pPr>
        <w:ind w:right="320" w:firstLine="1492"/>
        <w:spacing w:after="0" w:line="276" w:lineRule="auto"/>
        <w:tabs>
          <w:tab w:leader="none" w:pos="1698" w:val="left"/>
        </w:tabs>
        <w:numPr>
          <w:ilvl w:val="0"/>
          <w:numId w:val="442"/>
        </w:numPr>
        <w:rPr>
          <w:rFonts w:ascii="Arial" w:cs="Arial" w:eastAsia="Arial" w:hAnsi="Arial"/>
          <w:sz w:val="17"/>
          <w:szCs w:val="17"/>
          <w:color w:val="auto"/>
        </w:rPr>
      </w:pPr>
      <w:r>
        <w:rPr>
          <w:rFonts w:ascii="Arial" w:cs="Arial" w:eastAsia="Arial" w:hAnsi="Arial"/>
          <w:sz w:val="17"/>
          <w:szCs w:val="17"/>
          <w:color w:val="auto"/>
        </w:rPr>
        <w:t>costs (including, without limitation, fines, penalties, interest, and costs of repairs, replacements, alterations and/or improvements) incurred in bringing the Project into compliance with laws in effect as of the Lease Commencement Date and as interpreted by applicable governmental authorities as of such date, including, without limitation, any costs to correct building code violations pertaining to the initial design or construction of the Building or any other improvements to the Project, to the extent such violations exist as of the Lease Commencement Date under any applicable building codes in effect and as interpreted by applicable governmental authorities as of such date;</w:t>
      </w:r>
    </w:p>
    <w:p>
      <w:pPr>
        <w:spacing w:after="0" w:line="64" w:lineRule="exact"/>
        <w:rPr>
          <w:rFonts w:ascii="Arial" w:cs="Arial" w:eastAsia="Arial" w:hAnsi="Arial"/>
          <w:sz w:val="17"/>
          <w:szCs w:val="17"/>
          <w:color w:val="auto"/>
        </w:rPr>
      </w:pPr>
    </w:p>
    <w:p>
      <w:pPr>
        <w:ind w:left="1740" w:hanging="248"/>
        <w:spacing w:after="0"/>
        <w:tabs>
          <w:tab w:leader="none" w:pos="17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costs for the initial development or future expansion of the Project;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117" w:lineRule="exact"/>
        <w:rPr>
          <w:rFonts w:ascii="Arial" w:cs="Arial" w:eastAsia="Arial" w:hAnsi="Arial"/>
          <w:sz w:val="18"/>
          <w:szCs w:val="18"/>
          <w:color w:val="auto"/>
        </w:rPr>
      </w:pPr>
    </w:p>
    <w:p>
      <w:pPr>
        <w:ind w:left="1780" w:hanging="288"/>
        <w:spacing w:after="0"/>
        <w:tabs>
          <w:tab w:leader="none" w:pos="17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costs of any “tap fees” or any sewer or water connection fees for the benefit of any particular tenant of the Project;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any “above-standard” cleaning, including, but not limited to construction cleanup or special cleanings associated with parties/events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specific tenant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in excess of services provided to Tenant, including related trash collection, removal, hauling and dumping</w:t>
      </w:r>
    </w:p>
    <w:p>
      <w:pPr>
        <w:spacing w:after="0" w:line="117" w:lineRule="exact"/>
        <w:rPr>
          <w:sz w:val="20"/>
          <w:szCs w:val="20"/>
          <w:color w:val="auto"/>
        </w:rPr>
      </w:pPr>
    </w:p>
    <w:p>
      <w:pPr>
        <w:ind w:left="1740" w:hanging="248"/>
        <w:spacing w:after="0"/>
        <w:tabs>
          <w:tab w:leader="none" w:pos="17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“in-house” legal and/or accounting fees;</w:t>
      </w:r>
    </w:p>
    <w:p>
      <w:pPr>
        <w:spacing w:after="0" w:line="117" w:lineRule="exact"/>
        <w:rPr>
          <w:rFonts w:ascii="Arial" w:cs="Arial" w:eastAsia="Arial" w:hAnsi="Arial"/>
          <w:sz w:val="18"/>
          <w:szCs w:val="18"/>
          <w:color w:val="auto"/>
        </w:rPr>
      </w:pPr>
    </w:p>
    <w:p>
      <w:pPr>
        <w:ind w:right="40" w:firstLine="1492"/>
        <w:spacing w:after="0" w:line="259" w:lineRule="auto"/>
        <w:tabs>
          <w:tab w:leader="none" w:pos="172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expenses incurred by Landlord to the extent related to the use of any portions of the Project to accommodate shows, promotions, kiosks, displays, filming, photography, private events or parties, ceremonies, and advertising (as opposed to, without limitation, the normal expenses otherwise attributable to providing services, such as lighting and HYAC, to such public portions of the Project as would be incurred in normal operations of Project during standard hours of operation);</w:t>
      </w:r>
    </w:p>
    <w:p>
      <w:pPr>
        <w:spacing w:after="0" w:line="79" w:lineRule="exact"/>
        <w:rPr>
          <w:sz w:val="20"/>
          <w:szCs w:val="20"/>
          <w:color w:val="auto"/>
        </w:rPr>
      </w:pPr>
    </w:p>
    <w:p>
      <w:pPr>
        <w:ind w:right="740" w:firstLine="1492"/>
        <w:spacing w:after="0" w:line="308" w:lineRule="auto"/>
        <w:tabs>
          <w:tab w:leader="none" w:pos="1808" w:val="left"/>
        </w:tabs>
        <w:numPr>
          <w:ilvl w:val="0"/>
          <w:numId w:val="444"/>
        </w:numPr>
        <w:rPr>
          <w:rFonts w:ascii="Arial" w:cs="Arial" w:eastAsia="Arial" w:hAnsi="Arial"/>
          <w:sz w:val="17"/>
          <w:szCs w:val="17"/>
          <w:color w:val="auto"/>
        </w:rPr>
      </w:pPr>
      <w:r>
        <w:rPr>
          <w:rFonts w:ascii="Arial" w:cs="Arial" w:eastAsia="Arial" w:hAnsi="Arial"/>
          <w:sz w:val="17"/>
          <w:szCs w:val="17"/>
          <w:color w:val="auto"/>
        </w:rPr>
        <w:t>any balloons, flowers, or other gifts provided to any entity whatsoever, to include, but not limited to, Tenant, other tenants, employees, vendors, contractors, prospective tenants, and agents; and</w:t>
      </w:r>
    </w:p>
    <w:p>
      <w:pPr>
        <w:spacing w:after="0" w:line="34" w:lineRule="exact"/>
        <w:rPr>
          <w:rFonts w:ascii="Arial" w:cs="Arial" w:eastAsia="Arial" w:hAnsi="Arial"/>
          <w:sz w:val="17"/>
          <w:szCs w:val="17"/>
          <w:color w:val="auto"/>
        </w:rPr>
      </w:pPr>
    </w:p>
    <w:p>
      <w:pPr>
        <w:jc w:val="both"/>
        <w:ind w:right="600" w:firstLine="1492"/>
        <w:spacing w:after="0" w:line="347" w:lineRule="auto"/>
        <w:tabs>
          <w:tab w:leader="none" w:pos="1828" w:val="left"/>
        </w:tabs>
        <w:numPr>
          <w:ilvl w:val="0"/>
          <w:numId w:val="444"/>
        </w:numPr>
        <w:rPr>
          <w:rFonts w:ascii="Arial" w:cs="Arial" w:eastAsia="Arial" w:hAnsi="Arial"/>
          <w:sz w:val="16"/>
          <w:szCs w:val="16"/>
          <w:color w:val="auto"/>
        </w:rPr>
      </w:pPr>
      <w:r>
        <w:rPr>
          <w:rFonts w:ascii="Arial" w:cs="Arial" w:eastAsia="Arial" w:hAnsi="Arial"/>
          <w:sz w:val="16"/>
          <w:szCs w:val="16"/>
          <w:color w:val="auto"/>
        </w:rPr>
        <w:t>fees payable by Landlord for management of the Project in excess of three percent (3.0%) (the “</w:t>
      </w:r>
      <w:r>
        <w:rPr>
          <w:rFonts w:ascii="Arial" w:cs="Arial" w:eastAsia="Arial" w:hAnsi="Arial"/>
          <w:sz w:val="16"/>
          <w:szCs w:val="16"/>
          <w:b w:val="1"/>
          <w:bCs w:val="1"/>
          <w:color w:val="auto"/>
        </w:rPr>
        <w:t>Management Fee Cap</w:t>
      </w:r>
      <w:r>
        <w:rPr>
          <w:rFonts w:ascii="Arial" w:cs="Arial" w:eastAsia="Arial" w:hAnsi="Arial"/>
          <w:sz w:val="16"/>
          <w:szCs w:val="16"/>
          <w:color w:val="auto"/>
        </w:rPr>
        <w:t>”) of Landlord’s gross rental revenues (but excluding the cost of after hours services or utilities) from the Building for any calendar year or portion thereof.</w:t>
      </w:r>
    </w:p>
    <w:p>
      <w:pPr>
        <w:spacing w:after="0" w:line="12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one hundred percent (100%) occupied during all or a portion of any Expense Year, Landlord may elect to make an appropriate adjustment to the components of Operating Expenses for such year to determine the amount of Operating Expenses that would have been incurred had the Project been one hundred percent (100%) occupied; and the amount so determined shall be deemed to have been the amount of Operating Expenses for such year.</w:t>
      </w:r>
    </w:p>
    <w:p>
      <w:pPr>
        <w:spacing w:after="0" w:line="178"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Landlord’s determination of Operating Expenses shall take into account and adjust for all cash discounts, trade discounts, or quantity discounts as and when actually received by Landlord in connection with the purchase of any goods, services or utilities in connection with the operation of the Project.</w:t>
      </w:r>
    </w:p>
    <w:p>
      <w:pPr>
        <w:spacing w:after="0" w:line="124"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Notwithstanding any provision to the contrary set forth in this </w:t>
      </w:r>
      <w:r>
        <w:rPr>
          <w:rFonts w:ascii="Arial" w:cs="Arial" w:eastAsia="Arial" w:hAnsi="Arial"/>
          <w:sz w:val="16"/>
          <w:szCs w:val="16"/>
          <w:u w:val="single" w:color="auto"/>
          <w:color w:val="auto"/>
        </w:rPr>
        <w:t>Article 4</w:t>
      </w:r>
      <w:r>
        <w:rPr>
          <w:rFonts w:ascii="Arial" w:cs="Arial" w:eastAsia="Arial" w:hAnsi="Arial"/>
          <w:sz w:val="16"/>
          <w:szCs w:val="16"/>
          <w:color w:val="auto"/>
        </w:rPr>
        <w:t>, in no event shall (a) Tenant’s Share of Direct Expenses for the initial Expense Year exceed an amount equal to Forty-Nine Cents ($.49) per rentable square foot per month, or (b) those components of Direct Expenses constituting “Controllable Expenses” (defined below) exceed, on an aggregate basis for any Expense Year following the initial Expense Year, the amount that the Controllable Expenses would have been had they increased by ten percent (10%) per Expense Year following such initial Expense Year. For purposes of this Lease, “</w:t>
      </w:r>
      <w:r>
        <w:rPr>
          <w:rFonts w:ascii="Arial" w:cs="Arial" w:eastAsia="Arial" w:hAnsi="Arial"/>
          <w:sz w:val="16"/>
          <w:szCs w:val="16"/>
          <w:b w:val="1"/>
          <w:bCs w:val="1"/>
          <w:color w:val="auto"/>
        </w:rPr>
        <w:t>Controllable Expenses</w:t>
      </w:r>
      <w:r>
        <w:rPr>
          <w:rFonts w:ascii="Arial" w:cs="Arial" w:eastAsia="Arial" w:hAnsi="Arial"/>
          <w:sz w:val="16"/>
          <w:szCs w:val="16"/>
          <w:color w:val="auto"/>
        </w:rPr>
        <w:t>” shall mean all Direct Expenses except (a) Tax Expenses, (b) Utilities Costs, (c) insurance charges, (d) costs 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477" w:name="page478"/>
    <w:bookmarkEnd w:id="47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services provided under a union contract, (e) payments under CC&amp;Rs, and (f) costs associated with repairs due to casualty, vandalism or other sources outside of Landlord’s reasonable control.</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40" w:firstLine="1484"/>
        <w:spacing w:after="0" w:line="273" w:lineRule="auto"/>
        <w:rPr>
          <w:sz w:val="20"/>
          <w:szCs w:val="20"/>
          <w:color w:val="auto"/>
        </w:rPr>
      </w:pPr>
      <w:r>
        <w:rPr>
          <w:rFonts w:ascii="Arial" w:cs="Arial" w:eastAsia="Arial" w:hAnsi="Arial"/>
          <w:sz w:val="17"/>
          <w:szCs w:val="17"/>
          <w:color w:val="auto"/>
        </w:rPr>
        <w:t>4.2.5.1 “</w:t>
      </w:r>
      <w:r>
        <w:rPr>
          <w:rFonts w:ascii="Arial" w:cs="Arial" w:eastAsia="Arial" w:hAnsi="Arial"/>
          <w:sz w:val="17"/>
          <w:szCs w:val="17"/>
          <w:b w:val="1"/>
          <w:bCs w:val="1"/>
          <w:color w:val="auto"/>
        </w:rPr>
        <w:t>Tax Expenses</w:t>
      </w:r>
      <w:r>
        <w:rPr>
          <w:rFonts w:ascii="Arial" w:cs="Arial" w:eastAsia="Arial" w:hAnsi="Arial"/>
          <w:sz w:val="17"/>
          <w:szCs w:val="17"/>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68" w:lineRule="exact"/>
        <w:rPr>
          <w:sz w:val="20"/>
          <w:szCs w:val="20"/>
          <w:color w:val="auto"/>
        </w:rPr>
      </w:pPr>
    </w:p>
    <w:p>
      <w:pPr>
        <w:ind w:right="40" w:firstLine="1484"/>
        <w:spacing w:after="0" w:line="268" w:lineRule="auto"/>
        <w:rPr>
          <w:sz w:val="20"/>
          <w:szCs w:val="20"/>
          <w:color w:val="auto"/>
        </w:rPr>
      </w:pPr>
      <w:r>
        <w:rPr>
          <w:rFonts w:ascii="Arial" w:cs="Arial" w:eastAsia="Arial" w:hAnsi="Arial"/>
          <w:sz w:val="17"/>
          <w:szCs w:val="17"/>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7"/>
          <w:szCs w:val="17"/>
          <w:b w:val="1"/>
          <w:bCs w:val="1"/>
          <w:color w:val="auto"/>
        </w:rPr>
        <w:t>Proposition 13</w:t>
      </w:r>
      <w:r>
        <w:rPr>
          <w:rFonts w:ascii="Arial" w:cs="Arial" w:eastAsia="Arial" w:hAnsi="Arial"/>
          <w:sz w:val="17"/>
          <w:szCs w:val="17"/>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w:t>
      </w:r>
    </w:p>
    <w:p>
      <w:pPr>
        <w:spacing w:after="0" w:line="80" w:lineRule="exact"/>
        <w:rPr>
          <w:sz w:val="20"/>
          <w:szCs w:val="20"/>
          <w:color w:val="auto"/>
        </w:rPr>
      </w:pPr>
    </w:p>
    <w:p>
      <w:pPr>
        <w:ind w:firstLine="1484"/>
        <w:spacing w:after="0" w:line="276" w:lineRule="auto"/>
        <w:rPr>
          <w:sz w:val="20"/>
          <w:szCs w:val="20"/>
          <w:color w:val="auto"/>
        </w:rPr>
      </w:pPr>
      <w:r>
        <w:rPr>
          <w:rFonts w:ascii="Arial" w:cs="Arial" w:eastAsia="Arial" w:hAnsi="Arial"/>
          <w:sz w:val="17"/>
          <w:szCs w:val="17"/>
          <w:color w:val="auto"/>
        </w:rPr>
        <w:t xml:space="preserve">4.2.5.3 Any costs and expenses (including, without limitation, reasonable attorneys’ fees) incurred in attempting to protest, reduce or minimize Tax Expenses shall be included in Tax Expenses in the Expense Year such expenses are paid. Except as set forth in </w:t>
      </w:r>
      <w:r>
        <w:rPr>
          <w:rFonts w:ascii="Arial" w:cs="Arial" w:eastAsia="Arial" w:hAnsi="Arial"/>
          <w:sz w:val="17"/>
          <w:szCs w:val="17"/>
          <w:u w:val="single" w:color="auto"/>
          <w:color w:val="auto"/>
        </w:rPr>
        <w:t>Section 4.2.5.4</w:t>
      </w:r>
      <w:r>
        <w:rPr>
          <w:rFonts w:ascii="Arial" w:cs="Arial" w:eastAsia="Arial" w:hAnsi="Arial"/>
          <w:sz w:val="17"/>
          <w:szCs w:val="17"/>
          <w:color w:val="auto"/>
        </w:rPr>
        <w:t xml:space="preserve">, below,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for such Expense Year. If Tax Expenses for any period during the Lease Term or any extension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478" w:name="page479"/>
    <w:bookmarkEnd w:id="47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thereof are increased after payment thereof for any reason, including, without limitation, error or reassessment by applicable governmental or municipal authorities, Tenant shall pay Landlord upon demand Tenant’s Share of any such increased Tax Expenses included by Landlord as Building Tax Expenses pursuant to the TCCs of this Lease. Notwithstanding anything to the contrary contained in this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4.2.5.1</w:t>
      </w:r>
      <w:r>
        <w:rPr>
          <w:rFonts w:ascii="Arial" w:cs="Arial" w:eastAsia="Arial" w:hAnsi="Arial"/>
          <w:sz w:val="18"/>
          <w:szCs w:val="18"/>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of this Lease, (iv) any Tax Expenses to the extent accruing during and applicable to any period of time occurring either prior to the Lease Commencement Date or after the expiration or earlier termination of this Lease, and (v) any special assessments or special taxes as a means of financing improvements to the Building or Project.</w:t>
      </w:r>
    </w:p>
    <w:p>
      <w:pPr>
        <w:spacing w:after="0" w:line="85" w:lineRule="exact"/>
        <w:rPr>
          <w:sz w:val="20"/>
          <w:szCs w:val="20"/>
          <w:color w:val="auto"/>
        </w:rPr>
      </w:pPr>
    </w:p>
    <w:p>
      <w:pPr>
        <w:ind w:right="80" w:firstLine="1484"/>
        <w:spacing w:after="0" w:line="266" w:lineRule="auto"/>
        <w:rPr>
          <w:sz w:val="20"/>
          <w:szCs w:val="20"/>
          <w:color w:val="auto"/>
        </w:rPr>
      </w:pPr>
      <w:r>
        <w:rPr>
          <w:rFonts w:ascii="Arial" w:cs="Arial" w:eastAsia="Arial" w:hAnsi="Arial"/>
          <w:sz w:val="18"/>
          <w:szCs w:val="18"/>
          <w:color w:val="auto"/>
        </w:rPr>
        <w:t>4.2.6 “</w:t>
      </w:r>
      <w:r>
        <w:rPr>
          <w:rFonts w:ascii="Arial" w:cs="Arial" w:eastAsia="Arial" w:hAnsi="Arial"/>
          <w:sz w:val="18"/>
          <w:szCs w:val="18"/>
          <w:b w:val="1"/>
          <w:bCs w:val="1"/>
          <w:color w:val="auto"/>
        </w:rPr>
        <w:t>Tenant’s Share</w:t>
      </w:r>
      <w:r>
        <w:rPr>
          <w:rFonts w:ascii="Arial" w:cs="Arial" w:eastAsia="Arial" w:hAnsi="Arial"/>
          <w:sz w:val="18"/>
          <w:szCs w:val="18"/>
          <w:color w:val="auto"/>
        </w:rPr>
        <w:t>” shall mean the percentage set forth in Section 6 of the Summary. Tenant’s Share is stated as a percentage calculated as a fraction where the numerator equals the number of rentable square feet of the Premises and the denominator is the 75,745 rentable square feet in the Building.</w:t>
      </w:r>
    </w:p>
    <w:p>
      <w:pPr>
        <w:spacing w:after="0" w:line="68" w:lineRule="exact"/>
        <w:rPr>
          <w:sz w:val="20"/>
          <w:szCs w:val="20"/>
          <w:color w:val="auto"/>
        </w:rPr>
      </w:pPr>
    </w:p>
    <w:p>
      <w:pPr>
        <w:ind w:right="180" w:firstLine="1484"/>
        <w:spacing w:after="0" w:line="271" w:lineRule="auto"/>
        <w:rPr>
          <w:sz w:val="20"/>
          <w:szCs w:val="20"/>
          <w:color w:val="auto"/>
        </w:rPr>
      </w:pPr>
      <w:r>
        <w:rPr>
          <w:rFonts w:ascii="Arial" w:cs="Arial" w:eastAsia="Arial" w:hAnsi="Arial"/>
          <w:sz w:val="17"/>
          <w:szCs w:val="17"/>
          <w:color w:val="auto"/>
        </w:rPr>
        <w:t>4.2.7 “</w:t>
      </w:r>
      <w:r>
        <w:rPr>
          <w:rFonts w:ascii="Arial" w:cs="Arial" w:eastAsia="Arial" w:hAnsi="Arial"/>
          <w:sz w:val="17"/>
          <w:szCs w:val="17"/>
          <w:b w:val="1"/>
          <w:bCs w:val="1"/>
          <w:color w:val="auto"/>
        </w:rPr>
        <w:t>Utilities Costs</w:t>
      </w:r>
      <w:r>
        <w:rPr>
          <w:rFonts w:ascii="Arial" w:cs="Arial" w:eastAsia="Arial" w:hAnsi="Arial"/>
          <w:sz w:val="17"/>
          <w:szCs w:val="17"/>
          <w:color w:val="auto"/>
        </w:rPr>
        <w:t xml:space="preserve">” shall mean all actual charges for utilities for the Building and the Project which Landlord shall pay during any Expense Year, including, but not limited to, the costs of water, sewer and electricity, and the costs of HVAC and other utilities (but excluding (i) the cost of electricity consumed in any area of the Project that is not part of the Common Areas (i.e., excluding the Premises, the premises of other tenants of the Building and any other buildings in the Project, and other leasable space throughout the Project that is not then occupied by a tenant, (since Tenant is separately paying for the cost of electricity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below) and (ii) those charges for which tenants directly reimburse Landlord or otherwise pay directly to the utility company) as well as related fees, assessments and surcharges. Tenant’s Share of Utilities Costs shall be calculated assuming the Buildings are one hundred percent ( 100%) occupied. Utilities Costs shall include any costs of utilities which are allocated to the Real Property under any declaration, restrictive covenant, or other instrument pertaining to the sharing of costs by the Real Property or any portion thereof, including any covenants, conditions or restrictions now or hereafter recorded against or affecting the Real Property.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479" w:name="page480"/>
    <w:bookmarkEnd w:id="479"/>
    <w:p>
      <w:pPr>
        <w:ind w:right="80" w:firstLine="456"/>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6"/>
          <w:szCs w:val="16"/>
          <w:b w:val="1"/>
          <w:bCs w:val="1"/>
          <w:u w:val="single" w:color="auto"/>
          <w:color w:val="auto"/>
        </w:rPr>
        <w:t>Allocation of Direct Expenses</w:t>
      </w:r>
      <w:r>
        <w:rPr>
          <w:rFonts w:ascii="Arial" w:cs="Arial" w:eastAsia="Arial" w:hAnsi="Arial"/>
          <w:sz w:val="16"/>
          <w:szCs w:val="16"/>
          <w:color w:val="auto"/>
        </w:rPr>
        <w:t>. The parties acknowledge that the Building is a part of a multi-building project and that the costs and expenses incurred in connection with the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the Direct Expenses) should be shared between the tenants of the Building and the tenants of the other buildings in the Project.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consists of Operating Expenses, Tax Expenses and Utilities Costs) are determined annually for the Project as a whole, and a portion of the Direct Expenses, which portion shall be determined by Landlord on an equitable basis, shall be allocated to the tenants of the Building (as opposed to the tenants of any other buildings in the Project) and such portion shall be the Direct Expenses for purposes of this Lease. Such portion of Direct Expenses allocated to the tenants of the Building shall include all Direct Expenses attributable solely to the Building and an equitable portion of the Direct Expenses attributable to the Project as a whole.</w:t>
      </w:r>
    </w:p>
    <w:p>
      <w:pPr>
        <w:spacing w:after="0" w:line="54"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Calculation and Payment of Additional Rent</w:t>
      </w:r>
      <w:r>
        <w:rPr>
          <w:rFonts w:ascii="Arial" w:cs="Arial" w:eastAsia="Arial" w:hAnsi="Arial"/>
          <w:sz w:val="18"/>
          <w:szCs w:val="18"/>
          <w:color w:val="auto"/>
        </w:rPr>
        <w:t xml:space="preserve">. Tenant shall pay to Landlord, in the manner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 below, and as Additional Rent, Tenant’s Share of Direct Expenses for each Expense Year.</w:t>
      </w:r>
    </w:p>
    <w:p>
      <w:pPr>
        <w:spacing w:after="0" w:line="5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b w:val="1"/>
          <w:bCs w:val="1"/>
          <w:u w:val="single" w:color="auto"/>
          <w:color w:val="auto"/>
        </w:rPr>
        <w:t>Statement of Actual Direct Expenses and Payment by Tenant</w:t>
      </w:r>
      <w:r>
        <w:rPr>
          <w:rFonts w:ascii="Arial" w:cs="Arial" w:eastAsia="Arial" w:hAnsi="Arial"/>
          <w:sz w:val="16"/>
          <w:szCs w:val="16"/>
          <w:color w:val="auto"/>
        </w:rPr>
        <w:t>. Landlord shall give to Tenant following the end of each Expense Year, a statement (the “</w:t>
      </w:r>
      <w:r>
        <w:rPr>
          <w:rFonts w:ascii="Arial" w:cs="Arial" w:eastAsia="Arial" w:hAnsi="Arial"/>
          <w:sz w:val="16"/>
          <w:szCs w:val="16"/>
          <w:b w:val="1"/>
          <w:bCs w:val="1"/>
          <w:color w:val="auto"/>
        </w:rPr>
        <w:t>Statement</w:t>
      </w:r>
      <w:r>
        <w:rPr>
          <w:rFonts w:ascii="Arial" w:cs="Arial" w:eastAsia="Arial" w:hAnsi="Arial"/>
          <w:sz w:val="16"/>
          <w:szCs w:val="16"/>
          <w:color w:val="auto"/>
        </w:rPr>
        <w:t xml:space="preserve">”) which shall state in general major categories the Direct Expenses incurred or accrued for such preceding Expense Year, and which shall indicate the amount of Tenant’s Share of Direct Expenses. Landlord shall use commercially reasonable efforts to deliver such Statement to Tenant on or before April 15 following the end of the Expense Year to which such Statement relates. Upon receipt of the Statement for each Expense Year commencing or ending during the Lease Term, Tenant shall pay, within thirty (30) days after receipt of the Statement, the full amount of Tenant’s Share of Direct Expenses for such Expense Year, less the amounts, if any, paid during such Expense Year as “Estimated Direct Expenses,” as that term is defined in </w:t>
      </w:r>
      <w:r>
        <w:rPr>
          <w:rFonts w:ascii="Arial" w:cs="Arial" w:eastAsia="Arial" w:hAnsi="Arial"/>
          <w:sz w:val="16"/>
          <w:szCs w:val="16"/>
          <w:u w:val="single" w:color="auto"/>
          <w:color w:val="auto"/>
        </w:rPr>
        <w:t>Section 4.4.2</w:t>
      </w:r>
      <w:r>
        <w:rPr>
          <w:rFonts w:ascii="Arial" w:cs="Arial" w:eastAsia="Arial" w:hAnsi="Arial"/>
          <w:sz w:val="16"/>
          <w:szCs w:val="16"/>
          <w:color w:val="auto"/>
        </w:rPr>
        <w:t>, below, and if Tenant paid more as Estimated Direct Expenses than the actual Tenant’s Share of Direct Expenses (an “</w:t>
      </w:r>
      <w:r>
        <w:rPr>
          <w:rFonts w:ascii="Arial" w:cs="Arial" w:eastAsia="Arial" w:hAnsi="Arial"/>
          <w:sz w:val="16"/>
          <w:szCs w:val="16"/>
          <w:b w:val="1"/>
          <w:bCs w:val="1"/>
          <w:color w:val="auto"/>
        </w:rPr>
        <w:t>Excess</w:t>
      </w:r>
      <w:r>
        <w:rPr>
          <w:rFonts w:ascii="Arial" w:cs="Arial" w:eastAsia="Arial" w:hAnsi="Arial"/>
          <w:sz w:val="16"/>
          <w:szCs w:val="16"/>
          <w:color w:val="auto"/>
        </w:rPr>
        <w:t xml:space="preserve">”), Tenant shall receive a credit in the amount of such Excess against Rent next due under this Lease. The failure of Landlord to timely furnish the Statement for any Expense Year shall not prejudice Landlord or Tenant from enforcing its rights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Even though the Lease Term has expired and Tenant has vacated the Premises, when the final determination is made of Tenant’s Share of Direct Expenses for the Expense Year in which this Lease terminates, if Tenant’s Share of Direct Expenses is greater than the amount of Estimated Direct Expenses previously paid by Tenant to Landlord, Tenant shall, within thirty (30) days after receipt of the Statement, pay to Landlord such amount, and if Tenant paid more as Estimated Direct Expenses than the actual Tenant’s Share of Direct Expenses (again, an Excess), Landlord shall, within thirty (30) days, deliver a check payable to Tenant in the amount of such Excess. The provisions of this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nine (9) months after the Lease Expiration Date, provided that in any event Tenant shall be responsible for Tenant’s Share of Direct Expenses levied by any governmental authority or by any public utility companies at any time following the Lease Expiration Date which are attributable to any Expense Year.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480" w:name="page481"/>
    <w:bookmarkEnd w:id="480"/>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4.4.2 </w:t>
      </w:r>
      <w:r>
        <w:rPr>
          <w:rFonts w:ascii="Arial" w:cs="Arial" w:eastAsia="Arial" w:hAnsi="Arial"/>
          <w:sz w:val="16"/>
          <w:szCs w:val="16"/>
          <w:b w:val="1"/>
          <w:bCs w:val="1"/>
          <w:u w:val="single" w:color="auto"/>
          <w:color w:val="auto"/>
        </w:rPr>
        <w:t>Statement of Estimated Direct Expenses</w:t>
      </w:r>
      <w:r>
        <w:rPr>
          <w:rFonts w:ascii="Arial" w:cs="Arial" w:eastAsia="Arial" w:hAnsi="Arial"/>
          <w:sz w:val="16"/>
          <w:szCs w:val="16"/>
          <w:color w:val="auto"/>
        </w:rPr>
        <w:t>. In addition, Landlord shall give Tenant a yearly expense estimate statement (the “</w:t>
      </w:r>
      <w:r>
        <w:rPr>
          <w:rFonts w:ascii="Arial" w:cs="Arial" w:eastAsia="Arial" w:hAnsi="Arial"/>
          <w:sz w:val="16"/>
          <w:szCs w:val="16"/>
          <w:b w:val="1"/>
          <w:bCs w:val="1"/>
          <w:color w:val="auto"/>
        </w:rPr>
        <w:t>Estimate</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which shall set forth in general major categories Landlord’s reasonable estimate (the “</w:t>
      </w:r>
      <w:r>
        <w:rPr>
          <w:rFonts w:ascii="Arial" w:cs="Arial" w:eastAsia="Arial" w:hAnsi="Arial"/>
          <w:sz w:val="16"/>
          <w:szCs w:val="16"/>
          <w:b w:val="1"/>
          <w:bCs w:val="1"/>
          <w:color w:val="auto"/>
        </w:rPr>
        <w:t>Estimate</w:t>
      </w:r>
      <w:r>
        <w:rPr>
          <w:rFonts w:ascii="Arial" w:cs="Arial" w:eastAsia="Arial" w:hAnsi="Arial"/>
          <w:sz w:val="16"/>
          <w:szCs w:val="16"/>
          <w:color w:val="auto"/>
        </w:rPr>
        <w:t>”) of what the total amount of Direct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then-current Expense Year shall be and the estimated Tenant’s Share of Direct Expenses (the “</w:t>
      </w:r>
      <w:r>
        <w:rPr>
          <w:rFonts w:ascii="Arial" w:cs="Arial" w:eastAsia="Arial" w:hAnsi="Arial"/>
          <w:sz w:val="16"/>
          <w:szCs w:val="16"/>
          <w:b w:val="1"/>
          <w:bCs w:val="1"/>
          <w:color w:val="auto"/>
        </w:rPr>
        <w:t>Estimated Direct Expenses</w:t>
      </w:r>
      <w:r>
        <w:rPr>
          <w:rFonts w:ascii="Arial" w:cs="Arial" w:eastAsia="Arial" w:hAnsi="Arial"/>
          <w:sz w:val="16"/>
          <w:szCs w:val="16"/>
          <w:color w:val="auto"/>
        </w:rPr>
        <w:t xml:space="preserve">”). Landlord shall use commercially reasonable efforts to deliver such Estimate Statement to Tenant on or before April 15 following the end of the Expense Year to which such Estimate Statement relates. The failure of Landlord to timely furnish the Estimate Statement for any Expense Year shall not preclude Landlord from enforcing its rights to collect any Estimated Direct Expenses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nor shall Landlord be prohibited from revising any Estimate Statement or Estimated Direct Expenses theretofore delivered to the extent necessary. Thereafter, Tenant shall pay, within thirty (30) days after receipt of the Estimate Statement, a fraction of the Estimated Direct Expenses for the then-current Expense Year (reduced by any amounts paid pursuant to the second to last sentence of this </w:t>
      </w:r>
      <w:r>
        <w:rPr>
          <w:rFonts w:ascii="Arial" w:cs="Arial" w:eastAsia="Arial" w:hAnsi="Arial"/>
          <w:sz w:val="16"/>
          <w:szCs w:val="16"/>
          <w:u w:val="single" w:color="auto"/>
          <w:color w:val="auto"/>
        </w:rPr>
        <w:t>Section 4.4.2</w:t>
      </w:r>
      <w:r>
        <w:rPr>
          <w:rFonts w:ascii="Arial" w:cs="Arial" w:eastAsia="Arial" w:hAnsi="Arial"/>
          <w:sz w:val="16"/>
          <w:szCs w:val="16"/>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 Throughout the Lease Term Landlord shall maintain books and records with respect to Direct Expenses in accordance with generally accepted real estate accounting and management practices, consistently applied.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Taxes and Other Charges for Which Tenant Is Directly Responsible</w:t>
      </w:r>
      <w:r>
        <w:rPr>
          <w:rFonts w:ascii="Arial" w:cs="Arial" w:eastAsia="Arial" w:hAnsi="Arial"/>
          <w:sz w:val="18"/>
          <w:szCs w:val="18"/>
          <w:color w:val="auto"/>
        </w:rPr>
        <w:t>.</w:t>
      </w:r>
    </w:p>
    <w:p>
      <w:pPr>
        <w:spacing w:after="0" w:line="12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4.5.1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to the extent resulting from such increase in the assessment, as the case may be.</w:t>
      </w:r>
    </w:p>
    <w:p>
      <w:pPr>
        <w:spacing w:after="0" w:line="5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4.5.2 If the Improvements in the Premises, whether installed and/or paid for by Landlord or Tenant and 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8"/>
          <w:szCs w:val="18"/>
          <w:u w:val="single" w:color="auto"/>
          <w:color w:val="auto"/>
        </w:rPr>
        <w:t>Section 4.5.1</w:t>
      </w:r>
      <w:r>
        <w:rPr>
          <w:rFonts w:ascii="Arial" w:cs="Arial" w:eastAsia="Arial" w:hAnsi="Arial"/>
          <w:sz w:val="18"/>
          <w:szCs w:val="18"/>
          <w:color w:val="auto"/>
        </w:rPr>
        <w:t>, above.</w:t>
      </w:r>
    </w:p>
    <w:p>
      <w:pPr>
        <w:spacing w:after="0" w:line="8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4.5.3 Notwithstanding any contrary provision herein, Tenant shall pay prior to delinquency any (i) rent tax or sales tax, service tax, transfer tax or value added tax, or any other applicable tax on the rent or services herein or otherwise respecting this Lease, (ii) taxes assessed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481" w:name="page482"/>
    <w:bookmarkEnd w:id="48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6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Landlord’s Books and Records</w:t>
      </w:r>
      <w:r>
        <w:rPr>
          <w:rFonts w:ascii="Arial" w:cs="Arial" w:eastAsia="Arial" w:hAnsi="Arial"/>
          <w:sz w:val="16"/>
          <w:szCs w:val="16"/>
          <w:color w:val="auto"/>
        </w:rPr>
        <w:t>. Upon Tenant’s written request given not more than ninety (90) days after Tenant’s receipt of a Statement for a particular Expense Year, and provided that Tenant is not then in default under this Lease beyond the applicable cure period provided in this Lease, Landlord shall furnish Tenant with such reasonable supporting documentation in connection with said Direct Expenses as Tenant may reasonably request. Landlord shall provide said information to Tenant within sixty (60) days after Tenant’s written request therefor. Within one hundred eighty ( 180) days after receipt of a Statement by Tenant (the “</w:t>
      </w:r>
      <w:r>
        <w:rPr>
          <w:rFonts w:ascii="Arial" w:cs="Arial" w:eastAsia="Arial" w:hAnsi="Arial"/>
          <w:sz w:val="16"/>
          <w:szCs w:val="16"/>
          <w:b w:val="1"/>
          <w:bCs w:val="1"/>
          <w:color w:val="auto"/>
        </w:rPr>
        <w:t>Review Period</w:t>
      </w:r>
      <w:r>
        <w:rPr>
          <w:rFonts w:ascii="Arial" w:cs="Arial" w:eastAsia="Arial" w:hAnsi="Arial"/>
          <w:sz w:val="16"/>
          <w:szCs w:val="16"/>
          <w:color w:val="auto"/>
        </w:rPr>
        <w:t>”), if Tenant disputes the amount of Additional Rent set forth in the Statement, an independent certified public accountant (which accountant (A) is a member of a nationally or regionally recognized accounting firm, and (B) is not working on a contingency fee basis), designated and paid for by Tenant, may, after reasonable notice to Landlord and at reasonable times, inspect Landlord’s records with respect to the Statement at Landlord’s offices, provided that Tenant is not then in default under this Lease (beyond any applicable notice and cure periods)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the Review Period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 at Tenant’s expense , by an independent certified public accountant (the “</w:t>
      </w:r>
      <w:r>
        <w:rPr>
          <w:rFonts w:ascii="Arial" w:cs="Arial" w:eastAsia="Arial" w:hAnsi="Arial"/>
          <w:sz w:val="16"/>
          <w:szCs w:val="16"/>
          <w:b w:val="1"/>
          <w:bCs w:val="1"/>
          <w:color w:val="auto"/>
        </w:rPr>
        <w:t>Accountant</w:t>
      </w:r>
      <w:r>
        <w:rPr>
          <w:rFonts w:ascii="Arial" w:cs="Arial" w:eastAsia="Arial" w:hAnsi="Arial"/>
          <w:sz w:val="16"/>
          <w:szCs w:val="16"/>
          <w:color w:val="auto"/>
        </w:rPr>
        <w:t xml:space="preserve">”) selected by Landlord and subject to Tenant’s reasonable approval; provided that if such determination by the Accountant proves that Direct Expenses were overstated by more than four percent (4%), then the cost of the Accountant and the cost of such determination shall be paid for by Landlord. Tenant hereby acknowledges that Tenant’s sole right to inspect Landlord’s books and records and to contest the amount of Direct Expenses payable by Tenant shall be as set forth in this </w:t>
      </w:r>
      <w:r>
        <w:rPr>
          <w:rFonts w:ascii="Arial" w:cs="Arial" w:eastAsia="Arial" w:hAnsi="Arial"/>
          <w:sz w:val="16"/>
          <w:szCs w:val="16"/>
          <w:u w:val="single" w:color="auto"/>
          <w:color w:val="auto"/>
        </w:rPr>
        <w:t>Section 4.6</w:t>
      </w:r>
      <w:r>
        <w:rPr>
          <w:rFonts w:ascii="Arial" w:cs="Arial" w:eastAsia="Arial" w:hAnsi="Arial"/>
          <w:sz w:val="16"/>
          <w:szCs w:val="16"/>
          <w:color w:val="auto"/>
        </w:rPr>
        <w:t>, and Tenant hereby waives any and all other rights pursuant to applicable law to inspect such books and records and/or to contest the amount of Direct Expenses payable by Tenant.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 OF PREMISES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6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Prohibited Uses</w:t>
      </w:r>
      <w:r>
        <w:rPr>
          <w:rFonts w:ascii="Arial" w:cs="Arial" w:eastAsia="Arial" w:hAnsi="Arial"/>
          <w:sz w:val="18"/>
          <w:szCs w:val="18"/>
          <w:color w:val="auto"/>
        </w:rPr>
        <w:t>. The uses prohibited under this Lease shall include, without limitation, use of the Premises or a portion thereof for (i) offices of any agency or bureau of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482" w:name="page483"/>
    <w:bookmarkEnd w:id="482"/>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United States or any state or political subdivision thereof; (ii) offices or agencies of any foreign governmental or political subdivision thereof; (iii) offices of any health care professionals or health care service organization to the extent providing on-site health services to patients; (iv) schools or other training facilities which are not ancillary to corporate, executive or professional office use; provided, however, Landlord hereby agrees that intermittent training sessions conducted by or for Tenant (or any Permitted Transferee or any of Tenant’s Occupants) with respect to methods and procedures related to the biopharmaceutical industry and/or general business practices, shall not be so prohibited; (v) retail or restaurant uses; or (vi) communications firms such as radio and/or television stations. Tenant shall not allow occupancy density of use of the Premises which is greater than five (5) persons per each one thousand (1,000) rentable square feet of the Premises.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provided, however, Landlord shall not enforce, change or modify the Rules and Regulations in a discriminatory manner and Landlord agrees that the Rules and Regulations shall not be unreasonably modified or enforced in a manner which will unreasonably interfere with the normal and customary conduct of Tenant’s business. Tenant shall not do or permit anything to be done in or about the Premises which will in any way obstruct or interfere with the rights of other tenants or occupants of the Building, or injure or annoy them or use or allow the Premises to be used for any unlawful purpose, nor shall Tenant cause, maintain or permit any nuisance in, on or about the Premises.</w:t>
      </w:r>
    </w:p>
    <w:p>
      <w:pPr>
        <w:spacing w:after="0" w:line="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CC&amp;Rs</w:t>
      </w:r>
      <w:r>
        <w:rPr>
          <w:rFonts w:ascii="Arial" w:cs="Arial" w:eastAsia="Arial" w:hAnsi="Arial"/>
          <w:sz w:val="17"/>
          <w:szCs w:val="17"/>
          <w:color w:val="auto"/>
        </w:rPr>
        <w:t>. Tenant shall comply with all recorded covenants, conditions, and restrictions currently affecting the Project, a copy of which has been provided by Landlord to Tenant. Additionally, Tenant acknowledges that the Project may be subject to any future covenants, conditions, and restrictions (the “</w:t>
      </w:r>
      <w:r>
        <w:rPr>
          <w:rFonts w:ascii="Arial" w:cs="Arial" w:eastAsia="Arial" w:hAnsi="Arial"/>
          <w:sz w:val="17"/>
          <w:szCs w:val="17"/>
          <w:b w:val="1"/>
          <w:bCs w:val="1"/>
          <w:color w:val="auto"/>
        </w:rPr>
        <w:t>CC&amp;Rs</w:t>
      </w:r>
      <w:r>
        <w:rPr>
          <w:rFonts w:ascii="Arial" w:cs="Arial" w:eastAsia="Arial" w:hAnsi="Arial"/>
          <w:sz w:val="17"/>
          <w:szCs w:val="17"/>
          <w:color w:val="auto"/>
        </w:rPr>
        <w:t xml:space="preserve">”) which Landlord, in Landlord’s discretion, deems reasonably necessary or desirable; provided that no such CC&amp;Rs shall be permitted which materially reduce Tenant’s rights or access hereunder, or materially increase Tenant’s obligations hereunder, and Tenant agrees that this Lease shall be subject and subordinate to such CC&amp;Rs. Subject to the terms of the immediately preceding sentence, Landlord shall have the right to require Tenant to execute and acknowledge, within fifteen ( 15) business days of a request by Landlord, a “Recognition of Covenants, Conditions, and Restriction,” in a form substantially similar to that attached hereto as </w:t>
      </w:r>
      <w:r>
        <w:rPr>
          <w:rFonts w:ascii="Arial" w:cs="Arial" w:eastAsia="Arial" w:hAnsi="Arial"/>
          <w:sz w:val="17"/>
          <w:szCs w:val="17"/>
          <w:b w:val="1"/>
          <w:bCs w:val="1"/>
          <w:u w:val="single" w:color="auto"/>
          <w:color w:val="auto"/>
        </w:rPr>
        <w:t>Exhibit F</w:t>
      </w:r>
      <w:r>
        <w:rPr>
          <w:rFonts w:ascii="Arial" w:cs="Arial" w:eastAsia="Arial" w:hAnsi="Arial"/>
          <w:sz w:val="17"/>
          <w:szCs w:val="17"/>
          <w:color w:val="auto"/>
        </w:rPr>
        <w:t>, agreeing to and acknowledging the CC&amp;Rs.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SERVICES AND UTILITIES</w:t>
      </w:r>
    </w:p>
    <w:p>
      <w:pPr>
        <w:spacing w:after="0" w:line="117"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Standard Tenant Services</w:t>
      </w:r>
      <w:r>
        <w:rPr>
          <w:rFonts w:ascii="Arial" w:cs="Arial" w:eastAsia="Arial" w:hAnsi="Arial"/>
          <w:sz w:val="16"/>
          <w:szCs w:val="16"/>
          <w:color w:val="auto"/>
        </w:rPr>
        <w:t>. Landlord shall maintain and operate the Building in a manner consistent with the Comparable Buildings, and shall keep the Building Structure and Building Systems in good condition and repair and otherwise in a condition consistent with the Comparable Buildings, and in no event in a condition materially inferior to the existing condition as of the Effective Date. In addition, Landlord shall provide, as part of the Building Structure,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3" w:right="239" w:bottom="1440" w:gutter="0" w:footer="0" w:header="0"/>
        </w:sectPr>
      </w:pPr>
    </w:p>
    <w:bookmarkStart w:id="483" w:name="page484"/>
    <w:bookmarkEnd w:id="483"/>
    <w:p>
      <w:pPr>
        <w:ind w:right="280" w:firstLine="8"/>
        <w:spacing w:after="0" w:line="277" w:lineRule="auto"/>
        <w:tabs>
          <w:tab w:leader="none" w:pos="215"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currently existing electrical wiring and subpanel facilities applicable to the Premises, which are currently directly metered to the Premises, and over which Tenant shall have exclusive control, and (ii) city water and sewer stubbed to the Premises.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Notwithstanding the foregoing, Tenant shall pay the cost of all utilities (including without limitation, electricity, sewer, water and, if applicable, gas) provided to and/or consumed in the Premises (including normal and excess consumption and including the actual cost of electricity to operate the HVAC air handlers serving the Premises) and shall also provide its own janitorial and security services for the Premises as more particularly set forth below. In connection with the foregoing, Tenant’s payment for electricity and water shall be directly to the applicable utility company pursuant to such utility companies’ separate meters which are dedicated for the Premises. Such utility use shall include electricity, water, and gas use for lighting, incidental use and any heating and air conditioning (“</w:t>
      </w:r>
      <w:r>
        <w:rPr>
          <w:rFonts w:ascii="Arial" w:cs="Arial" w:eastAsia="Arial" w:hAnsi="Arial"/>
          <w:sz w:val="17"/>
          <w:szCs w:val="17"/>
          <w:b w:val="1"/>
          <w:bCs w:val="1"/>
          <w:color w:val="auto"/>
        </w:rPr>
        <w:t>HVAC</w:t>
      </w:r>
      <w:r>
        <w:rPr>
          <w:rFonts w:ascii="Arial" w:cs="Arial" w:eastAsia="Arial" w:hAnsi="Arial"/>
          <w:sz w:val="17"/>
          <w:szCs w:val="17"/>
          <w:color w:val="auto"/>
        </w:rPr>
        <w:t>”), as that term is defined below. All such Premises-specific utility, janitorial and security payments shall be excluded from Operating Expenses and shall be paid directly by Tenant prior to the date on which the same are due to the utility provider, janitorial company and/or security company, as applicable. The Premises is currently separately metered for electrical usage. Landlord and Tenant acknowledge and agree that the foregoing shall not apply with regard to utilities applicable to the Common Areas to the extent otherwise charged to and paid by Tenant (and other tenants, as the case may be) as part of Utilities Costs.</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Landlord shall not be required to provide any services other than with regard to its maintenance and repair obligation relating to the Building Systems, the Building Structure and the Common Areas.</w:t>
      </w:r>
    </w:p>
    <w:p>
      <w:pPr>
        <w:spacing w:after="0" w:line="58"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Tenant Maintained One-Pass Air and Other Systems</w:t>
      </w:r>
      <w:r>
        <w:rPr>
          <w:rFonts w:ascii="Arial" w:cs="Arial" w:eastAsia="Arial" w:hAnsi="Arial"/>
          <w:sz w:val="16"/>
          <w:szCs w:val="16"/>
          <w:color w:val="auto"/>
        </w:rPr>
        <w:t>. Tenant shall, at Tenant’s sole cost and expense, maintain those systems and the remaining portions of the Premises which consist of any One-Pass Air System installed in the Premises as provided in Section 8.7, below, or which are otherwise installed by or on behalf of Tenant as Improvements or Alterations) to the extent the same are not part of the Building Structure and Building Systems to be maintained and repaired by Landlord pursuant to this Lease (collectively, “</w:t>
      </w:r>
      <w:r>
        <w:rPr>
          <w:rFonts w:ascii="Arial" w:cs="Arial" w:eastAsia="Arial" w:hAnsi="Arial"/>
          <w:sz w:val="16"/>
          <w:szCs w:val="16"/>
          <w:b w:val="1"/>
          <w:bCs w:val="1"/>
          <w:color w:val="auto"/>
        </w:rPr>
        <w:t>Tenant Maintained Systems</w:t>
      </w:r>
      <w:r>
        <w:rPr>
          <w:rFonts w:ascii="Arial" w:cs="Arial" w:eastAsia="Arial" w:hAnsi="Arial"/>
          <w:sz w:val="16"/>
          <w:szCs w:val="16"/>
          <w:color w:val="auto"/>
        </w:rPr>
        <w:t>”). All such Tenant Maintained Systems shall be maintained by Tenant in accordance with manufacturer specifications and in a commercially reasonable condition. In addition, upon request from Landlord, Tenant shall provide to Landlord copies of any service contracts and records of Tenant’s maintenance of Tenant Maintained Systems.</w:t>
      </w:r>
    </w:p>
    <w:p>
      <w:pPr>
        <w:spacing w:after="0" w:line="48" w:lineRule="exact"/>
        <w:rPr>
          <w:sz w:val="20"/>
          <w:szCs w:val="20"/>
          <w:color w:val="auto"/>
        </w:rPr>
      </w:pPr>
    </w:p>
    <w:p>
      <w:pPr>
        <w:ind w:right="100" w:firstLine="456"/>
        <w:spacing w:after="0" w:line="29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Tenant Maintained Security</w:t>
      </w:r>
      <w:r>
        <w:rPr>
          <w:rFonts w:ascii="Arial" w:cs="Arial" w:eastAsia="Arial" w:hAnsi="Arial"/>
          <w:sz w:val="16"/>
          <w:szCs w:val="16"/>
          <w:color w:val="auto"/>
        </w:rPr>
        <w:t>. Tenant hereby acknowledges that Landlord shall have no obligation to provide, or otherwise pay for, any guard service or other security measures for the benefit of the Premises, the Building or the Project; provided, however, the parties acknowledge that the Premises includes an existing card access system (the “Northern System”) which Tenant may use without charge during the Lease Term, it being further acknowledge, however, that Landlord makes no representation or warranty with regard to the condition of such card access system and Tenant shall accept the same in its presently existing, as-is condition. Tenant hereby assumes all responsibility for the protection of Tenant and its agents, employees, contractors, invitees and guests, and the property thereof, from acts of third parties, including keeping doors locked and other means of entry to the Premises closed.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3" w:right="259" w:bottom="1440" w:gutter="0" w:footer="0" w:header="0"/>
        </w:sectPr>
      </w:pPr>
    </w:p>
    <w:bookmarkStart w:id="484" w:name="page485"/>
    <w:bookmarkEnd w:id="4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b w:val="1"/>
          <w:bCs w:val="1"/>
          <w:u w:val="single" w:color="auto"/>
          <w:color w:val="auto"/>
        </w:rPr>
        <w:t>Tenant Maintained Janitorial; Vivarium Waste; Pest Control</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b w:val="1"/>
          <w:bCs w:val="1"/>
          <w:u w:val="single" w:color="auto"/>
          <w:color w:val="auto"/>
        </w:rPr>
        <w:t>Premises Janitorial</w:t>
      </w:r>
      <w:r>
        <w:rPr>
          <w:rFonts w:ascii="Arial" w:cs="Arial" w:eastAsia="Arial" w:hAnsi="Arial"/>
          <w:sz w:val="18"/>
          <w:szCs w:val="18"/>
          <w:color w:val="auto"/>
        </w:rPr>
        <w:t>. As indicated above, Tenant shall itself provide (or otherwise directly contract for) its own janitorial services for the Premises, which janitorial services shall be performed in a first-class manner consistent with the nature of the Building as a first-class office building and as otherwise reasonably requested by Landlord.</w:t>
      </w:r>
    </w:p>
    <w:p>
      <w:pPr>
        <w:spacing w:after="0" w:line="68"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u w:val="single" w:color="auto"/>
          <w:color w:val="auto"/>
        </w:rPr>
        <w:t>Vivarium Waste</w:t>
      </w:r>
      <w:r>
        <w:rPr>
          <w:rFonts w:ascii="Arial" w:cs="Arial" w:eastAsia="Arial" w:hAnsi="Arial"/>
          <w:sz w:val="18"/>
          <w:szCs w:val="18"/>
          <w:color w:val="auto"/>
        </w:rPr>
        <w:t xml:space="preserve">. Upon any use of the rodent vivarium, in connection with the janitorial services identified in </w:t>
      </w:r>
      <w:r>
        <w:rPr>
          <w:rFonts w:ascii="Arial" w:cs="Arial" w:eastAsia="Arial" w:hAnsi="Arial"/>
          <w:sz w:val="18"/>
          <w:szCs w:val="18"/>
          <w:u w:val="single" w:color="auto"/>
          <w:color w:val="auto"/>
        </w:rPr>
        <w:t>Section 6.4.1</w:t>
      </w:r>
      <w:r>
        <w:rPr>
          <w:rFonts w:ascii="Arial" w:cs="Arial" w:eastAsia="Arial" w:hAnsi="Arial"/>
          <w:sz w:val="18"/>
          <w:szCs w:val="18"/>
          <w:color w:val="auto"/>
        </w:rPr>
        <w:t>, above, Tenant hereby expressly acknowledges and agrees that Tenant shall itself directly collect and dispose of (or otherwise directly contract for the disposal of), any and all waste relating to the rodent vivarium (“</w:t>
      </w:r>
      <w:r>
        <w:rPr>
          <w:rFonts w:ascii="Arial" w:cs="Arial" w:eastAsia="Arial" w:hAnsi="Arial"/>
          <w:sz w:val="18"/>
          <w:szCs w:val="18"/>
          <w:b w:val="1"/>
          <w:bCs w:val="1"/>
          <w:color w:val="auto"/>
        </w:rPr>
        <w:t>Vivarium Waste</w:t>
      </w:r>
      <w:r>
        <w:rPr>
          <w:rFonts w:ascii="Arial" w:cs="Arial" w:eastAsia="Arial" w:hAnsi="Arial"/>
          <w:sz w:val="18"/>
          <w:szCs w:val="18"/>
          <w:color w:val="auto"/>
        </w:rPr>
        <w:t>”) which collection and disposal shall be conducted in a manner consistent with the then-applicable best practices of similar research facilities in San Diego, California.</w:t>
      </w:r>
    </w:p>
    <w:p>
      <w:pPr>
        <w:spacing w:after="0" w:line="7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b w:val="1"/>
          <w:bCs w:val="1"/>
          <w:u w:val="single" w:color="auto"/>
          <w:color w:val="auto"/>
        </w:rPr>
        <w:t>Pest Control</w:t>
      </w:r>
      <w:r>
        <w:rPr>
          <w:rFonts w:ascii="Arial" w:cs="Arial" w:eastAsia="Arial" w:hAnsi="Arial"/>
          <w:sz w:val="16"/>
          <w:szCs w:val="16"/>
          <w:color w:val="auto"/>
        </w:rPr>
        <w:t>. Landlord and Tenant hereby acknowledge and agree that, once Tenant commences rodent vivarium use in the Premises, with regard to the remaining portions of the Premises and the Building, Tenant shall at its expense shall maintain at all times throughout the Lease Term, a written service contract with a licensed, bonded professional pest and sanitation control service to perform inspection and services for the purposes of keeping the non-vivarium portions of the Premises and Common Areas constantly pest-free and vermin-free. In connection therewith, Tenant agrees to co-operate fully in Building pest control efforts including, but not limited to, (a) moving provisions, food stuffs and equipment during inspection and spraying by exterminator,</w:t>
      </w:r>
    </w:p>
    <w:p>
      <w:pPr>
        <w:spacing w:after="0" w:line="2" w:lineRule="exact"/>
        <w:rPr>
          <w:sz w:val="20"/>
          <w:szCs w:val="20"/>
          <w:color w:val="auto"/>
        </w:rPr>
      </w:pPr>
    </w:p>
    <w:p>
      <w:pPr>
        <w:ind w:right="20" w:firstLine="8"/>
        <w:spacing w:after="0" w:line="254" w:lineRule="auto"/>
        <w:tabs>
          <w:tab w:leader="none" w:pos="25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maintaining the Premises in a clean, trash free (except as temporarily stored in trash receptacles) and sanitary condition, and (c) allowing exterminator to perform inspections and/or spraying. In the event Tenant refuses or fails to satisfy its obligations set forth in this </w:t>
      </w:r>
      <w:r>
        <w:rPr>
          <w:rFonts w:ascii="Arial" w:cs="Arial" w:eastAsia="Arial" w:hAnsi="Arial"/>
          <w:sz w:val="18"/>
          <w:szCs w:val="18"/>
          <w:u w:val="single" w:color="auto"/>
          <w:color w:val="auto"/>
        </w:rPr>
        <w:t>Section 6.4.2</w:t>
      </w:r>
      <w:r>
        <w:rPr>
          <w:rFonts w:ascii="Arial" w:cs="Arial" w:eastAsia="Arial" w:hAnsi="Arial"/>
          <w:sz w:val="18"/>
          <w:szCs w:val="18"/>
          <w:color w:val="auto"/>
        </w:rPr>
        <w:t>, then the Landlord may, but shall not be obligated to, take such actions on Tenant’s behalf in which event, the costs incurred by Landlord in connection with same shall be paid by Tenant as Additional Rent within ten (10) days after demand therefor.</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Lobby Elevator; Warehouse Elevator; Excess Services</w:t>
      </w:r>
      <w:r>
        <w:rPr>
          <w:rFonts w:ascii="Arial" w:cs="Arial" w:eastAsia="Arial" w:hAnsi="Arial"/>
          <w:sz w:val="18"/>
          <w:szCs w:val="18"/>
          <w:color w:val="auto"/>
        </w:rPr>
        <w:t>.</w:t>
      </w:r>
    </w:p>
    <w:p>
      <w:pPr>
        <w:spacing w:after="0" w:line="12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6.5.1 Landlord shall provide nonexclusive, non-attended automatic passenger elevator service in the Main Lobby portion of the Building Common Areas at all times. For purposes of this Lease, “</w:t>
      </w:r>
      <w:r>
        <w:rPr>
          <w:rFonts w:ascii="Arial" w:cs="Arial" w:eastAsia="Arial" w:hAnsi="Arial"/>
          <w:sz w:val="16"/>
          <w:szCs w:val="16"/>
          <w:b w:val="1"/>
          <w:bCs w:val="1"/>
          <w:color w:val="auto"/>
        </w:rPr>
        <w:t>Building Hours</w:t>
      </w:r>
      <w:r>
        <w:rPr>
          <w:rFonts w:ascii="Arial" w:cs="Arial" w:eastAsia="Arial" w:hAnsi="Arial"/>
          <w:sz w:val="16"/>
          <w:szCs w:val="16"/>
          <w:color w:val="auto"/>
        </w:rPr>
        <w:t>”), shall collectively mean 7:00 A.M. to 7:00 P.M. Monday through Friday, and on Saturdays from 7:00 A.M. to 3:00 P.M., except for the date of observation of New Year’s Day, Memorial Day, Independence Day, Labor Day, Thanksgiving Day, Christmas Day and, at Landlord’s discretion, other locally or nationally recognized holidays (collectively, the “</w:t>
      </w:r>
      <w:r>
        <w:rPr>
          <w:rFonts w:ascii="Arial" w:cs="Arial" w:eastAsia="Arial" w:hAnsi="Arial"/>
          <w:sz w:val="16"/>
          <w:szCs w:val="16"/>
          <w:b w:val="1"/>
          <w:bCs w:val="1"/>
          <w:color w:val="auto"/>
        </w:rPr>
        <w:t>Holidays</w:t>
      </w:r>
      <w:r>
        <w:rPr>
          <w:rFonts w:ascii="Arial" w:cs="Arial" w:eastAsia="Arial" w:hAnsi="Arial"/>
          <w:sz w:val="16"/>
          <w:szCs w:val="16"/>
          <w:color w:val="auto"/>
        </w:rPr>
        <w:t>”). Landlord agrees that the front lobby doors may remain locked at all times on weekends to the extent mutually agreed upon by all then-current tenants at the Building.</w:t>
      </w:r>
    </w:p>
    <w:p>
      <w:pPr>
        <w:spacing w:after="0" w:line="5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6.5.2 Landlord shall use commercially reasonable efforts to coordinate with Tanvex, the tenant of the remainder of the Building, to allow Tenant the temporary use of the Building elevator located in the back warehouse portion the first floor, which elevator services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0" w:right="299" w:bottom="1440" w:gutter="0" w:footer="0" w:header="0"/>
        </w:sectPr>
      </w:pPr>
    </w:p>
    <w:bookmarkStart w:id="485" w:name="page486"/>
    <w:bookmarkEnd w:id="4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Building mezzanine, for (a) three (3) full consecutive days in order to initially move Tenant’s furniture, fixtures and equipment into the Premises, (b) three</w:t>
      </w:r>
    </w:p>
    <w:p>
      <w:pPr>
        <w:spacing w:after="0" w:line="46" w:lineRule="exact"/>
        <w:rPr>
          <w:sz w:val="20"/>
          <w:szCs w:val="20"/>
          <w:color w:val="auto"/>
        </w:rPr>
      </w:pPr>
    </w:p>
    <w:p>
      <w:pPr>
        <w:ind w:firstLine="8"/>
        <w:spacing w:after="0" w:line="252" w:lineRule="auto"/>
        <w:tabs>
          <w:tab w:leader="none" w:pos="25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full consecutive days to remove Tenant’s furniture, fixtures and equipment from the Premises prior to the expiration or immediately following any earlier termination of this Lease, and (c) as reasonably required thereafter during the Lease Term. Tenant acknowledges that such Building elevator is under Tanvex’s control (as opposed to Landlord’s control), and Tenant hereby acknowledges that Landlord has made no representation or warranty to Tenant with respect to the probability of obtaining Tanvex’s consent to Tenant’s use of such elevator for all, or any of the time periods identified hereinabove. In the event that Landlord is unable to obtain Tanvex’s consent to Tenant’s use of the elevator (or if Landlord is unable to obtain Tanvex’s consent to Tenant’s use of the elevator for all or any of the time periods identified hereinabove), Tenant’s and Landlord’s rights and obligations under the remaining terms and conditions of the Lease shall be unaffected.</w:t>
      </w:r>
    </w:p>
    <w:p>
      <w:pPr>
        <w:spacing w:after="0" w:line="85"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 xml:space="preserve">6.5.3 Notwithstanding anything to the contrary set forth in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Article 6</w:t>
      </w:r>
      <w:r>
        <w:rPr>
          <w:rFonts w:ascii="Arial" w:cs="Arial" w:eastAsia="Arial" w:hAnsi="Arial"/>
          <w:sz w:val="16"/>
          <w:szCs w:val="16"/>
          <w:color w:val="auto"/>
        </w:rPr>
        <w:t>, Tenant shall directly pay to Landlord one hundred percent (100%) of the total cost (including any permitting and/or other implementation costs) of providing all services (and related equipment) affirmatively requested and required by Tenant which are in excess of the Building-standard services to be provided by Landlord hereunder , including, but not limited to, any security services for the Project, (ii) any janitorial services to the Premises or above-standard janitorial services in any Common Areas, (iii) day-porter service, and (iv) parking management systems, equipment and/or personnel; provided, however, to the extent Tenant requests in advance from Landlord the cost of providing any such services, Tenant shall only be obligated to reimburse Landlord up to the amount so quoted.</w:t>
      </w:r>
    </w:p>
    <w:p>
      <w:pPr>
        <w:spacing w:after="0" w:line="5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u w:val="single" w:color="auto"/>
          <w:color w:val="auto"/>
        </w:rPr>
        <w:t>Interruption of Use</w:t>
      </w:r>
      <w:r>
        <w:rPr>
          <w:rFonts w:ascii="Arial" w:cs="Arial" w:eastAsia="Arial" w:hAnsi="Arial"/>
          <w:sz w:val="17"/>
          <w:szCs w:val="17"/>
          <w:color w:val="auto"/>
        </w:rPr>
        <w:t xml:space="preserve">. Except and to the extent expressly set forth in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below,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 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7"/>
          <w:szCs w:val="17"/>
          <w:u w:val="single" w:color="auto"/>
          <w:color w:val="auto"/>
        </w:rPr>
        <w:t>Article 6</w:t>
      </w:r>
      <w:r>
        <w:rPr>
          <w:rFonts w:ascii="Arial" w:cs="Arial" w:eastAsia="Arial" w:hAnsi="Arial"/>
          <w:sz w:val="17"/>
          <w:szCs w:val="17"/>
          <w:color w:val="auto"/>
        </w:rPr>
        <w:t>.</w:t>
      </w:r>
    </w:p>
    <w:p>
      <w:pPr>
        <w:spacing w:after="0" w:line="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Abatement Event</w:t>
      </w:r>
      <w:r>
        <w:rPr>
          <w:rFonts w:ascii="Arial" w:cs="Arial" w:eastAsia="Arial" w:hAnsi="Arial"/>
          <w:sz w:val="16"/>
          <w:szCs w:val="16"/>
          <w:color w:val="auto"/>
        </w:rPr>
        <w:t>. If (i) Landlord fails to perform the obligations required of Landlord under the TCCs of this Lease or to otherwise perform an act required by Landlord to avoid such interference, and (ii) such failure causes all or a portion of the Premises to be untenantable and unusable by Tenant, and</w:t>
      </w:r>
    </w:p>
    <w:p>
      <w:pPr>
        <w:spacing w:after="0" w:line="1" w:lineRule="exact"/>
        <w:rPr>
          <w:sz w:val="20"/>
          <w:szCs w:val="20"/>
          <w:color w:val="auto"/>
        </w:rPr>
      </w:pPr>
    </w:p>
    <w:p>
      <w:pPr>
        <w:ind w:right="40" w:firstLine="8"/>
        <w:spacing w:after="0" w:line="261" w:lineRule="auto"/>
        <w:tabs>
          <w:tab w:leader="none" w:pos="31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such failure related to (A) the nonfunctioning of any Building System or utility service to the Premises, or (B) a failure to provide access to the Premises, Tenant shall give Landlord notice (the “</w:t>
      </w:r>
      <w:r>
        <w:rPr>
          <w:rFonts w:ascii="Arial" w:cs="Arial" w:eastAsia="Arial" w:hAnsi="Arial"/>
          <w:sz w:val="18"/>
          <w:szCs w:val="18"/>
          <w:b w:val="1"/>
          <w:bCs w:val="1"/>
          <w:color w:val="auto"/>
        </w:rPr>
        <w:t>Initial Notice</w:t>
      </w:r>
      <w:r>
        <w:rPr>
          <w:rFonts w:ascii="Arial" w:cs="Arial" w:eastAsia="Arial" w:hAnsi="Arial"/>
          <w:sz w:val="18"/>
          <w:szCs w:val="18"/>
          <w:color w:val="auto"/>
        </w:rPr>
        <w:t>”), specifying such failure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486" w:name="page487"/>
    <w:bookmarkEnd w:id="48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 by Landlord (the “</w:t>
      </w:r>
      <w:r>
        <w:rPr>
          <w:rFonts w:ascii="Arial" w:cs="Arial" w:eastAsia="Arial" w:hAnsi="Arial"/>
          <w:sz w:val="17"/>
          <w:szCs w:val="17"/>
          <w:b w:val="1"/>
          <w:bCs w:val="1"/>
          <w:color w:val="auto"/>
        </w:rPr>
        <w:t>Abatement Event</w:t>
      </w:r>
      <w:r>
        <w:rPr>
          <w:rFonts w:ascii="Arial" w:cs="Arial" w:eastAsia="Arial" w:hAnsi="Arial"/>
          <w:sz w:val="17"/>
          <w:szCs w:val="17"/>
          <w:color w:val="auto"/>
        </w:rPr>
        <w:t>”). If Landlord has not cured such Abatement Event within three (3) business days after the receipt of the Initial Notice (the “</w:t>
      </w:r>
      <w:r>
        <w:rPr>
          <w:rFonts w:ascii="Arial" w:cs="Arial" w:eastAsia="Arial" w:hAnsi="Arial"/>
          <w:sz w:val="17"/>
          <w:szCs w:val="17"/>
          <w:b w:val="1"/>
          <w:bCs w:val="1"/>
          <w:color w:val="auto"/>
        </w:rPr>
        <w:t>Eligibility Period</w:t>
      </w:r>
      <w:r>
        <w:rPr>
          <w:rFonts w:ascii="Arial" w:cs="Arial" w:eastAsia="Arial" w:hAnsi="Arial"/>
          <w:sz w:val="17"/>
          <w:szCs w:val="17"/>
          <w:color w:val="auto"/>
        </w:rPr>
        <w:t>”), Tenant may deliver an additional notice to Landlord (the “</w:t>
      </w:r>
      <w:r>
        <w:rPr>
          <w:rFonts w:ascii="Arial" w:cs="Arial" w:eastAsia="Arial" w:hAnsi="Arial"/>
          <w:sz w:val="17"/>
          <w:szCs w:val="17"/>
          <w:b w:val="1"/>
          <w:bCs w:val="1"/>
          <w:color w:val="auto"/>
        </w:rPr>
        <w:t>Additional Notice</w:t>
      </w:r>
      <w:r>
        <w:rPr>
          <w:rFonts w:ascii="Arial" w:cs="Arial" w:eastAsia="Arial" w:hAnsi="Arial"/>
          <w:sz w:val="17"/>
          <w:szCs w:val="17"/>
          <w:color w:val="auto"/>
        </w:rPr>
        <w:t>”), specifying such Abatement Event and Tenant’s intention to abate the payment of Rent under this Lease. If Landlord does not cure such Abatement Event within two (2) business days of receipt of the Additional Notice, Tenant may, upon written notice to Landlord, immediately abate Rent payable under this Lease for that portion of the Premises rendered untenantable and not used by Tenant, for the period beginning on the date five (5) business days after the Initial Notice to the earlier of the date Landlord cures such Abatement Event or the date Tenant recommences the use of such portion of the Premises (or as to all of the Premises, if the portion which is untenantable materially impairs Tenant’s ability to conduct business from the Premises). Such right to abate Rent shall be Tenant’s sole and exclusive remedy at law or in equity for an Abatement Event. Except as otherwise provided in this Lease, nothing contained herein shall be interpreted to mean that Tenant is excused from paying Rent due hereunder.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REPAIRS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During the entire Lease Term, Landlord shall maintain in first-class condition and operating order and keep in good repair and condition the structural portions of the Building, including without limitation the foundation, floor/ceiling slabs, roof structure (as opposed to roof membrane), curtain wall, exterior glass and mullions, columns, beams, shafts (including elevator shafts), stairs, stairwells, elevator cab, men’s and women’s washrooms, Building mechanical, electrical and telephone closets, and all common and public areas servicing the Building, including the parking areas, landscaping and exterior Project signage (collectively, “</w:t>
      </w:r>
      <w:r>
        <w:rPr>
          <w:rFonts w:ascii="Arial" w:cs="Arial" w:eastAsia="Arial" w:hAnsi="Arial"/>
          <w:sz w:val="16"/>
          <w:szCs w:val="16"/>
          <w:b w:val="1"/>
          <w:bCs w:val="1"/>
          <w:color w:val="auto"/>
        </w:rPr>
        <w:t>Building Structure</w:t>
      </w:r>
      <w:r>
        <w:rPr>
          <w:rFonts w:ascii="Arial" w:cs="Arial" w:eastAsia="Arial" w:hAnsi="Arial"/>
          <w:sz w:val="16"/>
          <w:szCs w:val="16"/>
          <w:color w:val="auto"/>
        </w:rPr>
        <w:t>”) and the Base Building mechanical, electrical, life safety, building access, plumbing , sprinkler systems and HVAC systems (other than the Tenant Maintained Systems) (collectively, the “</w:t>
      </w:r>
      <w:r>
        <w:rPr>
          <w:rFonts w:ascii="Arial" w:cs="Arial" w:eastAsia="Arial" w:hAnsi="Arial"/>
          <w:sz w:val="16"/>
          <w:szCs w:val="16"/>
          <w:b w:val="1"/>
          <w:bCs w:val="1"/>
          <w:color w:val="auto"/>
        </w:rPr>
        <w:t>Building Systems</w:t>
      </w:r>
      <w:r>
        <w:rPr>
          <w:rFonts w:ascii="Arial" w:cs="Arial" w:eastAsia="Arial" w:hAnsi="Arial"/>
          <w:sz w:val="16"/>
          <w:szCs w:val="16"/>
          <w:color w:val="auto"/>
        </w:rPr>
        <w:t xml:space="preserve">”) and the Project Common Areas. Without modifying Landlord’s obligations set forth above, pursuant to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Landlord shall promptly cure any latent defects in the Premises brought to Landlord’s attention in writing within one (I ) year following Landlord’s delivery of the Premises to Tenant. In addition, Landlord hereby warrants that the Building Systems (exclusive of Tenant Maintained Systems, but including without limitation all other mechanical, electrical, life safety, building access, plumbing, sprinkler systems and HVAC systems in the Premises and not included within the definition of Building Systems) are, as of the Effective Date, in reasonably good working order and condition for Permitted Use, and that any actual defects thereto (excluding de minimus defects) brought to Landlord’s attention in writing within one (1) year following Landlord’s delivery of the Premises to Tenant, shall be repaired or replaced (to the extent reasonably necessary) by Landlord, at Landlord’s sole cost and expense (i.e., not to be included as an Operating Expense), but only to the extent such defects were not caused or otherwise contributed to by Tenant; provided, however, and except to the extent resulting directly from the particular nature of Tenant’s tissue culture room and rodent vivarium uses, in no event shall Tenant’s use of the Premises for the Permitted Use in the ordinary course of business be deemed to be a cause or contributing factor to any defects. Notwithstanding anything in this Lease to the contrary, Tenant shall be required to repair the Building Structure and/or the Building Systems to the extent caused by Tenant’s use of the Premises for other than the Permitted Use (but which for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487" w:name="page488"/>
    <w:bookmarkEnd w:id="48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purposes of this provision shall not apply to the extent resulting directly from particular nature of Tenant’s tissue culture room and rodent vivarium uses), unless and to the extent such damage is covered by insurance carried or required to be carried by Landlord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to which the waiver of subrogation is applicable (such foregoing obligations will hereinafter be defined as the “</w:t>
      </w:r>
      <w:r>
        <w:rPr>
          <w:rFonts w:ascii="Arial" w:cs="Arial" w:eastAsia="Arial" w:hAnsi="Arial"/>
          <w:sz w:val="16"/>
          <w:szCs w:val="16"/>
          <w:b w:val="1"/>
          <w:bCs w:val="1"/>
          <w:color w:val="auto"/>
        </w:rPr>
        <w:t>BS/BS Exception</w:t>
      </w:r>
      <w:r>
        <w:rPr>
          <w:rFonts w:ascii="Arial" w:cs="Arial" w:eastAsia="Arial" w:hAnsi="Arial"/>
          <w:sz w:val="16"/>
          <w:szCs w:val="16"/>
          <w:color w:val="auto"/>
        </w:rPr>
        <w:t xml:space="preserve">”). Tenant shall, at Tenant’s own expense, keep the Premises, including all improvements, fixtures and furnishings therein, in good order, repair and condition at all times during the Lease Term, but such obligation shall not extend to the Building Structure and the Building Systems except pursuant to the BS/BS Exception. In addition, Tenant shall, at Tenant’s own expense, but under the supervision and subject to the prior approval of Landlord, and within any reasonable period of time specified by Landlord, promptly and adequately repair all damage to the Premises and replace or repair all damaged, broken, or worn fixtures and appurtenances (but such obligation shall not extend to the Building Structure and the Building Systems except pursuant to the BS/BS Exception) except for damage caused by ordinary wear and tear or beyond the reasonable control of Tenant; provided however, that if Tenant fails to make such repairs, Landlord may, after written notice to Tenant and Tenant’s failure to repair within ten (10) business days thereafter, but need not, make such repairs and replacements, and Tenant shall pay Landlord’s out-of-pocket cost in direct connection therewith, including a percentage of the cost thereof (to be uniformly established for the Building and/or the Project) sufficient to reimburse Landlord for all overhead, general conditions, fees and other costs or expenses to the extent arising from Landlord’s involvement with such repairs and replacements upon receipt of a reasonably detailed invoice for same. Subject to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below, Landlord may, but shall not be required to, enter the Premises at all reasonable times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provided, however, except for (i) emergencies, or (ii) repairs, alterations, improvements or additions required by governmental or quasi-governmental authorities or court order or decree, any such entry into the Premises by Landlord shall be performed in a manner so as not to materially interfere with Tenant’s use of, or access to, the Premises; provided that, with respect to item (ii) above, Landlord shall use commercially reasonable efforts to not materially interfere with Tenant’s use of, or access to, the Premises. Tenant hereby waives any and all rights under and benefits of subsection l of Section 1932 and Sections 1941 and 1942 of the California Civil Code or under any similar law, statute, or ordinance now or hereafter in effect.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ADDITIONS AND ALTERATIONS</w:t>
      </w:r>
    </w:p>
    <w:p>
      <w:pPr>
        <w:spacing w:after="0" w:line="2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Landlord’s Consent to Alterations</w:t>
      </w:r>
      <w:r>
        <w:rPr>
          <w:rFonts w:ascii="Arial" w:cs="Arial" w:eastAsia="Arial" w:hAnsi="Arial"/>
          <w:sz w:val="18"/>
          <w:szCs w:val="18"/>
          <w:color w:val="auto"/>
        </w:rPr>
        <w:t>. Tenant may not make any improvements, alterations, additions or changes to the Premises or any mechanical, plumbing or HYAC facilities or systems pertaining to the Premises (collectively, the “</w:t>
      </w:r>
      <w:r>
        <w:rPr>
          <w:rFonts w:ascii="Arial" w:cs="Arial" w:eastAsia="Arial" w:hAnsi="Arial"/>
          <w:sz w:val="18"/>
          <w:szCs w:val="18"/>
          <w:b w:val="1"/>
          <w:bCs w:val="1"/>
          <w:color w:val="auto"/>
        </w:rPr>
        <w:t>Alterations</w:t>
      </w:r>
      <w:r>
        <w:rPr>
          <w:rFonts w:ascii="Arial" w:cs="Arial" w:eastAsia="Arial" w:hAnsi="Arial"/>
          <w:sz w:val="18"/>
          <w:szCs w:val="18"/>
          <w:color w:val="auto"/>
        </w:rPr>
        <w:t>”) without first procuring the prior written consent of Landlord to such Alterations, which consent shall be requested by Tenant not less than fifteen (15) business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3" w:right="259" w:bottom="1440" w:gutter="0" w:footer="0" w:header="0"/>
        </w:sectPr>
      </w:pPr>
    </w:p>
    <w:bookmarkStart w:id="488" w:name="page489"/>
    <w:bookmarkEnd w:id="48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ten (10) business days notice to Landlord, but without Landlord’s prior consent, to the extent that such Alterations do not (i) adversely affect the systems and equipment of the Building, exterior appearance of the Building, or structural aspects of the Building, or adversely affect the value of the Premises or Building (the “</w:t>
      </w:r>
      <w:r>
        <w:rPr>
          <w:rFonts w:ascii="Arial" w:cs="Arial" w:eastAsia="Arial" w:hAnsi="Arial"/>
          <w:sz w:val="18"/>
          <w:szCs w:val="18"/>
          <w:b w:val="1"/>
          <w:bCs w:val="1"/>
          <w:color w:val="auto"/>
        </w:rPr>
        <w:t>Cosmetic Alterations</w:t>
      </w:r>
      <w:r>
        <w:rPr>
          <w:rFonts w:ascii="Arial" w:cs="Arial" w:eastAsia="Arial" w:hAnsi="Arial"/>
          <w:sz w:val="18"/>
          <w:szCs w:val="18"/>
          <w:color w:val="auto"/>
        </w:rPr>
        <w:t xml:space="preserve">”). The construction of the initial improvements to the Premises shall be governed by the terms of the Work Letter and not the terms of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7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xml:space="preserve">. Landlord may impose, as a condition of its consent to any and all Alterations or repairs of the Premises or about the Premises, such requirements as Landlord in its reasonable discretion may deem reasonably necessary to protect the Building Structure and/or Building Systems, including, but not limited to, the requirement that Tenant utilize for such purposes only contractors reasonably approved by Landlord. Upon Landlord’s timely request (as more particularly set forth in </w:t>
      </w:r>
      <w:r>
        <w:rPr>
          <w:rFonts w:ascii="Arial" w:cs="Arial" w:eastAsia="Arial" w:hAnsi="Arial"/>
          <w:sz w:val="16"/>
          <w:szCs w:val="16"/>
          <w:u w:val="single" w:color="auto"/>
          <w:color w:val="auto"/>
        </w:rPr>
        <w:t>Section 8.5, below</w:t>
      </w:r>
      <w:r>
        <w:rPr>
          <w:rFonts w:ascii="Arial" w:cs="Arial" w:eastAsia="Arial" w:hAnsi="Arial"/>
          <w:sz w:val="16"/>
          <w:szCs w:val="16"/>
          <w:color w:val="auto"/>
        </w:rPr>
        <w:t>), Tenant shall, at Tenant’s expense, remove any Alterations upon the expiration or any early termination of the Lease Term and return the affected portion of the Premises to its condition as of the Effective Date. Tenant shall construct such Alterations and perform such repairs in a good and workmanlike manner, in conformance with any and all applicable federal, state, county or municipal laws, rules and regulations and pursuant to a valid building permit, issued by the City of San Diego, all in conformance with Landlord’s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 Building,” as that term is defined below, then Landlord shall, at Tenant’s expense, make such changes to the Base Building.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Building</w:t>
      </w:r>
      <w:r>
        <w:rPr>
          <w:rFonts w:ascii="Arial" w:cs="Arial" w:eastAsia="Arial" w:hAnsi="Arial"/>
          <w:sz w:val="16"/>
          <w:szCs w:val="16"/>
          <w:color w:val="auto"/>
        </w:rPr>
        <w:t>” shall include the structural portions of the Building, and the public restrooms, elevators, exit stairwells and the systems and equipment located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internal core of the Building on the floor or floors on which the Premises are located.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agrees to cause a Notice of Completion to be recorded in the office of the Recorder of the County of San Diego in accordance with Section 3093 of the Civil Code of the State of California or any successor statute, and Tenant shall deliver to the Project construction manager a reproducible copy of the “as built” drawings of the Alterations, to the extent applicable, as well as all permits, approvals and other documents issued by any governmental agency in connection with the Alterations.</w:t>
      </w:r>
    </w:p>
    <w:p>
      <w:pPr>
        <w:spacing w:after="0" w:line="6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Payment for Improvements</w:t>
      </w:r>
      <w:r>
        <w:rPr>
          <w:rFonts w:ascii="Arial" w:cs="Arial" w:eastAsia="Arial" w:hAnsi="Arial"/>
          <w:sz w:val="18"/>
          <w:szCs w:val="18"/>
          <w:color w:val="auto"/>
        </w:rPr>
        <w:t>. If payment is made directly to contractors, Tenant shall (i) comply with Landlord’s requirements for final lien releases and waivers in connection with Tenant’s payment for work to contractors, and (ii) sign Landlord’s standard contractor’s rules and regulations. If Tenant orders any work directly from Landlord, Tenant shall pay to Landlord an amount mutually agreed upon in advance by Landlord and Tenant to compensate Landlord for all overhead, general conditions, fees and other costs and expenses arising from Landlord’s involvement with such work; provided, however, to the extent that Tenant, prior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89" w:name="page490"/>
    <w:bookmarkEnd w:id="48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ordering such working directly from Landlord, requests in writing that Landlord provide Tenant with a pre-review estimate of the costs to be incurred by Landlord in connection with such review, then such costs shall be subject to the reasonable pre-approval of Tenant. If Tenant does not order any work directly from Landlord, Tenant shall, reimburse Landlord for Landlord’s reasonable, actual, out-of-pocket costs and expenses actually incurred in connection with Landlord’s review of such work.</w:t>
      </w:r>
    </w:p>
    <w:p>
      <w:pPr>
        <w:spacing w:after="0" w:line="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Construction Insurance</w:t>
      </w:r>
      <w:r>
        <w:rPr>
          <w:rFonts w:ascii="Arial" w:cs="Arial" w:eastAsia="Arial" w:hAnsi="Arial"/>
          <w:sz w:val="17"/>
          <w:szCs w:val="17"/>
          <w:color w:val="auto"/>
        </w:rPr>
        <w:t xml:space="preserve">. In addition to the requirements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in the event that Tenant makes any Alterations, prior to the commencement of such Alterations, Tenant shall provide Landlord with evidence that Tenant carries “Builder’s All Risk”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immediately upon completion thereof. In addition, Landlord may, in its reasonable discretion, require Tenant to obtain a lien and completion bond or some alternate form of security satisfactory to Landlord in an amount sufficient to ensure the lien-free completion of such Alterations and naming Landlord as a co-obligee.</w:t>
      </w:r>
    </w:p>
    <w:p>
      <w:pPr>
        <w:spacing w:after="0" w:line="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Landlord’s Property</w:t>
      </w:r>
      <w:r>
        <w:rPr>
          <w:rFonts w:ascii="Arial" w:cs="Arial" w:eastAsia="Arial" w:hAnsi="Arial"/>
          <w:sz w:val="16"/>
          <w:szCs w:val="16"/>
          <w:color w:val="auto"/>
        </w:rPr>
        <w:t xml:space="preserve">. Landlord and Tenant hereby acknowledge and agree that (i) all Alterations, improvements, fixtures, equipment and/or appurtenances which Tenant may have installed or placed in or about the Premises, from time to time, shall be at the sole cost of Tenant and shall be and become part of the Premises and the property of Landlord, and (ii) the Improvements to be constructed in the Premises pursuant to the TCCs of the Work Letter shall, upon completion of the same, be and become a part of the Premises and the property of Landlord. Furthermore, Landlord may, by written notice to Tenant prior to the end of the Lease Term, or given following any earlier termination of this Lease, require Tenant, at Tenant’s expense, to remove any Alterations (as opposed to the Improvements being constructed pursuant to the Work Letter, which Improvements Tenant shall not be required to remove unless otherwise expressly identified by Landlord at the time of approval in accordance with the terms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of the Work Letter), and to repair any damage to the Premises and Building caused by such removal and return the affected portion of the Premises to the condition existing immediately prior to the performance of the subject Alterations; provided, however, if, in connection with its notice to Landlord with respect to any such Alterations or Cosmetic Alterations, (x) Tenant requests Landlord’s decision with regard to the removal of such Alterations or Cosmetic Alterations, and (y) Landlord thereafter agrees in writing to waive the removal requirement with regard to such Alterations or Cosmetic Alterations, then Tenant shall not be required to so remove such Alterations or Cosmetic Alterations; provided further, however, that if Tenant requests such a determination from Landlord and Landlord, within ten (10) business days following Landlord’s receipt of such request from Tenant with respect to Alterations or Cosmetic Alterations, fails to address the removal requirement with regard to such Alterations or Cosmetic Alterations, Landlord shall be deemed to have agreed to waive the removal requirement with regard to such Alterations or Cosmetic Alterations. If Tenant fails to complete such removal and/or to repair any damage caused by the removal of any Alterations or improvements in the Premises, and returns the affected portion of the Premises to the condition existing immediately prior to the performance of the subject Alterations, then at Landlord’s option Landlord may do so and may charge the cost thereof to Tenant. Except to the extent of Landlord’s negligence or willful misconduct, Tenant hereby protects, defends, indemnifies and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490" w:name="page491"/>
    <w:bookmarkEnd w:id="490"/>
    <w:p>
      <w:pPr>
        <w:jc w:val="both"/>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69"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u w:val="single" w:color="auto"/>
          <w:color w:val="auto"/>
        </w:rPr>
        <w:t>Exceptions to Landlord’s Property</w:t>
      </w:r>
      <w:r>
        <w:rPr>
          <w:rFonts w:ascii="Arial" w:cs="Arial" w:eastAsia="Arial" w:hAnsi="Arial"/>
          <w:sz w:val="17"/>
          <w:szCs w:val="17"/>
          <w:color w:val="auto"/>
        </w:rPr>
        <w:t xml:space="preserve">. Landlord and Tenant hereby acknowledge and agree that Tenant shall maintain ownership of, and be permitted to remove upon the expiration or earlier termination of this Lease (subject to the repair provisions set forth in </w:t>
      </w:r>
      <w:r>
        <w:rPr>
          <w:rFonts w:ascii="Arial" w:cs="Arial" w:eastAsia="Arial" w:hAnsi="Arial"/>
          <w:sz w:val="17"/>
          <w:szCs w:val="17"/>
          <w:u w:val="single" w:color="auto"/>
          <w:color w:val="auto"/>
        </w:rPr>
        <w:t>Section 8.5</w:t>
      </w:r>
      <w:r>
        <w:rPr>
          <w:rFonts w:ascii="Arial" w:cs="Arial" w:eastAsia="Arial" w:hAnsi="Arial"/>
          <w:sz w:val="17"/>
          <w:szCs w:val="17"/>
          <w:color w:val="auto"/>
        </w:rPr>
        <w:t>, above), any equipment installed or placed in, or about, or affixed to the Premises, but only to the extent such equipment was paid for in its entirety by Tenant.</w:t>
      </w:r>
    </w:p>
    <w:p>
      <w:pPr>
        <w:spacing w:after="0" w:line="5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One Pass Air</w:t>
      </w:r>
      <w:r>
        <w:rPr>
          <w:rFonts w:ascii="Arial" w:cs="Arial" w:eastAsia="Arial" w:hAnsi="Arial"/>
          <w:sz w:val="18"/>
          <w:szCs w:val="18"/>
          <w:color w:val="auto"/>
        </w:rPr>
        <w:t>. Landlord acknowledges that during the Lease Term Tenant may desire to install a supplemental HVAC (i.e., “</w:t>
      </w:r>
      <w:r>
        <w:rPr>
          <w:rFonts w:ascii="Arial" w:cs="Arial" w:eastAsia="Arial" w:hAnsi="Arial"/>
          <w:sz w:val="18"/>
          <w:szCs w:val="18"/>
          <w:b w:val="1"/>
          <w:bCs w:val="1"/>
          <w:color w:val="auto"/>
        </w:rPr>
        <w:t>One-Pass Air</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 in the tissue culture room, rodent vivarium and/or other specialty lab space in the Premises, which Alterations are, in concept, pre-approved.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the parties acknowledge and agree that in the event that Tenant desires any such One-Pass Air System in the Premises, the plans and specifications related thereto (including, without limitation, related to the size, location, venting, and structural components) shall remain subject to Landlord’s prior written consent, which consent shall not be unreasonably withheld by Landlord, provided it shall be deemed reasonable for Landlord to withhold its consent to any portion of the One-Pass Air System which adversely affects the structural portions or the systems or equipment of the Building or is visible from the exterior of the Building.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 AGAINST LIENS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five (5)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 Notwithstanding anything to the contrary set forth in this Lease, Tenant may enter into certain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3" w:right="279" w:bottom="1440" w:gutter="0" w:footer="0" w:header="0"/>
        </w:sectPr>
      </w:pPr>
    </w:p>
    <w:bookmarkStart w:id="491" w:name="page492"/>
    <w:bookmarkEnd w:id="49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equipment financing and/or leasing arrangements with an equipment-seller or equipment-lessor to secure necessary furniture and equipment (collectively, the “</w:t>
      </w:r>
      <w:r>
        <w:rPr>
          <w:rFonts w:ascii="Arial" w:cs="Arial" w:eastAsia="Arial" w:hAnsi="Arial"/>
          <w:sz w:val="18"/>
          <w:szCs w:val="18"/>
          <w:b w:val="1"/>
          <w:bCs w:val="1"/>
          <w:color w:val="auto"/>
        </w:rPr>
        <w:t>Tenant’s Equipment</w:t>
      </w:r>
      <w:r>
        <w:rPr>
          <w:rFonts w:ascii="Arial" w:cs="Arial" w:eastAsia="Arial" w:hAnsi="Arial"/>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INSURANCE</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Except to the extent caused by the negligence or willful misconduct of the “Landlord Parties” (as that term is defined below) , Tenant hereby assumes all risk of damage to property or injury to persons in, upon or about the Premises from any cause whatsoever and agrees that Landlord, its partners, subpartners and their respective officers, agents, servants, employees, and independent contractors (collectively,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shall not be liable for, and are hereby released from any responsibility for, any damage either to person or property or resulting from the loss of use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which damage is sustained by Tenant or by other persons claiming through Tenant. Tenant shall indemnify, defend, protect, and hold harmless the Land lord Parties from any and all loss, cost, damage, expense and liability (including without limitation court costs and reasonable attorneys’ fees) incurred in connection with or arising from: (a) any causes in or on the Premises; (b) the use or occupancy of the Premises by Tenant or any person claiming under Tenant; (c) any activity, work, or thing done, or permitted or suffered by Tenant in or about the Premises; (d) any acts, omission, or negligence of Tenant or any person claiming under Tenant, or the contractors, agents, employees, invitees, or visitors of Tenant or any such person; (e) any breach, violation, or non-performance by Tenant or any person claiming under Tenant or the employees, agents, contractors, invitees, or visitors of Tenant or any such person, of any term, covenant, or provision of this Lease or any law, ordinance, or governmental requirement of any kind; (f) any injury or damage to the person, property, or business of Tenant, its employees, agents, contractors, invitees, visitors, or any other person entering upon the Premises under the express or implied invitation of Tenant; or (g) the placement of any personal property or other items within the Premises; provided, however, that the terms of the foregoing indemnity shall not apply to the extent of the negligence or willful misconduct of Landlord or the Landlord Parties.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appraisers’, accountants’ and attorneys’ fees. Subject to Tenant’s indemnity and the waiver of subrogation provided below, Landlord shall indemnify, defend, protect, and hold harmless Tenant, its partners, and their respective officers, agents, servants, employees, and independent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from any and all loss, cost, damage, expense, and liability (including, without limitation, court costs and reasonable attorneys’ fees) arising from the negligence or willful misconduct of Landlord or the Landlord Parties in, on or about the Project either prior to or during the Lease Term, and/or as a result of Landlord’s breach of this Lease, except to the extent caused by the negligence or willful misconduct of Tenant or the Tenant Parties. Further, Tenant’s agreement to indemnify Landlord pursuant to this</w:t>
      </w:r>
    </w:p>
    <w:p>
      <w:pPr>
        <w:ind w:right="200"/>
        <w:spacing w:after="0" w:line="254" w:lineRule="auto"/>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is not intended and shall not relieve any insurance carrier of its obligations under policies required to be carried by Tenant pursuant to the provisions of this Lease, to the extent such policies cover the matters subject to Tenant’s indemnification obligations; nor shall they supersede any inconsistent agreement of the parties set forth in any other provision of this Lease. The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survive the expiration or sooner termination of this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92" w:name="page493"/>
    <w:bookmarkEnd w:id="49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Lease with respect to any claims or liability arising in connection with any event occurring prior to such expiration or termination. Notwithstanding anything to the contrary contained in this Lease, nothing in this Lease shall impose any obligations on Tenant or Landlord to be responsible or liable for, and each hereby releases the other from all liability for, consequential damages other than those consequential damages incurred by Landlord in connection with a holdover of the Premises by Tenant in accordance with the TCCS of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of this Lease.</w:t>
      </w:r>
    </w:p>
    <w:p>
      <w:pPr>
        <w:spacing w:after="0" w:line="5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Tenant’s Compliance With Landlord’s Fire and Casualty Insurance</w:t>
      </w:r>
      <w:r>
        <w:rPr>
          <w:rFonts w:ascii="Arial" w:cs="Arial" w:eastAsia="Arial" w:hAnsi="Arial"/>
          <w:sz w:val="18"/>
          <w:szCs w:val="18"/>
          <w:color w:val="auto"/>
        </w:rPr>
        <w:t>. Tenant shall, at Tenant’s expense, comply with Landlord’s insurance company requirements of which Tenant has received notice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76"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xml:space="preserve">. Throughout the Lease Term, Tenant shall maintain the following coverages in the following amounts. The required evidence of coverage must be delivered to Landlord on or before the date required under </w:t>
      </w:r>
      <w:r>
        <w:rPr>
          <w:rFonts w:ascii="Arial" w:cs="Arial" w:eastAsia="Arial" w:hAnsi="Arial"/>
          <w:sz w:val="17"/>
          <w:szCs w:val="17"/>
          <w:u w:val="single" w:color="auto"/>
          <w:color w:val="auto"/>
        </w:rPr>
        <w:t>Section 10.4(I) sub-sections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10.4(II)</w:t>
      </w:r>
      <w:r>
        <w:rPr>
          <w:rFonts w:ascii="Arial" w:cs="Arial" w:eastAsia="Arial" w:hAnsi="Arial"/>
          <w:sz w:val="17"/>
          <w:szCs w:val="17"/>
          <w:color w:val="auto"/>
        </w:rPr>
        <w:t xml:space="preserve"> below (as applicable). Such policies shall be for a term of at least one (1) year, or the length of the remaining term of this Lease, whichever is less.</w:t>
      </w:r>
    </w:p>
    <w:p>
      <w:pPr>
        <w:spacing w:after="0" w:line="5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10.3.1 Commercial General Liability Insurance, including Broad Form contractual liability covering the insured against claims of bodily injury, personal injury and property damage (including loss of use thereof) based upon or arising out of Tenant’s operations, occupancy or maintenance of the Premises and all areas appurtenant thereto. Such insurance shall be written on an “occurrence” basis. Landlord and any other party the Landlord so specifies that has a material financial interest in the Project, including Landlord’s managing agent, ground lessor and/or lender, if any, shall be named as additional insureds as their interests may appear using Insurance Service Organization’s form CG2011 or a comparable form approved by Landlord. Tenant shall provide an endorsement or policy excerpt showing that Tenant’s coverage is primary and any insurance carried by Landlord shall be excess and non-contributing. The coverage shall also be extended to include damage caused by heat, smoke or fumes from a hostile fire. The policy shall not contain any intra-insured exclusions as between insured persons or organizations. This policy shall include coverage for all liabilities assumed under this Lease as an insured contract for the performance of all of Tenant’s indemnity obligations under this Lease. The limits of said insurance shall not, however, limit the liability of Tenant nor relieve Tenant of any obligation hereunder. Limits of liability insurance shall not be less than the following; provided, however, such limits may be achieved through the use of an Umbrella/Excess Policy:</w:t>
      </w:r>
    </w:p>
    <w:p>
      <w:pPr>
        <w:spacing w:after="0" w:line="22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Bodily Injury and</w:t>
            </w:r>
          </w:p>
        </w:tc>
        <w:tc>
          <w:tcPr>
            <w:tcW w:w="4720" w:type="dxa"/>
            <w:vAlign w:val="bottom"/>
            <w:shd w:val="clear" w:color="auto" w:fill="CCEEFF"/>
          </w:tcPr>
          <w:p>
            <w:pPr>
              <w:ind w:left="2580"/>
              <w:spacing w:after="0"/>
              <w:rPr>
                <w:sz w:val="20"/>
                <w:szCs w:val="20"/>
                <w:color w:val="auto"/>
              </w:rPr>
            </w:pPr>
            <w:r>
              <w:rPr>
                <w:rFonts w:ascii="Arial" w:cs="Arial" w:eastAsia="Arial" w:hAnsi="Arial"/>
                <w:sz w:val="18"/>
                <w:szCs w:val="18"/>
                <w:color w:val="auto"/>
                <w:w w:val="92"/>
              </w:rPr>
              <w:t>$5,000,000 each occurrence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Property Damage Liability</w:t>
            </w:r>
          </w:p>
        </w:tc>
        <w:tc>
          <w:tcPr>
            <w:tcW w:w="47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Personal Injury and Advertising</w:t>
            </w:r>
          </w:p>
        </w:tc>
        <w:tc>
          <w:tcPr>
            <w:tcW w:w="4720" w:type="dxa"/>
            <w:vAlign w:val="bottom"/>
            <w:shd w:val="clear" w:color="auto" w:fill="CCEEFF"/>
          </w:tcPr>
          <w:p>
            <w:pPr>
              <w:ind w:left="2580"/>
              <w:spacing w:after="0"/>
              <w:rPr>
                <w:sz w:val="20"/>
                <w:szCs w:val="20"/>
                <w:color w:val="auto"/>
              </w:rPr>
            </w:pPr>
            <w:r>
              <w:rPr>
                <w:rFonts w:ascii="Arial" w:cs="Arial" w:eastAsia="Arial" w:hAnsi="Arial"/>
                <w:sz w:val="18"/>
                <w:szCs w:val="18"/>
                <w:color w:val="auto"/>
                <w:w w:val="92"/>
              </w:rPr>
              <w:t>$5,000,000 each occurrence</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Liability</w:t>
            </w:r>
          </w:p>
        </w:tc>
        <w:tc>
          <w:tcPr>
            <w:tcW w:w="4720" w:type="dxa"/>
            <w:vAlign w:val="bottom"/>
          </w:tcPr>
          <w:p>
            <w:pPr>
              <w:spacing w:after="0"/>
              <w:rPr>
                <w:sz w:val="20"/>
                <w:szCs w:val="20"/>
                <w:color w:val="auto"/>
              </w:rPr>
            </w:pPr>
          </w:p>
        </w:tc>
      </w:tr>
      <w:tr>
        <w:trPr>
          <w:trHeight w:val="350"/>
        </w:trPr>
        <w:tc>
          <w:tcPr>
            <w:tcW w:w="3040" w:type="dxa"/>
            <w:vAlign w:val="bottom"/>
          </w:tcPr>
          <w:p>
            <w:pPr>
              <w:spacing w:after="0"/>
              <w:rPr>
                <w:sz w:val="24"/>
                <w:szCs w:val="24"/>
                <w:color w:val="auto"/>
              </w:rPr>
            </w:pPr>
          </w:p>
        </w:tc>
        <w:tc>
          <w:tcPr>
            <w:tcW w:w="4720" w:type="dxa"/>
            <w:vAlign w:val="bottom"/>
          </w:tcPr>
          <w:p>
            <w:pPr>
              <w:jc w:val="right"/>
              <w:ind w:right="371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73" w:right="239" w:bottom="1440" w:gutter="0" w:footer="0" w:header="0"/>
        </w:sectPr>
      </w:pPr>
    </w:p>
    <w:bookmarkStart w:id="493" w:name="page494"/>
    <w:bookmarkEnd w:id="4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Tenant Legal Liability/Damage to</w:t>
            </w:r>
          </w:p>
        </w:tc>
        <w:tc>
          <w:tcPr>
            <w:tcW w:w="3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Rented Premises Liability</w:t>
            </w:r>
          </w:p>
        </w:tc>
        <w:tc>
          <w:tcPr>
            <w:tcW w:w="3240" w:type="dxa"/>
            <w:vAlign w:val="bottom"/>
          </w:tcPr>
          <w:p>
            <w:pPr>
              <w:spacing w:after="0"/>
              <w:rPr>
                <w:sz w:val="20"/>
                <w:szCs w:val="20"/>
                <w:color w:val="auto"/>
              </w:rPr>
            </w:pPr>
          </w:p>
        </w:tc>
      </w:tr>
    </w:tbl>
    <w:p>
      <w:pPr>
        <w:spacing w:after="0" w:line="18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10.3.2 Property Insurance covering (i) all office furniture, personal property, business and trade fixtures, office equipment, free-standing cabinet work, movable partitions, merchandise and all other items of Tenant’s business personal property on the Premises installed by, for, or at the expense of Tenant, (ii) the “Improvements,” as that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Work Letter, and (iii) all Alterations performed in the Premises. Such insurance shall be written on a Special Form basis, for the full replacement cost value (subject to reasonable deductible amounts), without deduction for depreciation of the covered items and in amounts that meet any co-insurance clauses of the policies of insurance and shall include coverage for (a) all perils included in the CP 10 30 04 02 Coverage Special Form, (b) water damage from any cause whatsoever, including, but not limited to, backup or overflow from sprinkler leakage, bursting, leaking or stoppage of any pipes, explosion, and backup of sewers and drainage, and (c) terrorism (to the extent such terrorism insurance is available as a result of the Terrorism Risk Insurance Act of 2002 (Pub. L. l 07-297, 116 Stat. 2322), the Terrorism Risk Insurance Program Reauthorization Act of 2005 (Pub. l. 109-144), and the Terrorism Risk Insurance Program Reauthorization Act of 2007 (Pub. L. 110-160, 121 Stat. 183), any successor statute or regulation, or is otherwise available at commercially reasonable rates).</w:t>
      </w:r>
    </w:p>
    <w:p>
      <w:pPr>
        <w:spacing w:after="0" w:line="57" w:lineRule="exact"/>
        <w:rPr>
          <w:sz w:val="20"/>
          <w:szCs w:val="20"/>
          <w:color w:val="auto"/>
        </w:rPr>
      </w:pPr>
    </w:p>
    <w:p>
      <w:pPr>
        <w:ind w:right="340" w:firstLine="1484"/>
        <w:spacing w:after="0" w:line="314" w:lineRule="auto"/>
        <w:rPr>
          <w:sz w:val="20"/>
          <w:szCs w:val="20"/>
          <w:color w:val="auto"/>
        </w:rPr>
      </w:pPr>
      <w:r>
        <w:rPr>
          <w:rFonts w:ascii="Arial" w:cs="Arial" w:eastAsia="Arial" w:hAnsi="Arial"/>
          <w:sz w:val="16"/>
          <w:szCs w:val="16"/>
          <w:color w:val="auto"/>
        </w:rPr>
        <w:t xml:space="preserve">10.3.2.1 </w:t>
      </w:r>
      <w:r>
        <w:rPr>
          <w:rFonts w:ascii="Arial" w:cs="Arial" w:eastAsia="Arial" w:hAnsi="Arial"/>
          <w:sz w:val="16"/>
          <w:szCs w:val="16"/>
          <w:b w:val="1"/>
          <w:bCs w:val="1"/>
          <w:u w:val="single" w:color="auto"/>
          <w:color w:val="auto"/>
        </w:rPr>
        <w:t>Adjacent Premises</w:t>
      </w:r>
      <w:r>
        <w:rPr>
          <w:rFonts w:ascii="Arial" w:cs="Arial" w:eastAsia="Arial" w:hAnsi="Arial"/>
          <w:sz w:val="16"/>
          <w:szCs w:val="16"/>
          <w:color w:val="auto"/>
        </w:rPr>
        <w:t>. Tenant shall pay for any increase in the premiums for the property insurance of the Project to the extent said increase is caused by Tenant’s acts, omissions, use or occupancy of the Premises for other than the Permitted Use (but which for purposes of this provision shall not apply to the extent resulting directly from the particular nature of Tenant’s tissue culture room and rodent vivarium uses).</w:t>
      </w:r>
    </w:p>
    <w:p>
      <w:pPr>
        <w:spacing w:after="0" w:line="34" w:lineRule="exact"/>
        <w:rPr>
          <w:sz w:val="20"/>
          <w:szCs w:val="20"/>
          <w:color w:val="auto"/>
        </w:rPr>
      </w:pPr>
    </w:p>
    <w:p>
      <w:pPr>
        <w:ind w:right="540" w:firstLine="1484"/>
        <w:spacing w:after="0" w:line="282" w:lineRule="auto"/>
        <w:rPr>
          <w:sz w:val="20"/>
          <w:szCs w:val="20"/>
          <w:color w:val="auto"/>
        </w:rPr>
      </w:pPr>
      <w:r>
        <w:rPr>
          <w:rFonts w:ascii="Arial" w:cs="Arial" w:eastAsia="Arial" w:hAnsi="Arial"/>
          <w:sz w:val="18"/>
          <w:szCs w:val="18"/>
          <w:color w:val="auto"/>
        </w:rPr>
        <w:t xml:space="preserve">10.3.2.2 </w:t>
      </w:r>
      <w:r>
        <w:rPr>
          <w:rFonts w:ascii="Arial" w:cs="Arial" w:eastAsia="Arial" w:hAnsi="Arial"/>
          <w:sz w:val="18"/>
          <w:szCs w:val="18"/>
          <w:b w:val="1"/>
          <w:bCs w:val="1"/>
          <w:u w:val="single" w:color="auto"/>
          <w:color w:val="auto"/>
        </w:rPr>
        <w:t>Property Damage</w:t>
      </w:r>
      <w:r>
        <w:rPr>
          <w:rFonts w:ascii="Arial" w:cs="Arial" w:eastAsia="Arial" w:hAnsi="Arial"/>
          <w:sz w:val="18"/>
          <w:szCs w:val="18"/>
          <w:color w:val="auto"/>
        </w:rPr>
        <w:t>. Tenant shall use the proceeds from any such insurance for the replacement of personal property, trade fixtures and Alterations.</w:t>
      </w:r>
    </w:p>
    <w:p>
      <w:pPr>
        <w:spacing w:after="0" w:line="54" w:lineRule="exact"/>
        <w:rPr>
          <w:sz w:val="20"/>
          <w:szCs w:val="20"/>
          <w:color w:val="auto"/>
        </w:rPr>
      </w:pPr>
    </w:p>
    <w:p>
      <w:pPr>
        <w:ind w:right="120" w:firstLine="1484"/>
        <w:spacing w:after="0" w:line="282" w:lineRule="auto"/>
        <w:rPr>
          <w:sz w:val="20"/>
          <w:szCs w:val="20"/>
          <w:color w:val="auto"/>
        </w:rPr>
      </w:pPr>
      <w:r>
        <w:rPr>
          <w:rFonts w:ascii="Arial" w:cs="Arial" w:eastAsia="Arial" w:hAnsi="Arial"/>
          <w:sz w:val="18"/>
          <w:szCs w:val="18"/>
          <w:color w:val="auto"/>
        </w:rPr>
        <w:t xml:space="preserve">10.3.2.3 </w:t>
      </w:r>
      <w:r>
        <w:rPr>
          <w:rFonts w:ascii="Arial" w:cs="Arial" w:eastAsia="Arial" w:hAnsi="Arial"/>
          <w:sz w:val="18"/>
          <w:szCs w:val="18"/>
          <w:b w:val="1"/>
          <w:bCs w:val="1"/>
          <w:u w:val="single" w:color="auto"/>
          <w:color w:val="auto"/>
        </w:rPr>
        <w:t>No representation of Adequate Coverage</w:t>
      </w:r>
      <w:r>
        <w:rPr>
          <w:rFonts w:ascii="Arial" w:cs="Arial" w:eastAsia="Arial" w:hAnsi="Arial"/>
          <w:sz w:val="18"/>
          <w:szCs w:val="18"/>
          <w:color w:val="auto"/>
        </w:rPr>
        <w:t>. Landlord makes no representation that the limits or forms of coverage of insurance specified herein are adequate to cover Tenant’s property, business operations or obligations under this Lease.</w:t>
      </w:r>
    </w:p>
    <w:p>
      <w:pPr>
        <w:spacing w:after="0" w:line="54"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10.3.3 </w:t>
      </w:r>
      <w:r>
        <w:rPr>
          <w:rFonts w:ascii="Arial" w:cs="Arial" w:eastAsia="Arial" w:hAnsi="Arial"/>
          <w:sz w:val="17"/>
          <w:szCs w:val="17"/>
          <w:b w:val="1"/>
          <w:bCs w:val="1"/>
          <w:u w:val="single" w:color="auto"/>
          <w:color w:val="auto"/>
        </w:rPr>
        <w:t>Property Insurance Subrogation</w:t>
      </w:r>
      <w:r>
        <w:rPr>
          <w:rFonts w:ascii="Arial" w:cs="Arial" w:eastAsia="Arial" w:hAnsi="Arial"/>
          <w:sz w:val="17"/>
          <w:szCs w:val="17"/>
          <w:color w:val="auto"/>
        </w:rPr>
        <w:t xml:space="preserve">. Landlord and Tenant intend that their respective property loss risks shall be borne by insurance carriers to the extent above provided (and, in the case of Tenant, by an insurance carrier satisfying the requirements of </w:t>
      </w:r>
      <w:r>
        <w:rPr>
          <w:rFonts w:ascii="Arial" w:cs="Arial" w:eastAsia="Arial" w:hAnsi="Arial"/>
          <w:sz w:val="17"/>
          <w:szCs w:val="17"/>
          <w:u w:val="single" w:color="auto"/>
          <w:color w:val="auto"/>
        </w:rPr>
        <w:t>Section 10.4(i)</w:t>
      </w:r>
      <w:r>
        <w:rPr>
          <w:rFonts w:ascii="Arial" w:cs="Arial" w:eastAsia="Arial" w:hAnsi="Arial"/>
          <w:sz w:val="17"/>
          <w:szCs w:val="17"/>
          <w:color w:val="auto"/>
        </w:rPr>
        <w:t xml:space="preserve"> below),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Landlord and Tenant hereby represent and warrant that their respective “all risk” property insurance policies include a waiver of (i) subrogation by the insurers, and (ii) all rights based upon an assignment from its insured, against Landlord and/or any of the Landlord Parties or Tenant and/or any of the Tenant Parties (as the case may be) in connection with any property loss risk thereby insured against. Tenant will cause all other occupants of the Premises claiming by, under, or through Tenant to execute and deliver to Landlord a waiver of claims similar to the waiver in this </w:t>
      </w:r>
      <w:r>
        <w:rPr>
          <w:rFonts w:ascii="Arial" w:cs="Arial" w:eastAsia="Arial" w:hAnsi="Arial"/>
          <w:sz w:val="17"/>
          <w:szCs w:val="17"/>
          <w:u w:val="single" w:color="auto"/>
          <w:color w:val="auto"/>
        </w:rPr>
        <w:t>Section 10.3.3</w:t>
      </w:r>
      <w:r>
        <w:rPr>
          <w:rFonts w:ascii="Arial" w:cs="Arial" w:eastAsia="Arial" w:hAnsi="Arial"/>
          <w:sz w:val="17"/>
          <w:szCs w:val="17"/>
          <w:color w:val="auto"/>
        </w:rPr>
        <w:t xml:space="preserve"> and to obtain such waiver of subrogation rights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8" w:right="239" w:bottom="1440" w:gutter="0" w:footer="0" w:header="0"/>
        </w:sectPr>
      </w:pPr>
    </w:p>
    <w:bookmarkStart w:id="494" w:name="page495"/>
    <w:bookmarkEnd w:id="494"/>
    <w:p>
      <w:pPr>
        <w:ind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endorsements. If either party hereto fails to maintain the waivers set forth in items (i) and (ii) above, the party not maintaining the requisite waivers shall indemnify, defend, protect, and hold harmless the other party for, from and against any and all claims, losses, costs, damages, expenses and liabilities (including, without limitation, court costs and reasonable attorneys’ fees) arising out of, resulting from, or relating to, such failure.</w:t>
      </w:r>
    </w:p>
    <w:p>
      <w:pPr>
        <w:spacing w:after="0" w:line="5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10.3.4 Business Income Interruption for one year (1) plus Extra Expense insurance in such amounts as will reimburse Tenant for actual direct or indirect loss of earnings attributable to the risks outlined in </w:t>
      </w:r>
      <w:r>
        <w:rPr>
          <w:rFonts w:ascii="Arial" w:cs="Arial" w:eastAsia="Arial" w:hAnsi="Arial"/>
          <w:sz w:val="18"/>
          <w:szCs w:val="18"/>
          <w:u w:val="single" w:color="auto"/>
          <w:color w:val="auto"/>
        </w:rPr>
        <w:t>Section 10.3.2</w:t>
      </w:r>
      <w:r>
        <w:rPr>
          <w:rFonts w:ascii="Arial" w:cs="Arial" w:eastAsia="Arial" w:hAnsi="Arial"/>
          <w:sz w:val="18"/>
          <w:szCs w:val="18"/>
          <w:color w:val="auto"/>
        </w:rPr>
        <w:t xml:space="preserve"> above.</w:t>
      </w:r>
    </w:p>
    <w:p>
      <w:pPr>
        <w:spacing w:after="0" w:line="62"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10.3.5 Worker’s Compensation or other similar insurance pursuant to all applicable state and local statutes and regulations, and Employer’s Liability with minimum limits of not less than $1,000,000 each accident/employee/disease.</w:t>
      </w:r>
    </w:p>
    <w:p>
      <w:pPr>
        <w:spacing w:after="0" w:line="62"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10.3.6 Commercial Automobile Liability Insurance covering all Owned (if any), Hired, or Non-owned vehicles with limits not less than $1,000,000 combined single limit for bodily injury and property damage.</w:t>
      </w:r>
    </w:p>
    <w:p>
      <w:pPr>
        <w:spacing w:after="0" w:line="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xml:space="preserve">. The minimum limits of policies of insurance required of Tenant under this Lease shall in no event limit the liability of Tenant under this Lease. Such insurance shall (i) be issued by an insurance company having an AM Best rating of not less than A-X, or which is otherwise acceptable to Landlord and licensed to do business in the State of California, (ii) be in form and content reasonably acceptable to Landlord and complying with the requirements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Sections 10.3.1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10.3.6</w:t>
      </w:r>
      <w:r>
        <w:rPr>
          <w:rFonts w:ascii="Arial" w:cs="Arial" w:eastAsia="Arial" w:hAnsi="Arial"/>
          <w:sz w:val="16"/>
          <w:szCs w:val="16"/>
          <w:color w:val="auto"/>
        </w:rPr>
        <w:t xml:space="preserve">), (iii) Tenant shall not do or permit to be done anything which invalidates the required insurance policies, and (iv) provide that said insurance shall not be canceled or coverage changed unless thirty (30) days’ prior written notice shall have been given to Landlord and any mortgagee of Landlord, the identity of whom has been provided to Tenant in writing. Tenant shall deliver said policy or policies or certificates thereof and applicable endorsements which meet the requirements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to Landlord on or before (I) the earlier to occur of: (x) the Lease Commencement Date, and (y) the date Tenant and/or its employees, contractors and/or agents first enter the Premises for occupancy, construction of improvements, alterations, or any other move-in activities, and (II) five (5) business days after the renewal of such policies. In the event Tenant shall fail to procure such insurance, or to deliver such policies or certificates and applicable endorsements, Landlord may, at its option, after written notice to Tenant and Tenant’s failure to obtain such insurance within five (5) days thereafter, procure such policies for the account of Tenant and the sole benefit of Landlord, and the cost thereof shall be paid to Landlord after delivery to Tenant of bills therefor.</w:t>
      </w:r>
    </w:p>
    <w:p>
      <w:pPr>
        <w:spacing w:after="0" w:line="61"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Additional Insurance Obligations</w:t>
      </w:r>
      <w:r>
        <w:rPr>
          <w:rFonts w:ascii="Arial" w:cs="Arial" w:eastAsia="Arial" w:hAnsi="Arial"/>
          <w:sz w:val="18"/>
          <w:szCs w:val="18"/>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such other reasonable types of insurance coverage and in such reasonable amounts covering the Premises and Tenant’s operations therein, as may be reasonably requested by Landlord; provided, however, that no such increase shall be requested or required by Landlord during the initial Lease Term.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95" w:name="page496"/>
    <w:bookmarkEnd w:id="495"/>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b w:val="1"/>
          <w:bCs w:val="1"/>
          <w:u w:val="single" w:color="auto"/>
          <w:color w:val="auto"/>
        </w:rPr>
        <w:t>Third-Party Contractors</w:t>
      </w:r>
      <w:r>
        <w:rPr>
          <w:rFonts w:ascii="Arial" w:cs="Arial" w:eastAsia="Arial" w:hAnsi="Arial"/>
          <w:sz w:val="18"/>
          <w:szCs w:val="18"/>
          <w:color w:val="auto"/>
        </w:rPr>
        <w:t>. Tenant shall obtain and deliver to Landlord, Third Party Contractor’s certificates of insurance and applicable endorsements at least seven (7) business days prior to the commencement of work in or about the Premises by any vendor or any other third-party contractor (collectively, a “</w:t>
      </w:r>
      <w:r>
        <w:rPr>
          <w:rFonts w:ascii="Arial" w:cs="Arial" w:eastAsia="Arial" w:hAnsi="Arial"/>
          <w:sz w:val="18"/>
          <w:szCs w:val="18"/>
          <w:b w:val="1"/>
          <w:bCs w:val="1"/>
          <w:color w:val="auto"/>
        </w:rPr>
        <w:t>Third Party Contractor</w:t>
      </w:r>
      <w:r>
        <w:rPr>
          <w:rFonts w:ascii="Arial" w:cs="Arial" w:eastAsia="Arial" w:hAnsi="Arial"/>
          <w:sz w:val="18"/>
          <w:szCs w:val="18"/>
          <w:color w:val="auto"/>
        </w:rPr>
        <w:t xml:space="preserve">”). All such insurance shall (a) name Landlord as an additional insured under such party’s liability policies as required by </w:t>
      </w:r>
      <w:r>
        <w:rPr>
          <w:rFonts w:ascii="Arial" w:cs="Arial" w:eastAsia="Arial" w:hAnsi="Arial"/>
          <w:sz w:val="18"/>
          <w:szCs w:val="18"/>
          <w:u w:val="single" w:color="auto"/>
          <w:color w:val="auto"/>
        </w:rPr>
        <w:t>Section 10.3.1</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10.6</w:t>
      </w:r>
      <w:r>
        <w:rPr>
          <w:rFonts w:ascii="Arial" w:cs="Arial" w:eastAsia="Arial" w:hAnsi="Arial"/>
          <w:sz w:val="18"/>
          <w:szCs w:val="18"/>
          <w:color w:val="auto"/>
        </w:rPr>
        <w:t>, (b) provide a waiver of subrogation in favor of Landlord under such Third Party Contractor’s commercial general liability insurance, (c) be primary and any insurance carried by Landlord shall be excess and non-contributing, and (d) comply with Landlord’s minimum insurance requirements.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Landlord’s Fire, Casualty, and Liability Insurance</w:t>
      </w:r>
      <w:r>
        <w:rPr>
          <w:rFonts w:ascii="Arial" w:cs="Arial" w:eastAsia="Arial" w:hAnsi="Arial"/>
          <w:sz w:val="18"/>
          <w:szCs w:val="18"/>
          <w:color w:val="auto"/>
        </w:rPr>
        <w:t>.</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10.7.1 Landlord shall maintain Commercial General Liability Insurance with at least Five Million Dollars ($5,000,000) in coverage, with respect to the Building during the Lease Term covering claims for bodily injury, personal injury, and property damage in the Project Common Areas and with respect to Landlord’s activities in the Premises.</w:t>
      </w:r>
    </w:p>
    <w:p>
      <w:pPr>
        <w:spacing w:after="0" w:line="7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10.7.2 Landlord shall insure the Building and Landlord’s remaining interest in the Improvements and Alterations with a policy of Physical Damage Insurance including building ordinance coverage, written on a standard Causes of Loss—Special Form basis (against loss or damage due to fire and other casualties covered within the classification of fire and extended coverage, vandalism, and malicious mischief, sprinkler leakage, water damage and special extended coverage), covering the full replacement cost of the Base Building, Premises and other improvements (including coverages for enforcement of Applicable Laws requiring the upgrading, demolition, reconstruction and/or replacement of any portion of the Building as a result of a covered loss) without a deduction for depreciation.</w:t>
      </w:r>
    </w:p>
    <w:p>
      <w:pPr>
        <w:spacing w:after="0" w:line="85"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10.7.3 Landlord shall maintain Boiler and Machinery/Equipment Breakdown Insurance covering the Building against risks commonly insured against by a Boiler and Machinery/Equipment Breakdown policy and such policy shall cover the full replacement costs, without deduction for depreciation.</w:t>
      </w:r>
    </w:p>
    <w:p>
      <w:pPr>
        <w:spacing w:after="0" w:line="16"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10.7.4 The foregoing coverages shall contain commercially reasonable deductible amounts from such companies, and on such other terms and conditions, as Landlord may from time to time reasonably determine.</w:t>
      </w:r>
    </w:p>
    <w:p>
      <w:pPr>
        <w:spacing w:after="0" w:line="6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10.7.5 Additionally, at the option of Landlord, such insurance coverage may include the risk of (i) earthquake, (ii) flood damage and additional hazards, or (iii) a rental loss endorsement for a period of up to two (2) years.</w:t>
      </w:r>
    </w:p>
    <w:p>
      <w:pPr>
        <w:spacing w:after="0" w:line="62"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 xml:space="preserve">10.7.6 Notwithstanding the foregoing provisions of </w:t>
      </w:r>
      <w:r>
        <w:rPr>
          <w:rFonts w:ascii="Arial" w:cs="Arial" w:eastAsia="Arial" w:hAnsi="Arial"/>
          <w:sz w:val="16"/>
          <w:szCs w:val="16"/>
          <w:u w:val="single" w:color="auto"/>
          <w:color w:val="auto"/>
        </w:rPr>
        <w:t>this Section 10.7</w:t>
      </w:r>
      <w:r>
        <w:rPr>
          <w:rFonts w:ascii="Arial" w:cs="Arial" w:eastAsia="Arial" w:hAnsi="Arial"/>
          <w:sz w:val="16"/>
          <w:szCs w:val="16"/>
          <w:color w:val="auto"/>
        </w:rPr>
        <w:t>, the coverage and amounts of insurance carried by Landlord in connection with the Building shall, at a minimum, be comparable to the coverage and amounts of insurance which are carried by reasonably prudent landlords of Comparable Buildings. In addition, Landlord shall carry Worker’s Compensation and Employer’s Liability coverage as required by applicable law.</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0" w:right="299" w:bottom="1440" w:gutter="0" w:footer="0" w:header="0"/>
        </w:sectPr>
      </w:pPr>
    </w:p>
    <w:bookmarkStart w:id="496" w:name="page497"/>
    <w:bookmarkEnd w:id="49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DAMAGE AND DESTRUCTION</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Repair of Damage to Premises by Landlord</w:t>
      </w:r>
      <w:r>
        <w:rPr>
          <w:rFonts w:ascii="Arial" w:cs="Arial" w:eastAsia="Arial" w:hAnsi="Arial"/>
          <w:sz w:val="16"/>
          <w:szCs w:val="16"/>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and any common restrooms serving the Premises shall not be materially impaired. Upon the occurrence of any damage to the Premises, upon notice (the “</w:t>
      </w:r>
      <w:r>
        <w:rPr>
          <w:rFonts w:ascii="Arial" w:cs="Arial" w:eastAsia="Arial" w:hAnsi="Arial"/>
          <w:sz w:val="16"/>
          <w:szCs w:val="16"/>
          <w:b w:val="1"/>
          <w:bCs w:val="1"/>
          <w:color w:val="auto"/>
        </w:rPr>
        <w:t>Landlord Repair Notice</w:t>
      </w:r>
      <w:r>
        <w:rPr>
          <w:rFonts w:ascii="Arial" w:cs="Arial" w:eastAsia="Arial" w:hAnsi="Arial"/>
          <w:sz w:val="16"/>
          <w:szCs w:val="16"/>
          <w:color w:val="auto"/>
        </w:rPr>
        <w:t xml:space="preserve">”) to Tenant from Landlord, Tenant shall assign to Landlord (or to any party designated by Landlord) all insurance proceeds payable to Tenant under Tenant’s insurance required under </w:t>
      </w:r>
      <w:r>
        <w:rPr>
          <w:rFonts w:ascii="Arial" w:cs="Arial" w:eastAsia="Arial" w:hAnsi="Arial"/>
          <w:sz w:val="16"/>
          <w:szCs w:val="16"/>
          <w:u w:val="single" w:color="auto"/>
          <w:color w:val="auto"/>
        </w:rPr>
        <w:t>Section 10.3.2(ii) and (iii)</w:t>
      </w:r>
      <w:r>
        <w:rPr>
          <w:rFonts w:ascii="Arial" w:cs="Arial" w:eastAsia="Arial" w:hAnsi="Arial"/>
          <w:sz w:val="16"/>
          <w:szCs w:val="16"/>
          <w:color w:val="auto"/>
        </w:rPr>
        <w:t xml:space="preserve"> of this Lease, and Landlord shall repair any injury or damage to the Improvements installed in the Premises and shall return such Improvements to their original condition; provided that if the cost of such repair by Landlord exceeds the amount of insurance proceeds received by Landlord from both Landlord’s insurance carrier and Tenant’s insurance carrier, as assigned by Tenant, the excess cost of such repairs shall be paid by Tenant to Landlord prior to Landlord’s commencement of repair of the damage. In the event that Landlord does not deliver the Landlord Repair Notice within sixty (60) days following the date the casualty becomes known to Landlord, then Tenant shall not assign its insurance proceeds as set forth hereinabove, and Tenant shall, at its sole cost and expense, repair any injury or damage to the Improvements installed in the Premises and shall return such Improvements to their original condition. Whether or not Landlord delivers a Landlord Repair Notice, prior to the commencement of construction, Tenant shall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Tenant should have completed repairs to the Premises assuming Tenant used reasonable due diligence in connection therewith.</w:t>
      </w:r>
    </w:p>
    <w:p>
      <w:pPr>
        <w:spacing w:after="0" w:line="287"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Landlord’s Option to Repair</w:t>
      </w:r>
      <w:r>
        <w:rPr>
          <w:rFonts w:ascii="Arial" w:cs="Arial" w:eastAsia="Arial" w:hAnsi="Arial"/>
          <w:sz w:val="17"/>
          <w:szCs w:val="17"/>
          <w:color w:val="auto"/>
        </w:rPr>
        <w:t xml:space="preserve">. Notwithstanding the terms of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this Lease, Landlord may elect not to rebuild and/or restore the Premises, Building and/or Project, and instead terminate this Lease, by notifying Tenant in writing of such termination within sixty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9" w:right="239" w:bottom="1440" w:gutter="0" w:footer="0" w:header="0"/>
        </w:sectPr>
      </w:pPr>
    </w:p>
    <w:bookmarkStart w:id="497" w:name="page498"/>
    <w:bookmarkEnd w:id="497"/>
    <w:p>
      <w:pPr>
        <w:ind w:right="60" w:firstLine="8"/>
        <w:spacing w:after="0" w:line="288" w:lineRule="auto"/>
        <w:tabs>
          <w:tab w:leader="none" w:pos="345" w:val="left"/>
        </w:tabs>
        <w:numPr>
          <w:ilvl w:val="0"/>
          <w:numId w:val="4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one hundred eighty</w:t>
      </w:r>
    </w:p>
    <w:p>
      <w:pPr>
        <w:ind w:right="20" w:firstLine="8"/>
        <w:spacing w:after="0" w:line="281" w:lineRule="auto"/>
        <w:tabs>
          <w:tab w:leader="none" w:pos="43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hundred eighty (180) days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Furthermore, if neither Landlord nor Tenant has terminated this Lease, and the repairs are not actually completed within such 180-day period, Tenant shall have the right to terminate this Lease during the first five (5) business days of each calendar month following the end of such period until such time as the repairs are complete, by notice to Landlord (the “</w:t>
      </w:r>
      <w:r>
        <w:rPr>
          <w:rFonts w:ascii="Arial" w:cs="Arial" w:eastAsia="Arial" w:hAnsi="Arial"/>
          <w:sz w:val="16"/>
          <w:szCs w:val="16"/>
          <w:b w:val="1"/>
          <w:bCs w:val="1"/>
          <w:color w:val="auto"/>
        </w:rPr>
        <w:t>Damage Termination Notice</w:t>
      </w:r>
      <w:r>
        <w:rPr>
          <w:rFonts w:ascii="Arial" w:cs="Arial" w:eastAsia="Arial" w:hAnsi="Arial"/>
          <w:sz w:val="16"/>
          <w:szCs w:val="16"/>
          <w:color w:val="auto"/>
        </w:rPr>
        <w:t>”), effective as of a date set forth in the Damage Termination Notice (the “</w:t>
      </w:r>
      <w:r>
        <w:rPr>
          <w:rFonts w:ascii="Arial" w:cs="Arial" w:eastAsia="Arial" w:hAnsi="Arial"/>
          <w:sz w:val="16"/>
          <w:szCs w:val="16"/>
          <w:b w:val="1"/>
          <w:bCs w:val="1"/>
          <w:color w:val="auto"/>
        </w:rPr>
        <w:t>Damage Termination Date</w:t>
      </w:r>
      <w:r>
        <w:rPr>
          <w:rFonts w:ascii="Arial" w:cs="Arial" w:eastAsia="Arial" w:hAnsi="Arial"/>
          <w:sz w:val="16"/>
          <w:szCs w:val="16"/>
          <w:color w:val="auto"/>
        </w:rPr>
        <w:t>”), which Damage Termination Date shall not be less than ten</w:t>
      </w:r>
    </w:p>
    <w:p>
      <w:pPr>
        <w:spacing w:after="0" w:line="8" w:lineRule="exact"/>
        <w:rPr>
          <w:rFonts w:ascii="Arial" w:cs="Arial" w:eastAsia="Arial" w:hAnsi="Arial"/>
          <w:sz w:val="16"/>
          <w:szCs w:val="16"/>
          <w:color w:val="auto"/>
        </w:rPr>
      </w:pPr>
    </w:p>
    <w:p>
      <w:pPr>
        <w:ind w:right="20" w:firstLine="8"/>
        <w:spacing w:after="0" w:line="281" w:lineRule="auto"/>
        <w:tabs>
          <w:tab w:leader="none" w:pos="34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business days following the end of each such month. 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of Landlord’s contractor responsible for the repair of the damage certifying that it is such contractor’s good faith judgment that the repairs shall be substantially completed within thirty (30) days after the Damage Termination Date. If repairs shall be substantially completed prior to the expiration of such thirty-day period, then the Damage Termination Notice shall be of no force or effect, but if the repairs shall not be substantially completed within such thirty- day period, then this Lease shall terminate upon the expiration of such thirty-day period. At any time, from time to time, after the date occurring sixty</w:t>
      </w:r>
    </w:p>
    <w:p>
      <w:pPr>
        <w:spacing w:after="0" w:line="4" w:lineRule="exact"/>
        <w:rPr>
          <w:rFonts w:ascii="Arial" w:cs="Arial" w:eastAsia="Arial" w:hAnsi="Arial"/>
          <w:sz w:val="16"/>
          <w:szCs w:val="16"/>
          <w:color w:val="auto"/>
        </w:rPr>
      </w:pPr>
    </w:p>
    <w:p>
      <w:pPr>
        <w:ind w:firstLine="8"/>
        <w:spacing w:after="0" w:line="271" w:lineRule="auto"/>
        <w:tabs>
          <w:tab w:leader="none" w:pos="345" w:val="left"/>
        </w:tabs>
        <w:numPr>
          <w:ilvl w:val="0"/>
          <w:numId w:val="452"/>
        </w:numPr>
        <w:rPr>
          <w:rFonts w:ascii="Arial" w:cs="Arial" w:eastAsia="Arial" w:hAnsi="Arial"/>
          <w:sz w:val="17"/>
          <w:szCs w:val="17"/>
          <w:color w:val="auto"/>
        </w:rPr>
      </w:pPr>
      <w:r>
        <w:rPr>
          <w:rFonts w:ascii="Arial" w:cs="Arial" w:eastAsia="Arial" w:hAnsi="Arial"/>
          <w:sz w:val="17"/>
          <w:szCs w:val="17"/>
          <w:color w:val="auto"/>
        </w:rPr>
        <w:t xml:space="preserve">days after the date of the damage, Tenant may request that Landlord inform Tenant of Landlord’s reasonable opinion of the date of completion of the repairs and Landlord shall respond to such request within five (5) business days. Notwithstanding the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Tenant shall have the right to terminate this Lease under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only if each of the following conditions is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and (c) as a result of the damage,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3" w:right="239" w:bottom="1440" w:gutter="0" w:footer="0" w:header="0"/>
        </w:sectPr>
      </w:pPr>
    </w:p>
    <w:bookmarkStart w:id="498" w:name="page499"/>
    <w:bookmarkEnd w:id="49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 cannot reasonably conduct, and does not conduct, business from the Premises. In the event this Lease is terminated in accordance with the terms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Tenant shall assign to Landlord (or to any party designated by Landlord) all insurance proceeds payable to Tenant under Tenant’s insurance required under items (ii) and (iii) of </w:t>
      </w:r>
      <w:r>
        <w:rPr>
          <w:rFonts w:ascii="Arial" w:cs="Arial" w:eastAsia="Arial" w:hAnsi="Arial"/>
          <w:sz w:val="18"/>
          <w:szCs w:val="18"/>
          <w:u w:val="single" w:color="auto"/>
          <w:color w:val="auto"/>
        </w:rPr>
        <w:t>Section 10.3.2</w:t>
      </w:r>
      <w:r>
        <w:rPr>
          <w:rFonts w:ascii="Arial" w:cs="Arial" w:eastAsia="Arial" w:hAnsi="Arial"/>
          <w:sz w:val="18"/>
          <w:szCs w:val="18"/>
          <w:color w:val="auto"/>
        </w:rPr>
        <w:t xml:space="preserve"> of this Lease.</w:t>
      </w:r>
    </w:p>
    <w:p>
      <w:pPr>
        <w:spacing w:after="0" w:line="69"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Waiver of Statutory Provisions</w:t>
      </w:r>
      <w:r>
        <w:rPr>
          <w:rFonts w:ascii="Arial" w:cs="Arial" w:eastAsia="Arial" w:hAnsi="Arial"/>
          <w:sz w:val="17"/>
          <w:szCs w:val="17"/>
          <w:color w:val="auto"/>
        </w:rPr>
        <w:t xml:space="preserve">. The provisions of this Lease, including this </w:t>
      </w:r>
      <w:r>
        <w:rPr>
          <w:rFonts w:ascii="Arial" w:cs="Arial" w:eastAsia="Arial" w:hAnsi="Arial"/>
          <w:sz w:val="17"/>
          <w:szCs w:val="17"/>
          <w:u w:val="single" w:color="auto"/>
          <w:color w:val="auto"/>
        </w:rPr>
        <w:t>Article 11</w:t>
      </w:r>
      <w:r>
        <w:rPr>
          <w:rFonts w:ascii="Arial" w:cs="Arial" w:eastAsia="Arial" w:hAnsi="Arial"/>
          <w:sz w:val="17"/>
          <w:szCs w:val="17"/>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NONWAIVER</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CONDEMNATION</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99" w:name="page500"/>
    <w:bookmarkEnd w:id="49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ten percent (10%) of the rentable square feet of the Premises is taken, or if access to the Premises is substantially impaired, in each case for a period in excess of one hundred eighty (180) days, Tenant shall have the option to either (i) terminate this Lease effective as of the date possession is required to be surrendered to the authority, or (ii) continue this Lease in effect with a proportionate reduction in the Base Rent and Tenant’s Share of Direct Expenses.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7"/>
          <w:szCs w:val="17"/>
          <w:u w:val="single" w:color="auto"/>
          <w:color w:val="auto"/>
        </w:rPr>
        <w:t>Article 13</w:t>
      </w:r>
      <w:r>
        <w:rPr>
          <w:rFonts w:ascii="Arial" w:cs="Arial" w:eastAsia="Arial" w:hAnsi="Arial"/>
          <w:sz w:val="17"/>
          <w:szCs w:val="17"/>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14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ASSIGNMENT AND SUBLETTING</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Transfers</w:t>
      </w:r>
      <w:r>
        <w:rPr>
          <w:rFonts w:ascii="Arial" w:cs="Arial" w:eastAsia="Arial" w:hAnsi="Arial"/>
          <w:sz w:val="17"/>
          <w:szCs w:val="17"/>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7"/>
          <w:szCs w:val="17"/>
          <w:b w:val="1"/>
          <w:bCs w:val="1"/>
          <w:color w:val="auto"/>
        </w:rPr>
        <w:t>Transfers</w:t>
      </w:r>
      <w:r>
        <w:rPr>
          <w:rFonts w:ascii="Arial" w:cs="Arial" w:eastAsia="Arial" w:hAnsi="Arial"/>
          <w:sz w:val="17"/>
          <w:szCs w:val="17"/>
          <w:color w:val="auto"/>
        </w:rPr>
        <w:t>” and any person to whom any Transfer is made or sought to be made is hereinafter sometimes referred to as a “</w:t>
      </w:r>
      <w:r>
        <w:rPr>
          <w:rFonts w:ascii="Arial" w:cs="Arial" w:eastAsia="Arial" w:hAnsi="Arial"/>
          <w:sz w:val="17"/>
          <w:szCs w:val="17"/>
          <w:b w:val="1"/>
          <w:bCs w:val="1"/>
          <w:color w:val="auto"/>
        </w:rPr>
        <w:t>Transferee</w:t>
      </w:r>
      <w:r>
        <w:rPr>
          <w:rFonts w:ascii="Arial" w:cs="Arial" w:eastAsia="Arial" w:hAnsi="Arial"/>
          <w:sz w:val="17"/>
          <w:szCs w:val="17"/>
          <w:color w:val="auto"/>
        </w:rPr>
        <w:t>”). If Tenant desires Landlord’s consent to any Transfer, Tenant shall notify Landlord in writing, which notice (the “</w:t>
      </w:r>
      <w:r>
        <w:rPr>
          <w:rFonts w:ascii="Arial" w:cs="Arial" w:eastAsia="Arial" w:hAnsi="Arial"/>
          <w:sz w:val="17"/>
          <w:szCs w:val="17"/>
          <w:b w:val="1"/>
          <w:bCs w:val="1"/>
          <w:color w:val="auto"/>
        </w:rPr>
        <w:t>Transfer Notice</w:t>
      </w:r>
      <w:r>
        <w:rPr>
          <w:rFonts w:ascii="Arial" w:cs="Arial" w:eastAsia="Arial" w:hAnsi="Arial"/>
          <w:sz w:val="17"/>
          <w:szCs w:val="17"/>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Arial" w:cs="Arial" w:eastAsia="Arial" w:hAnsi="Arial"/>
          <w:sz w:val="17"/>
          <w:szCs w:val="17"/>
          <w:b w:val="1"/>
          <w:bCs w:val="1"/>
          <w:color w:val="auto"/>
        </w:rPr>
        <w:t>Subject Space</w:t>
      </w:r>
      <w:r>
        <w:rPr>
          <w:rFonts w:ascii="Arial" w:cs="Arial" w:eastAsia="Arial" w:hAnsi="Arial"/>
          <w:sz w:val="17"/>
          <w:szCs w:val="17"/>
          <w:color w:val="auto"/>
        </w:rPr>
        <w:t>”), (iii) all of the terms of the proposed Transfer and the consideration therefor, including calculation of the “</w:t>
      </w:r>
      <w:r>
        <w:rPr>
          <w:rFonts w:ascii="Arial" w:cs="Arial" w:eastAsia="Arial" w:hAnsi="Arial"/>
          <w:sz w:val="17"/>
          <w:szCs w:val="17"/>
          <w:b w:val="1"/>
          <w:bCs w:val="1"/>
          <w:color w:val="auto"/>
        </w:rPr>
        <w:t>Transfer Premium</w:t>
      </w:r>
      <w:r>
        <w:rPr>
          <w:rFonts w:ascii="Arial" w:cs="Arial" w:eastAsia="Arial" w:hAnsi="Arial"/>
          <w:sz w:val="17"/>
          <w:szCs w:val="17"/>
          <w:color w:val="auto"/>
        </w:rPr>
        <w:t xml:space="preserve">”, as that term is defined in </w:t>
      </w:r>
      <w:r>
        <w:rPr>
          <w:rFonts w:ascii="Arial" w:cs="Arial" w:eastAsia="Arial" w:hAnsi="Arial"/>
          <w:sz w:val="17"/>
          <w:szCs w:val="17"/>
          <w:u w:val="single" w:color="auto"/>
          <w:color w:val="auto"/>
        </w:rPr>
        <w:t>Section 14.3</w:t>
      </w:r>
      <w:r>
        <w:rPr>
          <w:rFonts w:ascii="Arial" w:cs="Arial" w:eastAsia="Arial" w:hAnsi="Arial"/>
          <w:sz w:val="17"/>
          <w:szCs w:val="17"/>
          <w:color w:val="auto"/>
        </w:rPr>
        <w:t xml:space="preserve"> below, in connection with such Transfer, the name and address of the proposed Transferee, and a copy of all existing executed and/or proposed documentation pertaining to the proposed Transfer, including all existing operative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500" w:name="page501"/>
    <w:bookmarkEnd w:id="50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to be executed to evidence such Transfer or the agreements incidental or related to such Transfer, provided that Landlord shall have the right to require Tenant to utilize Landlord’s standard consent documents in connection with the documentation of Landlord’s consent to such Transfer, (iv) current financial statements of the proposed Transferee certified by an officer, partner or owner thereof, business credit and personal references and history of the proposed Transferee and any other information required by Landlord which will enable Landlord to determine the financial responsibility, character, and reputation of the proposed Transferee, nature of such Transferee’s business and proposed use of the Subject Space and (v) an executed estoppel certificate from Tenant in the form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review and processing fees, as well as any reasonable professional fees (including, without limitation, attorneys’, accountants’, architects’, engineers’ and consultants’ fees) incurred by Landlord, within thirty (30) days after written request by Landlord, in an amount not to exceed Two Thousand Five Hundred and No/100 Dollars ($2,500.00) in the aggregate, but such limitation of fees shall only apply to the extent such Transfer is in the ordinary course of business. Landlord and Tenant hereby agree that a proposed Transfer shall not be considered “in the ordinary course of business” if such Transfer involves the review of documentation by Landlord on more than two (2) occasions.</w:t>
      </w:r>
    </w:p>
    <w:p>
      <w:pPr>
        <w:spacing w:after="0" w:line="57"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Landlord’s Consent</w:t>
      </w:r>
      <w:r>
        <w:rPr>
          <w:rFonts w:ascii="Arial" w:cs="Arial" w:eastAsia="Arial" w:hAnsi="Arial"/>
          <w:sz w:val="18"/>
          <w:szCs w:val="18"/>
          <w:color w:val="auto"/>
        </w:rPr>
        <w:t xml:space="preserve">. Landlord shall not unreasonably withhold its consent to any proposed Transfer (including without limitation any Transfer under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below)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14.2.1 The Transferee is of a character or reputation or engaged in a business which is not consistent with the quality of the Building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14.2.2 The Transferee intends to use the Subject Space for purposes which are not permitted under this Lease;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14.2.3 The Transferee is either a governmental agency or instrumentality thereof;</w:t>
      </w:r>
    </w:p>
    <w:p>
      <w:pPr>
        <w:spacing w:after="0" w:line="11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14.2.4 The Transferee is not a party of reasonable financial worth and/or financial stability in light of the responsibilities to be undertaken in connection with the Transfer on the date consent is requested;</w:t>
      </w:r>
    </w:p>
    <w:p>
      <w:pPr>
        <w:spacing w:after="0" w:line="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14.2.5 The proposed Transfer would cause a violation of another lease for space in the Project, or would give an occupant of the Project a right to cancel its lease;</w:t>
      </w:r>
    </w:p>
    <w:p>
      <w:pPr>
        <w:spacing w:after="0" w:line="62"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14.2.6 The terms of the proposed Transfer will allow the Transferee to exercise a right of renewal, right of expansion, right of first offer, or other similar right held by Tenant (or will allow the Transferee to occupy space leased by Tenant pursuant to any such right);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3" w:right="259" w:bottom="1440" w:gutter="0" w:footer="0" w:header="0"/>
        </w:sectPr>
      </w:pPr>
    </w:p>
    <w:bookmarkStart w:id="501" w:name="page502"/>
    <w:bookmarkEnd w:id="501"/>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14.2.7 Either the proposed Transferee, or any person or entity which directly or indirectly, controls, is controlled by, or is under common control with, the proposed Transferee, occupies space in the Project at the time of the request for consent, or (ii) is negotiating with Landlord to lease space in the Project at such time, or (iii) has negotiated with Landlord during the six (6)-month period immediately preceding the Transfer Notice, and Landlord has reasonably comparable space in the Project then available to lease to such Transferee; or</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14.2.8 The Transferee does not intend to occupy the entire Premises and conduct its business therefrom for a substantial portion of the term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Transfer.</w:t>
      </w:r>
    </w:p>
    <w:p>
      <w:pPr>
        <w:spacing w:after="0" w:line="21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7"/>
          <w:szCs w:val="17"/>
          <w:color w:val="auto"/>
        </w:rPr>
        <w:t xml:space="preserve">If Landlord consents to any Transfer pursuant to the terms of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(and does not exercise any recapture rights Landlord may have under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which would cause the proposed Transfer to be more favorable to the Transferee than the terms set forth in Tenant’s original Transfer Notice, Tenant shall again submit the Transfer to Landlord for its approval and other action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(including Landlord’s right of recapture, if any, under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otherwise has breached or acted unreasonably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without any monetary damages, and Tenant hereby waives all other remedies, including, without limitation, any right at law or equity to terminate this Lease, on its own behalf and, to the extent permitted under all applicable laws, on behalf of the proposed Transferee.</w:t>
      </w:r>
    </w:p>
    <w:p>
      <w:pPr>
        <w:spacing w:after="0" w:line="7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u w:val="single" w:color="auto"/>
          <w:color w:val="auto"/>
        </w:rPr>
        <w:t>Transfer Premium</w:t>
      </w:r>
      <w:r>
        <w:rPr>
          <w:rFonts w:ascii="Arial" w:cs="Arial" w:eastAsia="Arial" w:hAnsi="Arial"/>
          <w:sz w:val="16"/>
          <w:szCs w:val="16"/>
          <w:color w:val="auto"/>
        </w:rPr>
        <w:t xml:space="preserve">. If Landlord consents to a Transfer, as a condition thereto which the parties hereby agree is reasonable, Tenant shall pay to Landlord fifty percent (50%) of any “Transfer Premium,” as that term is defined in this </w:t>
      </w:r>
      <w:r>
        <w:rPr>
          <w:rFonts w:ascii="Arial" w:cs="Arial" w:eastAsia="Arial" w:hAnsi="Arial"/>
          <w:sz w:val="16"/>
          <w:szCs w:val="16"/>
          <w:u w:val="single" w:color="auto"/>
          <w:color w:val="auto"/>
        </w:rPr>
        <w:t>Section 14.3</w:t>
      </w:r>
      <w:r>
        <w:rPr>
          <w:rFonts w:ascii="Arial" w:cs="Arial" w:eastAsia="Arial" w:hAnsi="Arial"/>
          <w:sz w:val="16"/>
          <w:szCs w:val="16"/>
          <w:color w:val="auto"/>
        </w:rPr>
        <w:t>, received by Tenant from such Transferee.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Premium</w:t>
      </w:r>
      <w:r>
        <w:rPr>
          <w:rFonts w:ascii="Arial" w:cs="Arial" w:eastAsia="Arial" w:hAnsi="Arial"/>
          <w:sz w:val="16"/>
          <w:szCs w:val="16"/>
          <w:color w:val="auto"/>
        </w:rPr>
        <w:t>” shall mean all rent, additional rent or other consideration payable by such Transferee in connection with the Transfer in excess of the Rent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or other economic concessions reasonably provided to the Transferee, (iii) any brokerage commissions in connection with the Transfer, (iv) any attorneys’ fees incurred by Tenant in connection with the negotiation and documentation of the Transfer, (v) any lease takeover costs incurred by Tenant in connection with the Transfer, (vi) any costs of advertising the space which is the subject of the Transfer, and (vii) any review and processing fees paid to Landlord in connection with such Transfer. “Transfer Premium” shall also include, but not be limited to, key money, bonus money or other cash consideration paid by Transferee to Tenant in connection with such Transfer, and any payment in excess of fair market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3" w:right="239" w:bottom="1440" w:gutter="0" w:footer="0" w:header="0"/>
        </w:sectPr>
      </w:pPr>
    </w:p>
    <w:bookmarkStart w:id="502" w:name="page503"/>
    <w:bookmarkEnd w:id="502"/>
    <w:p>
      <w:pPr>
        <w:jc w:val="both"/>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value for services rendered by Tenant to Transferee or for assets, fixtures, inventory, equipment, or furniture transferred by Tenant to Transferee in connection with such Transfer. In the calculations of the Rent (as it relates to the Transfer Premium calculated under this </w:t>
      </w:r>
      <w:r>
        <w:rPr>
          <w:rFonts w:ascii="Arial" w:cs="Arial" w:eastAsia="Arial" w:hAnsi="Arial"/>
          <w:sz w:val="17"/>
          <w:szCs w:val="17"/>
          <w:u w:val="single" w:color="auto"/>
          <w:color w:val="auto"/>
        </w:rPr>
        <w:t>Section 14.3</w:t>
      </w:r>
      <w:r>
        <w:rPr>
          <w:rFonts w:ascii="Arial" w:cs="Arial" w:eastAsia="Arial" w:hAnsi="Arial"/>
          <w:sz w:val="17"/>
          <w:szCs w:val="17"/>
          <w:color w:val="auto"/>
        </w:rPr>
        <w:t>), the Rent paid during each annual period for the Subject Space shall be computed after adjusting such rent to the actual effective rent to be paid, taking into consideration any and all leasehold concessions granted in connection therewith, including, but not limited to, any rent credit and tenant improvement allowance. For purposes of calculating any such effective rent all such concessions shall be amortized on a straight-line basis over the relevant term.</w:t>
      </w:r>
    </w:p>
    <w:p>
      <w:pPr>
        <w:spacing w:after="0" w:line="6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u w:val="single" w:color="auto"/>
          <w:color w:val="auto"/>
        </w:rPr>
        <w:t>Landlord’s Option as to Subject Space</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 the event Tenant contemplates a Transfer of all or a portion of the Premises (or in the event of any other Transfer or Transfers entered into by Tenant as a subterfuge in order to avoid the terms of this </w:t>
      </w:r>
      <w:r>
        <w:rPr>
          <w:rFonts w:ascii="Arial" w:cs="Arial" w:eastAsia="Arial" w:hAnsi="Arial"/>
          <w:sz w:val="17"/>
          <w:szCs w:val="17"/>
          <w:u w:val="single" w:color="auto"/>
          <w:color w:val="auto"/>
        </w:rPr>
        <w:t>Section 14.4</w:t>
      </w:r>
      <w:r>
        <w:rPr>
          <w:rFonts w:ascii="Arial" w:cs="Arial" w:eastAsia="Arial" w:hAnsi="Arial"/>
          <w:sz w:val="17"/>
          <w:szCs w:val="17"/>
          <w:color w:val="auto"/>
        </w:rPr>
        <w:t>), Tenant shall give Landlord notice (the “</w:t>
      </w:r>
      <w:r>
        <w:rPr>
          <w:rFonts w:ascii="Arial" w:cs="Arial" w:eastAsia="Arial" w:hAnsi="Arial"/>
          <w:sz w:val="17"/>
          <w:szCs w:val="17"/>
          <w:b w:val="1"/>
          <w:bCs w:val="1"/>
          <w:color w:val="auto"/>
        </w:rPr>
        <w:t>Intention to Transfer Notice</w:t>
      </w:r>
      <w:r>
        <w:rPr>
          <w:rFonts w:ascii="Arial" w:cs="Arial" w:eastAsia="Arial" w:hAnsi="Arial"/>
          <w:sz w:val="17"/>
          <w:szCs w:val="17"/>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7"/>
          <w:szCs w:val="17"/>
          <w:b w:val="1"/>
          <w:bCs w:val="1"/>
          <w:color w:val="auto"/>
        </w:rPr>
        <w:t>Contemplated Transfer Space</w:t>
      </w:r>
      <w:r>
        <w:rPr>
          <w:rFonts w:ascii="Arial" w:cs="Arial" w:eastAsia="Arial" w:hAnsi="Arial"/>
          <w:sz w:val="17"/>
          <w:szCs w:val="17"/>
          <w:color w:val="auto"/>
        </w:rPr>
        <w:t>”), the contemplated date of commencement of the Contemplated Transfer (the “</w:t>
      </w:r>
      <w:r>
        <w:rPr>
          <w:rFonts w:ascii="Arial" w:cs="Arial" w:eastAsia="Arial" w:hAnsi="Arial"/>
          <w:sz w:val="17"/>
          <w:szCs w:val="17"/>
          <w:b w:val="1"/>
          <w:bCs w:val="1"/>
          <w:color w:val="auto"/>
        </w:rPr>
        <w:t>Contemplated Effective Date</w:t>
      </w:r>
      <w:r>
        <w:rPr>
          <w:rFonts w:ascii="Arial" w:cs="Arial" w:eastAsia="Arial" w:hAnsi="Arial"/>
          <w:sz w:val="17"/>
          <w:szCs w:val="17"/>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in order to allow Landlord to elect to recapture the Contemplated Transfer Space for the term set forth in the Intention to Transfer Notice. Thereafter, Landlord shall have the option, by giving written notice to Tenant (the “Recapture Notice”) within twenty (20) days after receipt of any Intention to Transfer Notice, to recapture the Contemplated Transfer Space. However, if Landlord delivers a Recapture Notice to Tenant, Tenant may, within ten (10) days after Tenant’s receipt of such Recapture Notice, deliver written notice to Landlord rescinding the subject Intention to Transfer notice, in which case neither such Transfer or recapture shall be consummated and this Lease shall remain in full force and effect as to the corresponding Subject Space; provided, however, Tenant’s failure to timely rescind its Intention to Transfer Notice as set forth in this sentence shall be deemed to constitute Tenant’s election to allow the Recapture Notice to be effective. Any recapture shall cancel and terminate this Lease with respect to such Contemplated Transfer Space as of the Contemplated Effective Date (or at Landlord’s option, shall cause the Transfer to be made to Landlord or its agent, in which case the parties shall execute the Transfer documentation promptly thereafter).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then, subject to the other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for a period of nine (9) months (the “</w:t>
      </w:r>
      <w:r>
        <w:rPr>
          <w:rFonts w:ascii="Arial" w:cs="Arial" w:eastAsia="Arial" w:hAnsi="Arial"/>
          <w:sz w:val="17"/>
          <w:szCs w:val="17"/>
          <w:b w:val="1"/>
          <w:bCs w:val="1"/>
          <w:color w:val="auto"/>
        </w:rPr>
        <w:t>Nine Month Period</w:t>
      </w:r>
      <w:r>
        <w:rPr>
          <w:rFonts w:ascii="Arial" w:cs="Arial" w:eastAsia="Arial" w:hAnsi="Arial"/>
          <w:sz w:val="17"/>
          <w:szCs w:val="17"/>
          <w:color w:val="auto"/>
        </w:rPr>
        <w:t xml:space="preserve">”) commencing on the last day of such twenty (20)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If such a Transfer is not so consummated within the Nine Month Period (or if a Transfer is so consummated, then upon the expiration of the term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03" w:name="page504"/>
    <w:bookmarkEnd w:id="50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8"/>
          <w:szCs w:val="18"/>
          <w:u w:val="single" w:color="auto"/>
          <w:color w:val="auto"/>
        </w:rPr>
        <w:t>Article 14.4</w:t>
      </w:r>
      <w:r>
        <w:rPr>
          <w:rFonts w:ascii="Arial" w:cs="Arial" w:eastAsia="Arial" w:hAnsi="Arial"/>
          <w:sz w:val="18"/>
          <w:szCs w:val="18"/>
          <w:color w:val="auto"/>
        </w:rPr>
        <w: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Effect of Transfer</w:t>
      </w:r>
      <w:r>
        <w:rPr>
          <w:rFonts w:ascii="Arial" w:cs="Arial" w:eastAsia="Arial" w:hAnsi="Arial"/>
          <w:sz w:val="16"/>
          <w:szCs w:val="16"/>
          <w:color w:val="auto"/>
        </w:rPr>
        <w:t>. If Landlord consents to a Transfer, (i) the TCCs of this Lease shall in no way be deemed to have been waived or modified,</w:t>
      </w:r>
    </w:p>
    <w:p>
      <w:pPr>
        <w:spacing w:after="0" w:line="50" w:lineRule="exact"/>
        <w:rPr>
          <w:sz w:val="20"/>
          <w:szCs w:val="20"/>
          <w:color w:val="auto"/>
        </w:rPr>
      </w:pPr>
    </w:p>
    <w:p>
      <w:pPr>
        <w:ind w:left="280" w:hanging="272"/>
        <w:spacing w:after="0"/>
        <w:tabs>
          <w:tab w:leader="none" w:pos="28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such consent shall not be deemed consent to any further Transfer by either Tenant or a Transferee, (iii) Tenant shall deliver to Landlord, promptly after</w:t>
      </w:r>
    </w:p>
    <w:p>
      <w:pPr>
        <w:spacing w:after="0" w:line="3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b w:val="1"/>
          <w:bCs w:val="1"/>
          <w:u w:val="single" w:color="auto"/>
          <w:color w:val="auto"/>
        </w:rPr>
        <w:t>Additional Transfers</w:t>
      </w:r>
      <w:r>
        <w:rPr>
          <w:rFonts w:ascii="Arial" w:cs="Arial" w:eastAsia="Arial" w:hAnsi="Arial"/>
          <w:sz w:val="17"/>
          <w:szCs w:val="17"/>
          <w:color w:val="auto"/>
        </w:rPr>
        <w:t xml:space="preserve">. Subject to the terms set forth in </w:t>
      </w:r>
      <w:r>
        <w:rPr>
          <w:rFonts w:ascii="Arial" w:cs="Arial" w:eastAsia="Arial" w:hAnsi="Arial"/>
          <w:sz w:val="17"/>
          <w:szCs w:val="17"/>
          <w:u w:val="single" w:color="auto"/>
          <w:color w:val="auto"/>
        </w:rPr>
        <w:t>Section 14.8</w:t>
      </w:r>
      <w:r>
        <w:rPr>
          <w:rFonts w:ascii="Arial" w:cs="Arial" w:eastAsia="Arial" w:hAnsi="Arial"/>
          <w:sz w:val="17"/>
          <w:szCs w:val="17"/>
          <w:color w:val="auto"/>
        </w:rPr>
        <w:t>, below, for purposes of this Lease, the term “</w:t>
      </w:r>
      <w:r>
        <w:rPr>
          <w:rFonts w:ascii="Arial" w:cs="Arial" w:eastAsia="Arial" w:hAnsi="Arial"/>
          <w:sz w:val="17"/>
          <w:szCs w:val="17"/>
          <w:b w:val="1"/>
          <w:bCs w:val="1"/>
          <w:color w:val="auto"/>
        </w:rPr>
        <w:t>Transfer</w:t>
      </w:r>
      <w:r>
        <w:rPr>
          <w:rFonts w:ascii="Arial" w:cs="Arial" w:eastAsia="Arial" w:hAnsi="Arial"/>
          <w:sz w:val="17"/>
          <w:szCs w:val="17"/>
          <w:color w:val="auto"/>
        </w:rPr>
        <w:t>” shall also include (i) if Tenant is a partnership, the withdrawal or change, voluntary, involuntary or by operation of law, of more than fifty percent (50%) or more of the partners, or transfer of more than fifty percent (50%) or more of partnership interests, within a twelve (12)-month period, or the dissolution of the partnership without immediate reconstitution thereof, and (ii) if Tenant is a closely held corporation ( i.e., whose stock is not publicly held and not traded through an exchange or over the counter), the dissolution, merger, consolidation or other reorganization of Tenant or (B) the sale or other transfer of an aggregate of more than fifty percent (50%) or more of the voting shares of Tenant within a twelve (12)-month period (but excluding transfers (a) to immediate family members by reason of gift or death, or (b) by any of Tenant’s investors to any such investor’s limited partners and/or members), or (C) the sale, mortgage, hypothecation or pledge of an aggregate of more than fifty percent (50%) or more of the value of the unencumbered assets of Tenant within a twelve (12)-month period; provided, however, the parties hereby acknowledge that transactions involving Tenant’s stock or assets that fall below the specified thresholds described in this sentence above shall not require Landlord’s consent. Notwithstanding the foregoing, the raising of capital by Tenant in connection with a sale, issuance or other offering of stock or ownership interests in Tenant (each, together with any related transactions, a “Capital Raising Event”) shall not be deemed a Transfer nor require Landlord’s consent hereunder; provided, however, (1) any such Capital Raising Event shall be for the bona fide purpose of raising capital in Tenant (as opposed to being for the purpose of a total or partial liquidation of an existing shareholder’s interest in Tenant) and is not otherwise a subterfuge by Tenant to avoid its obligations under this Lease, and (2) Tenant shall continue to conduct its business operations in the Premises in accordance with the Permitted Use.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04" w:name="page505"/>
    <w:bookmarkEnd w:id="504"/>
    <w:p>
      <w:pPr>
        <w:ind w:right="4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14.7 </w:t>
      </w:r>
      <w:r>
        <w:rPr>
          <w:rFonts w:ascii="Arial" w:cs="Arial" w:eastAsia="Arial" w:hAnsi="Arial"/>
          <w:sz w:val="17"/>
          <w:szCs w:val="17"/>
          <w:b w:val="1"/>
          <w:bCs w:val="1"/>
          <w:u w:val="single" w:color="auto"/>
          <w:color w:val="auto"/>
        </w:rPr>
        <w:t>Occurrence of Default</w:t>
      </w:r>
      <w:r>
        <w:rPr>
          <w:rFonts w:ascii="Arial" w:cs="Arial" w:eastAsia="Arial" w:hAnsi="Arial"/>
          <w:sz w:val="17"/>
          <w:szCs w:val="17"/>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the applicable notice and cure period set forth in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w:t>
      </w:r>
    </w:p>
    <w:p>
      <w:pPr>
        <w:spacing w:after="0" w:line="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b w:val="1"/>
          <w:bCs w:val="1"/>
          <w:u w:val="single" w:color="auto"/>
          <w:color w:val="auto"/>
        </w:rPr>
        <w:t>Non-Transfers</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 a Transfer of all or a portion of the Premises to an affiliate of Tenant (an entity which is controlled by, controls, or is under common control with, Tenant), (ii) a Transfer to an entity which acquires all or substantially all of the assets or interests (partnership, stock or other) of Tenant, or (iii) a Transfer to an entity which is the resulting entity of a merger, consolidation, public offering, reorganization or dissolution of Tenant, or which becomes the parent or successor of Tenant by reason of merger, consolidation, public offering, reorganization, dissolution, or sale of stock, membership or partnership interests or assets, shall not be deemed a Transfer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provided that Tenant notifies Landlord of any such assignment or sublease and promptly supplies Landlord with any documents or information requested by Landlord regarding such assignment or sublease or such affiliate, and further provided that such assignment or sublease is not a subterfuge by Tenant to avoid its obligations under this Lease or otherwise effectuate any “release” by Tenant of such obligations and such Permitted Transferee shall thereafter become liable under this Lease, on a joint and several basis, with Tenant. The assignee under an assignment specified in items (i), (ii) or (iii) above shall be referred to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w:t>
      </w:r>
      <w:r>
        <w:rPr>
          <w:rFonts w:ascii="Arial" w:cs="Arial" w:eastAsia="Arial" w:hAnsi="Arial"/>
          <w:sz w:val="17"/>
          <w:szCs w:val="17"/>
          <w:b w:val="1"/>
          <w:bCs w:val="1"/>
          <w:color w:val="auto"/>
        </w:rPr>
        <w:t>Control</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14.8</w:t>
      </w:r>
      <w:r>
        <w:rPr>
          <w:rFonts w:ascii="Arial" w:cs="Arial" w:eastAsia="Arial" w:hAnsi="Arial"/>
          <w:sz w:val="17"/>
          <w:szCs w:val="17"/>
          <w:color w:val="auto"/>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spacing w:after="0" w:line="72"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b w:val="1"/>
          <w:bCs w:val="1"/>
          <w:u w:val="single" w:color="auto"/>
          <w:color w:val="auto"/>
        </w:rPr>
        <w:t>Occupancy by Others</w:t>
      </w:r>
      <w:r>
        <w:rPr>
          <w:rFonts w:ascii="Arial" w:cs="Arial" w:eastAsia="Arial" w:hAnsi="Arial"/>
          <w:sz w:val="17"/>
          <w:szCs w:val="17"/>
          <w:color w:val="auto"/>
        </w:rPr>
        <w:t xml:space="preserve">. Notwithstanding any contrary provision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Tenant shall have the right (without the payment of a Transfer Premium, without being subject to </w:t>
      </w:r>
      <w:r>
        <w:rPr>
          <w:rFonts w:ascii="Arial" w:cs="Arial" w:eastAsia="Arial" w:hAnsi="Arial"/>
          <w:sz w:val="17"/>
          <w:szCs w:val="17"/>
          <w:u w:val="single" w:color="auto"/>
          <w:color w:val="auto"/>
        </w:rPr>
        <w:t>Section 14.4</w:t>
      </w:r>
      <w:r>
        <w:rPr>
          <w:rFonts w:ascii="Arial" w:cs="Arial" w:eastAsia="Arial" w:hAnsi="Arial"/>
          <w:sz w:val="17"/>
          <w:szCs w:val="17"/>
          <w:color w:val="auto"/>
        </w:rPr>
        <w:t>, and without the receipt of Landlord’s consent, but only following prior written notice to Landlord), to permit the occupancy (which shall otherwise be deemed a Transfer hereunder) of up to a cumulative total of twenty-five percent (25%) of the rentable square footage of the Premises, in the aggregate, to any individual(s) with an ongoing, business substantially similar to the Permitted Use (“</w:t>
      </w:r>
      <w:r>
        <w:rPr>
          <w:rFonts w:ascii="Arial" w:cs="Arial" w:eastAsia="Arial" w:hAnsi="Arial"/>
          <w:sz w:val="17"/>
          <w:szCs w:val="17"/>
          <w:b w:val="1"/>
          <w:bCs w:val="1"/>
          <w:color w:val="auto"/>
        </w:rPr>
        <w:t>Tenant’s Occupants</w:t>
      </w:r>
      <w:r>
        <w:rPr>
          <w:rFonts w:ascii="Arial" w:cs="Arial" w:eastAsia="Arial" w:hAnsi="Arial"/>
          <w:sz w:val="17"/>
          <w:szCs w:val="17"/>
          <w:color w:val="auto"/>
        </w:rPr>
        <w:t>”) on and subject to the following conditions: (i) such individuals or entities shall not be permitted to occupy a separately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505" w:name="page506"/>
    <w:bookmarkEnd w:id="50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demised portion of the Premises which contains an entrance to such portion of the Premises other than the primary entrance to the Premises; (ii) all such individuals or entities shall be of a character and reputation consistent with the first-class quality of the Building and the Project; and (iii) such occupancy shall not be a subterfuge by Tenant to avoid its obligations under this Lease or the restrictions on Transfers pursuant to this Article L 4. Tenant shall promptly supply Landlord with any documents or information reasonably requested by Landlord regarding any such individuals or entities. Notwithstanding the foregoing, no such occupancy shall relieve Tenant from any liability under this Lease.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SURRENDER OF PREMISES; OWNERSHIP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REMOVAL OF TRADE FIXTURES</w:t>
      </w:r>
    </w:p>
    <w:p>
      <w:pPr>
        <w:spacing w:after="0" w:line="20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Surrender of Premises</w:t>
      </w:r>
      <w:r>
        <w:rPr>
          <w:rFonts w:ascii="Arial" w:cs="Arial" w:eastAsia="Arial" w:hAnsi="Arial"/>
          <w:sz w:val="17"/>
          <w:szCs w:val="17"/>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6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Removal of Tenant Property by Tenant</w:t>
      </w:r>
      <w:r>
        <w:rPr>
          <w:rFonts w:ascii="Arial" w:cs="Arial" w:eastAsia="Arial" w:hAnsi="Arial"/>
          <w:sz w:val="17"/>
          <w:szCs w:val="17"/>
          <w:color w:val="auto"/>
        </w:rPr>
        <w:t xml:space="preserve">. Upon the expiration of the Lease Term, or upon any earlier termination of this Lease, Tenant shall, subject to the provisions of this </w:t>
      </w:r>
      <w:r>
        <w:rPr>
          <w:rFonts w:ascii="Arial" w:cs="Arial" w:eastAsia="Arial" w:hAnsi="Arial"/>
          <w:sz w:val="17"/>
          <w:szCs w:val="17"/>
          <w:u w:val="single" w:color="auto"/>
          <w:color w:val="auto"/>
        </w:rPr>
        <w:t>Article 15</w:t>
      </w:r>
      <w:r>
        <w:rPr>
          <w:rFonts w:ascii="Arial" w:cs="Arial" w:eastAsia="Arial" w:hAnsi="Arial"/>
          <w:sz w:val="17"/>
          <w:szCs w:val="17"/>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HOLDING OVER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Tenant holds over after the expiration of the Lease Term or earlier termination thereof, with or without the express or implied consent of Landlord, such tenancy shall be from month-to-month only, and shall not constitute a renewal hereof or an extension for any further term, and in such case Rent shall be payable at a monthly rate equal to the product of (i) the Rent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3" w:right="279" w:bottom="1440" w:gutter="0" w:footer="0" w:header="0"/>
        </w:sectPr>
      </w:pPr>
    </w:p>
    <w:bookmarkStart w:id="506" w:name="page507"/>
    <w:bookmarkEnd w:id="50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during the last rental period of the Lease Term under this Lease, and (ii) a percentage equal to one hundred fifty percent (150%). Such month-to-month tenancy shall be subject to every other applicable term, covenant and agreement contained herein. Nothing contained in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not be deemed to limit or constitute a waiver of any other rights or remedies of Landlord provided herein or at law; provided, however, to the extent Landlord affirmatively consents to Tenant’s holding over in the Premises, then in no event shall Tenant be liable to Landlord for, or otherwise be required to indemnify Landlord with respect to, any consequential damages in connection therewith. If Tenant fails to surrender the Premises upon the termination or expiration of this Lease without Landlord’s affirmative consent,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 provided, however, that in no event shall Tenant be liable for consequential damages attributable to the first thirty (30) days of any holding over by Tenant. In the event of any potential or actual holding over of the Premises by Tenant, Tenant may elect to send a written notice to Landlord (specifically referencing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requesting an update as to whether Landlord has entered into a third-party lease for the Premises following the expiration or earlier termination of this Lease, and Landlord shall, within ten (10) business days of its receipt of such notice from Tenant, notify Tenant whether or not Landlord has entered into a third-party lease as of the date of such notice for the Premises following the expiration or earlier termination of this Lease; provided, however, in no event shall any such notice by Tenant to Landlord, or any subsequent notice from Landlord to Tenant (or any failure by Landlord to provide such notice) be deemed a waiver of any of Tenant’s obligations or liabilities under this </w:t>
      </w:r>
      <w:r>
        <w:rPr>
          <w:rFonts w:ascii="Arial" w:cs="Arial" w:eastAsia="Arial" w:hAnsi="Arial"/>
          <w:sz w:val="16"/>
          <w:szCs w:val="16"/>
          <w:u w:val="single" w:color="auto"/>
          <w:color w:val="auto"/>
        </w:rPr>
        <w:t>Article 16</w:t>
      </w:r>
      <w:r>
        <w:rPr>
          <w:rFonts w:ascii="Arial" w:cs="Arial" w:eastAsia="Arial" w:hAnsi="Arial"/>
          <w:sz w:val="16"/>
          <w:szCs w:val="16"/>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ESTOPPEL CERTIFICATES</w:t>
      </w:r>
    </w:p>
    <w:p>
      <w:pPr>
        <w:spacing w:after="0" w:line="2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Within ten (10) days following a request in writing by Landlord, Tenant shall execute, acknowledge and deliver to Landlord an estoppel certificate, which, as submitted by Landlord, shall be substantially in the form of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commercially reasonable instruments may be reasonably required for such purposes.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07" w:name="page508"/>
    <w:bookmarkEnd w:id="507"/>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such estoppel certificate or other instruments shall constitute an acceptance of the Premises and an acknowledgment by Tenant that statements included in the estoppel certificate are true and correct, without exception.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Landlord covenants that there is no existing mortgage, deed of trust, ground lease or other encumbrance encumbering the Project or any portion thereof as of the Effective Date. This Lease shall be subject and subordinate to all future ground or underlying leases of the Building or Project and to the lien of any mortgage, trust deed or other encumbrances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Arial" w:cs="Arial" w:eastAsia="Arial" w:hAnsi="Arial"/>
          <w:sz w:val="16"/>
          <w:szCs w:val="16"/>
          <w:b w:val="1"/>
          <w:bCs w:val="1"/>
          <w:color w:val="auto"/>
        </w:rPr>
        <w:t>Superior Holders</w:t>
      </w:r>
      <w:r>
        <w:rPr>
          <w:rFonts w:ascii="Arial" w:cs="Arial" w:eastAsia="Arial" w:hAnsi="Arial"/>
          <w:sz w:val="16"/>
          <w:szCs w:val="16"/>
          <w:color w:val="auto"/>
        </w:rPr>
        <w:t>”); provided, however, that in consideration of and a condition precedent to Tenant’s agreement to subordinate this Lease, shall be the receipt by Tenant of a subordination non-disturbance and attornment agreement in a commercially reasonable form, which requires such Superior Holder to accept this lease, and not to disturb tenant’s possession, so long as an event of default has not occurred and be continuing (a “</w:t>
      </w:r>
      <w:r>
        <w:rPr>
          <w:rFonts w:ascii="Arial" w:cs="Arial" w:eastAsia="Arial" w:hAnsi="Arial"/>
          <w:sz w:val="16"/>
          <w:szCs w:val="16"/>
          <w:b w:val="1"/>
          <w:bCs w:val="1"/>
          <w:color w:val="auto"/>
        </w:rPr>
        <w:t>SNDA</w:t>
      </w:r>
      <w:r>
        <w:rPr>
          <w:rFonts w:ascii="Arial" w:cs="Arial" w:eastAsia="Arial" w:hAnsi="Arial"/>
          <w:sz w:val="16"/>
          <w:szCs w:val="16"/>
          <w:color w:val="auto"/>
        </w:rPr>
        <w:t>”) executed by Landlord and the appropriate Superior Holder. Subject to Tenant’s receipt of an SNDA, Tenant covenants and agrees that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Landlord’s interest herein may be assigned as security at any time to any lienholder. Tenant shall, within five (5)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DEFAULTS; REMEDIES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occurrence of any of the following shall constitute a default of this Lease by Tenant: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3" w:right="279" w:bottom="1440" w:gutter="0" w:footer="0" w:header="0"/>
        </w:sectPr>
      </w:pPr>
    </w:p>
    <w:bookmarkStart w:id="508" w:name="page509"/>
    <w:bookmarkEnd w:id="508"/>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19.1.1 Any failure by Tenant to pay any Rent or any other charge required to be paid under this Lease, or any part thereof, when due unless such failure is cured within five (5) business days after notice; or</w:t>
      </w:r>
    </w:p>
    <w:p>
      <w:pPr>
        <w:spacing w:after="0" w:line="62"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6"/>
          <w:szCs w:val="16"/>
          <w:u w:val="single" w:color="auto"/>
          <w:color w:val="auto"/>
        </w:rPr>
        <w:t>Section 19.1.2</w:t>
      </w:r>
      <w:r>
        <w:rPr>
          <w:rFonts w:ascii="Arial" w:cs="Arial" w:eastAsia="Arial" w:hAnsi="Arial"/>
          <w:sz w:val="16"/>
          <w:szCs w:val="16"/>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but in no event exceeding a period of time in excess of ninety (90) days after written notice thereof from Landlord to Tenant; or</w:t>
      </w:r>
    </w:p>
    <w:p>
      <w:pPr>
        <w:spacing w:after="0" w:line="5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19.1.3 To the extent permitted by law, (i) Tenant or any guarantor of this Lease being placed into receivership or conservatorship, or becoming subject to similar proceedings under Federal or State law, or (ii) a general assignment by Tenant or any guarantor of this Lease for the benefit of creditors, or</w:t>
      </w:r>
    </w:p>
    <w:p>
      <w:pPr>
        <w:ind w:right="20" w:firstLine="8"/>
        <w:spacing w:after="0" w:line="270" w:lineRule="auto"/>
        <w:tabs>
          <w:tab w:leader="none" w:pos="315"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taking of any corporate action in furtherance of bankruptcy or dissolution whether or not there exists any proceeding under an insolvency or bankruptcy law, or (iv) the filing by or against Tenant or any guarantor of any proceeding under an insolvency or bankruptcy law, unless in the case of such a proceeding filed against Tenant or any guarantor the same is dismissed within sixty (60) days, or (v) the appointment of a trustee or receiver to take possession of all or substantially all of the assets of Tenant or any guarantor, unless possession is restored to Tenant or such guarantor within thirty (30) days, or (vi) any execution or other judicially authorized seizure of all or substantially all of Tenant’s assets located upon the Premises or of Tenant’s interest in this Lease, unless such seizure is- discharged within thirty (30) days; or</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19.1.4 Abandonment or vacation pursuant to the terms of California Civil Code Section 1951.3 of all or a substantial portion of the Premises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 or</w:t>
      </w:r>
    </w:p>
    <w:p>
      <w:pPr>
        <w:spacing w:after="0" w:line="10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19.1.5 The failure by Tenant to observe or perform according to the provisions of </w:t>
      </w:r>
      <w:r>
        <w:rPr>
          <w:rFonts w:ascii="Arial" w:cs="Arial" w:eastAsia="Arial" w:hAnsi="Arial"/>
          <w:sz w:val="18"/>
          <w:szCs w:val="18"/>
          <w:u w:val="single" w:color="auto"/>
          <w:color w:val="auto"/>
        </w:rPr>
        <w:t>Articles 17 or 18</w:t>
      </w:r>
      <w:r>
        <w:rPr>
          <w:rFonts w:ascii="Arial" w:cs="Arial" w:eastAsia="Arial" w:hAnsi="Arial"/>
          <w:sz w:val="18"/>
          <w:szCs w:val="18"/>
          <w:color w:val="auto"/>
        </w:rPr>
        <w:t xml:space="preserve"> of this Lease where such failure continues for more than five (5) business days after notice from Landlord; or</w:t>
      </w:r>
    </w:p>
    <w:p>
      <w:pPr>
        <w:spacing w:after="0" w:line="6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19.1.6 The failure by Tenant to observe or perform according to the provisions of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of this Lease where such failure continues for more than ten (10) business days after notice from Landlord; or</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19.1.7 Tenant’s failure to occupy the Premises within one hundred twenty (120) days after the Lease Commencement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periods provided herein are in lieu of, and not in addition to, any notice periods provided by law.</w:t>
      </w:r>
    </w:p>
    <w:p>
      <w:pPr>
        <w:spacing w:after="0" w:line="113"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u w:val="single" w:color="auto"/>
          <w:color w:val="auto"/>
        </w:rPr>
        <w:t>Remedies Upon Default</w:t>
      </w:r>
      <w:r>
        <w:rPr>
          <w:rFonts w:ascii="Arial" w:cs="Arial" w:eastAsia="Arial" w:hAnsi="Arial"/>
          <w:sz w:val="18"/>
          <w:szCs w:val="18"/>
          <w:color w:val="auto"/>
        </w:rPr>
        <w:t>. Upon the occurrence of any event of default by Tenant, Landlord shall have, in addition to any other remedies available to Landlord at law or in equity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509" w:name="page510"/>
    <w:bookmarkEnd w:id="509"/>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which remedies shall be distinct, separate and cumulative), the option to pursue any one or more of the following remedies, each and all of which shall be cumulative and nonexclusive, without any notice or demand whatsoever (except as otherwise expressly set forth in this Lease).</w:t>
      </w:r>
    </w:p>
    <w:p>
      <w:pPr>
        <w:spacing w:after="0" w:line="3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79" w:lineRule="exact"/>
        <w:rPr>
          <w:sz w:val="20"/>
          <w:szCs w:val="20"/>
          <w:color w:val="auto"/>
        </w:rPr>
      </w:pPr>
    </w:p>
    <w:p>
      <w:pPr>
        <w:ind w:left="1740" w:hanging="248"/>
        <w:spacing w:after="0"/>
        <w:tabs>
          <w:tab w:leader="none" w:pos="17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 termination; plus</w:t>
      </w:r>
    </w:p>
    <w:p>
      <w:pPr>
        <w:spacing w:after="0" w:line="117" w:lineRule="exact"/>
        <w:rPr>
          <w:rFonts w:ascii="Arial" w:cs="Arial" w:eastAsia="Arial" w:hAnsi="Arial"/>
          <w:sz w:val="18"/>
          <w:szCs w:val="18"/>
          <w:color w:val="auto"/>
        </w:rPr>
      </w:pPr>
    </w:p>
    <w:p>
      <w:pPr>
        <w:ind w:firstLine="1492"/>
        <w:spacing w:after="0" w:line="277" w:lineRule="auto"/>
        <w:tabs>
          <w:tab w:leader="none" w:pos="173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right="380" w:firstLine="1492"/>
        <w:spacing w:after="0" w:line="277" w:lineRule="auto"/>
        <w:tabs>
          <w:tab w:leader="none" w:pos="172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right="80" w:firstLine="1492"/>
        <w:spacing w:after="0" w:line="259" w:lineRule="auto"/>
        <w:tabs>
          <w:tab w:leader="none" w:pos="173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07"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19.2</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Sections 19.2.1(a) and (b)</w:t>
      </w:r>
      <w:r>
        <w:rPr>
          <w:rFonts w:ascii="Arial" w:cs="Arial" w:eastAsia="Arial" w:hAnsi="Arial"/>
          <w:sz w:val="17"/>
          <w:szCs w:val="17"/>
          <w:color w:val="auto"/>
        </w:rPr>
        <w:t xml:space="preserve">, above, the “worth at the time of award” shall be computed by allowing interest at the Interest Rate. As used in </w:t>
      </w:r>
      <w:r>
        <w:rPr>
          <w:rFonts w:ascii="Arial" w:cs="Arial" w:eastAsia="Arial" w:hAnsi="Arial"/>
          <w:sz w:val="17"/>
          <w:szCs w:val="17"/>
          <w:u w:val="single" w:color="auto"/>
          <w:color w:val="auto"/>
        </w:rPr>
        <w:t>Section 19.2.1(c)</w:t>
      </w:r>
      <w:r>
        <w:rPr>
          <w:rFonts w:ascii="Arial" w:cs="Arial" w:eastAsia="Arial" w:hAnsi="Arial"/>
          <w:sz w:val="17"/>
          <w:szCs w:val="17"/>
          <w:color w:val="auto"/>
        </w:rPr>
        <w:t>, above, the “worth at the time of award” shall be computed by discounting such amount at the discount rate of the Federal Reserve Bank of San Francisco at the time of award plus one percent (1%).</w:t>
      </w:r>
    </w:p>
    <w:p>
      <w:pPr>
        <w:spacing w:after="0" w:line="6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510" w:name="page511"/>
    <w:bookmarkEnd w:id="510"/>
    <w:p>
      <w:pPr>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 and 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7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Whether or not Landlord elects to terminate this Lease on account of any default by Tenant, as set forth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4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u w:val="single" w:color="auto"/>
          <w:color w:val="auto"/>
        </w:rPr>
        <w:t>Form of Payment After Default</w:t>
      </w:r>
      <w:r>
        <w:rPr>
          <w:rFonts w:ascii="Arial" w:cs="Arial" w:eastAsia="Arial" w:hAnsi="Arial"/>
          <w:sz w:val="18"/>
          <w:szCs w:val="18"/>
          <w:color w:val="auto"/>
        </w:rPr>
        <w:t>. Following the occurrence of the second (2</w:t>
      </w:r>
      <w:r>
        <w:rPr>
          <w:rFonts w:ascii="Arial" w:cs="Arial" w:eastAsia="Arial" w:hAnsi="Arial"/>
          <w:sz w:val="15"/>
          <w:szCs w:val="15"/>
          <w:color w:val="auto"/>
        </w:rPr>
        <w:t>nd</w:t>
      </w:r>
      <w:r>
        <w:rPr>
          <w:rFonts w:ascii="Arial" w:cs="Arial" w:eastAsia="Arial" w:hAnsi="Arial"/>
          <w:sz w:val="18"/>
          <w:szCs w:val="18"/>
          <w:color w:val="auto"/>
        </w:rPr>
        <w:t>) event of economic default by Tenant (beyond all applicable notice and cure periods) occurring within any twelve (12) month period, Landlord shall have the right to require that any or all subsequent amounts paid by Tenant to Landlord hereunder, whether to cure the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7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76" w:lineRule="exact"/>
        <w:rPr>
          <w:sz w:val="20"/>
          <w:szCs w:val="20"/>
          <w:color w:val="auto"/>
        </w:rPr>
      </w:pPr>
    </w:p>
    <w:p>
      <w:pPr>
        <w:jc w:val="both"/>
        <w:ind w:right="40" w:firstLine="913"/>
        <w:spacing w:after="0" w:line="289"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b w:val="1"/>
          <w:bCs w:val="1"/>
          <w:u w:val="single" w:color="auto"/>
          <w:color w:val="auto"/>
        </w:rPr>
        <w:t>Landlord Default</w:t>
      </w:r>
      <w:r>
        <w:rPr>
          <w:rFonts w:ascii="Arial" w:cs="Arial" w:eastAsia="Arial" w:hAnsi="Arial"/>
          <w:sz w:val="16"/>
          <w:szCs w:val="16"/>
          <w:color w:val="auto"/>
        </w:rPr>
        <w:t>. Notwithstanding anything to the contrary set forth in this Lease, Landlord shall be in default in the performance of any obligation required to be performed by Landlord pursuant to this Lease if Landlord fails to perform such obligation within thirty (30) days after the receipt of notice from Tenant specifying in detail Landlord’s failure to perform; provided, however, if the nature of Landlord’s obligation is such that more than thirty</w:t>
      </w:r>
    </w:p>
    <w:p>
      <w:pPr>
        <w:spacing w:after="0" w:line="2" w:lineRule="exact"/>
        <w:rPr>
          <w:sz w:val="20"/>
          <w:szCs w:val="20"/>
          <w:color w:val="auto"/>
        </w:rPr>
      </w:pPr>
    </w:p>
    <w:p>
      <w:pPr>
        <w:ind w:left="360" w:hanging="352"/>
        <w:spacing w:after="0"/>
        <w:tabs>
          <w:tab w:leader="none" w:pos="36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days are required for its performance, then Landlord shall not be in default under this Lease if it shall commence such performance within such thirty</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day period and thereafter diligently pursues the same to completion. Upon any such default by Landlord under this Lease, Tenant may, except as</w:t>
      </w:r>
    </w:p>
    <w:p>
      <w:pPr>
        <w:spacing w:after="0" w:line="20" w:lineRule="exact"/>
        <w:rPr>
          <w:rFonts w:ascii="Arial" w:cs="Arial" w:eastAsia="Arial" w:hAnsi="Arial"/>
          <w:sz w:val="17"/>
          <w:szCs w:val="17"/>
          <w:color w:val="auto"/>
        </w:rPr>
      </w:pPr>
    </w:p>
    <w:p>
      <w:pPr>
        <w:ind w:right="160"/>
        <w:spacing w:after="0" w:line="302" w:lineRule="auto"/>
        <w:rPr>
          <w:rFonts w:ascii="Arial" w:cs="Arial" w:eastAsia="Arial" w:hAnsi="Arial"/>
          <w:sz w:val="17"/>
          <w:szCs w:val="17"/>
          <w:color w:val="auto"/>
        </w:rPr>
      </w:pPr>
      <w:r>
        <w:rPr>
          <w:rFonts w:ascii="Arial" w:cs="Arial" w:eastAsia="Arial" w:hAnsi="Arial"/>
          <w:sz w:val="16"/>
          <w:szCs w:val="16"/>
          <w:color w:val="auto"/>
        </w:rPr>
        <w:t>otherwise specifically provided in this Lease to the contrary, exercise any of its rights provided at law or in equity. Any award from a court or arbitrator in favor of Tenant requiring payment by Landlord which is not paid by Landlord within the time period directed by such award, may be offset by Tenant from Rent next due and payable under this Lease; provided, however, Tenant may not deduct the amount of the award against more than fifty percent (50%)</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73" w:right="299" w:bottom="1440" w:gutter="0" w:footer="0" w:header="0"/>
        </w:sectPr>
      </w:pPr>
    </w:p>
    <w:bookmarkStart w:id="511" w:name="page512"/>
    <w:bookmarkEnd w:id="51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Base Rent next due and owing (until such time as the entire amount of such judgment is deducted) to the extent following a foreclosure or a deed-in-lieu of foreclosure.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 OF QUIET ENJOYMENT</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Landlord covenants that Tenant, on paying the Rent, charges for services and other payments herein reserved and on keeping, observing and performing all the other TCCs, provisions and agreements herein contained on the part of Tenant to be kept, observed and performed, shall, during the Lease Term, peaceably and quietly have, hold and enjoy the Premises subject to the TCCs, provisions and agreements hereof without interference by any persons lawfully claiming by or through Landlord. The foregoing covenant is in lieu of any other covenant express or implied.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 DEPOSIT</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Concurrent with Tenant’s execution of this Lease, Tenant shall deposit with Landlord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Summary, as security for the faithful performance by Tenant of all of its obligations under this Lease. If Tenant defaults with respect to any provisions of this Lease, including, but not limited to, the provisions relating to the payment of Rent, the removal of property and the repair of resultant damage, Landlord may, without notice to Tenant, but shall not be required to apply all or any part of the Security Deposit for the payment of any Rent or any other sum in default and Tenant shall, upon demand therefor, restore the Security Deposit to its original amount. Any unapplied portion of the Security Deposit shall be returned to Tenant, or, at Landlord’s option, to the last assignee of Tenant’s interest hereunder, within thirty (30) days following the expiration of the Lease Term. Tenant shall not be entitled to any interest on the Security Deposit. Tenant hereby irrevocably waives and relinquishes any and all rights, benefits, or protections, if any, Tenant now has, or in the future may have, under </w:t>
      </w:r>
      <w:r>
        <w:rPr>
          <w:rFonts w:ascii="Arial" w:cs="Arial" w:eastAsia="Arial" w:hAnsi="Arial"/>
          <w:sz w:val="16"/>
          <w:szCs w:val="16"/>
          <w:u w:val="single" w:color="auto"/>
          <w:color w:val="auto"/>
        </w:rPr>
        <w:t>Section 1950.7</w:t>
      </w:r>
      <w:r>
        <w:rPr>
          <w:rFonts w:ascii="Arial" w:cs="Arial" w:eastAsia="Arial" w:hAnsi="Arial"/>
          <w:sz w:val="16"/>
          <w:szCs w:val="16"/>
          <w:color w:val="auto"/>
        </w:rPr>
        <w:t xml:space="preserve"> of the California Civil Code, any successor statute, and all other provisions of law, now or hereafter in effect, including, but not limited to, any provision of law which (i) establishes the time frame by which a landlord must refund a security deposit under a lease, or (ii) provides that a landlord may claim from a security deposit only those sums reasonably necessary to remedy defaults in the payment of rent, to repair damage caused by a tenant, or to clean the subject premises. Tenant acknowledges and agrees that (A) any statutory time frames for the return of a security deposit are superseded by the express period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above, and (B) rather than be so limited, Landlord may claim from the Security Deposit (i) any and all sums expressly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above, and (ii) any additional sums reasonably necessary to compensate Landlord for any and all losses or damages caused by Tenant’s default of this Lease, including, but not limited to, all damages or rent due upon termination of this Lease pursuant to </w:t>
      </w:r>
      <w:r>
        <w:rPr>
          <w:rFonts w:ascii="Arial" w:cs="Arial" w:eastAsia="Arial" w:hAnsi="Arial"/>
          <w:sz w:val="16"/>
          <w:szCs w:val="16"/>
          <w:u w:val="single" w:color="auto"/>
          <w:color w:val="auto"/>
        </w:rPr>
        <w:t>Section 1951.2</w:t>
      </w:r>
      <w:r>
        <w:rPr>
          <w:rFonts w:ascii="Arial" w:cs="Arial" w:eastAsia="Arial" w:hAnsi="Arial"/>
          <w:sz w:val="16"/>
          <w:szCs w:val="16"/>
          <w:color w:val="auto"/>
        </w:rPr>
        <w:t xml:space="preserve"> of the California Civil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3" w:right="239" w:bottom="1440" w:gutter="0" w:footer="0" w:header="0"/>
        </w:sectPr>
      </w:pPr>
    </w:p>
    <w:bookmarkStart w:id="512" w:name="page513"/>
    <w:bookmarkEnd w:id="51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LETTER OF CREDIT</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Delivery of Letter of Credit</w:t>
      </w:r>
      <w:r>
        <w:rPr>
          <w:rFonts w:ascii="Arial" w:cs="Arial" w:eastAsia="Arial" w:hAnsi="Arial"/>
          <w:sz w:val="16"/>
          <w:szCs w:val="16"/>
          <w:color w:val="auto"/>
        </w:rPr>
        <w:t>. Tenant shall deliver to Landlord, within forty-five (45) days following Tenant’s execution of this Lease, an unconditional, clean, irrevocable letter of credit (the “</w:t>
      </w:r>
      <w:r>
        <w:rPr>
          <w:rFonts w:ascii="Arial" w:cs="Arial" w:eastAsia="Arial" w:hAnsi="Arial"/>
          <w:sz w:val="16"/>
          <w:szCs w:val="16"/>
          <w:b w:val="1"/>
          <w:bCs w:val="1"/>
          <w:color w:val="auto"/>
        </w:rPr>
        <w:t>L-C</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L-C Amount</w:t>
      </w:r>
      <w:r>
        <w:rPr>
          <w:rFonts w:ascii="Arial" w:cs="Arial" w:eastAsia="Arial" w:hAnsi="Arial"/>
          <w:sz w:val="16"/>
          <w:szCs w:val="16"/>
          <w:color w:val="auto"/>
        </w:rPr>
        <w:t>”), which L-C shall be issued by a money-center, solvent and nationally recognized bank (a bank which accepts deposits, maintains accounts, has a local San Diego office which will negotiate a letter of credit, and whose deposits are insured by the FDIC) reasonably acceptable to Landlord, and Landlord hereby pre-approves UBS Bank USA (such approved, issuing bank being referred to herein as the “</w:t>
      </w:r>
      <w:r>
        <w:rPr>
          <w:rFonts w:ascii="Arial" w:cs="Arial" w:eastAsia="Arial" w:hAnsi="Arial"/>
          <w:sz w:val="16"/>
          <w:szCs w:val="16"/>
          <w:b w:val="1"/>
          <w:bCs w:val="1"/>
          <w:color w:val="auto"/>
        </w:rPr>
        <w:t>Bank</w:t>
      </w:r>
      <w:r>
        <w:rPr>
          <w:rFonts w:ascii="Arial" w:cs="Arial" w:eastAsia="Arial" w:hAnsi="Arial"/>
          <w:sz w:val="16"/>
          <w:szCs w:val="16"/>
          <w:color w:val="auto"/>
        </w:rPr>
        <w:t>”), which Bank must have a short term Fitch Rating which is not less than “F l “, and a long term Fitch Rating which is not less than “A”(or in the event such Fitch Ratings are no longer available, a comparable rating from Standard and Poor’ s Professional Rating Service or Moody’s Professional Rating Service) (collectively, the “</w:t>
      </w:r>
      <w:r>
        <w:rPr>
          <w:rFonts w:ascii="Arial" w:cs="Arial" w:eastAsia="Arial" w:hAnsi="Arial"/>
          <w:sz w:val="16"/>
          <w:szCs w:val="16"/>
          <w:b w:val="1"/>
          <w:bCs w:val="1"/>
          <w:color w:val="auto"/>
        </w:rPr>
        <w:t>Bank’s Credit Rating Threshold</w:t>
      </w:r>
      <w:r>
        <w:rPr>
          <w:rFonts w:ascii="Arial" w:cs="Arial" w:eastAsia="Arial" w:hAnsi="Arial"/>
          <w:sz w:val="16"/>
          <w:szCs w:val="16"/>
          <w:color w:val="auto"/>
        </w:rPr>
        <w:t xml:space="preserve">”), and which L-C shall be substantially in the form of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attached hereto. Tenant shall pay all expenses, points and/or fees incurred by Tenant in obtaining the L-C. The L-C shall (i) be “callable” at sight, irrevocable and unconditional, (ii) be maintained in effect, whether through renewal or extension, for the period commencing on the date of issuance of such L-C and continuing until the date (the “</w:t>
      </w:r>
      <w:r>
        <w:rPr>
          <w:rFonts w:ascii="Arial" w:cs="Arial" w:eastAsia="Arial" w:hAnsi="Arial"/>
          <w:sz w:val="16"/>
          <w:szCs w:val="16"/>
          <w:b w:val="1"/>
          <w:bCs w:val="1"/>
          <w:color w:val="auto"/>
        </w:rPr>
        <w:t>L-C Expiration Date</w:t>
      </w:r>
      <w:r>
        <w:rPr>
          <w:rFonts w:ascii="Arial" w:cs="Arial" w:eastAsia="Arial" w:hAnsi="Arial"/>
          <w:sz w:val="16"/>
          <w:szCs w:val="16"/>
          <w:color w:val="auto"/>
        </w:rPr>
        <w:t>”) that is no less than one hundred twenty (120) days after the expiration of the Lease Term, as the same may be extended, and Tenant shall deliver a new L-C or certificate of renewal or extension to Landlord at least thirty (30) days prior to the expiration of the L-C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 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or (B) Tenant has filed a voluntary petition under the U. S. Bankruptcy Code or any state bankruptcy code (collectively, “</w:t>
      </w:r>
      <w:r>
        <w:rPr>
          <w:rFonts w:ascii="Arial" w:cs="Arial" w:eastAsia="Arial" w:hAnsi="Arial"/>
          <w:sz w:val="16"/>
          <w:szCs w:val="16"/>
          <w:b w:val="1"/>
          <w:bCs w:val="1"/>
          <w:color w:val="auto"/>
        </w:rPr>
        <w:t>Bankruptcy Code</w:t>
      </w:r>
      <w:r>
        <w:rPr>
          <w:rFonts w:ascii="Arial" w:cs="Arial" w:eastAsia="Arial" w:hAnsi="Arial"/>
          <w:sz w:val="16"/>
          <w:szCs w:val="16"/>
          <w:color w:val="auto"/>
        </w:rPr>
        <w:t>”), or (C) an involuntary petition has been filed against Tenant under the Bankruptcy Code, or (D) the Bank has notified Landlord that the L-C will not be renewed or extended through the L-C Expiration Date, or (E) Tenant is placed into receivership or conservatorship, or becomes subject to similar proceedings under Federal or State law, or</w:t>
      </w:r>
    </w:p>
    <w:p>
      <w:pPr>
        <w:spacing w:after="0" w:line="2" w:lineRule="exact"/>
        <w:rPr>
          <w:sz w:val="20"/>
          <w:szCs w:val="20"/>
          <w:color w:val="auto"/>
        </w:rPr>
      </w:pPr>
    </w:p>
    <w:p>
      <w:pPr>
        <w:ind w:right="60" w:firstLine="8"/>
        <w:spacing w:after="0" w:line="252" w:lineRule="auto"/>
        <w:tabs>
          <w:tab w:leader="none" w:pos="26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Tenant executes an assignment for the benefit of creditors, or (G) if (I)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(including, but not limited to, the requirements placed on the issuing Bank more particularly set forth in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above), in the amount of the applicable L-C Amount, within ten (IO)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8"/>
          <w:szCs w:val="18"/>
          <w:b w:val="1"/>
          <w:bCs w:val="1"/>
          <w:color w:val="auto"/>
        </w:rPr>
        <w:t>L-C Draw Event</w:t>
      </w:r>
      <w:r>
        <w:rPr>
          <w:rFonts w:ascii="Arial" w:cs="Arial" w:eastAsia="Arial" w:hAnsi="Arial"/>
          <w:sz w:val="18"/>
          <w:szCs w:val="18"/>
          <w:color w:val="auto"/>
        </w:rPr>
        <w:t>”). The L-C shall be honored by the Bank regardless of whether Tenant disputes Landlord’s right to draw upon the L-C. In addition, in the event the Bank is placed into receivership or conservatorship by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69" w:right="239" w:bottom="1440" w:gutter="0" w:footer="0" w:header="0"/>
        </w:sectPr>
      </w:pPr>
    </w:p>
    <w:bookmarkStart w:id="513" w:name="page514"/>
    <w:bookmarkEnd w:id="513"/>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and, within ten (10) days following Landlord’s notice to Tenant of such receivership or conservatorship (the “</w:t>
      </w:r>
      <w:r>
        <w:rPr>
          <w:rFonts w:ascii="Arial" w:cs="Arial" w:eastAsia="Arial" w:hAnsi="Arial"/>
          <w:sz w:val="16"/>
          <w:szCs w:val="16"/>
          <w:b w:val="1"/>
          <w:bCs w:val="1"/>
          <w:color w:val="auto"/>
        </w:rPr>
        <w:t>L-C FDIC Replacement Notice</w:t>
      </w:r>
      <w:r>
        <w:rPr>
          <w:rFonts w:ascii="Arial" w:cs="Arial" w:eastAsia="Arial" w:hAnsi="Arial"/>
          <w:sz w:val="16"/>
          <w:szCs w:val="16"/>
          <w:color w:val="auto"/>
        </w:rPr>
        <w:t xml:space="preserv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If Tenant fails to replace such L-C with such conforming, substitute letter of credit pursuant to the terms and conditions of this </w:t>
      </w:r>
      <w:r>
        <w:rPr>
          <w:rFonts w:ascii="Arial" w:cs="Arial" w:eastAsia="Arial" w:hAnsi="Arial"/>
          <w:sz w:val="16"/>
          <w:szCs w:val="16"/>
          <w:u w:val="single" w:color="auto"/>
          <w:color w:val="auto"/>
        </w:rPr>
        <w:t>Section 22.1</w:t>
      </w:r>
      <w:r>
        <w:rPr>
          <w:rFonts w:ascii="Arial" w:cs="Arial" w:eastAsia="Arial" w:hAnsi="Arial"/>
          <w:sz w:val="16"/>
          <w:szCs w:val="16"/>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costs incurred with the review of any replacement L-C (including without limitation Landlord’s reasonable attorneys’ fees), which replacement is required pursuant to this Section or is otherwise requested by Tenant.</w:t>
      </w:r>
    </w:p>
    <w:p>
      <w:pPr>
        <w:spacing w:after="0" w:line="5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Application of L-C</w:t>
      </w:r>
      <w:r>
        <w:rPr>
          <w:rFonts w:ascii="Arial" w:cs="Arial" w:eastAsia="Arial" w:hAnsi="Arial"/>
          <w:sz w:val="16"/>
          <w:szCs w:val="16"/>
          <w:color w:val="auto"/>
        </w:rPr>
        <w:t>.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draw upon the L-C, in part or in whole,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No condition or term of this Lease shall be deemed to render the L-C conditional to justify the issuer of the L-C in failing to honor a drawing upon such L-C in a timely manner. Tenant agrees and acknowledges that the L-C constitutes a separate and independent contract between Landlord and the Bank, Tenant is not a third party beneficiary of such contract, (iii) Tenant has no property interest whatsoever in the L-C or the proceeds thereof, and</w:t>
      </w:r>
    </w:p>
    <w:p>
      <w:pPr>
        <w:ind w:right="80" w:firstLine="8"/>
        <w:spacing w:after="0" w:line="254" w:lineRule="auto"/>
        <w:tabs>
          <w:tab w:leader="none" w:pos="30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u w:val="single" w:color="auto"/>
          <w:color w:val="auto"/>
        </w:rPr>
        <w:t>L-C Amount; Maintenance of L-C by Tenant; Liquidated Damages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22.3.1 </w:t>
      </w:r>
      <w:r>
        <w:rPr>
          <w:rFonts w:ascii="Arial" w:cs="Arial" w:eastAsia="Arial" w:hAnsi="Arial"/>
          <w:sz w:val="18"/>
          <w:szCs w:val="18"/>
          <w:b w:val="1"/>
          <w:bCs w:val="1"/>
          <w:u w:val="single" w:color="auto"/>
          <w:color w:val="auto"/>
        </w:rPr>
        <w:t>L-C Amount</w:t>
      </w:r>
      <w:r>
        <w:rPr>
          <w:rFonts w:ascii="Arial" w:cs="Arial" w:eastAsia="Arial" w:hAnsi="Arial"/>
          <w:sz w:val="18"/>
          <w:szCs w:val="18"/>
          <w:color w:val="auto"/>
        </w:rPr>
        <w:t>. The L-C Amount shall initially be equal to One Hundred Sixty Thousand and 00/100 Dollars ($160,000.00).</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514" w:name="page515"/>
    <w:bookmarkEnd w:id="514"/>
    <w:p>
      <w:pPr>
        <w:ind w:right="10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22.3.2 </w:t>
      </w:r>
      <w:r>
        <w:rPr>
          <w:rFonts w:ascii="Arial" w:cs="Arial" w:eastAsia="Arial" w:hAnsi="Arial"/>
          <w:sz w:val="18"/>
          <w:szCs w:val="18"/>
          <w:b w:val="1"/>
          <w:bCs w:val="1"/>
          <w:u w:val="single" w:color="auto"/>
          <w:color w:val="auto"/>
        </w:rPr>
        <w:t>Reduction of L-C Amount</w:t>
      </w:r>
      <w:r>
        <w:rPr>
          <w:rFonts w:ascii="Arial" w:cs="Arial" w:eastAsia="Arial" w:hAnsi="Arial"/>
          <w:sz w:val="18"/>
          <w:szCs w:val="18"/>
          <w:color w:val="auto"/>
        </w:rPr>
        <w:t>. To the extent that Tenant is not in default under this Lease (beyond the applicable notice and cure period set forth in this Lease), the L-C Amount shall be reduced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Date of Reduction</w:t>
            </w:r>
          </w:p>
        </w:tc>
        <w:tc>
          <w:tcPr>
            <w:tcW w:w="3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color w:val="auto"/>
              </w:rPr>
              <w:t>L-C Amount</w:t>
            </w:r>
          </w:p>
        </w:tc>
      </w:tr>
      <w:tr>
        <w:trPr>
          <w:trHeight w:val="203"/>
        </w:trPr>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1, 2012</w:t>
            </w:r>
          </w:p>
        </w:tc>
        <w:tc>
          <w:tcPr>
            <w:tcW w:w="2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135,000.00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September 1, 2013</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110,000.00</w:t>
            </w: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2014</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85,000.00</w:t>
            </w:r>
          </w:p>
        </w:tc>
        <w:tc>
          <w:tcPr>
            <w:tcW w:w="100" w:type="dxa"/>
            <w:vAlign w:val="bottom"/>
            <w:shd w:val="clear" w:color="auto" w:fill="CCEEFF"/>
          </w:tcPr>
          <w:p>
            <w:pPr>
              <w:spacing w:after="0"/>
              <w:rPr>
                <w:sz w:val="18"/>
                <w:szCs w:val="18"/>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September 1, 2015</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60,000.00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22.3.2</w:t>
      </w:r>
      <w:r>
        <w:rPr>
          <w:rFonts w:ascii="Arial" w:cs="Arial" w:eastAsia="Arial" w:hAnsi="Arial"/>
          <w:sz w:val="16"/>
          <w:szCs w:val="16"/>
          <w:color w:val="auto"/>
        </w:rPr>
        <w:t>, in no event shall the L-C Amount as set forth above decrease during any period in which Tenant is in default under this Lease (beyond any applicable notice and cure periods), but such decrease shall take place retroactively after such default is cured, provided that no such decrease shall thereafter take effect in the event this Lease is terminated early due to such default by Tenant.</w:t>
      </w:r>
    </w:p>
    <w:p>
      <w:pPr>
        <w:spacing w:after="0" w:line="3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22.3.3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xml:space="preserve">. If, as a result of any drawing by Landlord of all or any portion of the L-C, the amount of the L-C shall be less than the L-C Amount, Tenant shall, within ten (10) days thereafter, provide Landlord with additional letter(s) of credit in an amount equal to the deficiency, and any such additional letter(s) of credit shall comply with all of the provisions of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and if Tenant fails to comply with the foregoing, the same shall be subject to the terms of </w:t>
      </w:r>
      <w:r>
        <w:rPr>
          <w:rFonts w:ascii="Arial" w:cs="Arial" w:eastAsia="Arial" w:hAnsi="Arial"/>
          <w:sz w:val="17"/>
          <w:szCs w:val="17"/>
          <w:u w:val="single" w:color="auto"/>
          <w:color w:val="auto"/>
        </w:rPr>
        <w:t>Section 22.3.3</w:t>
      </w:r>
      <w:r>
        <w:rPr>
          <w:rFonts w:ascii="Arial" w:cs="Arial" w:eastAsia="Arial" w:hAnsi="Arial"/>
          <w:sz w:val="17"/>
          <w:szCs w:val="17"/>
          <w:color w:val="auto"/>
        </w:rPr>
        <w:t xml:space="preserve">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If Tenant exercises its option to extend the Lease Term pursuant to Section 2.3 of this Lease then, not later than one hundred twenty (120) days prior to the commencement of the applicable Option Term, Tenant shall deliver to Landlord a new L-C or certificate of renewal or extension evidencing the L-C Expiration Date as one hundred twenty (120) days after the expiration of the Option Term. However, if the L-C is not timely renewed, or if Tenant fails to maintain the L-C in the amount and in accordance with the terms set forth in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Landlord shall have the right to either (x) present the L-C to the Bank in accordance with the terms of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or (y) pursue its remedy under </w:t>
      </w:r>
      <w:r>
        <w:rPr>
          <w:rFonts w:ascii="Arial" w:cs="Arial" w:eastAsia="Arial" w:hAnsi="Arial"/>
          <w:sz w:val="17"/>
          <w:szCs w:val="17"/>
          <w:u w:val="single" w:color="auto"/>
          <w:color w:val="auto"/>
        </w:rPr>
        <w:t>Section 22.3.3</w:t>
      </w:r>
      <w:r>
        <w:rPr>
          <w:rFonts w:ascii="Arial" w:cs="Arial" w:eastAsia="Arial" w:hAnsi="Arial"/>
          <w:sz w:val="17"/>
          <w:szCs w:val="17"/>
          <w:color w:val="auto"/>
        </w:rPr>
        <w:t xml:space="preserve"> below. In the event Landlord elects to exercise its rights under the foregoing item (x), (I) any unused proceeds shall constitute the property of Landlord (and not Tenant’s property or, in the event of 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0" w:right="279" w:bottom="1440" w:gutter="0" w:footer="0" w:header="0"/>
        </w:sectPr>
      </w:pPr>
    </w:p>
    <w:bookmarkStart w:id="515" w:name="page516"/>
    <w:bookmarkEnd w:id="51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receivership, conservatorship, or a bankruptcy filing by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67" w:lineRule="exact"/>
        <w:rPr>
          <w:sz w:val="20"/>
          <w:szCs w:val="20"/>
          <w:color w:val="auto"/>
        </w:rPr>
      </w:pPr>
    </w:p>
    <w:p>
      <w:pPr>
        <w:ind w:firstLine="913"/>
        <w:spacing w:after="0" w:line="252" w:lineRule="auto"/>
        <w:rPr>
          <w:sz w:val="20"/>
          <w:szCs w:val="20"/>
          <w:color w:val="auto"/>
        </w:rPr>
      </w:pPr>
      <w:r>
        <w:rPr>
          <w:rFonts w:ascii="Arial" w:cs="Arial" w:eastAsia="Arial" w:hAnsi="Arial"/>
          <w:sz w:val="18"/>
          <w:szCs w:val="18"/>
          <w:color w:val="auto"/>
        </w:rPr>
        <w:t xml:space="preserve">22.3.4 </w:t>
      </w:r>
      <w:r>
        <w:rPr>
          <w:rFonts w:ascii="Arial" w:cs="Arial" w:eastAsia="Arial" w:hAnsi="Arial"/>
          <w:sz w:val="18"/>
          <w:szCs w:val="18"/>
          <w:b w:val="1"/>
          <w:bCs w:val="1"/>
          <w:u w:val="single" w:color="auto"/>
          <w:color w:val="auto"/>
        </w:rPr>
        <w:t>FAILURE TO MAINTAIN; REPLACE AND/OR REINSTATE L-C; LIQUIDATED DAMAGES</w:t>
      </w:r>
      <w:r>
        <w:rPr>
          <w:rFonts w:ascii="Arial" w:cs="Arial" w:eastAsia="Arial" w:hAnsi="Arial"/>
          <w:sz w:val="18"/>
          <w:szCs w:val="18"/>
          <w:color w:val="auto"/>
        </w:rPr>
        <w:t xml:space="preserve">. IN THE EVENT THAT TENANT FAILS, WITHIN (I) THAT PERIOD SET FORTH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ABOVE, OR (II) THAT PERIOD SET FORTH IN THE L-C FDIC REPLACEMENT NOTICE, TO PROVIDE LANDLORD WITH ADDITIONAL L-C(S) IN AN AMOUNT EQUAL TO THE DEFICIENCY OR A REPLACEMENT L-C (AS APPLICABLE), THEN TENANT’S MONTHLY INSTALLMENT OF BASE RENT SHALL BE INCREASED TO ONE HUNDRED TEN PERCENT (110%) OF ITS THEN EXISTING LEVEL DURING THE PERIOD COMMENCING ON THE DATE WHICH IS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AND ENDING ON THE EARLIER TO OCCUR OF (X) THE DATE TENANT PROVIDES LANDLORD WITH ADDITIONAL L-C(S) IN AN AMOUNT EQUAL TO THE DEFICIENCY AS CONTEMPLATED BY THE TERMS OF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ABOVE, OR THE L-C FDIC REPLACEMENT NOTICE (AS APPLICABLE), OR (Y) THE DATE WHICH IS NINETY (90) DAYS AFTER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IN THE EVENT THAT TENANT FAILS, DURING SUCH NINETY (90) DAY PERIOD FOLLOWING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TO PROVIDE LANDLORD WITH ADDITIONAL L-C(S) IN AN AMOUNT EQUAL TO THE DEFICIENCY OR A REPLACEMENT L-C (AS APPLICABLE), THEN TENANT’S MONTHLY INSTALLMENT OF BASE RENT SHALL BE INCREASED TO ONE HUNDRED TWENTY PERCENT (120%) OF ITS THEN EXISTING LEVEL DURING THE PERIOD COMMENCING ON THE DATE WHICH IS NINETY (90) DAYS AFTER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AND ENDING ON THE DATE SUCH ADDITIONAL L-C(S) ARE ISSUED IN AN AMOUNT EQUAL TO THE DEFICIENCY OR SUCH A REPLACEMENT L-C IS ISSUED (AS APPLICABLE) PURSUANT TO THE TERMS OF SECTION 22.3.2 OR THE L-C FDIC REPLACEMENT NOTICE (AS APPLICABLE). THE PARTIES AGREE THAT IT WOULD BE IMPRACTICABLE AND EXTREMELY DIFFICULT TO ASCERTAIN THE ACTUAL DAMAGES SUFFERED BY LANDLORD AS A RESULT OF TENANT’S FAILURE TO TIMELY PROVIDE LANDLORD WITH ADDITIONAL L-C(S) IN AN AMOUNT EQUAL TO THE DEFICIENCY AS REQUIRED IN </w:t>
      </w:r>
      <w:r>
        <w:rPr>
          <w:rFonts w:ascii="Arial" w:cs="Arial" w:eastAsia="Arial" w:hAnsi="Arial"/>
          <w:sz w:val="18"/>
          <w:szCs w:val="18"/>
          <w:u w:val="single" w:color="auto"/>
          <w:color w:val="auto"/>
        </w:rPr>
        <w:t>SECTION 22.3.2</w:t>
      </w:r>
      <w:r>
        <w:rPr>
          <w:rFonts w:ascii="Arial" w:cs="Arial" w:eastAsia="Arial" w:hAnsi="Arial"/>
          <w:sz w:val="18"/>
          <w:szCs w:val="18"/>
          <w:color w:val="auto"/>
        </w:rPr>
        <w:t>, OR A REPLACEMENT L-C AS CONTEMPLATED BY THE L-C FDIC REPLACEMENT NOTICE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3" w:right="259" w:bottom="1440" w:gutter="0" w:footer="0" w:header="0"/>
        </w:sectPr>
      </w:pPr>
    </w:p>
    <w:bookmarkStart w:id="516" w:name="page517"/>
    <w:bookmarkEnd w:id="516"/>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APPLICABLE), AND THAT UNDER THE CIRCUMSTANCES EXISTING AS OF THE EFFECTIVE DATE, THE LIQUIDATED DAMAGES PROVIDED FOR IN THIS </w:t>
      </w:r>
      <w:r>
        <w:rPr>
          <w:rFonts w:ascii="Arial" w:cs="Arial" w:eastAsia="Arial" w:hAnsi="Arial"/>
          <w:sz w:val="17"/>
          <w:szCs w:val="17"/>
          <w:u w:val="single" w:color="auto"/>
          <w:color w:val="auto"/>
        </w:rPr>
        <w:t>SECTION 22.3.3</w:t>
      </w:r>
      <w:r>
        <w:rPr>
          <w:rFonts w:ascii="Arial" w:cs="Arial" w:eastAsia="Arial" w:hAnsi="Arial"/>
          <w:sz w:val="17"/>
          <w:szCs w:val="17"/>
          <w:color w:val="auto"/>
        </w:rPr>
        <w:t xml:space="preserve"> REPRESENT A REASONABLE ESTIMATE OF THE DAMAGES WHICH LANDLORD WILL INCUR AS A RESULT OF SUCH FAILURE, PROVIDED, HOWEVER, THAT THIS PROVISION SHALL NOT WAIVE OR AFFECT LANDLORD’S RIGHTS AND TENANT’S INDEMNITY OBLIGATIONS UNDER OTHER SECTIONS OF THIS LEASE (EXCEPT THAT THE PARTIES SPECIFICALLY AGREE THAT THE FOREGOING PROVISION WAS AGREED TO IN LIEU OF MAKING FAILURE TO PROVIDE LANDLORD WITH ADDITIONAL L-C(S) IN AN AMOUNT EQUAL TO THE DEFICIENCY OR A REPLACEMENT L-C (AS APPLICABLE) A DEFAULT UNDER THIS LEASE). THE PARTIES ACKNOWLEDGE THAT THE PAYMENT OF SUCH LIQUIDATED DAMAGES IS NOT INTENDED AS A FORFEITURE OR PENALTY WITHIN THE MEANING OF CALIFORNIA CIVIL CODE SECTION 3275 OR 3369, BUT IS INTENDED TO CONSTITUTE LIQUIDATED DAMAGES TO LANDLORD PURSUANT TO CALIFORNIA CIVIL CODE SECTION 1671. THE PARTIES HAVE SET FORTH THEIR INITIALS BELOW TO INDICATE THEIR AGREEMENT WITH THE LIQUIDATED DAMAGES PROVISION CONTAINED IN THIS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200" w:lineRule="exact"/>
        <w:rPr>
          <w:sz w:val="20"/>
          <w:szCs w:val="20"/>
          <w:color w:val="auto"/>
        </w:rPr>
      </w:pPr>
    </w:p>
    <w:tbl>
      <w:tblPr>
        <w:tblLayout w:type="fixed"/>
        <w:tblInd w:w="3200" w:type="dxa"/>
        <w:tblCellMar>
          <w:top w:w="0" w:type="dxa"/>
          <w:left w:w="0" w:type="dxa"/>
          <w:bottom w:w="0" w:type="dxa"/>
          <w:right w:w="0" w:type="dxa"/>
        </w:tblCellMar>
      </w:tblPr>
      <w:tr>
        <w:trPr>
          <w:trHeight w:val="181"/>
        </w:trPr>
        <w:tc>
          <w:tcPr>
            <w:tcW w:w="264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ACK</w:t>
            </w:r>
          </w:p>
        </w:tc>
        <w:tc>
          <w:tcPr>
            <w:tcW w:w="240" w:type="dxa"/>
            <w:vAlign w:val="bottom"/>
          </w:tcPr>
          <w:p>
            <w:pPr>
              <w:spacing w:after="0"/>
              <w:rPr>
                <w:sz w:val="15"/>
                <w:szCs w:val="15"/>
                <w:color w:val="auto"/>
              </w:rPr>
            </w:pPr>
          </w:p>
        </w:tc>
        <w:tc>
          <w:tcPr>
            <w:tcW w:w="262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TES/HS</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LANDLORD’S INITIALS</w:t>
            </w:r>
          </w:p>
        </w:tc>
        <w:tc>
          <w:tcPr>
            <w:tcW w:w="2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TENANT’S INITIALS</w:t>
            </w:r>
          </w:p>
        </w:tc>
      </w:tr>
    </w:tbl>
    <w:p>
      <w:pPr>
        <w:spacing w:after="0" w:line="18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b w:val="1"/>
          <w:bCs w:val="1"/>
          <w:u w:val="single" w:color="auto"/>
          <w:color w:val="auto"/>
        </w:rPr>
        <w:t>Transfer and Encumbrance</w:t>
      </w:r>
      <w:r>
        <w:rPr>
          <w:rFonts w:ascii="Arial" w:cs="Arial" w:eastAsia="Arial" w:hAnsi="Arial"/>
          <w:sz w:val="17"/>
          <w:szCs w:val="17"/>
          <w:color w:val="auto"/>
        </w:rPr>
        <w:t>. The L-C shall also provide that Landlord may, at any time and without notice to Tenant and without first obtaining Tenant’s consent thereto, transfer (one or more times) all of its interest in and to the L-C to another party, in connection with the assignment by Landlord of its rights and interests in and to this Lease. In the event of a transfer of Landlord’s interest in under this Lease, Landlord shall transfer the L-C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execute and submit to the Bank such applications, documents and instruments as may be necessary to effectuate such transfer; provided, however, with regard to the cost of any particular transfer, Landlord shall be responsible for, and shall pay, the first $1000 of the Bank’s transfer and processing fees in connection therewith, with Tenant being responsible for any excess.</w:t>
      </w:r>
    </w:p>
    <w:p>
      <w:pPr>
        <w:spacing w:after="0" w:line="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u w:val="single" w:color="auto"/>
          <w:color w:val="auto"/>
        </w:rPr>
        <w:t>L-C Not a Security Deposit</w:t>
      </w:r>
      <w:r>
        <w:rPr>
          <w:rFonts w:ascii="Arial" w:cs="Arial" w:eastAsia="Arial" w:hAnsi="Arial"/>
          <w:sz w:val="18"/>
          <w:szCs w:val="18"/>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8"/>
          <w:szCs w:val="18"/>
          <w:b w:val="1"/>
          <w:bCs w:val="1"/>
          <w:color w:val="auto"/>
        </w:rPr>
        <w:t>Security Deposit Laws</w:t>
      </w:r>
      <w:r>
        <w:rPr>
          <w:rFonts w:ascii="Arial" w:cs="Arial" w:eastAsia="Arial" w:hAnsi="Arial"/>
          <w:sz w:val="18"/>
          <w:szCs w:val="18"/>
          <w:color w:val="auto"/>
        </w:rPr>
        <w:t>”), (2) acknowledge and agree that the L-C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statue, and all other provisions of law, now or hereafter in effect, which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17" w:name="page518"/>
    <w:bookmarkEnd w:id="517"/>
    <w:p>
      <w:pPr>
        <w:ind w:right="40" w:firstLine="8"/>
        <w:spacing w:after="0" w:line="286" w:lineRule="auto"/>
        <w:tabs>
          <w:tab w:leader="none" w:pos="255" w:val="left"/>
        </w:tabs>
        <w:numPr>
          <w:ilvl w:val="0"/>
          <w:numId w:val="4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Article 22 and/or those sums reasonably necessary to (a) compensate Landlord for any loss or damage caused by Tenant’s breach of this Lease, including any damages Landlord suffers following termination of this Lease, and/or</w:t>
      </w:r>
    </w:p>
    <w:p>
      <w:pPr>
        <w:spacing w:after="0" w:line="1" w:lineRule="exact"/>
        <w:rPr>
          <w:rFonts w:ascii="Arial" w:cs="Arial" w:eastAsia="Arial" w:hAnsi="Arial"/>
          <w:sz w:val="16"/>
          <w:szCs w:val="16"/>
          <w:color w:val="auto"/>
        </w:rPr>
      </w:pPr>
    </w:p>
    <w:p>
      <w:pPr>
        <w:ind w:right="220" w:firstLine="8"/>
        <w:spacing w:after="0" w:line="261" w:lineRule="auto"/>
        <w:tabs>
          <w:tab w:leader="none" w:pos="25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compensate Landlord for any and all damages arising out of, or incurred in connection with, the termination of this Lease, including, without limitation, those specifically identified in Section 1951.2 of the California Civil Code.</w:t>
      </w:r>
    </w:p>
    <w:p>
      <w:pPr>
        <w:spacing w:after="0" w:line="7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u w:val="single" w:color="auto"/>
          <w:color w:val="auto"/>
        </w:rPr>
        <w:t>Non-Interference By Tenant</w:t>
      </w:r>
      <w:r>
        <w:rPr>
          <w:rFonts w:ascii="Arial" w:cs="Arial" w:eastAsia="Arial" w:hAnsi="Arial"/>
          <w:sz w:val="18"/>
          <w:szCs w:val="18"/>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u w:val="single" w:color="auto"/>
          <w:color w:val="auto"/>
        </w:rPr>
        <w:t>Waiver of Certain Relief</w:t>
      </w:r>
      <w:r>
        <w:rPr>
          <w:rFonts w:ascii="Arial" w:cs="Arial" w:eastAsia="Arial" w:hAnsi="Arial"/>
          <w:sz w:val="18"/>
          <w:szCs w:val="18"/>
          <w:color w:val="auto"/>
        </w:rPr>
        <w:t>. Tenant unconditionally and irrevocably waives (and as an independent covenant hereunder, covenants not to assert) any right to claim or obtain any of the following relief in connection with the L-C:</w:t>
      </w:r>
    </w:p>
    <w:p>
      <w:pPr>
        <w:spacing w:after="0" w:line="58"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22.7.1 A temporary restraining order, temporary injunction, permanent injunction, or other order that would prevent, restrain or restrict the presentment of sight drafts drawn under any L-C or the Bank’s honoring or payment of sight draft(s); or</w:t>
      </w:r>
    </w:p>
    <w:p>
      <w:pPr>
        <w:spacing w:after="0" w:line="62"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22.7.2 Any attachment, garnishment, or levy in any manner upon either the proceeds of any L-C or the obligations of the Bank (either before or after the presentment to the Bank of sight drafts drawn under such L-C) based on any theory whatever.</w:t>
      </w:r>
    </w:p>
    <w:p>
      <w:pPr>
        <w:spacing w:after="0" w:line="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b w:val="1"/>
          <w:bCs w:val="1"/>
          <w:u w:val="single" w:color="auto"/>
          <w:color w:val="auto"/>
        </w:rPr>
        <w:t>Remedy for Improper Drafts</w:t>
      </w:r>
      <w:r>
        <w:rPr>
          <w:rFonts w:ascii="Arial" w:cs="Arial" w:eastAsia="Arial" w:hAnsi="Arial"/>
          <w:sz w:val="16"/>
          <w:szCs w:val="16"/>
          <w:u w:val="single" w:color="auto"/>
          <w:color w:val="auto"/>
        </w:rPr>
        <w:t>.</w:t>
      </w:r>
      <w:r>
        <w:rPr>
          <w:rFonts w:ascii="Arial" w:cs="Arial" w:eastAsia="Arial" w:hAnsi="Arial"/>
          <w:sz w:val="16"/>
          <w:szCs w:val="16"/>
          <w:color w:val="auto"/>
        </w:rPr>
        <w:t xml:space="preserve"> Tenant’s sole remedy in connection with the improper presentment or payment of sight drafts drawn under any L-C shall be the right to obtain from Landlord a refund of the amount of any sight draft(s) that were improperly presented or the proceeds of which were misapplied, together with interest at the Interest Rate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18" w:name="page519"/>
    <w:bookmarkEnd w:id="51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SIGNS</w:t>
      </w:r>
    </w:p>
    <w:p>
      <w:pPr>
        <w:spacing w:after="0" w:line="225"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Full Floors</w:t>
      </w:r>
      <w:r>
        <w:rPr>
          <w:rFonts w:ascii="Arial" w:cs="Arial" w:eastAsia="Arial" w:hAnsi="Arial"/>
          <w:sz w:val="16"/>
          <w:szCs w:val="16"/>
          <w:color w:val="auto"/>
        </w:rPr>
        <w:t>. Subject to Landlord’s prior written approval, in its sole discretion, and provided all signs are compatible with the quality, design and style of the Project’s sign criteria then established by Landlord (the “</w:t>
      </w:r>
      <w:r>
        <w:rPr>
          <w:rFonts w:ascii="Arial" w:cs="Arial" w:eastAsia="Arial" w:hAnsi="Arial"/>
          <w:sz w:val="16"/>
          <w:szCs w:val="16"/>
          <w:b w:val="1"/>
          <w:bCs w:val="1"/>
          <w:color w:val="auto"/>
        </w:rPr>
        <w:t>Project Sign Criteria</w:t>
      </w:r>
      <w:r>
        <w:rPr>
          <w:rFonts w:ascii="Arial" w:cs="Arial" w:eastAsia="Arial" w:hAnsi="Arial"/>
          <w:sz w:val="16"/>
          <w:szCs w:val="16"/>
          <w:color w:val="auto"/>
        </w:rPr>
        <w:t>”), and provided all signs are in keeping with the quality, design and style of the Building and Project, Tenant and any of Tenant’s Permitted Transferees or Tenant’s Occupants, at its sole cost and expense, may install identification signage anywhere on the floor in which the Premises is located including in the elevator lobby of the floor where the Premises is located, provided that such signs must not be visible from the exterior of the Building. In addition, Tenant shall have the right, at Tenant’s sole cost and expense, to have its name listed by Landlord on one (1) line in the directory to be located in a mutually and reasonably determined location in the lobby of the Building.</w:t>
      </w:r>
    </w:p>
    <w:p>
      <w:pPr>
        <w:spacing w:after="0" w:line="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Prohibited Signage and Other Items</w:t>
      </w:r>
      <w:r>
        <w:rPr>
          <w:rFonts w:ascii="Arial" w:cs="Arial" w:eastAsia="Arial" w:hAnsi="Arial"/>
          <w:sz w:val="17"/>
          <w:szCs w:val="17"/>
          <w:color w:val="auto"/>
        </w:rPr>
        <w:t xml:space="preserve">. Any signs, notices, logos, pictures, names or advertisements which are installed and that have not been separately approved by Landlord may be removed without notice by Landlord at the sole expense of Tenant. Except as otherwise expressly provided in </w:t>
      </w:r>
      <w:r>
        <w:rPr>
          <w:rFonts w:ascii="Arial" w:cs="Arial" w:eastAsia="Arial" w:hAnsi="Arial"/>
          <w:sz w:val="17"/>
          <w:szCs w:val="17"/>
          <w:u w:val="single" w:color="auto"/>
          <w:color w:val="auto"/>
        </w:rPr>
        <w:t>Sections 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23.4</w:t>
      </w:r>
      <w:r>
        <w:rPr>
          <w:rFonts w:ascii="Arial" w:cs="Arial" w:eastAsia="Arial" w:hAnsi="Arial"/>
          <w:sz w:val="17"/>
          <w:szCs w:val="17"/>
          <w:color w:val="auto"/>
        </w:rPr>
        <w:t>, below,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60"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u w:val="single" w:color="auto"/>
          <w:color w:val="auto"/>
        </w:rPr>
        <w:t>Building Top Sign</w:t>
      </w:r>
      <w:r>
        <w:rPr>
          <w:rFonts w:ascii="Arial" w:cs="Arial" w:eastAsia="Arial" w:hAnsi="Arial"/>
          <w:sz w:val="17"/>
          <w:szCs w:val="17"/>
          <w:color w:val="auto"/>
        </w:rPr>
        <w:t xml:space="preserve">. Notwithstanding any provision to the contrary contained in this </w:t>
      </w:r>
      <w:r>
        <w:rPr>
          <w:rFonts w:ascii="Arial" w:cs="Arial" w:eastAsia="Arial" w:hAnsi="Arial"/>
          <w:sz w:val="17"/>
          <w:szCs w:val="17"/>
          <w:u w:val="single" w:color="auto"/>
          <w:color w:val="auto"/>
        </w:rPr>
        <w:t>Article 23</w:t>
      </w:r>
      <w:r>
        <w:rPr>
          <w:rFonts w:ascii="Arial" w:cs="Arial" w:eastAsia="Arial" w:hAnsi="Arial"/>
          <w:sz w:val="17"/>
          <w:szCs w:val="17"/>
          <w:color w:val="auto"/>
        </w:rPr>
        <w:t>, the Original Tenant and any of its Permitted Transferees shall have the right, but not the obligation, at the sole cost and expense of Tenant, to install one (1) non-exclusive Building-top sign on the roof of the Building in one ( l ) location to be mutually and reasonably agreed upon by Landlord and Tenant (the “</w:t>
      </w:r>
      <w:r>
        <w:rPr>
          <w:rFonts w:ascii="Arial" w:cs="Arial" w:eastAsia="Arial" w:hAnsi="Arial"/>
          <w:sz w:val="17"/>
          <w:szCs w:val="17"/>
          <w:b w:val="1"/>
          <w:bCs w:val="1"/>
          <w:color w:val="auto"/>
        </w:rPr>
        <w:t>Building-Top Sign</w:t>
      </w:r>
      <w:r>
        <w:rPr>
          <w:rFonts w:ascii="Arial" w:cs="Arial" w:eastAsia="Arial" w:hAnsi="Arial"/>
          <w:sz w:val="17"/>
          <w:szCs w:val="17"/>
          <w:color w:val="auto"/>
        </w:rPr>
        <w:t xml:space="preserve">”), which Building-Top Sign may, subject to the terms set forth in </w:t>
      </w:r>
      <w:r>
        <w:rPr>
          <w:rFonts w:ascii="Arial" w:cs="Arial" w:eastAsia="Arial" w:hAnsi="Arial"/>
          <w:sz w:val="17"/>
          <w:szCs w:val="17"/>
          <w:u w:val="single" w:color="auto"/>
          <w:color w:val="auto"/>
        </w:rPr>
        <w:t>Section 23.6</w:t>
      </w:r>
      <w:r>
        <w:rPr>
          <w:rFonts w:ascii="Arial" w:cs="Arial" w:eastAsia="Arial" w:hAnsi="Arial"/>
          <w:sz w:val="17"/>
          <w:szCs w:val="17"/>
          <w:color w:val="auto"/>
        </w:rPr>
        <w:t>, below, contain Tenant’s name and/or Tenant’s logo. Such Building-Top Sign shall conform to all zoning and CC&amp;Rs, and shall be subject to the Project Sign Criteria and Landlord’s reasonable review and approval. All costs associated with the Building-Top Sign, including, without limitation, the costs to purchase, install, maintain, and remove it, shall be borne exclusively by Tenant.</w:t>
      </w:r>
    </w:p>
    <w:p>
      <w:pPr>
        <w:spacing w:after="0" w:line="66"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b w:val="1"/>
          <w:bCs w:val="1"/>
          <w:u w:val="single" w:color="auto"/>
          <w:color w:val="auto"/>
        </w:rPr>
        <w:t>Monument Signage</w:t>
      </w:r>
      <w:r>
        <w:rPr>
          <w:rFonts w:ascii="Arial" w:cs="Arial" w:eastAsia="Arial" w:hAnsi="Arial"/>
          <w:sz w:val="17"/>
          <w:szCs w:val="17"/>
          <w:color w:val="auto"/>
        </w:rPr>
        <w:t xml:space="preserve">. Original Tenant and any of its Permitted Transferees shall have the non-exclusive right, but not the obligation, to have its name and/or logo as determined by Tenant placed on portion of any multi-tenant monument sign serving the Building (which portion shall be determined based on the rentable square footage then leased by Tenant), and such signage shall be compatible with the quality, design and style of the Project’s Sign Criteria; provided, however, in no event shall Tenant’s signage include an “Objectionable Name,” as that term is defined in </w:t>
      </w:r>
      <w:r>
        <w:rPr>
          <w:rFonts w:ascii="Arial" w:cs="Arial" w:eastAsia="Arial" w:hAnsi="Arial"/>
          <w:sz w:val="17"/>
          <w:szCs w:val="17"/>
          <w:u w:val="single" w:color="auto"/>
          <w:color w:val="auto"/>
        </w:rPr>
        <w:t>Section 23.8</w:t>
      </w:r>
      <w:r>
        <w:rPr>
          <w:rFonts w:ascii="Arial" w:cs="Arial" w:eastAsia="Arial" w:hAnsi="Arial"/>
          <w:sz w:val="17"/>
          <w:szCs w:val="17"/>
          <w:color w:val="auto"/>
        </w:rPr>
        <w:t>, of this Lease. Landlord shall have the right to (i) position or prioritize Tenant’s name in any position on such monument signage as it shall determine in its sole discretion, from time to time, (ii) design and organize such monument signage (and the materials, design, script size, type face, colors and all other characteristics thereof) in such manner as it shall determine in its sole discretion, (iii) place such other names, business names, trade names or affiliate names representing such other tenants as it shall determine in its sole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0" w:right="259" w:bottom="1440" w:gutter="0" w:footer="0" w:header="0"/>
        </w:sectPr>
      </w:pPr>
    </w:p>
    <w:bookmarkStart w:id="519" w:name="page520"/>
    <w:bookmarkEnd w:id="519"/>
    <w:p>
      <w:pPr>
        <w:jc w:val="both"/>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discretion, (iv) make such modifications to such monument signage as it shall desire from time to time so long as such changes do not materially adversely affect Tenant’s monument signage rights under this </w:t>
      </w:r>
      <w:r>
        <w:rPr>
          <w:rFonts w:ascii="Arial" w:cs="Arial" w:eastAsia="Arial" w:hAnsi="Arial"/>
          <w:sz w:val="18"/>
          <w:szCs w:val="18"/>
          <w:u w:val="single" w:color="auto"/>
          <w:color w:val="auto"/>
        </w:rPr>
        <w:t>Section 23.4</w:t>
      </w:r>
      <w:r>
        <w:rPr>
          <w:rFonts w:ascii="Arial" w:cs="Arial" w:eastAsia="Arial" w:hAnsi="Arial"/>
          <w:sz w:val="18"/>
          <w:szCs w:val="18"/>
          <w:color w:val="auto"/>
        </w:rPr>
        <w:t>, and (v) place thereon the name of (and/or other identifying information for) the Building and/or Project as Landlord shall determine in its sole discretion.</w:t>
      </w:r>
    </w:p>
    <w:p>
      <w:pPr>
        <w:spacing w:after="0" w:line="69"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b w:val="1"/>
          <w:bCs w:val="1"/>
          <w:u w:val="single" w:color="auto"/>
          <w:color w:val="auto"/>
        </w:rPr>
        <w:t>Rights Personal</w:t>
      </w:r>
      <w:r>
        <w:rPr>
          <w:rFonts w:ascii="Arial" w:cs="Arial" w:eastAsia="Arial" w:hAnsi="Arial"/>
          <w:sz w:val="17"/>
          <w:szCs w:val="17"/>
          <w:color w:val="auto"/>
        </w:rPr>
        <w:t xml:space="preserve">. The rights granted under </w:t>
      </w:r>
      <w:r>
        <w:rPr>
          <w:rFonts w:ascii="Arial" w:cs="Arial" w:eastAsia="Arial" w:hAnsi="Arial"/>
          <w:sz w:val="17"/>
          <w:szCs w:val="17"/>
          <w:u w:val="single" w:color="auto"/>
          <w:color w:val="auto"/>
        </w:rPr>
        <w:t>Sections 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23.4</w:t>
      </w:r>
      <w:r>
        <w:rPr>
          <w:rFonts w:ascii="Arial" w:cs="Arial" w:eastAsia="Arial" w:hAnsi="Arial"/>
          <w:sz w:val="17"/>
          <w:szCs w:val="17"/>
          <w:color w:val="auto"/>
        </w:rPr>
        <w:t xml:space="preserve"> are personal to the Original Tenant and its Permitted Transferees, and shall not be transferable in any other respect whatsoever. If (i) the Lease shall be assigned to any party other than Permitted Transferee, (ii) there is an event of default (beyond the applicable notice and cure periods) exists under this Lease, or (iii) the Original Tenant or its Permitted Transferee (together with any Tenant’s Occupants) occupies less than the entire Premises (except for time periods during repairs, remodeling or similar circumstances), Landlord shall have the right to cancel Tenant’s rights under this </w:t>
      </w:r>
      <w:r>
        <w:rPr>
          <w:rFonts w:ascii="Arial" w:cs="Arial" w:eastAsia="Arial" w:hAnsi="Arial"/>
          <w:sz w:val="17"/>
          <w:szCs w:val="17"/>
          <w:u w:val="single" w:color="auto"/>
          <w:color w:val="auto"/>
        </w:rPr>
        <w:t>Section 23.5</w:t>
      </w:r>
      <w:r>
        <w:rPr>
          <w:rFonts w:ascii="Arial" w:cs="Arial" w:eastAsia="Arial" w:hAnsi="Arial"/>
          <w:sz w:val="17"/>
          <w:szCs w:val="17"/>
          <w:color w:val="auto"/>
        </w:rPr>
        <w:t xml:space="preserve"> and to require Tenant to remove at Tenant’s sole cost and expense Tenant’s name from such monument signage within fifteen ( 15) days after delivery of Landlord ‘s written notice to do so.</w:t>
      </w:r>
    </w:p>
    <w:p>
      <w:pPr>
        <w:spacing w:after="0" w:line="66" w:lineRule="exact"/>
        <w:rPr>
          <w:sz w:val="20"/>
          <w:szCs w:val="20"/>
          <w:color w:val="auto"/>
        </w:rPr>
      </w:pPr>
    </w:p>
    <w:p>
      <w:pPr>
        <w:jc w:val="both"/>
        <w:ind w:right="80" w:firstLine="456"/>
        <w:spacing w:after="0" w:line="289" w:lineRule="auto"/>
        <w:rPr>
          <w:sz w:val="20"/>
          <w:szCs w:val="20"/>
          <w:color w:val="auto"/>
        </w:rPr>
      </w:pPr>
      <w:r>
        <w:rPr>
          <w:rFonts w:ascii="Arial" w:cs="Arial" w:eastAsia="Arial" w:hAnsi="Arial"/>
          <w:sz w:val="16"/>
          <w:szCs w:val="16"/>
          <w:color w:val="auto"/>
        </w:rPr>
        <w:t xml:space="preserve">23.6 </w:t>
      </w:r>
      <w:r>
        <w:rPr>
          <w:rFonts w:ascii="Arial" w:cs="Arial" w:eastAsia="Arial" w:hAnsi="Arial"/>
          <w:sz w:val="16"/>
          <w:szCs w:val="16"/>
          <w:b w:val="1"/>
          <w:bCs w:val="1"/>
          <w:u w:val="single" w:color="auto"/>
          <w:color w:val="auto"/>
        </w:rPr>
        <w:t>Specifications and Permits</w:t>
      </w:r>
      <w:r>
        <w:rPr>
          <w:rFonts w:ascii="Arial" w:cs="Arial" w:eastAsia="Arial" w:hAnsi="Arial"/>
          <w:sz w:val="16"/>
          <w:szCs w:val="16"/>
          <w:color w:val="auto"/>
        </w:rPr>
        <w:t>. The graphics, materials, color, design, lettering, size and specifications of Tenant’s name on such monument signage and Building-Top Sign (collectively, the “</w:t>
      </w:r>
      <w:r>
        <w:rPr>
          <w:rFonts w:ascii="Arial" w:cs="Arial" w:eastAsia="Arial" w:hAnsi="Arial"/>
          <w:sz w:val="16"/>
          <w:szCs w:val="16"/>
          <w:b w:val="1"/>
          <w:bCs w:val="1"/>
          <w:color w:val="auto"/>
        </w:rPr>
        <w:t>Sign Specifications</w:t>
      </w:r>
      <w:r>
        <w:rPr>
          <w:rFonts w:ascii="Arial" w:cs="Arial" w:eastAsia="Arial" w:hAnsi="Arial"/>
          <w:sz w:val="16"/>
          <w:szCs w:val="16"/>
          <w:color w:val="auto"/>
        </w:rPr>
        <w:t>”) shall be (i) subject to the prior written consent of Landlord, including, without limitation, as to the design, materials, color, size and all other aesthetic factors of such signage and which consent thereto shall be in Landlord’s sole discretion;</w:t>
      </w:r>
    </w:p>
    <w:p>
      <w:pPr>
        <w:spacing w:after="0" w:line="2" w:lineRule="exact"/>
        <w:rPr>
          <w:sz w:val="20"/>
          <w:szCs w:val="20"/>
          <w:color w:val="auto"/>
        </w:rPr>
      </w:pPr>
    </w:p>
    <w:p>
      <w:pPr>
        <w:ind w:right="200" w:firstLine="8"/>
        <w:spacing w:after="0" w:line="253" w:lineRule="auto"/>
        <w:tabs>
          <w:tab w:leader="none" w:pos="26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consistent with the size and quality of comparable signage on comparable institutionally owned first-class office buildings in the local market, (iii) in compliance with all Laws, (iv) subject to receipt by Tenant of all required governmental permits and approvals therefore, and (v) consistent with the Project Sign Criteria and the overall character of the Building’s/Project’s architecture (as determined by Landlord). In addition, Tenant’s name on such monument signage and Building-Top Sign shall be subject to the receipt of all required governmental permits and approvals (and the submission of copies thereof to Landlord), and shall be subject to all applicable Laws.</w:t>
      </w:r>
    </w:p>
    <w:p>
      <w:pPr>
        <w:spacing w:after="0" w:line="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23.7 </w:t>
      </w:r>
      <w:r>
        <w:rPr>
          <w:rFonts w:ascii="Arial" w:cs="Arial" w:eastAsia="Arial" w:hAnsi="Arial"/>
          <w:sz w:val="17"/>
          <w:szCs w:val="17"/>
          <w:b w:val="1"/>
          <w:bCs w:val="1"/>
          <w:u w:val="single" w:color="auto"/>
          <w:color w:val="auto"/>
        </w:rPr>
        <w:t>Cost and Maintenance</w:t>
      </w:r>
      <w:r>
        <w:rPr>
          <w:rFonts w:ascii="Arial" w:cs="Arial" w:eastAsia="Arial" w:hAnsi="Arial"/>
          <w:sz w:val="17"/>
          <w:szCs w:val="17"/>
          <w:color w:val="auto"/>
        </w:rPr>
        <w:t>. Landlord’s actual, out-of-pocket costs of the actual signs comprising Tenant’s name and/or logo on such monument sign and Building-Top Sign, as well as the installation, design, construction, and any and all other costs associated with Tenant’s name on such monument signage and/or the Building-Top Sign, including, without limitation, utility charges and hook-up fees (if applicable), permits, and maintenance and repairs, shall be the sole responsibility of Tenant provided that Tenant shall have the opportunity to preview estimates for any such amounts to be charged to Tenant; provided that Landlord shall reasonably cooperate with Tenant’s use of Common Areas to allow Tenant to install, operate, maintain and repair Tenant’s name on such monument sign and/or the Building- Top Sign. Should Tenant’s name and/or logo on such monument sign and/or the Building-Top Sign require repairs and/or maintenance, Landlord shall have the right to provide notice thereof to Tenant and Tenant (except as set forth above) shall cause such repairs and/or maintenance to commence to be performed within thirty (30) days after receipt of such notice from Landlord, at Tenant’s sole cost and expense; provided, however, if such repairs and/or maintenance are reasonably expected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20" w:name="page521"/>
    <w:bookmarkEnd w:id="52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require longer than thirty (30) days to perform, Tenant shall commence such repairs and/or maintenance within such thirty (30) day period and shall thereafter diligently prosecute such repairs and maintenance to completion at Tenant’s sole cost and expense. Should Tenant fail to perform such repairs and/or maintenance within the periods described in the immediately preceding sentence, Landlord shall have the right to cause such work to be performed and to charge Tenant as Additional Rent for the actual out-of-pocket cost of such work plus interest at the Interest Rate from the date of Landlord’s payment of such actual costs to the date of Tenant’s reimbursement to Landlord. Tenant shall bear a pro rata share (based upon the number of tenants identified on such monument sign) of all of Landlord’s actual out-of-pocket costs of maintenance and operation of such monument sign and all such costs shall be paid by Tenant to Landlord as Additional Rent within ten (10) days of receipt of Landlord’s written demand therefore. Within a reasonable time following the expiration or earlier termination of this Lease (which shall in no event be later than thirty (30) days after such expiration or termination of this Lease), Tenant shall, at Tenant’s sole cost and expense, commence, and thereafter shall diligently pursue, the removal of Tenant’s name from such monument sign and the Building-Top Sign, and shall cause the areas in which such Tenant’s name on such monument sign and the Building-Top Sign was located to be restored to the condition existing immediately prior to the placement of such Tenant’s name on such monument signage and the installation of the Building-Top Sign. If Tenant fails to timely remove Tenant’s name from such monument sign and/or the Building-Top Sign or to restore the areas in which Tenant’s name on such monument sign and/or Building-Top Sign was located, as provided in the immediately preceding sentence, then Landlord may perform such work, and all actual costs reasonably incurred by Landlord in so performing, plus interest at the Interest Rate from the date of Landlord’s payment of such costs to the date of Tenant’s reimbursement to Landlord, shall be reimbursed by Tenant to Landlord within thirty (30) days after Tenant’s receipt of an invoice therefore. The terms of this </w:t>
      </w:r>
      <w:r>
        <w:rPr>
          <w:rFonts w:ascii="Arial" w:cs="Arial" w:eastAsia="Arial" w:hAnsi="Arial"/>
          <w:sz w:val="16"/>
          <w:szCs w:val="16"/>
          <w:u w:val="single" w:color="auto"/>
          <w:color w:val="auto"/>
        </w:rPr>
        <w:t>Section 23.7</w:t>
      </w:r>
      <w:r>
        <w:rPr>
          <w:rFonts w:ascii="Arial" w:cs="Arial" w:eastAsia="Arial" w:hAnsi="Arial"/>
          <w:sz w:val="16"/>
          <w:szCs w:val="16"/>
          <w:color w:val="auto"/>
        </w:rPr>
        <w:t xml:space="preserve"> shall survive the expiration or earlier termination of this Lease.</w:t>
      </w:r>
    </w:p>
    <w:p>
      <w:pPr>
        <w:spacing w:after="0" w:line="6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b w:val="1"/>
          <w:bCs w:val="1"/>
          <w:u w:val="single" w:color="auto"/>
          <w:color w:val="auto"/>
        </w:rPr>
        <w:t>Objectionable Name</w:t>
      </w:r>
      <w:r>
        <w:rPr>
          <w:rFonts w:ascii="Arial" w:cs="Arial" w:eastAsia="Arial" w:hAnsi="Arial"/>
          <w:sz w:val="18"/>
          <w:szCs w:val="18"/>
          <w:color w:val="auto"/>
        </w:rPr>
        <w:t>. In no event shall Tenant’s signage include, identify or otherwise refer to a name which relates to an entity which is of a character or reputation, or is associated with a political faction or orientation, which is inconsistent with the quality of the Project, or which would otherwise reasonably offend a landlord of a Comparable Building (an “</w:t>
      </w:r>
      <w:r>
        <w:rPr>
          <w:rFonts w:ascii="Arial" w:cs="Arial" w:eastAsia="Arial" w:hAnsi="Arial"/>
          <w:sz w:val="18"/>
          <w:szCs w:val="18"/>
          <w:b w:val="1"/>
          <w:bCs w:val="1"/>
          <w:color w:val="auto"/>
        </w:rPr>
        <w:t>Objectionable Name</w:t>
      </w:r>
      <w:r>
        <w:rPr>
          <w:rFonts w:ascii="Arial" w:cs="Arial" w:eastAsia="Arial" w:hAnsi="Arial"/>
          <w:sz w:val="18"/>
          <w:szCs w:val="18"/>
          <w:color w:val="auto"/>
        </w:rPr>
        <w:t>”). The parties hereby agree that the name “AnaptysBio, Inc.” or any reasonable derivation thereof, shall not be deemed an Objectionable Name.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COMPLIANCE WITH LAW</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Tenant shall not do anything or suffer anything to be done in or about the Premises or the Project which will in any way conflict with any law, statute, ordinance or other governmental rule, regulation or requirement now in force or which may hereafter be enacted or promulgated and is applicable to the Premises or Tenant’s use or occupancy of the Premises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At its sole cost and expense, Tenant shall promptly comply with all such Applicable Laws which relate to (i) Tenant’s use of the Premises for the Permitted Use (but which for purposes of this provision shall not apply to the extent resulting directly from the particular nature of Tenant’s tissue culture room and rodent vivarium uses) , (ii) the Alterations or the Improvements in the Premises, or (iii) the Base Building, but, as to the Base Building,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3" w:right="259" w:bottom="1440" w:gutter="0" w:footer="0" w:header="0"/>
        </w:sectPr>
      </w:pPr>
    </w:p>
    <w:bookmarkStart w:id="521" w:name="page522"/>
    <w:bookmarkEnd w:id="52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only to the extent such obligations are triggered by Tenant’s Alterations, the Improvements, or use of the Premises for other than the Permitted Use (but which for purposes of this provision shall not apply to the extent resulting directly from the particular nature of Tenant’s tissue culture room and rodent vivarium uses).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and materially affect the safety of Tenant’s employees or create a significant health hazard for Tenant’s employees. Landlord shall be permitted to include in Operating Expenses any costs or expenses incurred by Landlord under this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to the extent consistent with the terms of </w:t>
      </w:r>
      <w:r>
        <w:rPr>
          <w:rFonts w:ascii="Arial" w:cs="Arial" w:eastAsia="Arial" w:hAnsi="Arial"/>
          <w:sz w:val="17"/>
          <w:szCs w:val="17"/>
          <w:u w:val="single" w:color="auto"/>
          <w:color w:val="auto"/>
        </w:rPr>
        <w:t>Section 4.2.4</w:t>
      </w:r>
      <w:r>
        <w:rPr>
          <w:rFonts w:ascii="Arial" w:cs="Arial" w:eastAsia="Arial" w:hAnsi="Arial"/>
          <w:sz w:val="17"/>
          <w:szCs w:val="17"/>
          <w:color w:val="auto"/>
        </w:rPr>
        <w:t>, above, and which are not inconsistent with the terms set forth in the Work Letter in connection with the Landlord Work.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LATE CHARGES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any installment of Rent or any other sum due from Tenant shall not be received by Landlord or Landlord’s designee when due, then Tenant shall pay to Landlord a late charge equal to five percent (5%) of the overdue amount plus any attorneys’ fees incurred by Landlord by reason of Tenant’s failure to pay Rent and/or other charges when due hereunder;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the “Interest Rate.” For purposes of this Lease, the “</w:t>
      </w:r>
      <w:r>
        <w:rPr>
          <w:rFonts w:ascii="Arial" w:cs="Arial" w:eastAsia="Arial" w:hAnsi="Arial"/>
          <w:sz w:val="17"/>
          <w:szCs w:val="17"/>
          <w:b w:val="1"/>
          <w:bCs w:val="1"/>
          <w:color w:val="auto"/>
        </w:rPr>
        <w:t>Interest Rate</w:t>
      </w:r>
      <w:r>
        <w:rPr>
          <w:rFonts w:ascii="Arial" w:cs="Arial" w:eastAsia="Arial" w:hAnsi="Arial"/>
          <w:sz w:val="17"/>
          <w:szCs w:val="17"/>
          <w:color w:val="auto"/>
        </w:rPr>
        <w:t>” shall be an annual rate equal to the lesser of (i) the annual “</w:t>
      </w:r>
      <w:r>
        <w:rPr>
          <w:rFonts w:ascii="Arial" w:cs="Arial" w:eastAsia="Arial" w:hAnsi="Arial"/>
          <w:sz w:val="17"/>
          <w:szCs w:val="17"/>
          <w:b w:val="1"/>
          <w:bCs w:val="1"/>
          <w:color w:val="auto"/>
        </w:rPr>
        <w:t>Bank Prime Loan</w:t>
      </w:r>
      <w:r>
        <w:rPr>
          <w:rFonts w:ascii="Arial" w:cs="Arial" w:eastAsia="Arial" w:hAnsi="Arial"/>
          <w:sz w:val="17"/>
          <w:szCs w:val="17"/>
          <w:color w:val="auto"/>
        </w:rPr>
        <w:t>” rate cited in the Federal Reserve Statistical Release Publication H. l 5(519), published weekly (or such other comparable index as Landlord and Tenant shall reasonably agree upon if such rate ceases to be published), plus two (2) percentage points, and (ii) the highest rate permitted by applicable law.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522" w:name="page523"/>
    <w:bookmarkEnd w:id="5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LANDLORD’S RIGHT TO CURE DEFAULT; PAYMENTS BY TENANT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26.2 Tenant’s Reimbursement. Except as may be specifically provided to the contrary in this Lease, Tenant shall pay to Landlord, upon delivery by Landlord to Tenant of statements therefor: (i) sums equal to expenditures reasonably made and obligations reasonably incurred by Landlord in connection with the remedying by Landlord of Tenant’s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(ii) sums equal to all losses, costs, liabilities, damages and expenses referred to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(iii) sums equal to all expenditures reasonably made and obligations reasonably incurred by Landlord in collecting or attempting to collect the Rent or in enforcing or attempting to enforce any rights of Landlord under this Lease or pursuant to law, including, without limitation, all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ENTRY BY LANDLORD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Landlord reserves the right at all reasonable times (during Building Hours with respect to items (i) and (ii) below) and upon at least twenty-four</w:t>
      </w:r>
    </w:p>
    <w:p>
      <w:pPr>
        <w:spacing w:after="0" w:line="35" w:lineRule="exact"/>
        <w:rPr>
          <w:sz w:val="20"/>
          <w:szCs w:val="20"/>
          <w:color w:val="auto"/>
        </w:rPr>
      </w:pPr>
    </w:p>
    <w:p>
      <w:pPr>
        <w:ind w:firstLine="8"/>
        <w:spacing w:after="0" w:line="286" w:lineRule="auto"/>
        <w:tabs>
          <w:tab w:leader="none" w:pos="345"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hours prior notice to Tenant (except in the case of an 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or (iv) alter, improve or repair the Premises or the Building, or for structural alterations, repairs or improvements to the Building or the Building’s systems and equipment; provided, however, except in the event of an emergency, Tenant shall have the option upon at least twelve (12) hours prior notice to Landlord to require Landlord’s entry be delayed by up to seventy-two (72) hours if Tenant deems such delay to be reasonably necessary to avoid disruption of Tenant’s business operations from within the Premises. Notwithstanding anything to the contrary contained in this </w:t>
      </w:r>
      <w:r>
        <w:rPr>
          <w:rFonts w:ascii="Arial" w:cs="Arial" w:eastAsia="Arial" w:hAnsi="Arial"/>
          <w:sz w:val="16"/>
          <w:szCs w:val="16"/>
          <w:u w:val="single" w:color="auto"/>
          <w:color w:val="auto"/>
        </w:rPr>
        <w:t>Article 27</w:t>
      </w:r>
      <w:r>
        <w:rPr>
          <w:rFonts w:ascii="Arial" w:cs="Arial" w:eastAsia="Arial" w:hAnsi="Arial"/>
          <w:sz w:val="16"/>
          <w:szCs w:val="16"/>
          <w:color w:val="auto"/>
        </w:rPr>
        <w:t>, Landlord may enter the Premises at any time to (A) perform services required of Landlord; (B) take possession due to any breach of this Lease in the manner provided herein; and (C) perform any covenants of Tenant which Tenant fails to perform. Landlord may make any such entries without the abatement of Rent, except as otherwise provided in this Lease, and may take such reasonable steps as required to accomplish the stated purposes; provided, however, except for (x) emergencies , (y) repairs, alterations, improvements or additions required by governmental or quasi-governmental authorities or court order or decree, or (z) repairs which are the obligation of Tenant hereunder, any such entry shall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69" w:right="259" w:bottom="1440" w:gutter="0" w:footer="0" w:header="0"/>
        </w:sectPr>
      </w:pPr>
    </w:p>
    <w:bookmarkStart w:id="523" w:name="page524"/>
    <w:bookmarkEnd w:id="52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performed in a manner so as not to unreasonably interfere with Tenant’s use of the Premises and shall be performed after normal business hours if reasonably practical. With respect to items (y) and (z) above, Landlord shall use commercially reasonable efforts to not materially interfere with Tenant’s use of, or access to, the Premises. Tenant’s rights under the terms of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apply to Landlord’s entry under the terms of this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(other than an entry pursuant to the terms of item (B) above), and otherwise (except to the extent of Landlord’s express indemnification obligations under this Lease)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PARKING</w:t>
      </w:r>
    </w:p>
    <w:p>
      <w:pPr>
        <w:spacing w:after="0" w:line="229" w:lineRule="exact"/>
        <w:rPr>
          <w:sz w:val="20"/>
          <w:szCs w:val="20"/>
          <w:color w:val="auto"/>
        </w:rPr>
      </w:pPr>
    </w:p>
    <w:p>
      <w:pPr>
        <w:ind w:firstLine="456"/>
        <w:spacing w:after="0" w:line="256" w:lineRule="auto"/>
        <w:rPr>
          <w:sz w:val="20"/>
          <w:szCs w:val="20"/>
          <w:color w:val="auto"/>
        </w:rPr>
      </w:pPr>
      <w:r>
        <w:rPr>
          <w:rFonts w:ascii="Arial" w:cs="Arial" w:eastAsia="Arial" w:hAnsi="Arial"/>
          <w:sz w:val="17"/>
          <w:szCs w:val="17"/>
          <w:color w:val="auto"/>
        </w:rPr>
        <w:t xml:space="preserve">Tenant, Tenant’s Permitted Transferees and Tenant’s Occupants shall have the right to use, commencing on the Lease Commencement Date, the amount of parking passes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the Summary, on a monthly basis throughout the Lease Term, which parking passes shall pertain to the Project parking facility. Tenant hereby acknowledges and agrees that notwithstanding the permitted occupancy density of five (5) persons per each one thousand (1,000) rentable square feet of the Premises as more particularly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above, in no event shall Tenant be entitled to park automobiles anywhere in the Project parking facility in a total amount that would at anytime exceed an amount equal to three and one-half (3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unreserved parking passes for every one thousand (1,000) rentable square feet of the Premises. Tenant shall not be obligated to pay any fee for automobile parking passes during the initial Lease Term or any Option Term; provided, however, to the extent not included in Tax Expenses, Tenant shall be responsible for the full amount of any taxes imposed by any governmental authority in connection with use of the parking facility by Tenant. Tenant’s continued right to use the parking passes is conditioned upon Tenant abiding by all rules and regulations which are prescribed from time to time for the orderly operation and use of the parking facility where the parking passes are located, including any sticker or other identification system established by Landlord, Tenant’s cooperation in seeing that Tenant’s employees and visitors also comply with such rules and regulations and Tenant not being in default under this Lease.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temporarily close-off or restrict access to the Project parking facility for purposes of permitting or facilitating any such construction, alteration or improvements; provided, however, in no event shall the number of parking passes available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3" w:right="259" w:bottom="1440" w:gutter="0" w:footer="0" w:header="0"/>
        </w:sectPr>
      </w:pPr>
    </w:p>
    <w:bookmarkStart w:id="524" w:name="page525"/>
    <w:bookmarkEnd w:id="52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Tenant’s use decrease below the number of parking passes expressly allocated to Tenant under this Lease. Landlord may delegate its responsibilities hereunder to a parking operator in which case such parking operator shall have all the rights of control attributed hereby to the Landlord. The parking passes provided to Tenant pursuant to this </w:t>
      </w:r>
      <w:r>
        <w:rPr>
          <w:rFonts w:ascii="Arial" w:cs="Arial" w:eastAsia="Arial" w:hAnsi="Arial"/>
          <w:sz w:val="18"/>
          <w:szCs w:val="18"/>
          <w:u w:val="single" w:color="auto"/>
          <w:color w:val="auto"/>
        </w:rPr>
        <w:t>Article 28</w:t>
      </w:r>
      <w:r>
        <w:rPr>
          <w:rFonts w:ascii="Arial" w:cs="Arial" w:eastAsia="Arial" w:hAnsi="Arial"/>
          <w:sz w:val="18"/>
          <w:szCs w:val="18"/>
          <w:color w:val="auto"/>
        </w:rPr>
        <w:t xml:space="preserve"> are provided to Tenant solely for use by Tenant’s own personnel and such passes may not be transferred, assigned, subleased or otherwise alienated by Tenant without Landlord’s prior approval.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u w:val="single" w:color="auto"/>
          <w:color w:val="auto"/>
        </w:rPr>
        <w:t>Terms; Captions</w:t>
      </w:r>
      <w:r>
        <w:rPr>
          <w:rFonts w:ascii="Arial" w:cs="Arial" w:eastAsia="Arial" w:hAnsi="Arial"/>
          <w:sz w:val="18"/>
          <w:szCs w:val="18"/>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72" w:lineRule="exact"/>
        <w:rPr>
          <w:sz w:val="20"/>
          <w:szCs w:val="20"/>
          <w:color w:val="auto"/>
        </w:rPr>
      </w:pPr>
    </w:p>
    <w:p>
      <w:pPr>
        <w:ind w:right="320" w:firstLine="456"/>
        <w:spacing w:after="0" w:line="31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3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7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u w:val="single" w:color="auto"/>
          <w:color w:val="auto"/>
        </w:rPr>
        <w:t>Modification of Lease</w:t>
      </w:r>
      <w:r>
        <w:rPr>
          <w:rFonts w:ascii="Arial" w:cs="Arial" w:eastAsia="Arial" w:hAnsi="Arial"/>
          <w:sz w:val="18"/>
          <w:szCs w:val="18"/>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days following a request therefor. At the request of Landlord or any mortgagee or ground lessor, Tenant agrees to execute a short form of Lease and deliver the same to Landlord within ten (10) days following the request therefor.</w:t>
      </w:r>
    </w:p>
    <w:p>
      <w:pPr>
        <w:spacing w:after="0" w:line="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29.5 </w:t>
      </w:r>
      <w:r>
        <w:rPr>
          <w:rFonts w:ascii="Arial" w:cs="Arial" w:eastAsia="Arial" w:hAnsi="Arial"/>
          <w:sz w:val="18"/>
          <w:szCs w:val="18"/>
          <w:b w:val="1"/>
          <w:bCs w:val="1"/>
          <w:u w:val="single" w:color="auto"/>
          <w:color w:val="auto"/>
        </w:rPr>
        <w:t>Transfer of Landlord’s Interest</w:t>
      </w:r>
      <w:r>
        <w:rPr>
          <w:rFonts w:ascii="Arial" w:cs="Arial" w:eastAsia="Arial" w:hAnsi="Arial"/>
          <w:sz w:val="18"/>
          <w:szCs w:val="18"/>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not accrued as of the date of the transfer (provided such transferee assumes such obligations in writing) and Tenant agrees to look solely to such transferee for the performance of Landlord’s obligations hereunder after the date of transfer and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525" w:name="page526"/>
    <w:bookmarkEnd w:id="52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transferee shall be deemed to have fully assumed and be liable for all obligations of this Lease to be performed by Landlord, including the return of any Security Deposit,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75"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color w:val="auto"/>
        </w:rPr>
        <w:t xml:space="preserve">29.6 </w:t>
      </w:r>
      <w:r>
        <w:rPr>
          <w:rFonts w:ascii="Arial" w:cs="Arial" w:eastAsia="Arial" w:hAnsi="Arial"/>
          <w:sz w:val="16"/>
          <w:szCs w:val="16"/>
          <w:b w:val="1"/>
          <w:bCs w:val="1"/>
          <w:u w:val="single" w:color="auto"/>
          <w:color w:val="auto"/>
        </w:rPr>
        <w:t>Prohibition Against Recording or Publication</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29.4</w:t>
      </w:r>
      <w:r>
        <w:rPr>
          <w:rFonts w:ascii="Arial" w:cs="Arial" w:eastAsia="Arial" w:hAnsi="Arial"/>
          <w:sz w:val="16"/>
          <w:szCs w:val="16"/>
          <w:color w:val="auto"/>
        </w:rPr>
        <w:t xml:space="preserve"> of this Lease, neither this Lease, nor any memorandum, affidavit or other writing with respect thereto, shall be recorded or otherwise published by Tenant or by anyone acting through, under or on behalf of Tenant.</w:t>
      </w:r>
    </w:p>
    <w:p>
      <w:pPr>
        <w:spacing w:after="0" w:line="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54"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u w:val="single" w:color="auto"/>
          <w:color w:val="auto"/>
        </w:rPr>
        <w:t>Application of Payments</w:t>
      </w:r>
      <w:r>
        <w:rPr>
          <w:rFonts w:ascii="Arial" w:cs="Arial" w:eastAsia="Arial" w:hAnsi="Arial"/>
          <w:sz w:val="16"/>
          <w:szCs w:val="16"/>
          <w:color w:val="auto"/>
        </w:rPr>
        <w:t xml:space="preserve">. To the extent Landlord has delivered a written notice to Tenant pursuant to the terms of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this Lease (and until the amounts represented by such notice, together with all other then-outstanding amounts due and owning under this Lease, are satisfied), Landlord shall have the right to apply payments received from Tenant pursuant to this Lease, regardless of Tenant’s designation of such payments, to satisfy any obligations of Tenant hereunder, in such order and amounts as Land lord, in its sole discretion, may elect, it nevertheless being acknowledged that Tenant may be free to make any such payments “under protest,” and such payments shall remain subject to successful contest by Tenant over any obligations in dispute.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29.10 </w:t>
      </w:r>
      <w:r>
        <w:rPr>
          <w:rFonts w:ascii="Arial" w:cs="Arial" w:eastAsia="Arial" w:hAnsi="Arial"/>
          <w:sz w:val="17"/>
          <w:szCs w:val="17"/>
          <w:b w:val="1"/>
          <w:bCs w:val="1"/>
          <w:u w:val="single" w:color="auto"/>
          <w:color w:val="auto"/>
        </w:rPr>
        <w:t>Time of Essence</w:t>
      </w:r>
      <w:r>
        <w:rPr>
          <w:rFonts w:ascii="Arial" w:cs="Arial" w:eastAsia="Arial" w:hAnsi="Arial"/>
          <w:sz w:val="17"/>
          <w:szCs w:val="17"/>
          <w:color w:val="auto"/>
        </w:rPr>
        <w:t>. Time is of the essence with respect to the performance of every provision of this Lease in which time of performance is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factor.</w:t>
      </w:r>
    </w:p>
    <w:p>
      <w:pPr>
        <w:spacing w:after="0" w:line="99"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7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3" w:right="259" w:bottom="1440" w:gutter="0" w:footer="0" w:header="0"/>
        </w:sectPr>
      </w:pPr>
    </w:p>
    <w:bookmarkStart w:id="526" w:name="page527"/>
    <w:bookmarkEnd w:id="526"/>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net interest of Landlord in the Project (following payment of any outstanding liens and/or mortgages, whether attributable to sales or insurance proceeds or otherwise).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spacing w:after="0" w:line="5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6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5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29.16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xml:space="preserve">.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Arial" w:cs="Arial" w:eastAsia="Arial" w:hAnsi="Arial"/>
          <w:sz w:val="18"/>
          <w:szCs w:val="18"/>
          <w:u w:val="single" w:color="auto"/>
          <w:color w:val="auto"/>
        </w:rPr>
        <w:t>Articles 5 and 24</w:t>
      </w:r>
      <w:r>
        <w:rPr>
          <w:rFonts w:ascii="Arial" w:cs="Arial" w:eastAsia="Arial" w:hAnsi="Arial"/>
          <w:sz w:val="18"/>
          <w:szCs w:val="18"/>
          <w:color w:val="auto"/>
        </w:rPr>
        <w:t xml:space="preserve"> of this Lease (collectively, a “</w:t>
      </w:r>
      <w:r>
        <w:rPr>
          <w:rFonts w:ascii="Arial" w:cs="Arial" w:eastAsia="Arial" w:hAnsi="Arial"/>
          <w:sz w:val="18"/>
          <w:szCs w:val="18"/>
          <w:b w:val="1"/>
          <w:bCs w:val="1"/>
          <w:color w:val="auto"/>
        </w:rPr>
        <w:t>Force Majeure</w:t>
      </w:r>
      <w:r>
        <w:rPr>
          <w:rFonts w:ascii="Arial" w:cs="Arial" w:eastAsia="Arial" w:hAnsi="Arial"/>
          <w:sz w:val="18"/>
          <w:szCs w:val="18"/>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0" w:right="279" w:bottom="1440" w:gutter="0" w:footer="0" w:header="0"/>
        </w:sectPr>
      </w:pPr>
    </w:p>
    <w:bookmarkStart w:id="527" w:name="page528"/>
    <w:bookmarkEnd w:id="527"/>
    <w:p>
      <w:pPr>
        <w:jc w:val="both"/>
        <w:ind w:right="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6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29.18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demands, statements, designations, approvals or other communications (collectively, “</w:t>
      </w:r>
      <w:r>
        <w:rPr>
          <w:rFonts w:ascii="Arial" w:cs="Arial" w:eastAsia="Arial" w:hAnsi="Arial"/>
          <w:sz w:val="16"/>
          <w:szCs w:val="16"/>
          <w:b w:val="1"/>
          <w:bCs w:val="1"/>
          <w:color w:val="auto"/>
        </w:rPr>
        <w:t>Notices</w:t>
      </w:r>
      <w:r>
        <w:rPr>
          <w:rFonts w:ascii="Arial" w:cs="Arial" w:eastAsia="Arial" w:hAnsi="Arial"/>
          <w:sz w:val="16"/>
          <w:szCs w:val="16"/>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6"/>
          <w:szCs w:val="16"/>
          <w:b w:val="1"/>
          <w:bCs w:val="1"/>
          <w:color w:val="auto"/>
        </w:rPr>
        <w:t>Mail</w:t>
      </w:r>
      <w:r>
        <w:rPr>
          <w:rFonts w:ascii="Arial" w:cs="Arial" w:eastAsia="Arial" w:hAnsi="Arial"/>
          <w:sz w:val="16"/>
          <w:szCs w:val="16"/>
          <w:color w:val="auto"/>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w:t>
      </w:r>
    </w:p>
    <w:p>
      <w:pPr>
        <w:spacing w:after="0" w:line="4" w:lineRule="exact"/>
        <w:rPr>
          <w:sz w:val="20"/>
          <w:szCs w:val="20"/>
          <w:color w:val="auto"/>
        </w:rPr>
      </w:pPr>
    </w:p>
    <w:p>
      <w:pPr>
        <w:ind w:left="220" w:hanging="212"/>
        <w:spacing w:after="0"/>
        <w:tabs>
          <w:tab w:leader="none" w:pos="2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three (3) days after the date it is posted if sent by Mail, (ii) the date the telecopy is transmitted, (iii) the date the overnight courier delivery is made, or</w:t>
      </w:r>
    </w:p>
    <w:p>
      <w:pPr>
        <w:spacing w:after="0" w:line="20" w:lineRule="exact"/>
        <w:rPr>
          <w:rFonts w:ascii="Arial" w:cs="Arial" w:eastAsia="Arial" w:hAnsi="Arial"/>
          <w:sz w:val="17"/>
          <w:szCs w:val="17"/>
          <w:color w:val="auto"/>
        </w:rPr>
      </w:pPr>
    </w:p>
    <w:p>
      <w:pPr>
        <w:ind w:right="40" w:firstLine="8"/>
        <w:spacing w:after="0" w:line="253" w:lineRule="auto"/>
        <w:tabs>
          <w:tab w:leader="none" w:pos="30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date personal delivery is made or attempted to be made.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As of the Effective Date of this Lease, any Notices to Landlord must be sent, transmitted, or delivered, as the case may be, to the following addresses: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Kilroy Realty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12200 West Olympic Boulevard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Los Angeles, California 90064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Kilroy Realty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3611 Valley Centre Drive, Suite 550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Mr. Brian Galligan</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Allen Matkins Leck Gamble Mallory &amp; Natsis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1901 Avenue of the Stars, Suite 1800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Anton N. Natsis, Esq.</w:t>
      </w:r>
    </w:p>
    <w:p>
      <w:pPr>
        <w:spacing w:after="0" w:line="99"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 xml:space="preserve">29.19 </w:t>
      </w:r>
      <w:r>
        <w:rPr>
          <w:rFonts w:ascii="Arial" w:cs="Arial" w:eastAsia="Arial" w:hAnsi="Arial"/>
          <w:sz w:val="17"/>
          <w:szCs w:val="17"/>
          <w:b w:val="1"/>
          <w:bCs w:val="1"/>
          <w:u w:val="single" w:color="auto"/>
          <w:color w:val="auto"/>
        </w:rPr>
        <w:t>Joint and Several</w:t>
      </w:r>
      <w:r>
        <w:rPr>
          <w:rFonts w:ascii="Arial" w:cs="Arial" w:eastAsia="Arial" w:hAnsi="Arial"/>
          <w:sz w:val="17"/>
          <w:szCs w:val="17"/>
          <w:color w:val="auto"/>
        </w:rPr>
        <w:t>. If there is more than one Tenant, the obligations imposed upon Tenant under this Lease shall be joint and several.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69" w:right="239" w:bottom="1440" w:gutter="0" w:footer="0" w:header="0"/>
        </w:sectPr>
      </w:pPr>
    </w:p>
    <w:bookmarkStart w:id="528" w:name="page529"/>
    <w:bookmarkEnd w:id="528"/>
    <w:p>
      <w:pPr>
        <w:ind w:right="4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29.20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w:t>
      </w:r>
    </w:p>
    <w:p>
      <w:pPr>
        <w:spacing w:after="0" w:line="76"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color w:val="auto"/>
        </w:rPr>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29.22 </w:t>
      </w:r>
      <w:r>
        <w:rPr>
          <w:rFonts w:ascii="Arial" w:cs="Arial" w:eastAsia="Arial" w:hAnsi="Arial"/>
          <w:sz w:val="18"/>
          <w:szCs w:val="18"/>
          <w:b w:val="1"/>
          <w:bCs w:val="1"/>
          <w:u w:val="single" w:color="auto"/>
          <w:color w:val="auto"/>
        </w:rPr>
        <w:t>Governing Law; WAIVER OF TRIAL BY JURY</w:t>
      </w:r>
      <w:r>
        <w:rPr>
          <w:rFonts w:ascii="Arial" w:cs="Arial" w:eastAsia="Arial" w:hAnsi="Arial"/>
          <w:sz w:val="18"/>
          <w:szCs w:val="18"/>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8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29.23 </w:t>
      </w:r>
      <w:r>
        <w:rPr>
          <w:rFonts w:ascii="Arial" w:cs="Arial" w:eastAsia="Arial" w:hAnsi="Arial"/>
          <w:sz w:val="18"/>
          <w:szCs w:val="18"/>
          <w:b w:val="1"/>
          <w:bCs w:val="1"/>
          <w:u w:val="single" w:color="auto"/>
          <w:color w:val="auto"/>
        </w:rPr>
        <w:t>Submission of Lease</w:t>
      </w:r>
      <w:r>
        <w:rPr>
          <w:rFonts w:ascii="Arial" w:cs="Arial" w:eastAsia="Arial" w:hAnsi="Arial"/>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54"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29.24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Brokers</w:t>
      </w:r>
      <w:r>
        <w:rPr>
          <w:rFonts w:ascii="Arial" w:cs="Arial" w:eastAsia="Arial" w:hAnsi="Arial"/>
          <w:sz w:val="17"/>
          <w:szCs w:val="17"/>
          <w:color w:val="auto"/>
        </w:rPr>
        <w:t>”), and that they know of no other real estate broker or agent who is entitled to a commission in connection with this Lease. Landlord shall pay the Brokers pursuant to the terms of separate commission agreements.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0" w:right="239" w:bottom="1440" w:gutter="0" w:footer="0" w:header="0"/>
        </w:sectPr>
      </w:pPr>
    </w:p>
    <w:bookmarkStart w:id="529" w:name="page530"/>
    <w:bookmarkEnd w:id="5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of any dealings with any real estate broker or agent, other than the Brokers, occurring by, through, or under the indemnifying party.</w:t>
      </w:r>
    </w:p>
    <w:p>
      <w:pPr>
        <w:spacing w:after="0" w:line="113"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 xml:space="preserve">29.25 </w:t>
      </w:r>
      <w:r>
        <w:rPr>
          <w:rFonts w:ascii="Arial" w:cs="Arial" w:eastAsia="Arial" w:hAnsi="Arial"/>
          <w:sz w:val="18"/>
          <w:szCs w:val="18"/>
          <w:b w:val="1"/>
          <w:bCs w:val="1"/>
          <w:u w:val="single" w:color="auto"/>
          <w:color w:val="auto"/>
        </w:rPr>
        <w:t>Independent Covenants</w:t>
      </w:r>
      <w:r>
        <w:rPr>
          <w:rFonts w:ascii="Arial" w:cs="Arial" w:eastAsia="Arial" w:hAnsi="Arial"/>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7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29.26 </w:t>
      </w:r>
      <w:r>
        <w:rPr>
          <w:rFonts w:ascii="Arial" w:cs="Arial" w:eastAsia="Arial" w:hAnsi="Arial"/>
          <w:sz w:val="17"/>
          <w:szCs w:val="17"/>
          <w:b w:val="1"/>
          <w:bCs w:val="1"/>
          <w:u w:val="single" w:color="auto"/>
          <w:color w:val="auto"/>
        </w:rPr>
        <w:t>Project or Building Name and Signage</w:t>
      </w:r>
      <w:r>
        <w:rPr>
          <w:rFonts w:ascii="Arial" w:cs="Arial" w:eastAsia="Arial" w:hAnsi="Arial"/>
          <w:sz w:val="17"/>
          <w:szCs w:val="17"/>
          <w:color w:val="auto"/>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5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29.27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Lease may be executed in counterparts with the same effect as if both parties hereto had executed the same document. Both counterparts shall be construed together and shall constitute a single lease.</w:t>
      </w:r>
    </w:p>
    <w:p>
      <w:pPr>
        <w:spacing w:after="0" w:line="5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29.28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Landlord and Tenant acknowledge that the content of this Lease and any related documents are confidential information. Except as required by any law and/or regulation (including without limitation any SEC regulation), Landlord and Tenant shall keep such confidential information strictly confidential and shall not disclose such confidential information to any person or entity other than Tenant’s or Landlord’s financial, legal, and space planning consultants.</w:t>
      </w:r>
    </w:p>
    <w:p>
      <w:pPr>
        <w:spacing w:after="0" w:line="72" w:lineRule="exact"/>
        <w:rPr>
          <w:sz w:val="20"/>
          <w:szCs w:val="20"/>
          <w:color w:val="auto"/>
        </w:rPr>
      </w:pPr>
    </w:p>
    <w:p>
      <w:pPr>
        <w:ind w:right="440" w:firstLine="456"/>
        <w:spacing w:after="0" w:line="303" w:lineRule="auto"/>
        <w:rPr>
          <w:sz w:val="20"/>
          <w:szCs w:val="20"/>
          <w:color w:val="auto"/>
        </w:rPr>
      </w:pPr>
      <w:r>
        <w:rPr>
          <w:rFonts w:ascii="Arial" w:cs="Arial" w:eastAsia="Arial" w:hAnsi="Arial"/>
          <w:sz w:val="16"/>
          <w:szCs w:val="16"/>
          <w:color w:val="auto"/>
        </w:rPr>
        <w:t xml:space="preserve">29.29 </w:t>
      </w:r>
      <w:r>
        <w:rPr>
          <w:rFonts w:ascii="Arial" w:cs="Arial" w:eastAsia="Arial" w:hAnsi="Arial"/>
          <w:sz w:val="16"/>
          <w:szCs w:val="16"/>
          <w:b w:val="1"/>
          <w:bCs w:val="1"/>
          <w:u w:val="single" w:color="auto"/>
          <w:color w:val="auto"/>
        </w:rPr>
        <w:t>Transportation Management</w:t>
      </w:r>
      <w:r>
        <w:rPr>
          <w:rFonts w:ascii="Arial" w:cs="Arial" w:eastAsia="Arial" w:hAnsi="Arial"/>
          <w:sz w:val="16"/>
          <w:szCs w:val="16"/>
          <w:color w:val="auto"/>
        </w:rPr>
        <w:t>. Tenant shall fully comply with all present or future programs intended to manage parking, transportation or traffic in and around the Building so long as Tenant’s parking rights under this Lease are not materially, adversely affected,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29.30 </w:t>
      </w:r>
      <w:r>
        <w:rPr>
          <w:rFonts w:ascii="Arial" w:cs="Arial" w:eastAsia="Arial" w:hAnsi="Arial"/>
          <w:sz w:val="18"/>
          <w:szCs w:val="18"/>
          <w:b w:val="1"/>
          <w:bCs w:val="1"/>
          <w:u w:val="single" w:color="auto"/>
          <w:color w:val="auto"/>
        </w:rPr>
        <w:t>Building Renovations</w:t>
      </w:r>
      <w:r>
        <w:rPr>
          <w:rFonts w:ascii="Arial" w:cs="Arial" w:eastAsia="Arial" w:hAnsi="Arial"/>
          <w:sz w:val="18"/>
          <w:szCs w:val="18"/>
          <w:color w:val="auto"/>
        </w:rPr>
        <w:t>. It is specifically understood and agreed that Landlord has made no representation or warranty to Tenant and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Work Letter. However, Tenant hereby acknowledges that Landlord is currently renovating or may during the Lease Term renovate, improve, alter, or modify (collectively, the “</w:t>
      </w:r>
      <w:r>
        <w:rPr>
          <w:rFonts w:ascii="Arial" w:cs="Arial" w:eastAsia="Arial" w:hAnsi="Arial"/>
          <w:sz w:val="18"/>
          <w:szCs w:val="18"/>
          <w:b w:val="1"/>
          <w:bCs w:val="1"/>
          <w:color w:val="auto"/>
        </w:rPr>
        <w:t>Renovations</w:t>
      </w:r>
      <w:r>
        <w:rPr>
          <w:rFonts w:ascii="Arial" w:cs="Arial" w:eastAsia="Arial" w:hAnsi="Arial"/>
          <w:sz w:val="18"/>
          <w:szCs w:val="18"/>
          <w:color w:val="auto"/>
        </w:rPr>
        <w:t>”) the Project, the Building and/or the Premises including without limitation the parking structure, common areas, systems and equipment, roof, and structural portions of the same, which Renovations may include, without limitation, (i) installing sprinklers in the Building common areas and tenant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530" w:name="page531"/>
    <w:bookmarkEnd w:id="530"/>
    <w:p>
      <w:pPr>
        <w:ind w:right="1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spaces, (ii) modifying the common areas and tenant spaces to comply with applicable laws and regulations, including regulations relating to the physically disabled, seismic conditions, and building safety and security, and (iii) installing new floor covering, lighting, and wall coverings in the Building common areas, and in connection with any Renovations, Landlord may, among other things, erect scaffolding or other necessary structures in the Building, limit or eliminate access to portions of the Project,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except as expressly set forth in Section 6.7 above,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Landlord shall perform such Renovations in compliance with the terms of this Lease, and shall use commercially reasonable efforts to have all such work performed on a continuous basis, and once started, to be completed reasonably expeditiously, with such work being organized, conducted and scheduled in a manner which will minimize any interference to Tenant’s business operations in the Premises.</w:t>
      </w:r>
    </w:p>
    <w:p>
      <w:pPr>
        <w:spacing w:after="0" w:line="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29.31 </w:t>
      </w:r>
      <w:r>
        <w:rPr>
          <w:rFonts w:ascii="Arial" w:cs="Arial" w:eastAsia="Arial" w:hAnsi="Arial"/>
          <w:sz w:val="18"/>
          <w:szCs w:val="18"/>
          <w:b w:val="1"/>
          <w:bCs w:val="1"/>
          <w:u w:val="single" w:color="auto"/>
          <w:color w:val="auto"/>
        </w:rPr>
        <w:t>No Violation</w:t>
      </w:r>
      <w:r>
        <w:rPr>
          <w:rFonts w:ascii="Arial" w:cs="Arial" w:eastAsia="Arial" w:hAnsi="Arial"/>
          <w:sz w:val="18"/>
          <w:szCs w:val="18"/>
          <w:u w:val="single" w:color="auto"/>
          <w:color w:val="auto"/>
        </w:rPr>
        <w:t>.</w:t>
      </w:r>
      <w:r>
        <w:rPr>
          <w:rFonts w:ascii="Arial" w:cs="Arial" w:eastAsia="Arial" w:hAnsi="Arial"/>
          <w:sz w:val="18"/>
          <w:szCs w:val="18"/>
          <w:color w:val="auto"/>
        </w:rPr>
        <w:t xml:space="preserve">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7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29.32 </w:t>
      </w:r>
      <w:r>
        <w:rPr>
          <w:rFonts w:ascii="Arial" w:cs="Arial" w:eastAsia="Arial" w:hAnsi="Arial"/>
          <w:sz w:val="16"/>
          <w:szCs w:val="16"/>
          <w:b w:val="1"/>
          <w:bCs w:val="1"/>
          <w:u w:val="single" w:color="auto"/>
          <w:color w:val="auto"/>
        </w:rPr>
        <w:t>Communications and Computer Lines</w:t>
      </w:r>
      <w:r>
        <w:rPr>
          <w:rFonts w:ascii="Arial" w:cs="Arial" w:eastAsia="Arial" w:hAnsi="Arial"/>
          <w:sz w:val="16"/>
          <w:szCs w:val="16"/>
          <w:color w:val="auto"/>
        </w:rPr>
        <w:t>. Landlord and Tenant acknowledge that Tenant plans to utilize a significant portion of the existing communications and computer wires and cables in the Premises. Tenant may install, maintain, replace, remove or use any communications or computer wires and cables (collectively with such existing cabling infrastructure, the “</w:t>
      </w:r>
      <w:r>
        <w:rPr>
          <w:rFonts w:ascii="Arial" w:cs="Arial" w:eastAsia="Arial" w:hAnsi="Arial"/>
          <w:sz w:val="16"/>
          <w:szCs w:val="16"/>
          <w:b w:val="1"/>
          <w:bCs w:val="1"/>
          <w:color w:val="auto"/>
        </w:rPr>
        <w:t>Lines</w:t>
      </w:r>
      <w:r>
        <w:rPr>
          <w:rFonts w:ascii="Arial" w:cs="Arial" w:eastAsia="Arial" w:hAnsi="Arial"/>
          <w:sz w:val="16"/>
          <w:szCs w:val="16"/>
          <w:color w:val="auto"/>
        </w:rPr>
        <w:t xml:space="preserve">”) at the Project in or serving the Premises, provided that (i) Tenant shall obtain Landlord’s prior written consent, use an experienced and qualified contractor approved in writing by Landlord, and comply with all of the other provisions of </w:t>
      </w:r>
      <w:r>
        <w:rPr>
          <w:rFonts w:ascii="Arial" w:cs="Arial" w:eastAsia="Arial" w:hAnsi="Arial"/>
          <w:sz w:val="16"/>
          <w:szCs w:val="16"/>
          <w:u w:val="single" w:color="auto"/>
          <w:color w:val="auto"/>
        </w:rPr>
        <w:t>Articles 7 and 8</w:t>
      </w:r>
      <w:r>
        <w:rPr>
          <w:rFonts w:ascii="Arial" w:cs="Arial" w:eastAsia="Arial" w:hAnsi="Arial"/>
          <w:sz w:val="16"/>
          <w:szCs w:val="16"/>
          <w:color w:val="auto"/>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(x) appropriately insulated to prevent excessive electromagnetic fields or radiation, (y) surrounded by a protective conduit reasonably acceptable to Landlord, and (z)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Tenant shall remove any then-existing, unused Lines previously installed by or on behalf of Tenant and which are located in or serving the Premises and repair any damage in connection with such removal, and</w:t>
      </w:r>
    </w:p>
    <w:p>
      <w:pPr>
        <w:spacing w:after="0" w:line="2" w:lineRule="exact"/>
        <w:rPr>
          <w:sz w:val="20"/>
          <w:szCs w:val="20"/>
          <w:color w:val="auto"/>
        </w:rPr>
      </w:pPr>
    </w:p>
    <w:p>
      <w:pPr>
        <w:ind w:right="260" w:firstLine="8"/>
        <w:spacing w:after="0" w:line="261" w:lineRule="auto"/>
        <w:tabs>
          <w:tab w:leader="none" w:pos="30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Tenant shall pay all costs in connection therewith. All Lines shall be clearly marked with adhesive plastic labels (or plastic tags attached to such Lines with wire) to show Tenant’s name, suite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531" w:name="page532"/>
    <w:bookmarkEnd w:id="53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Arial" w:cs="Arial" w:eastAsia="Arial" w:hAnsi="Arial"/>
          <w:sz w:val="16"/>
          <w:szCs w:val="16"/>
          <w:b w:val="1"/>
          <w:bCs w:val="1"/>
          <w:color w:val="auto"/>
        </w:rPr>
        <w:t>Identification</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Upon the expiration of the Lease Term, or immediately following any earlier termination of this Lease, Tenant shall, at Tenant’s sole cost</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expense, remove all Lines installed by Tenant (but not any Lines existing in the Premises prior to the Effective Date and repair any damage caused by such removal. In the event that Tenant fails to complete such removal and/or fails to repair any damage caused by the removal of any Lines, Landlord may do so and may charge the cost thereof to Tenant. Landlord reserves the right to require that Tenant remove any Lines located in or serving the Premises which are installed by or on behalf of Tenant in violation of these provisions, or which are at any time (1) are in violation of any Applicable Laws, (2) are inconsistent with then-existing industry standards (such as the standards promulgated by the National Fire Protection Association (e.g., such organization’s “2002 National Electrical Code”)), or (3) otherwise represent a dangerous or potentially dangerous condition.</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29.33 </w:t>
      </w:r>
      <w:r>
        <w:rPr>
          <w:rFonts w:ascii="Arial" w:cs="Arial" w:eastAsia="Arial" w:hAnsi="Arial"/>
          <w:sz w:val="18"/>
          <w:szCs w:val="18"/>
          <w:b w:val="1"/>
          <w:bCs w:val="1"/>
          <w:u w:val="single" w:color="auto"/>
          <w:color w:val="auto"/>
        </w:rPr>
        <w:t>Hazardous Substances</w:t>
      </w:r>
      <w:r>
        <w:rPr>
          <w:rFonts w:ascii="Arial" w:cs="Arial" w:eastAsia="Arial" w:hAnsi="Arial"/>
          <w:sz w:val="18"/>
          <w:szCs w:val="18"/>
          <w:u w:val="single" w:color="auto"/>
          <w:color w:val="auto"/>
        </w:rPr>
        <w:t>.</w:t>
      </w:r>
    </w:p>
    <w:p>
      <w:pPr>
        <w:spacing w:after="0" w:line="11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29.33.1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 Lease, the following definitions shall apply: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any solid, liquid or gaseous substance or material that is described or characterized as a toxic or hazardous substance, waste, material, pollutant, contaminant or infectious waste, or any matter that in certain specified quantities would be injurious to the public health or welfare, or words of similar import, in any of the “Environmental Laws,” as that term is defined below, or any other words which are intended to define, list or classify substances by reason of deleterious properties such as ignitability, corrosivity, reactivity, carcinogenicity, toxicity or reproductive toxicity and includes, without 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w:t>
      </w:r>
      <w:r>
        <w:rPr>
          <w:rFonts w:ascii="Arial" w:cs="Arial" w:eastAsia="Arial" w:hAnsi="Arial"/>
          <w:sz w:val="16"/>
          <w:szCs w:val="16"/>
          <w:b w:val="1"/>
          <w:bCs w:val="1"/>
          <w:color w:val="auto"/>
        </w:rPr>
        <w:t>Environmental Laws</w:t>
      </w:r>
      <w:r>
        <w:rPr>
          <w:rFonts w:ascii="Arial" w:cs="Arial" w:eastAsia="Arial" w:hAnsi="Arial"/>
          <w:sz w:val="16"/>
          <w:szCs w:val="16"/>
          <w:color w:val="auto"/>
        </w:rPr>
        <w:t>”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(i) the protection of the environment, the health and safety of persons (including employees), property or the public welfare from actual or potential release, discharge, escape or emission (whether past or present) of any Hazardous Materials or (ii) the manufacture, processing, distribution, use, treatment, storage, disposal, transport or handling of any Hazardous Materials.</w:t>
      </w:r>
    </w:p>
    <w:p>
      <w:pPr>
        <w:spacing w:after="0" w:line="5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29.33.2 </w:t>
      </w:r>
      <w:r>
        <w:rPr>
          <w:rFonts w:ascii="Arial" w:cs="Arial" w:eastAsia="Arial" w:hAnsi="Arial"/>
          <w:sz w:val="18"/>
          <w:szCs w:val="18"/>
          <w:b w:val="1"/>
          <w:bCs w:val="1"/>
          <w:u w:val="single" w:color="auto"/>
          <w:color w:val="auto"/>
        </w:rPr>
        <w:t>Compliance with Environmental Laws</w:t>
      </w:r>
      <w:r>
        <w:rPr>
          <w:rFonts w:ascii="Arial" w:cs="Arial" w:eastAsia="Arial" w:hAnsi="Arial"/>
          <w:sz w:val="18"/>
          <w:szCs w:val="18"/>
          <w:color w:val="auto"/>
        </w:rPr>
        <w:t xml:space="preserve">. Landlord covenants that during the Lease Term, Landlord shall comply with all Environmental Laws in accordance with, and as required by, the TCCs of </w:t>
      </w:r>
      <w:r>
        <w:rPr>
          <w:rFonts w:ascii="Arial" w:cs="Arial" w:eastAsia="Arial" w:hAnsi="Arial"/>
          <w:sz w:val="18"/>
          <w:szCs w:val="18"/>
          <w:u w:val="single" w:color="auto"/>
          <w:color w:val="auto"/>
        </w:rPr>
        <w:t>Article 24</w:t>
      </w:r>
      <w:r>
        <w:rPr>
          <w:rFonts w:ascii="Arial" w:cs="Arial" w:eastAsia="Arial" w:hAnsi="Arial"/>
          <w:sz w:val="18"/>
          <w:szCs w:val="18"/>
          <w:color w:val="auto"/>
        </w:rPr>
        <w:t xml:space="preserve"> of this Lease. Tenant shall not sell, use, or store in or around the Premises any Hazardous Materials, provided that the use or storage of Hazardous Materials shall be permitted to the extent the same is performed in accordance with applicable Environmental Laws, and subject to Tenant’s receipt, at Tenant’s sole cost, of all applicable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532" w:name="page533"/>
    <w:bookmarkEnd w:id="53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permits and required governmental approvals. In addition, Tenant agrees that it: (i) shall not cause or suffer to occur, the release, discharge, escape or emission of any Hazardous Materials at, upon, under or within the Premises or any contiguous or adjacent premises; (ii) shall not engage in activities at the Premises that could result in, give rise to, or lead to the imposition of liability upon Tenant or Landlord or the creation of a lien upon the building or land upon which the Premises is located; (iii) shall notify Landlord promptly following receipt of any knowledge with respect to any actual release, discharge, escape or emission (whether past or present) of any Hazardous Materials at, upon, under or within the Premises; (iv) shall promptly forward to Landlord copies of all orders, notices, permits, applications and other communications and reports in connection with any release, discharge, escape or emission of any Hazardous Materials at, upon, under or within the Premises or any contiguous or adjacent premises, and (v) in connection with Tenant’s surrender of the Premises upon the expiration or earlier termination of this Lease, Tenant shall deliver the same free of Hazardous Materials brought upon, kept or used in or about the Premises by any persons during the period of Tenant’s lease of, use of, or occupancy of, the Premises, and shall obtain and provide to Landlord (A) any and all licenses, clearances or other authorizations of any kind required to permit the presence of Hazardous Materials in the Premises by any governmental or quasi-governmental agency having jurisdiction over the use, storage, release or removal of Hazardous Materials, (B) evidence from the applicable governmental entities of “closure” of all permits which had been required for Tenant’s use of the Premises, together with “no further action letters” from such applicable governmental entities and a “no further action letter” for unrestricted future use of the Premises, and (C) a Phase I report with regard to the Premises. Landlord and Tenant hereby agree that for purposes of establishing a baseline, Landlord shall, promptly following the Effective Date of this Lease, obtain and provide to Tenant an updated Phase I report with regard to the Premises.</w:t>
      </w:r>
    </w:p>
    <w:p>
      <w:pPr>
        <w:spacing w:after="0" w:line="5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29.33.3 </w:t>
      </w:r>
      <w:r>
        <w:rPr>
          <w:rFonts w:ascii="Arial" w:cs="Arial" w:eastAsia="Arial" w:hAnsi="Arial"/>
          <w:sz w:val="16"/>
          <w:szCs w:val="16"/>
          <w:b w:val="1"/>
          <w:bCs w:val="1"/>
          <w:u w:val="single" w:color="auto"/>
          <w:color w:val="auto"/>
        </w:rPr>
        <w:t>Tenant Hazardous Materials</w:t>
      </w:r>
      <w:r>
        <w:rPr>
          <w:rFonts w:ascii="Arial" w:cs="Arial" w:eastAsia="Arial" w:hAnsi="Arial"/>
          <w:sz w:val="16"/>
          <w:szCs w:val="16"/>
          <w:color w:val="auto"/>
        </w:rPr>
        <w:t>. Tenant will (i) obtain and maintain in full force and effect all Environmental Permits (as defined below) that may be required from time to time under any Environmental Laws applicable to Tenant or the Premises, and (ii) be and remain in compliance with all terms and conditions of all such Environmental Permits and with all other Environmental Laws. “</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collectively, any and all permits, consents, licenses, approvals and registrations of any nature at any time required pursuant to, or in order to comply with any Environmental Law. On or before the Lease Commencement Date and on each annual anniversary of the Commencement Date thereafter, as well as at any other time following Tenant’s receipt of a reasonable request from Landlord, Tenant agrees to deliver to Landlord a list (the “</w:t>
      </w:r>
      <w:r>
        <w:rPr>
          <w:rFonts w:ascii="Arial" w:cs="Arial" w:eastAsia="Arial" w:hAnsi="Arial"/>
          <w:sz w:val="16"/>
          <w:szCs w:val="16"/>
          <w:b w:val="1"/>
          <w:bCs w:val="1"/>
          <w:color w:val="auto"/>
        </w:rPr>
        <w:t>HazMat List</w:t>
      </w:r>
      <w:r>
        <w:rPr>
          <w:rFonts w:ascii="Arial" w:cs="Arial" w:eastAsia="Arial" w:hAnsi="Arial"/>
          <w:sz w:val="16"/>
          <w:szCs w:val="16"/>
          <w:color w:val="auto"/>
        </w:rPr>
        <w:t>”) of all Hazardous Materials anticipated to be used by Tenant in the Premises and the quantities thereof. Upon the expiration or earlier termination of this Lease, Tenant agrees to promptly remove from the Premises, the Building and the Project, at its sole cost and expense, any and all Hazardous Materials, including any equipment or systems containing Hazardous Materials, which are installed, brought upon, stored, used, generated or released upon, in, under or about the Premises, the Building, and/or the Project or any portion thereof by Tenant and/or any Tenant Parties (such obligation to survive the expiration or sooner termination of this Lease). Nothing in this Lease shall impose any liability on Tenant for any Hazardous Materials in existence on the Premises, Building or Project prior to the Lease Commencement Date or brought onto the Premises, Building or Project after the Lease Commencement Date by any third parties not under Tenant’s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3" w:right="239" w:bottom="1440" w:gutter="0" w:footer="0" w:header="0"/>
        </w:sectPr>
      </w:pPr>
    </w:p>
    <w:bookmarkStart w:id="533" w:name="page534"/>
    <w:bookmarkEnd w:id="533"/>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29.33.4 </w:t>
      </w:r>
      <w:r>
        <w:rPr>
          <w:rFonts w:ascii="Arial" w:cs="Arial" w:eastAsia="Arial" w:hAnsi="Arial"/>
          <w:sz w:val="16"/>
          <w:szCs w:val="16"/>
          <w:b w:val="1"/>
          <w:bCs w:val="1"/>
          <w:u w:val="single" w:color="auto"/>
          <w:color w:val="auto"/>
        </w:rPr>
        <w:t>Landlord’s Right of Environmental Audit</w:t>
      </w:r>
      <w:r>
        <w:rPr>
          <w:rFonts w:ascii="Arial" w:cs="Arial" w:eastAsia="Arial" w:hAnsi="Arial"/>
          <w:sz w:val="16"/>
          <w:szCs w:val="16"/>
          <w:color w:val="auto"/>
        </w:rPr>
        <w:t>. Landlord may, upon reasonable notice to Tenant, be granted access to and enter the Premises no more than once annually to perform or cause to have performed an environmental inspection, site assessment or audit. Such environmental inspector or auditor may be chosen by Landlord, in its sole discretion, and be performed at Landlord’s sole expense. To the extent that the report prepared upon such inspection, assessment or audit, indicates the presence of Hazardous Materials in violation of Environmental Laws, or provides recommendations or suggestions to prohibit the release, discharge, escape or emission of any Hazardous Materials at, upon, under or within the Premises, or to comply with any Environmental Laws, Tenant shall promptly, at Tenant’s sole expense, comply with such recommendations or suggestions, including, but not limited to performing such additional investigative or subsurface investigations or remediation(s) as recommended by such inspector or auditor. Notwithstanding the above, if at any time, Landlord has actual notice or reasonable cause to believe that Tenant has violated, or permitted any violations of any Environmental Law, then Landlord will be entitled to perform its environmental inspection, assessment or audit at any time, notwithstanding the above mentioned annual limitation, and Tenant must reimburse Landlord for the cost or fees incurred for such as Additional Rent if a violation is discovered.</w:t>
      </w:r>
    </w:p>
    <w:p>
      <w:pPr>
        <w:spacing w:after="0" w:line="5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29.33.5 </w:t>
      </w:r>
      <w:r>
        <w:rPr>
          <w:rFonts w:ascii="Arial" w:cs="Arial" w:eastAsia="Arial" w:hAnsi="Arial"/>
          <w:sz w:val="17"/>
          <w:szCs w:val="17"/>
          <w:b w:val="1"/>
          <w:bCs w:val="1"/>
          <w:u w:val="single" w:color="auto"/>
          <w:color w:val="auto"/>
        </w:rPr>
        <w:t>Indemnifications</w:t>
      </w:r>
      <w:r>
        <w:rPr>
          <w:rFonts w:ascii="Arial" w:cs="Arial" w:eastAsia="Arial" w:hAnsi="Arial"/>
          <w:sz w:val="17"/>
          <w:szCs w:val="17"/>
          <w:color w:val="auto"/>
        </w:rPr>
        <w:t>. Landlord agrees to indemnify, defend, protect and hold harmless the Tenant Parties from and against any liability, obligation, damage or costs, including without limitation, attorneys’ fees and costs, resulting directly or indirectly from any use, presence, removal or disposal of any Hazardous Materials in the Project, Building or Premises prior to the Effective Date and otherwise to the extent such liability, obligation, damage or costs was a result of actions caused or knowingly permitted by Landlord or a Landlord Party. Tenant agrees to indemnify, defend, protect and hold harmless the Landlord Parties from and against any liability, obligation, damage or costs, including without limitation, attorneys’ fees and costs, resulting directly or indirectly from any use, presence, removal or disposal of any Hazardous Materials or breach of any provision of this section, to the extent such liability, obligation, damage or costs was a result of actions caused or permitted by Tenant or a Tenant Party.</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29.33.6 </w:t>
      </w:r>
      <w:r>
        <w:rPr>
          <w:rFonts w:ascii="Arial" w:cs="Arial" w:eastAsia="Arial" w:hAnsi="Arial"/>
          <w:sz w:val="18"/>
          <w:szCs w:val="18"/>
          <w:b w:val="1"/>
          <w:bCs w:val="1"/>
          <w:u w:val="single" w:color="auto"/>
          <w:color w:val="auto"/>
        </w:rPr>
        <w:t>Control Areas; Storage</w:t>
      </w:r>
      <w:r>
        <w:rPr>
          <w:rFonts w:ascii="Arial" w:cs="Arial" w:eastAsia="Arial" w:hAnsi="Arial"/>
          <w:sz w:val="18"/>
          <w:szCs w:val="18"/>
          <w:color w:val="auto"/>
        </w:rPr>
        <w:t>. In connection with Tenant’s storage of any Hazardous Materials permitted in accordance with this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29.33</w:t>
      </w:r>
      <w:r>
        <w:rPr>
          <w:rFonts w:ascii="Arial" w:cs="Arial" w:eastAsia="Arial" w:hAnsi="Arial"/>
          <w:sz w:val="16"/>
          <w:szCs w:val="16"/>
          <w:color w:val="auto"/>
        </w:rPr>
        <w:t xml:space="preserve">, Tenant shall be allowed to utilize up to Tenant’s Share of the control areas or zones identified on </w:t>
      </w:r>
      <w:r>
        <w:rPr>
          <w:rFonts w:ascii="Arial" w:cs="Arial" w:eastAsia="Arial" w:hAnsi="Arial"/>
          <w:sz w:val="16"/>
          <w:szCs w:val="16"/>
          <w:b w:val="1"/>
          <w:bCs w:val="1"/>
          <w:u w:val="single" w:color="auto"/>
          <w:color w:val="auto"/>
        </w:rPr>
        <w:t>Exhibit A-3</w:t>
      </w:r>
      <w:r>
        <w:rPr>
          <w:rFonts w:ascii="Arial" w:cs="Arial" w:eastAsia="Arial" w:hAnsi="Arial"/>
          <w:sz w:val="16"/>
          <w:szCs w:val="16"/>
          <w:color w:val="auto"/>
        </w:rPr>
        <w:t xml:space="preserve"> attached hereto (but such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limited to the extent such areas/zones are located within the Premises), as designated by the applicable building code, for chemical use or storage.</w:t>
      </w:r>
    </w:p>
    <w:p>
      <w:pPr>
        <w:spacing w:after="0" w:line="12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29.34 </w:t>
      </w:r>
      <w:r>
        <w:rPr>
          <w:rFonts w:ascii="Arial" w:cs="Arial" w:eastAsia="Arial" w:hAnsi="Arial"/>
          <w:sz w:val="18"/>
          <w:szCs w:val="18"/>
          <w:b w:val="1"/>
          <w:bCs w:val="1"/>
          <w:u w:val="single" w:color="auto"/>
          <w:color w:val="auto"/>
        </w:rPr>
        <w:t>Rooftop Rights</w:t>
      </w:r>
      <w:r>
        <w:rPr>
          <w:rFonts w:ascii="Arial" w:cs="Arial" w:eastAsia="Arial" w:hAnsi="Arial"/>
          <w:sz w:val="18"/>
          <w:szCs w:val="18"/>
          <w:color w:val="auto"/>
        </w:rPr>
        <w:t xml:space="preserve">. Provided that Tenant is then in occupancy of the Premises, then in accordance with, and subject to, the terms and conditions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29.34</w:t>
      </w:r>
      <w:r>
        <w:rPr>
          <w:rFonts w:ascii="Arial" w:cs="Arial" w:eastAsia="Arial" w:hAnsi="Arial"/>
          <w:sz w:val="18"/>
          <w:szCs w:val="18"/>
          <w:color w:val="auto"/>
        </w:rPr>
        <w:t>, Tenant may install and maintain, at Tenant’s sole cost and expense, but without the payment of any Base Rent or a license or similar fee or charge, the following equipment: (i) one (1) satellite dish/antennae on the roof of the Building which shall be no larger than twenty-four inches (24”) in diameter and which shall weigh no more than fifty pounds (and reasonable equipment and cabling related thereto), for receiving of signals or broadcasts (as opposed to the generation or transmission of any such signals or broadcasts) servicing the business conducted by Tenant from within the Premises (all such equipment is defined collectively as the “</w:t>
      </w:r>
      <w:r>
        <w:rPr>
          <w:rFonts w:ascii="Arial" w:cs="Arial" w:eastAsia="Arial" w:hAnsi="Arial"/>
          <w:sz w:val="18"/>
          <w:szCs w:val="18"/>
          <w:b w:val="1"/>
          <w:bCs w:val="1"/>
          <w:color w:val="auto"/>
        </w:rPr>
        <w:t>Telecommunications Equipment</w:t>
      </w:r>
      <w:r>
        <w:rPr>
          <w:rFonts w:ascii="Arial" w:cs="Arial" w:eastAsia="Arial" w:hAnsi="Arial"/>
          <w:sz w:val="18"/>
          <w:szCs w:val="18"/>
          <w:color w:val="auto"/>
        </w:rPr>
        <w:t>”); and (ii) HVAC equipment to the extent necessary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0" w:right="23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Tenant’s One-Pass Air System (the “</w:t>
      </w:r>
      <w:r>
        <w:rPr>
          <w:rFonts w:ascii="Arial" w:cs="Arial" w:eastAsia="Arial" w:hAnsi="Arial"/>
          <w:sz w:val="18"/>
          <w:szCs w:val="18"/>
          <w:b w:val="1"/>
          <w:bCs w:val="1"/>
          <w:color w:val="auto"/>
        </w:rPr>
        <w:t>HVAC Equipment</w:t>
      </w:r>
      <w:r>
        <w:rPr>
          <w:rFonts w:ascii="Arial" w:cs="Arial" w:eastAsia="Arial" w:hAnsi="Arial"/>
          <w:sz w:val="18"/>
          <w:szCs w:val="18"/>
          <w:color w:val="auto"/>
        </w:rPr>
        <w:t>”) (collectively, the “Rooftop Equipment”).</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29.34.1 Landlord makes no representations or warranties whatsoever with respect to the condition of the roof of the Building, or the fitness or suitability of the roof of the Building for the installation, maintenance and operation of the Rooftop Equipment, including, without limitation, with respect to the quality and clarity of any receptions and transmissions to or from the Telecommunications Equipment and the presence of any interference with such signals whether emanating from the Building or otherwise.</w:t>
      </w:r>
    </w:p>
    <w:p>
      <w:pPr>
        <w:spacing w:after="0" w:line="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29.34.2 In the event Tenant elects to exercise its right to install any Rooftop Equipment, then Tenant shall give Landlord prior notice thereof. Such Rooftop Equipment shall be installed pursuant to plans and specifications approved by Landlord (specifically including, without limitation, all mounting and waterproofing details), which approval will not be unreasonably withheld, conditioned, or delayed. In addition, the physical appearance and the size of the Rooftop Equipment shall be subject to Landlord’s reasonable approval, the location of any such installation of the Rooftop Equipment shall be designated by Tenant subject to Landlord’s reasonable approval and Landlord may require Tenant to install screening around such Rooftop Equipment, at Tenant’s sole cost and expense, as reasonably designated by Landlord. Tenant shall reimburse to Landlord the actual costs reasonably incurred by Landlord in approving such Rooftop Equipment. Notwithstanding any such review or approval by Landlord, Tenant shall remain solely liable for any damage to any portion of the roof or roof membrane, specifically including any penetrations, in connection with Tenant’s installation, use, maintenance and/or repair of such Rooftop Equipment, and Landlord shall have no liability therewith. Such Rooftop Equipment shall, in all instances, comply with applicable governmental laws, codes, rules and regulations.</w:t>
      </w:r>
    </w:p>
    <w:p>
      <w:pPr>
        <w:spacing w:after="0" w:line="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29.34.3 Tenant shall maintain such Rooftop Equipment, at Tenant’s sole cost and expense. Tenant shall remove such Rooftop Equipment upon the expiration or earlier termination of the “Lease, or, in the event Tenant no longer occupies the Premises, then upon the termination of Tenant’s rights under this </w:t>
      </w:r>
      <w:r>
        <w:rPr>
          <w:rFonts w:ascii="Arial" w:cs="Arial" w:eastAsia="Arial" w:hAnsi="Arial"/>
          <w:sz w:val="18"/>
          <w:szCs w:val="18"/>
          <w:u w:val="single" w:color="auto"/>
          <w:color w:val="auto"/>
        </w:rPr>
        <w:t>Section 29.34</w:t>
      </w:r>
      <w:r>
        <w:rPr>
          <w:rFonts w:ascii="Arial" w:cs="Arial" w:eastAsia="Arial" w:hAnsi="Arial"/>
          <w:sz w:val="18"/>
          <w:szCs w:val="18"/>
          <w:color w:val="auto"/>
        </w:rPr>
        <w:t>, and shall return the affected portion of the rooftop and the Premises to the condition the rooftop and the Premises would have been in had no such Rooftop Equipment been installed (reasonable wear and tear excepted).</w:t>
      </w:r>
    </w:p>
    <w:p>
      <w:pPr>
        <w:spacing w:after="0" w:line="7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29.34.4 Tenant shall not be entitled to assign, sublease, license or otherwise transfer all or any portion of its right to use such Rooftop Equipment (other than in connection with an assignment of this Lease under the terms of </w:t>
      </w:r>
      <w:r>
        <w:rPr>
          <w:rFonts w:ascii="Arial" w:cs="Arial" w:eastAsia="Arial" w:hAnsi="Arial"/>
          <w:sz w:val="18"/>
          <w:szCs w:val="18"/>
          <w:u w:val="single" w:color="auto"/>
          <w:color w:val="auto"/>
        </w:rPr>
        <w:t>Article 14</w:t>
      </w:r>
      <w:r>
        <w:rPr>
          <w:rFonts w:ascii="Arial" w:cs="Arial" w:eastAsia="Arial" w:hAnsi="Arial"/>
          <w:sz w:val="18"/>
          <w:szCs w:val="18"/>
          <w:color w:val="auto"/>
        </w:rPr>
        <w:t>), nor shall Tenant be permitted to receive any revenues, fees or any other consideration for the use of such Rooftop Equipment by an unrelated third party. Tenant’s right to install such Rooftop Equipment shall be non-exclusive, and Tenant hereby expressly acknowledges Landlord’s continued right (i) to itself utilize any rooftop space, and (ii) to re-sell, license or lease any rooftop space to an unaffiliated third party; provided, however, such Landlord (or third-party) use shall not materially interfere with (or preclude the installation of) Tenant’s Rooftop Equipment.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69" w:right="259" w:bottom="1440" w:gutter="0" w:footer="0" w:header="0"/>
        </w:sectPr>
      </w:pPr>
    </w:p>
    <w:bookmarkStart w:id="535" w:name="page536"/>
    <w:bookmarkEnd w:id="5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Landlord and Tenant have caused this Lease to be executed the day and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KILROY REALTY, L.P.,</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partnership</w:t>
      </w:r>
    </w:p>
    <w:p>
      <w:pPr>
        <w:spacing w:after="0" w:line="224"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Kilroy Realty Corporation,</w:t>
            </w:r>
          </w:p>
        </w:tc>
      </w:tr>
      <w:tr>
        <w:trPr>
          <w:trHeight w:val="216"/>
        </w:trPr>
        <w:tc>
          <w:tcPr>
            <w:tcW w:w="440" w:type="dxa"/>
            <w:vAlign w:val="bottom"/>
          </w:tcPr>
          <w:p>
            <w:pPr>
              <w:spacing w:after="0"/>
              <w:rPr>
                <w:sz w:val="18"/>
                <w:szCs w:val="18"/>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a Maryland corporation,</w:t>
            </w:r>
          </w:p>
        </w:tc>
      </w:tr>
      <w:tr>
        <w:trPr>
          <w:trHeight w:val="230"/>
        </w:trPr>
        <w:tc>
          <w:tcPr>
            <w:tcW w:w="440" w:type="dxa"/>
            <w:vAlign w:val="bottom"/>
          </w:tcPr>
          <w:p>
            <w:pPr>
              <w:spacing w:after="0"/>
              <w:rPr>
                <w:sz w:val="20"/>
                <w:szCs w:val="20"/>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general partner</w:t>
            </w:r>
          </w:p>
        </w:tc>
      </w:tr>
      <w:tr>
        <w:trPr>
          <w:trHeight w:val="446"/>
        </w:trPr>
        <w:tc>
          <w:tcPr>
            <w:tcW w:w="4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C. Hawken</w:t>
            </w:r>
          </w:p>
        </w:tc>
      </w:tr>
      <w:tr>
        <w:trPr>
          <w:trHeight w:val="209"/>
        </w:trPr>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Jeffrey C. Hawken</w:t>
            </w:r>
          </w:p>
        </w:tc>
      </w:tr>
      <w:tr>
        <w:trPr>
          <w:trHeight w:val="216"/>
        </w:trPr>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32"/>
        </w:trPr>
        <w:tc>
          <w:tcPr>
            <w:tcW w:w="4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Christian Krogh</w:t>
            </w:r>
          </w:p>
        </w:tc>
      </w:tr>
      <w:tr>
        <w:trPr>
          <w:trHeight w:val="209"/>
        </w:trPr>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A. Christian Krogh</w:t>
            </w:r>
          </w:p>
        </w:tc>
      </w:tr>
      <w:tr>
        <w:trPr>
          <w:trHeight w:val="230"/>
        </w:trPr>
        <w:tc>
          <w:tcPr>
            <w:tcW w:w="44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Vice President, Asset Management</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Smart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Tom Smart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Chairman &amp; CEO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Hamza Suria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VP, Corporate Development</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74" w:right="239" w:bottom="1440" w:gutter="0" w:footer="0" w:header="0"/>
        </w:sectPr>
      </w:pPr>
    </w:p>
    <w:bookmarkStart w:id="536" w:name="page537"/>
    <w:bookmarkEnd w:id="53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OUTLINE OF PREMISES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537" w:name="page538"/>
    <w:bookmarkEnd w:id="5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2798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542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538" w:name="page539"/>
    <w:bookmarkEnd w:id="5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9727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609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539" w:name="page540"/>
    <w:bookmarkEnd w:id="53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PREMISES DEMISING PLAN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540" w:name="page541"/>
    <w:bookmarkEnd w:id="5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947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541" w:name="page542"/>
    <w:bookmarkEnd w:id="5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2798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542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542" w:name="page543"/>
    <w:bookmarkEnd w:id="54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OUTLINE OF TANVEX EXCLUSIVE AREA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543" w:name="page544"/>
    <w:bookmarkEnd w:id="5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08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544" w:name="page545"/>
    <w:bookmarkEnd w:id="5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517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535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545" w:name="page546"/>
    <w:bookmarkEnd w:id="54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BUILDING CONTROL AREA PLAN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546" w:name="page547"/>
    <w:bookmarkEnd w:id="5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2897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572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547" w:name="page548"/>
    <w:bookmarkEnd w:id="5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111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548" w:name="page549"/>
    <w:bookmarkEnd w:id="54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 LETTER AGREEMENT</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This Work Letter shall set forth the terms and conditions relating to the construction of the improvements in the Premises. This Work Letter is essentially organized chronologically and addresses the issues of the construction of the Premises, in sequence, as such issues will arise during the actual construction of the Premises. All references in this Work Letter to Articles or Sections of “this Lease” shall mean the relevant portion of </w:t>
      </w:r>
      <w:r>
        <w:rPr>
          <w:rFonts w:ascii="Arial" w:cs="Arial" w:eastAsia="Arial" w:hAnsi="Arial"/>
          <w:sz w:val="17"/>
          <w:szCs w:val="17"/>
          <w:u w:val="single" w:color="auto"/>
          <w:color w:val="auto"/>
        </w:rPr>
        <w:t>Articles l</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of the Office Lease to which this Work Letter is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and of which this Work Letter forms a part, and all references in this Work Letter to Sections of “this Work Letter” shall mean the relevant portion of </w:t>
      </w:r>
      <w:r>
        <w:rPr>
          <w:rFonts w:ascii="Arial" w:cs="Arial" w:eastAsia="Arial" w:hAnsi="Arial"/>
          <w:sz w:val="17"/>
          <w:szCs w:val="17"/>
          <w:u w:val="single" w:color="auto"/>
          <w:color w:val="auto"/>
        </w:rPr>
        <w:t>Sections l</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Work Letter.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LANDLORD’S INITIAL CONSTRUCTION</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Base Building as Constructed by Landlord</w:t>
      </w:r>
      <w:r>
        <w:rPr>
          <w:rFonts w:ascii="Arial" w:cs="Arial" w:eastAsia="Arial" w:hAnsi="Arial"/>
          <w:sz w:val="18"/>
          <w:szCs w:val="18"/>
          <w:color w:val="auto"/>
        </w:rPr>
        <w:t>. Landlord has constructed, at its sole cost and expense, the Base Building. The Base Building shall consist of those portions of the Premises which were in existence prior to the construction of the improvements in the Premises for the prior tenant (if any) of the Premises.</w:t>
      </w:r>
    </w:p>
    <w:p>
      <w:pPr>
        <w:spacing w:after="0" w:line="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Landlord Work</w:t>
      </w:r>
      <w:r>
        <w:rPr>
          <w:rFonts w:ascii="Arial" w:cs="Arial" w:eastAsia="Arial" w:hAnsi="Arial"/>
          <w:sz w:val="18"/>
          <w:szCs w:val="18"/>
          <w:color w:val="auto"/>
        </w:rPr>
        <w:t>. Landlord shall cause the construction or installation of the following items on the floor of the Building containing the Premises (collectively, the “</w:t>
      </w:r>
      <w:r>
        <w:rPr>
          <w:rFonts w:ascii="Arial" w:cs="Arial" w:eastAsia="Arial" w:hAnsi="Arial"/>
          <w:sz w:val="18"/>
          <w:szCs w:val="18"/>
          <w:b w:val="1"/>
          <w:bCs w:val="1"/>
          <w:color w:val="auto"/>
        </w:rPr>
        <w:t>Landlord Work</w:t>
      </w:r>
      <w:r>
        <w:rPr>
          <w:rFonts w:ascii="Arial" w:cs="Arial" w:eastAsia="Arial" w:hAnsi="Arial"/>
          <w:sz w:val="18"/>
          <w:szCs w:val="18"/>
          <w:color w:val="auto"/>
        </w:rPr>
        <w:t>”). The Landlord Work shall be performed in compliance with all Applicable Laws at Landlord’s sole cost and expense, which cost and expense shall be expressly excluded from Operating Expenses and the Improvement Allowance. Tenant may not change or alter the Landlord Work.</w:t>
      </w:r>
    </w:p>
    <w:p>
      <w:pPr>
        <w:spacing w:after="0" w:line="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1.2.l </w:t>
      </w:r>
      <w:r>
        <w:rPr>
          <w:rFonts w:ascii="Arial" w:cs="Arial" w:eastAsia="Arial" w:hAnsi="Arial"/>
          <w:sz w:val="18"/>
          <w:szCs w:val="18"/>
          <w:u w:val="single" w:color="auto"/>
          <w:color w:val="auto"/>
        </w:rPr>
        <w:t>Demising of Premises</w:t>
      </w:r>
      <w:r>
        <w:rPr>
          <w:rFonts w:ascii="Arial" w:cs="Arial" w:eastAsia="Arial" w:hAnsi="Arial"/>
          <w:sz w:val="18"/>
          <w:szCs w:val="18"/>
          <w:color w:val="auto"/>
        </w:rPr>
        <w:t xml:space="preserve">. Landlord has, at Landlord’s cost, previously demised the Premises in accordance with the demising plan indicated on </w:t>
      </w:r>
      <w:r>
        <w:rPr>
          <w:rFonts w:ascii="Arial" w:cs="Arial" w:eastAsia="Arial" w:hAnsi="Arial"/>
          <w:sz w:val="18"/>
          <w:szCs w:val="18"/>
          <w:b w:val="1"/>
          <w:bCs w:val="1"/>
          <w:u w:val="single" w:color="auto"/>
          <w:color w:val="auto"/>
        </w:rPr>
        <w:t>Exhibit A-1</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Lease.</w:t>
      </w:r>
    </w:p>
    <w:p>
      <w:pPr>
        <w:spacing w:after="0" w:line="62" w:lineRule="exact"/>
        <w:rPr>
          <w:sz w:val="20"/>
          <w:szCs w:val="20"/>
          <w:color w:val="auto"/>
        </w:rPr>
      </w:pPr>
    </w:p>
    <w:p>
      <w:pPr>
        <w:ind w:right="320" w:firstLine="913"/>
        <w:spacing w:after="0" w:line="291" w:lineRule="auto"/>
        <w:rPr>
          <w:sz w:val="20"/>
          <w:szCs w:val="20"/>
          <w:color w:val="auto"/>
        </w:rPr>
      </w:pPr>
      <w:r>
        <w:rPr>
          <w:rFonts w:ascii="Arial" w:cs="Arial" w:eastAsia="Arial" w:hAnsi="Arial"/>
          <w:sz w:val="16"/>
          <w:szCs w:val="16"/>
          <w:color w:val="auto"/>
        </w:rPr>
        <w:t xml:space="preserve">l.2.2 </w:t>
      </w:r>
      <w:r>
        <w:rPr>
          <w:rFonts w:ascii="Arial" w:cs="Arial" w:eastAsia="Arial" w:hAnsi="Arial"/>
          <w:sz w:val="16"/>
          <w:szCs w:val="16"/>
          <w:u w:val="single" w:color="auto"/>
          <w:color w:val="auto"/>
        </w:rPr>
        <w:t>Building System</w:t>
      </w:r>
      <w:r>
        <w:rPr>
          <w:rFonts w:ascii="Arial" w:cs="Arial" w:eastAsia="Arial" w:hAnsi="Arial"/>
          <w:sz w:val="16"/>
          <w:szCs w:val="16"/>
          <w:color w:val="auto"/>
        </w:rPr>
        <w:t>. Landlord has previously separated the following Building Systems serving the Premises from those servicing the non-Premises portions of the Building: (i) HVAC; (ii) electrical; (iii) natural gas; (iv) deionized water; (v) Carbon-Dioxide (C02) piping; (vi) vacuum piping;</w:t>
      </w:r>
    </w:p>
    <w:p>
      <w:pPr>
        <w:ind w:right="220" w:firstLine="8"/>
        <w:spacing w:after="0" w:line="281" w:lineRule="auto"/>
        <w:tabs>
          <w:tab w:leader="none" w:pos="355" w:val="left"/>
        </w:tabs>
        <w:numPr>
          <w:ilvl w:val="0"/>
          <w:numId w:val="467"/>
        </w:numPr>
        <w:rPr>
          <w:rFonts w:ascii="Arial" w:cs="Arial" w:eastAsia="Arial" w:hAnsi="Arial"/>
          <w:sz w:val="16"/>
          <w:szCs w:val="16"/>
          <w:color w:val="auto"/>
        </w:rPr>
      </w:pPr>
      <w:r>
        <w:rPr>
          <w:rFonts w:ascii="Arial" w:cs="Arial" w:eastAsia="Arial" w:hAnsi="Arial"/>
          <w:sz w:val="16"/>
          <w:szCs w:val="16"/>
          <w:color w:val="auto"/>
        </w:rPr>
        <w:t>laboratory compressed air; and (viii) city water. Further, Landlord shall, at Landlord’s cost and on a contemporaneous basis with Landlord’s control of the construction of the Improvements as set forth in the remainder of this Work Letter, (A) install sample ports in the lab waste system; (B) provide an emergency generator enclosure with associated pad and feeders (excluding the generator itself) in a reasonably designated area adjacent to the Building;</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(C) provide HYAC consisting of packaged heat pumps with l2 thermal zones that will provide a re-circulated environment; (D) provide plumbing connections from second floor dedicated water meter to second floor plumbing fixtures; and (E) reinstall the drop ceiling in laboratory areas.</w:t>
      </w:r>
    </w:p>
    <w:p>
      <w:pPr>
        <w:sectPr>
          <w:pgSz w:w="11900" w:h="16838" w:orient="portrait"/>
          <w:cols w:equalWidth="0" w:num="1">
            <w:col w:w="11400"/>
          </w:cols>
          <w:pgMar w:left="240" w:top="269" w:right="259" w:bottom="1440" w:gutter="0" w:footer="0" w:header="0"/>
        </w:sectPr>
      </w:pPr>
    </w:p>
    <w:bookmarkStart w:id="549" w:name="page550"/>
    <w:bookmarkEnd w:id="549"/>
    <w:p>
      <w:pPr>
        <w:ind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7"/>
          <w:szCs w:val="17"/>
          <w:u w:val="single" w:color="auto"/>
          <w:color w:val="auto"/>
        </w:rPr>
        <w:t>Architect’s and Engineer’s Fees and Costs</w:t>
      </w:r>
      <w:r>
        <w:rPr>
          <w:rFonts w:ascii="Arial" w:cs="Arial" w:eastAsia="Arial" w:hAnsi="Arial"/>
          <w:sz w:val="17"/>
          <w:szCs w:val="17"/>
          <w:color w:val="auto"/>
        </w:rPr>
        <w:t xml:space="preserve">. Landlord shall be solely responsible for the payment of the fees of the architects and engineers utilized in connection with the Landlord Work. In addition, and notwithstanding any contrary provisions set forth in this Work Letter, Landlord shall be solely responsible for the payment of the fees of the “Architect” and the “Engineers,” as those terms are defined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Work Letter, and payment of the fees incurred by, and the cost of documents and materials supplied by, Landlord and Landlord’s consultants in connection with the preparation and review of the “Construction Drawings,” as that term is defined in </w:t>
      </w:r>
      <w:r>
        <w:rPr>
          <w:rFonts w:ascii="Arial" w:cs="Arial" w:eastAsia="Arial" w:hAnsi="Arial"/>
          <w:sz w:val="17"/>
          <w:szCs w:val="17"/>
          <w:u w:val="single" w:color="auto"/>
          <w:color w:val="auto"/>
        </w:rPr>
        <w:t>Section 3.l</w:t>
      </w:r>
      <w:r>
        <w:rPr>
          <w:rFonts w:ascii="Arial" w:cs="Arial" w:eastAsia="Arial" w:hAnsi="Arial"/>
          <w:sz w:val="17"/>
          <w:szCs w:val="17"/>
          <w:color w:val="auto"/>
        </w:rPr>
        <w:t xml:space="preserve"> of this Work Letter.</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IMPROVEMENTS</w:t>
      </w:r>
    </w:p>
    <w:p>
      <w:pPr>
        <w:spacing w:after="0" w:line="2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Improvement Allowance</w:t>
      </w:r>
      <w:r>
        <w:rPr>
          <w:rFonts w:ascii="Arial" w:cs="Arial" w:eastAsia="Arial" w:hAnsi="Arial"/>
          <w:sz w:val="17"/>
          <w:szCs w:val="17"/>
          <w:color w:val="auto"/>
        </w:rPr>
        <w:t>. Tenant shall be entitled to a one-time improvement allowance (the “</w:t>
      </w:r>
      <w:r>
        <w:rPr>
          <w:rFonts w:ascii="Arial" w:cs="Arial" w:eastAsia="Arial" w:hAnsi="Arial"/>
          <w:sz w:val="17"/>
          <w:szCs w:val="17"/>
          <w:b w:val="1"/>
          <w:bCs w:val="1"/>
          <w:color w:val="auto"/>
        </w:rPr>
        <w:t>Improvement Allowance</w:t>
      </w:r>
      <w:r>
        <w:rPr>
          <w:rFonts w:ascii="Arial" w:cs="Arial" w:eastAsia="Arial" w:hAnsi="Arial"/>
          <w:sz w:val="17"/>
          <w:szCs w:val="17"/>
          <w:color w:val="auto"/>
        </w:rPr>
        <w:t>”) in the amount of Thirteen and 00/100 Dollars ($13.00) per rentable square foot of the Premises for the costs relating to the initial design and construction of the improvements which are permanently affixed to the Premises (the “</w:t>
      </w:r>
      <w:r>
        <w:rPr>
          <w:rFonts w:ascii="Arial" w:cs="Arial" w:eastAsia="Arial" w:hAnsi="Arial"/>
          <w:sz w:val="17"/>
          <w:szCs w:val="17"/>
          <w:b w:val="1"/>
          <w:bCs w:val="1"/>
          <w:color w:val="auto"/>
        </w:rPr>
        <w:t>Improvements</w:t>
      </w:r>
      <w:r>
        <w:rPr>
          <w:rFonts w:ascii="Arial" w:cs="Arial" w:eastAsia="Arial" w:hAnsi="Arial"/>
          <w:sz w:val="17"/>
          <w:szCs w:val="17"/>
          <w:color w:val="auto"/>
        </w:rPr>
        <w:t xml:space="preserve">”). In no event shall Landlord be obligated to make disbursements pursuant to this Work Letter in the event that Tenant fails to immediately pay any portion of the “Over-Allowance Amount,” as defined in </w:t>
      </w:r>
      <w:r>
        <w:rPr>
          <w:rFonts w:ascii="Arial" w:cs="Arial" w:eastAsia="Arial" w:hAnsi="Arial"/>
          <w:sz w:val="17"/>
          <w:szCs w:val="17"/>
          <w:u w:val="single" w:color="auto"/>
          <w:color w:val="auto"/>
        </w:rPr>
        <w:t>Section 4.2.l</w:t>
      </w:r>
      <w:r>
        <w:rPr>
          <w:rFonts w:ascii="Arial" w:cs="Arial" w:eastAsia="Arial" w:hAnsi="Arial"/>
          <w:sz w:val="17"/>
          <w:szCs w:val="17"/>
          <w:color w:val="auto"/>
        </w:rPr>
        <w:t xml:space="preserve">, nor shall Landlord be obligated to pay a total amount which exceeds the sum of the Improvement Allowance and the cost of the Landlord Work. Notwithstanding the foregoing or any contrary provision of this Lease, all Improvements shall be deemed Landlord’s property under the terms of this Lease except to the extent otherwise expressly excluded from Landlord’s property pursuant to the TCCs of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of this Lease. Any unused portion of the Improvement Allowance remaining as of June 30, 2013 shall remain with Landlord and Tenant shall have no further right thereto.</w:t>
      </w:r>
    </w:p>
    <w:p>
      <w:pPr>
        <w:spacing w:after="0" w:line="6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Disbursement of the Improvement Allowance</w:t>
      </w:r>
      <w:r>
        <w:rPr>
          <w:rFonts w:ascii="Arial" w:cs="Arial" w:eastAsia="Arial" w:hAnsi="Arial"/>
          <w:sz w:val="18"/>
          <w:szCs w:val="18"/>
          <w:color w:val="auto"/>
        </w:rPr>
        <w:t>. Except as otherwise set forth in this Work Letter, the Improvement Allowance shall be disbursed by Landlord (each of which disbursements shall be made pursuant to Landlord’s disbursement process, including, without limitation, Landlord’s receipt of invoices for all costs and fees described herein) for costs related to the construction of the Improvements and for the following items and costs (collectively, the “</w:t>
      </w:r>
      <w:r>
        <w:rPr>
          <w:rFonts w:ascii="Arial" w:cs="Arial" w:eastAsia="Arial" w:hAnsi="Arial"/>
          <w:sz w:val="18"/>
          <w:szCs w:val="18"/>
          <w:b w:val="1"/>
          <w:bCs w:val="1"/>
          <w:color w:val="auto"/>
        </w:rPr>
        <w:t>Improvement Allowance Items</w:t>
      </w:r>
      <w:r>
        <w:rPr>
          <w:rFonts w:ascii="Arial" w:cs="Arial" w:eastAsia="Arial" w:hAnsi="Arial"/>
          <w:sz w:val="18"/>
          <w:szCs w:val="18"/>
          <w:color w:val="auto"/>
        </w:rPr>
        <w: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2.2.l The cost of any changes to the Construction Drawings or Improvements required by all applicable building codes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The cost of any changes in the Base Building when such changes are required by the Construction Drawings;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The cost of all plan check, permit and license fees relating to construction of the Improvements;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2.2.4 The “Landlord Supervision Fee’’, as that term is defined in </w:t>
      </w: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of this Work Letter;</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2.2.5 To the extent designated for inclusion by Tenant, the cost of Tenant’s telecommunications systems, internet connectivity and network cabling, moving costs, and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50" w:name="page551"/>
    <w:bookmarkEnd w:id="550"/>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costs relating to the Premises (other than the cost of furniture or leasing costs) (“</w:t>
      </w:r>
      <w:r>
        <w:rPr>
          <w:rFonts w:ascii="Arial" w:cs="Arial" w:eastAsia="Arial" w:hAnsi="Arial"/>
          <w:sz w:val="18"/>
          <w:szCs w:val="18"/>
          <w:b w:val="1"/>
          <w:bCs w:val="1"/>
          <w:color w:val="auto"/>
        </w:rPr>
        <w:t>Soft Costs</w:t>
      </w:r>
      <w:r>
        <w:rPr>
          <w:rFonts w:ascii="Arial" w:cs="Arial" w:eastAsia="Arial" w:hAnsi="Arial"/>
          <w:sz w:val="18"/>
          <w:szCs w:val="18"/>
          <w:color w:val="auto"/>
        </w:rPr>
        <w:t>”); provided, however, in no event shall the foregoing exceed an aggregate amount equal to Three Dollars ($3.00) per rentable square foot of the Premises.</w:t>
      </w:r>
    </w:p>
    <w:p>
      <w:pPr>
        <w:spacing w:after="0" w:line="5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Building Standards</w:t>
      </w:r>
      <w:r>
        <w:rPr>
          <w:rFonts w:ascii="Arial" w:cs="Arial" w:eastAsia="Arial" w:hAnsi="Arial"/>
          <w:sz w:val="18"/>
          <w:szCs w:val="18"/>
          <w:color w:val="auto"/>
        </w:rPr>
        <w:t>. Landlord has established or may establish specifications for certain Building standard components to be used in the construction of the Improvements in the Premises. The quality of Improvements shall be equal to or of greater quality than the quality of such Building standards, provided that Landlord may, at Landlord’s option, require the Improvements to comply with certain Building standards. Landlord may make changes to said specifications for Building standards from time to time.</w:t>
      </w:r>
    </w:p>
    <w:p>
      <w:pPr>
        <w:spacing w:after="0" w:line="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Removal of Improvements</w:t>
      </w:r>
      <w:r>
        <w:rPr>
          <w:rFonts w:ascii="Arial" w:cs="Arial" w:eastAsia="Arial" w:hAnsi="Arial"/>
          <w:sz w:val="16"/>
          <w:szCs w:val="16"/>
          <w:color w:val="auto"/>
        </w:rPr>
        <w:t xml:space="preserve">. Other than with respect to Above Standard Improvements as set forth in this </w:t>
      </w:r>
      <w:r>
        <w:rPr>
          <w:rFonts w:ascii="Arial" w:cs="Arial" w:eastAsia="Arial" w:hAnsi="Arial"/>
          <w:sz w:val="16"/>
          <w:szCs w:val="16"/>
          <w:u w:val="single" w:color="auto"/>
          <w:color w:val="auto"/>
        </w:rPr>
        <w:t>Section 2.4</w:t>
      </w:r>
      <w:r>
        <w:rPr>
          <w:rFonts w:ascii="Arial" w:cs="Arial" w:eastAsia="Arial" w:hAnsi="Arial"/>
          <w:sz w:val="16"/>
          <w:szCs w:val="16"/>
          <w:color w:val="auto"/>
        </w:rPr>
        <w:t>, Landlord shall not require Tenant to remove from the Premises any Improvements (to the extent the same are construction in the Premises in accordance with the terms of this Work Letter) upon the expiration or any earlier termination of this Lease. “</w:t>
      </w:r>
      <w:r>
        <w:rPr>
          <w:rFonts w:ascii="Arial" w:cs="Arial" w:eastAsia="Arial" w:hAnsi="Arial"/>
          <w:sz w:val="16"/>
          <w:szCs w:val="16"/>
          <w:b w:val="1"/>
          <w:bCs w:val="1"/>
          <w:color w:val="auto"/>
        </w:rPr>
        <w:t>Above Standard Improvements</w:t>
      </w:r>
      <w:r>
        <w:rPr>
          <w:rFonts w:ascii="Arial" w:cs="Arial" w:eastAsia="Arial" w:hAnsi="Arial"/>
          <w:sz w:val="16"/>
          <w:szCs w:val="16"/>
          <w:color w:val="auto"/>
        </w:rPr>
        <w:t xml:space="preserve">” shall mean any part of the Improvements which do not constitute normal and customary general office improvements as reasonably determined by Landlord (Above Standard Improvements shall include, without limitation, improvements such as voice, data and other cabling, raised floors, floor penetrations, any installations outside the Premises, or any areas requiring floor reinforcement, personal baths and showers, vaults, rolling file systems, any vivariums or vivarium related improvements, laboratory space, and structural alterations of any type), and identified by Landlord for removal at the time of Landlord’s review and approval (to the extent such approval is granted) of the Final Space and/or the Final Working Drawings. In the event so identified by Landlord, Tenant shall remove such Above Standard Improvements upon the expiration or earlier termination of this Lease as more particularly set forth in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of this Lease.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CONSTRUCTION DRAWINGS</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Selection of Architect/Construction Drawings</w:t>
      </w:r>
      <w:r>
        <w:rPr>
          <w:rFonts w:ascii="Arial" w:cs="Arial" w:eastAsia="Arial" w:hAnsi="Arial"/>
          <w:sz w:val="16"/>
          <w:szCs w:val="16"/>
          <w:color w:val="auto"/>
        </w:rPr>
        <w:t xml:space="preserve">. Landlord shall retain, on behalf of Tenant, FPBA Architects (the “Architect”) to prepare the “Construction Drawings,” as that term is defined in this </w:t>
      </w:r>
      <w:r>
        <w:rPr>
          <w:rFonts w:ascii="Arial" w:cs="Arial" w:eastAsia="Arial" w:hAnsi="Arial"/>
          <w:sz w:val="16"/>
          <w:szCs w:val="16"/>
          <w:u w:val="single" w:color="auto"/>
          <w:color w:val="auto"/>
        </w:rPr>
        <w:t>Section 3.1</w:t>
      </w:r>
      <w:r>
        <w:rPr>
          <w:rFonts w:ascii="Arial" w:cs="Arial" w:eastAsia="Arial" w:hAnsi="Arial"/>
          <w:sz w:val="16"/>
          <w:szCs w:val="16"/>
          <w:color w:val="auto"/>
        </w:rPr>
        <w:t>. Landlord shall retain, on behalf of Tenant, engineering consultants and/or design-build consultants designated by Landlord (the “</w:t>
      </w:r>
      <w:r>
        <w:rPr>
          <w:rFonts w:ascii="Arial" w:cs="Arial" w:eastAsia="Arial" w:hAnsi="Arial"/>
          <w:sz w:val="16"/>
          <w:szCs w:val="16"/>
          <w:b w:val="1"/>
          <w:bCs w:val="1"/>
          <w:color w:val="auto"/>
        </w:rPr>
        <w:t>Engineers</w:t>
      </w:r>
      <w:r>
        <w:rPr>
          <w:rFonts w:ascii="Arial" w:cs="Arial" w:eastAsia="Arial" w:hAnsi="Arial"/>
          <w:sz w:val="16"/>
          <w:szCs w:val="16"/>
          <w:color w:val="auto"/>
        </w:rPr>
        <w:t>”) to prepare all plans and engineering working drawings relating to the structural, mechanical, electrical, plumbing and HYAC work of the Improvements and any relevant components of the Landlord Work. The plans and drawings to be prepared by Architect and the Engineers hereunder shall be known collectively as the “</w:t>
      </w:r>
      <w:r>
        <w:rPr>
          <w:rFonts w:ascii="Arial" w:cs="Arial" w:eastAsia="Arial" w:hAnsi="Arial"/>
          <w:sz w:val="16"/>
          <w:szCs w:val="16"/>
          <w:b w:val="1"/>
          <w:bCs w:val="1"/>
          <w:color w:val="auto"/>
        </w:rPr>
        <w:t>Construction Drawings</w:t>
      </w:r>
      <w:r>
        <w:rPr>
          <w:rFonts w:ascii="Arial" w:cs="Arial" w:eastAsia="Arial" w:hAnsi="Arial"/>
          <w:sz w:val="16"/>
          <w:szCs w:val="16"/>
          <w:color w:val="auto"/>
        </w:rPr>
        <w:t xml:space="preserve">.” All Construction Drawings shall comply with the drawing format and specifications as determined by Landlord, and shall be subject to Landlord’s approval as more particularly set forth in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below. Notwithstanding Landlord’s retention of the Architect and Engineers, Tenant shall be responsible for, and shall fully cooperate and coordinate in good faith with Landlord, the Architect and the Engineers to supply all of the necessary information within Tenant’s possession to allow the Architect and the Engineers to initially prepare and then complete, the Construction Drawings. Landlord hereby agrees (at no cost to Landlord) to cooperate, on a commercially reasonable basis, with Tenant to assist Tenant in the preparation of the Construction Drawings. Landlord’s review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551" w:name="page552"/>
    <w:bookmarkEnd w:id="55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Construction Drawings applicable to the Improvements (as opposed to Landlord Work) and as set forth in this Section 3, shall be for its sole purpose and shall not imply Landlord’s review of the same, or obligate Landlord to review the same, for quality, design, Code compliance or other like matters. Accordingly, notwithstanding that any Improvement-related portions of such Construction Drawings are reviewed by Landlord, and notwithstanding any advice or assistance which may be rendered to Tenant by Landlord, Landlord shall have no liability whatsoever in connection therewith and shall not be responsible for any omissions or errors contained in such portions of the Construction Drawings, and Tenant’s waiver and indemnity set forth in this Lease shall specifically apply to such portions of the Construction Drawings.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Final Space Plan</w:t>
      </w:r>
      <w:r>
        <w:rPr>
          <w:rFonts w:ascii="Arial" w:cs="Arial" w:eastAsia="Arial" w:hAnsi="Arial"/>
          <w:sz w:val="17"/>
          <w:szCs w:val="17"/>
          <w:color w:val="auto"/>
        </w:rPr>
        <w:t xml:space="preserve">. On or before the date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attached hereto, Tenant and the Architect shall prepare the final space plan for Improvements in the Premises (collectively, the “</w:t>
      </w:r>
      <w:r>
        <w:rPr>
          <w:rFonts w:ascii="Arial" w:cs="Arial" w:eastAsia="Arial" w:hAnsi="Arial"/>
          <w:sz w:val="17"/>
          <w:szCs w:val="17"/>
          <w:b w:val="1"/>
          <w:bCs w:val="1"/>
          <w:color w:val="auto"/>
        </w:rPr>
        <w:t>Final Space Plan</w:t>
      </w:r>
      <w:r>
        <w:rPr>
          <w:rFonts w:ascii="Arial" w:cs="Arial" w:eastAsia="Arial" w:hAnsi="Arial"/>
          <w:sz w:val="17"/>
          <w:szCs w:val="17"/>
          <w:color w:val="auto"/>
        </w:rPr>
        <w:t xml:space="preserve">”), which Final Space Plan shall include a layout and designation of all offices, rooms and other partitioning, their intended use, and equipment to be contained therein, and shall deliver four (4) hard copies signed by Tenant to Landlord for Landlord’s approval, and concurrently with Tenant’s delivery of such hard copies, Tenant shall send to Landlord via electronic mail one (1) .pdf electronic copy of such Final Space Plan. Landlord shall advise Tenant within five (5) business days after Landlord’s receipt of the Final Space Plan for the Premises if the same is unsatisfactory or incomplete in any respect; provided, however, Landlord shall only disapprove such Final Space Plan to the extent of a Design Problem. Landlord shall set forth with reasonable specificity in what respect the Final Space Plan is unsatisfactory or incomplete. If Tenant is so advised, Tenant shall promptly cause the Final Space Plan to be revised within five (5) business days in order to correct any deficiencies or other matters Landlord may reasonably require, and immediately thereafter Architect shall promptly re-submit the Final Space Plan to Landlord for its approval. Such procedure shall continue (except that the time frame to consent to any revisions shall be shortened to three (3) business days) until the Final Space Plan is approved by Landlord. For purposes of this Work Letter, a “Design Problem” shall be any aspect of the Final Space Plan that (a) have an adverse effect on the structural integrity of the Building; (b) are not in compliance with Applicable Law; (c) have an adverse effect on the systems and equipment of the Building; (d) have an effect on the exterior appearance of the Building; (e) do not comply with the Building standards identified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of this Work Letter, (f) cause unreasonable interference with the normal and customary operations of any other tenant in the Building, or (g) has incomplete, missing or inaccurate information.</w:t>
      </w:r>
    </w:p>
    <w:p>
      <w:pPr>
        <w:spacing w:after="0" w:line="7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Final Working Drawings</w:t>
      </w:r>
      <w:r>
        <w:rPr>
          <w:rFonts w:ascii="Arial" w:cs="Arial" w:eastAsia="Arial" w:hAnsi="Arial"/>
          <w:sz w:val="18"/>
          <w:szCs w:val="18"/>
          <w:color w:val="auto"/>
        </w:rPr>
        <w:t xml:space="preserve">. On or before the date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Tenant, the Architect and the Engineers shall complete the architectural and engineering drawings for the Premises, and the final architectural working drawings in a form which is complete to allow subcontractors to bid on the work and to obtain all applicable permits (collectively, the “</w:t>
      </w:r>
      <w:r>
        <w:rPr>
          <w:rFonts w:ascii="Arial" w:cs="Arial" w:eastAsia="Arial" w:hAnsi="Arial"/>
          <w:sz w:val="18"/>
          <w:szCs w:val="18"/>
          <w:b w:val="1"/>
          <w:bCs w:val="1"/>
          <w:color w:val="auto"/>
        </w:rPr>
        <w:t>Final Working Drawings</w:t>
      </w:r>
      <w:r>
        <w:rPr>
          <w:rFonts w:ascii="Arial" w:cs="Arial" w:eastAsia="Arial" w:hAnsi="Arial"/>
          <w:sz w:val="18"/>
          <w:szCs w:val="18"/>
          <w:color w:val="auto"/>
        </w:rPr>
        <w:t>”) and shall submit four (4) hard copies signed by Tenant of the Final Working Drawings to Landlord for Landlord’s approval, and concurrently with Tenant’s delivery of such hard copies, Tenant shall send to Landlord via electronic mail one (1) .pdf electronic copy of such Final Working Drawings; provided, however, Landlord shall only disapprove of the Final Working Drawings to the extent the same are not consistent with, or a logical evolution of, the Final Space Plan. Landlord shall advise Tenant within five (5) business days after Landlord’s receipt of all of the Final Working Drawings, either (i) approve the Final Working Drawings, (ii) approve the Final Working Drawings subject to specified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52" w:name="page553"/>
    <w:bookmarkEnd w:id="55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conditions, which conditions must be stated in a reasonably clear and complete manner, or (iii) disapprove and return the Construction Drawings to Tenant with requested revisions. If Landlord disapproves the Final Working Drawings, Tenant shall promptly cause the Final Working Drawings to be revised within five (5) business days in order to correct any deficiencies or other matters Landlord may reasonably require, and immediately thereafter Architect shall promptly re-submit the Final Space Plan to Landlord for its approval based upon the criteria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within five (5) business days after Landlord receives such resubmitted Final Working Drawings. Such procedure shall be repeated until the Final Working Drawings are approved.</w:t>
      </w:r>
    </w:p>
    <w:p>
      <w:pPr>
        <w:spacing w:after="0" w:line="4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Permits</w:t>
      </w:r>
      <w:r>
        <w:rPr>
          <w:rFonts w:ascii="Arial" w:cs="Arial" w:eastAsia="Arial" w:hAnsi="Arial"/>
          <w:sz w:val="18"/>
          <w:szCs w:val="18"/>
          <w:color w:val="auto"/>
        </w:rPr>
        <w:t>. The Final Working Drawings shall be approved by Landlord (the “</w:t>
      </w:r>
      <w:r>
        <w:rPr>
          <w:rFonts w:ascii="Arial" w:cs="Arial" w:eastAsia="Arial" w:hAnsi="Arial"/>
          <w:sz w:val="18"/>
          <w:szCs w:val="18"/>
          <w:b w:val="1"/>
          <w:bCs w:val="1"/>
          <w:color w:val="auto"/>
        </w:rPr>
        <w:t>Approved Working Drawings</w:t>
      </w:r>
      <w:r>
        <w:rPr>
          <w:rFonts w:ascii="Arial" w:cs="Arial" w:eastAsia="Arial" w:hAnsi="Arial"/>
          <w:sz w:val="18"/>
          <w:szCs w:val="18"/>
          <w:color w:val="auto"/>
        </w:rPr>
        <w:t xml:space="preserve">”) prior to the commencement of the construction of the Improvements. Landlord shall cause the Approved Working Drawings to be immediately submitted to the appropriate municipal authorities for all applicable building and other permits necessary to allow “Contractor,” as that term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below, to commence and fully complete the construction of the Improvements and the relevant Landlord Work (the “</w:t>
      </w:r>
      <w:r>
        <w:rPr>
          <w:rFonts w:ascii="Arial" w:cs="Arial" w:eastAsia="Arial" w:hAnsi="Arial"/>
          <w:sz w:val="18"/>
          <w:szCs w:val="18"/>
          <w:b w:val="1"/>
          <w:bCs w:val="1"/>
          <w:color w:val="auto"/>
        </w:rPr>
        <w:t>Permits</w:t>
      </w:r>
      <w:r>
        <w:rPr>
          <w:rFonts w:ascii="Arial" w:cs="Arial" w:eastAsia="Arial" w:hAnsi="Arial"/>
          <w:sz w:val="18"/>
          <w:szCs w:val="18"/>
          <w:color w:val="auto"/>
        </w:rPr>
        <w:t xml:space="preserve">”). No changes, modifications or alterations in the Approved Working Drawings may be made without the prior written consent of Landlord, provided that Landlord may withhold its consent, in its sole discretion, to any change in the Approved Working Drawings if such change would directly or indirectly delay the “Substantial Completion” of the Premises as that term is defined in </w:t>
      </w:r>
      <w:r>
        <w:rPr>
          <w:rFonts w:ascii="Arial" w:cs="Arial" w:eastAsia="Arial" w:hAnsi="Arial"/>
          <w:sz w:val="18"/>
          <w:szCs w:val="18"/>
          <w:u w:val="single" w:color="auto"/>
          <w:color w:val="auto"/>
        </w:rPr>
        <w:t>Section 5.l</w:t>
      </w:r>
      <w:r>
        <w:rPr>
          <w:rFonts w:ascii="Arial" w:cs="Arial" w:eastAsia="Arial" w:hAnsi="Arial"/>
          <w:sz w:val="18"/>
          <w:szCs w:val="18"/>
          <w:color w:val="auto"/>
        </w:rPr>
        <w:t xml:space="preserve"> of this Work Letter.</w:t>
      </w:r>
    </w:p>
    <w:p>
      <w:pPr>
        <w:spacing w:after="0" w:line="8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Time Deadlines</w:t>
      </w:r>
      <w:r>
        <w:rPr>
          <w:rFonts w:ascii="Arial" w:cs="Arial" w:eastAsia="Arial" w:hAnsi="Arial"/>
          <w:sz w:val="16"/>
          <w:szCs w:val="16"/>
          <w:color w:val="auto"/>
        </w:rPr>
        <w:t xml:space="preserve">. Landlord and Tenant shall use their best, good faith, efforts and all due diligence to cooperate with the Architect, the Engineers, and each other to complete all phases of the Construction Drawings and the permitting process and to receive the permits, and with Contractor for approval of the “Cost Proposal,” as that term is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of this Work Letter, as soon as possible after the execution of the Lease, and, in that regard, shall meet with Landlord on a scheduled basis to be mutually and reasonably determined by Landlord and Tenant, to discuss Tenant’s progress in connection with the same. The applicable dates for approval of items, plans and drawings as described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and in this Work Letter are set forth and further elaborated upon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Time Deadlines</w:t>
      </w:r>
      <w:r>
        <w:rPr>
          <w:rFonts w:ascii="Arial" w:cs="Arial" w:eastAsia="Arial" w:hAnsi="Arial"/>
          <w:sz w:val="16"/>
          <w:szCs w:val="16"/>
          <w:color w:val="auto"/>
        </w:rPr>
        <w:t>”), attached hereto. Tenant agrees to comply with the Time Deadlines.</w:t>
      </w:r>
    </w:p>
    <w:p>
      <w:pPr>
        <w:spacing w:after="0" w:line="5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Electronic Approvals</w:t>
      </w:r>
      <w:r>
        <w:rPr>
          <w:rFonts w:ascii="Arial" w:cs="Arial" w:eastAsia="Arial" w:hAnsi="Arial"/>
          <w:sz w:val="18"/>
          <w:szCs w:val="18"/>
          <w:color w:val="auto"/>
        </w:rPr>
        <w:t xml:space="preserve">. Notwithstanding any provision to the contrary contained in the Lease or this Work Letter, Landlord may, in Landlord’s sole and absolute discretion, transmit or otherwise deliver any of the approvals required under this Work Letter via electronic mail to Tenant’s representative identified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Work Letter, or by any of the other means identified in </w:t>
      </w:r>
      <w:r>
        <w:rPr>
          <w:rFonts w:ascii="Arial" w:cs="Arial" w:eastAsia="Arial" w:hAnsi="Arial"/>
          <w:sz w:val="18"/>
          <w:szCs w:val="18"/>
          <w:u w:val="single" w:color="auto"/>
          <w:color w:val="auto"/>
        </w:rPr>
        <w:t>Section 29.18</w:t>
      </w:r>
      <w:r>
        <w:rPr>
          <w:rFonts w:ascii="Arial" w:cs="Arial" w:eastAsia="Arial" w:hAnsi="Arial"/>
          <w:sz w:val="18"/>
          <w:szCs w:val="18"/>
          <w:color w:val="auto"/>
        </w:rPr>
        <w:t xml:space="preserve"> of this Lease.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3" w:right="279" w:bottom="1440" w:gutter="0" w:footer="0" w:header="0"/>
        </w:sectPr>
      </w:pPr>
    </w:p>
    <w:bookmarkStart w:id="553" w:name="page554"/>
    <w:bookmarkEnd w:id="55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CONSTRUCTION OF THE IMPROVEMENTS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Contractor</w:t>
      </w:r>
      <w:r>
        <w:rPr>
          <w:rFonts w:ascii="Arial" w:cs="Arial" w:eastAsia="Arial" w:hAnsi="Arial"/>
          <w:sz w:val="18"/>
          <w:szCs w:val="18"/>
          <w:color w:val="auto"/>
        </w:rPr>
        <w:t>. Landlord shall retain DPR Construction as the contractor (the “</w:t>
      </w:r>
      <w:r>
        <w:rPr>
          <w:rFonts w:ascii="Arial" w:cs="Arial" w:eastAsia="Arial" w:hAnsi="Arial"/>
          <w:sz w:val="18"/>
          <w:szCs w:val="18"/>
          <w:b w:val="1"/>
          <w:bCs w:val="1"/>
          <w:color w:val="auto"/>
        </w:rPr>
        <w:t>Contractor</w:t>
      </w:r>
      <w:r>
        <w:rPr>
          <w:rFonts w:ascii="Arial" w:cs="Arial" w:eastAsia="Arial" w:hAnsi="Arial"/>
          <w:sz w:val="18"/>
          <w:szCs w:val="18"/>
          <w:color w:val="auto"/>
        </w:rPr>
        <w:t>”) to construct the Improvements.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Cost Proposal</w:t>
      </w:r>
      <w:r>
        <w:rPr>
          <w:rFonts w:ascii="Arial" w:cs="Arial" w:eastAsia="Arial" w:hAnsi="Arial"/>
          <w:sz w:val="16"/>
          <w:szCs w:val="16"/>
          <w:color w:val="auto"/>
        </w:rPr>
        <w:t>. After the Approved Working Drawings are signed by Landlord and Tenant, Landlord shall provide Tenant with a cost proposal in accordance with the Approved Working Drawings, which cost proposal shall include, as nearly as possible, the cost of all Improvement Allowance Items to be incurred by Tenant in connection with the design and construction of the Improvements (the “</w:t>
      </w:r>
      <w:r>
        <w:rPr>
          <w:rFonts w:ascii="Arial" w:cs="Arial" w:eastAsia="Arial" w:hAnsi="Arial"/>
          <w:sz w:val="16"/>
          <w:szCs w:val="16"/>
          <w:b w:val="1"/>
          <w:bCs w:val="1"/>
          <w:color w:val="auto"/>
        </w:rPr>
        <w:t>Cost Proposal</w:t>
      </w:r>
      <w:r>
        <w:rPr>
          <w:rFonts w:ascii="Arial" w:cs="Arial" w:eastAsia="Arial" w:hAnsi="Arial"/>
          <w:sz w:val="16"/>
          <w:szCs w:val="16"/>
          <w:color w:val="auto"/>
        </w:rPr>
        <w:t>”). Tenant shall approve and deliver the Cost Proposal to Landlord within five (5) business days of the receipt of the same, and upon receipt of the same by Landlord, Landlord shall be released by Tenant to purchase the items set forth in the Cost Proposal and to commence the construction relating to such items. The date by which Tenant must approve and deliver the Cost Proposal to Landlord shall be known hereafter as the “</w:t>
      </w:r>
      <w:r>
        <w:rPr>
          <w:rFonts w:ascii="Arial" w:cs="Arial" w:eastAsia="Arial" w:hAnsi="Arial"/>
          <w:sz w:val="16"/>
          <w:szCs w:val="16"/>
          <w:b w:val="1"/>
          <w:bCs w:val="1"/>
          <w:color w:val="auto"/>
        </w:rPr>
        <w:t>Cost Proposal Delivery Date</w:t>
      </w:r>
      <w:r>
        <w:rPr>
          <w:rFonts w:ascii="Arial" w:cs="Arial" w:eastAsia="Arial" w:hAnsi="Arial"/>
          <w:sz w:val="16"/>
          <w:szCs w:val="16"/>
          <w:color w:val="auto"/>
        </w:rPr>
        <w:t xml:space="preserve">”. Notwithstanding the foregoing, Tenant shall have the one-time right to object to such Cost Proposal prior to the Cost Proposal Delivery Date by providing Landlord with written notice of such objection, and which notice shall specifically identify, in detail, the proposed changes that Tenant desires such the Cost Proposal would be acceptable to Tenant, as well as Tenant’s desired pricing parameters. In the event Tenant so objects to the Cost Proposal, Tenant shall work directly with the Architect and/or Engineers to revise the Final Space Plan and/or Approved Working Drawings (as applicable), and resubmit the Final Space Plan and/or Approved Working Drawings (as applicable) to Landlord within three (3) business days following Tenant’s objection, which revised Final Space Plan and/or Approved Working Drawings (as applicable) shall be subject to Landlord’s approval in accordance with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Work Letter, and following the approval of the revised Final Space Plan and/or Approved Working Drawings (as applicable) by Landlord and Tenant, Landlord shall submit a revised cost proposal “</w:t>
      </w:r>
      <w:r>
        <w:rPr>
          <w:rFonts w:ascii="Arial" w:cs="Arial" w:eastAsia="Arial" w:hAnsi="Arial"/>
          <w:sz w:val="16"/>
          <w:szCs w:val="16"/>
          <w:b w:val="1"/>
          <w:bCs w:val="1"/>
          <w:color w:val="auto"/>
        </w:rPr>
        <w:t>Revised</w:t>
      </w:r>
      <w:r>
        <w:rPr>
          <w:rFonts w:ascii="Arial" w:cs="Arial" w:eastAsia="Arial" w:hAnsi="Arial"/>
          <w:sz w:val="16"/>
          <w:szCs w:val="16"/>
          <w:color w:val="auto"/>
        </w:rPr>
        <w:t xml:space="preserve"> </w:t>
      </w:r>
      <w:r>
        <w:rPr>
          <w:rFonts w:ascii="Arial" w:cs="Arial" w:eastAsia="Arial" w:hAnsi="Arial"/>
          <w:sz w:val="16"/>
          <w:szCs w:val="16"/>
          <w:b w:val="1"/>
          <w:bCs w:val="1"/>
          <w:color w:val="auto"/>
        </w:rPr>
        <w:t>Cost Proposal</w:t>
      </w:r>
      <w:r>
        <w:rPr>
          <w:rFonts w:ascii="Arial" w:cs="Arial" w:eastAsia="Arial" w:hAnsi="Arial"/>
          <w:sz w:val="16"/>
          <w:szCs w:val="16"/>
          <w:color w:val="auto"/>
        </w:rPr>
        <w:t>” to Tenant for its approval in accordance with the terms set forth above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4.2</w:t>
      </w:r>
      <w:r>
        <w:rPr>
          <w:rFonts w:ascii="Arial" w:cs="Arial" w:eastAsia="Arial" w:hAnsi="Arial"/>
          <w:sz w:val="16"/>
          <w:szCs w:val="16"/>
          <w:color w:val="auto"/>
        </w:rPr>
        <w:t>. The date by which Tenant must approve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the Cost Proposal to Landlord shall be known hereafter as the “</w:t>
      </w:r>
      <w:r>
        <w:rPr>
          <w:rFonts w:ascii="Arial" w:cs="Arial" w:eastAsia="Arial" w:hAnsi="Arial"/>
          <w:sz w:val="16"/>
          <w:szCs w:val="16"/>
          <w:u w:val="single" w:color="auto"/>
          <w:color w:val="auto"/>
        </w:rPr>
        <w:t>Revised Cost Proposal Delivery Date</w:t>
      </w:r>
      <w:r>
        <w:rPr>
          <w:rFonts w:ascii="Arial" w:cs="Arial" w:eastAsia="Arial" w:hAnsi="Arial"/>
          <w:sz w:val="16"/>
          <w:szCs w:val="16"/>
          <w:color w:val="auto"/>
        </w:rPr>
        <w:t xml:space="preserve">.” In the event Tenant fails to approve or timely object to the original Cost Proposal or Revised Cost Proposal on or before the Cost Proposal Delivery Date, or the Revised Cost Proposal Delivery Date, respectively, such failures shall be deemed to be Tenant delays subject to the terms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Work Letter.</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Construction of Improvements by Contractor under the Supervision of Landlord</w:t>
      </w:r>
      <w:r>
        <w:rPr>
          <w:rFonts w:ascii="Arial" w:cs="Arial" w:eastAsia="Arial" w:hAnsi="Arial"/>
          <w:sz w:val="18"/>
          <w:szCs w:val="18"/>
          <w:color w:val="auto"/>
        </w:rPr>
        <w:t>.</w:t>
      </w:r>
    </w:p>
    <w:p>
      <w:pPr>
        <w:spacing w:after="0" w:line="11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Over-Allowance Amount</w:t>
      </w:r>
      <w:r>
        <w:rPr>
          <w:rFonts w:ascii="Arial" w:cs="Arial" w:eastAsia="Arial" w:hAnsi="Arial"/>
          <w:sz w:val="18"/>
          <w:szCs w:val="18"/>
          <w:color w:val="auto"/>
        </w:rPr>
        <w:t>. On the Cost Proposal Delivery Date, Tenant shall deliver to Landlord cash in an amount (the “</w:t>
      </w:r>
      <w:r>
        <w:rPr>
          <w:rFonts w:ascii="Arial" w:cs="Arial" w:eastAsia="Arial" w:hAnsi="Arial"/>
          <w:sz w:val="18"/>
          <w:szCs w:val="18"/>
          <w:b w:val="1"/>
          <w:bCs w:val="1"/>
          <w:color w:val="auto"/>
        </w:rPr>
        <w:t>Over-Allowance</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equal to the difference between (i) the amount of the Cost Proposal and (ii) the amount of the Improvement Allowance. The Over-Allowance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shall be disbursed by Landlord on a pro-rata basis along with any then remaining portion of the Improvement Allowance, and such disbursement shall be pursuant to the same procedure as the Improvement Allowance. In the event that, after the Cost Proposal Delivery Date, any revisions, changes, or substitutions shall be made to the Construction Drawings or the Improvements, any additional costs which arise in connection with such revisions, changes or substitutions or any other additional costs shall be paid by Tenant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554" w:name="page555"/>
    <w:bookmarkEnd w:id="55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Landlord immediately upon Landlord’s request as an addition to the Over-Allowance Amount. In addition, if the Final Working Drawings or any amendment thereof or supplement thereto shall require alterations in the Base Building (as contrasted with the Improvements), and if Landlord in its sole and exclusive discretion agrees to any such alterations, and notifies Tenant of the need and cost for such alterations, then Tenant shall pay the cost of such required changes in advance upon receipt of notice thereof (but only to the extent that no Improvement Allowance funds remain unallocated and undisbursed and are available to pay for the same). Tenant shall pay all direct architectural and/or engineering fees in connection therewith, plus six percent (6%) of such direct costs for Landlord’s servicing and overhead. In the event that Tenant fails to deliver the Over-Allowance Amount as provided in this </w:t>
      </w:r>
      <w:r>
        <w:rPr>
          <w:rFonts w:ascii="Arial" w:cs="Arial" w:eastAsia="Arial" w:hAnsi="Arial"/>
          <w:sz w:val="17"/>
          <w:szCs w:val="17"/>
          <w:u w:val="single" w:color="auto"/>
          <w:color w:val="auto"/>
        </w:rPr>
        <w:t>Section 4.3.1</w:t>
      </w:r>
      <w:r>
        <w:rPr>
          <w:rFonts w:ascii="Arial" w:cs="Arial" w:eastAsia="Arial" w:hAnsi="Arial"/>
          <w:sz w:val="17"/>
          <w:szCs w:val="17"/>
          <w:color w:val="auto"/>
        </w:rPr>
        <w:t xml:space="preserve">, then Landlord may, at its option, cease work in the Premises until such time as Landlord receives payment of the Over- Allowance Amount (and such failure to deliver shall be treated as a Tenant delay in accordance with the terms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below).</w:t>
      </w:r>
    </w:p>
    <w:p>
      <w:pPr>
        <w:spacing w:after="0" w:line="7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Landlord’s Retention of Contractor</w:t>
      </w:r>
      <w:r>
        <w:rPr>
          <w:rFonts w:ascii="Arial" w:cs="Arial" w:eastAsia="Arial" w:hAnsi="Arial"/>
          <w:sz w:val="18"/>
          <w:szCs w:val="18"/>
          <w:color w:val="auto"/>
        </w:rPr>
        <w:t>. Landlord shall independently retain Contractor to construct the Improvements in accordance with the Approved Working Drawings and the Cost Proposal and Landlord shall supervise the construction by Contractor, and Tenant shall pay a construction supervision and management fee (the “</w:t>
      </w:r>
      <w:r>
        <w:rPr>
          <w:rFonts w:ascii="Arial" w:cs="Arial" w:eastAsia="Arial" w:hAnsi="Arial"/>
          <w:sz w:val="18"/>
          <w:szCs w:val="18"/>
          <w:b w:val="1"/>
          <w:bCs w:val="1"/>
          <w:color w:val="auto"/>
        </w:rPr>
        <w:t>Landlord Supervision Fee</w:t>
      </w:r>
      <w:r>
        <w:rPr>
          <w:rFonts w:ascii="Arial" w:cs="Arial" w:eastAsia="Arial" w:hAnsi="Arial"/>
          <w:sz w:val="18"/>
          <w:szCs w:val="18"/>
          <w:color w:val="auto"/>
        </w:rPr>
        <w:t>”) to Landlord in an amount equal to the product of (i) six percent (6%) and (ii) an amount equal to the Improvement Allowance plus the Over-Allowance Amount (as such Over-Allowance Amount may increase pursuant to the terms of this Work Letter).</w:t>
      </w:r>
    </w:p>
    <w:p>
      <w:pPr>
        <w:spacing w:after="0" w:line="8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Contractor’s Warranties and Guaranties</w:t>
      </w:r>
      <w:r>
        <w:rPr>
          <w:rFonts w:ascii="Arial" w:cs="Arial" w:eastAsia="Arial" w:hAnsi="Arial"/>
          <w:sz w:val="17"/>
          <w:szCs w:val="17"/>
          <w:color w:val="auto"/>
        </w:rPr>
        <w:t>. Landlord hereby assigns to Tenant all warranties and guaranties by Contractor relating to the Improvements, and Tenant hereby waives all claims against Landlord relating to, or arising out of the construction of, the Improvements.</w:t>
      </w:r>
    </w:p>
    <w:p>
      <w:pPr>
        <w:spacing w:after="0" w:line="38"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Additional Items</w:t>
      </w:r>
      <w:r>
        <w:rPr>
          <w:rFonts w:ascii="Arial" w:cs="Arial" w:eastAsia="Arial" w:hAnsi="Arial"/>
          <w:sz w:val="18"/>
          <w:szCs w:val="18"/>
          <w:color w:val="auto"/>
        </w:rPr>
        <w:t>. Landlord may elect to cause Contractor and Architect to cause a Notice of Completion to be recorded in the office of the County Recorder of the county in which the Building is located in accordance with Section 3093 of the Civil Code of the State of California or any successor statute.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DELAY OF SUBSTANTIAL COMPLETION OF PREMISES;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EXTENSION OF LEASE COMMENCEMENT DATE</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Delay of the Substantial Completion of the Premises</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Lease Commencement Date shall occur as set forth in the Lease and </w:t>
      </w:r>
      <w:r>
        <w:rPr>
          <w:rFonts w:ascii="Arial" w:cs="Arial" w:eastAsia="Arial" w:hAnsi="Arial"/>
          <w:sz w:val="18"/>
          <w:szCs w:val="18"/>
          <w:u w:val="single" w:color="auto"/>
          <w:color w:val="auto"/>
        </w:rPr>
        <w:t>Section 5.2</w:t>
      </w:r>
      <w:r>
        <w:rPr>
          <w:rFonts w:ascii="Arial" w:cs="Arial" w:eastAsia="Arial" w:hAnsi="Arial"/>
          <w:sz w:val="18"/>
          <w:szCs w:val="18"/>
          <w:color w:val="auto"/>
        </w:rPr>
        <w:t>, below. If there shall be a delay or there are delays in the Substantial Completion of the Improvements as a direct, indirect, partial, or total result of:</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5.1.1 Tenant’s failure to comply with the Time Deadlines;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5.1.2 Tenant’s failure to timely approve any matter requiring Tenant’s approval;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5.1.3 A breach by Tenant of the terms of this Work Letter or the Lease;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55" w:name="page556"/>
    <w:bookmarkEnd w:id="555"/>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 Changes in any of the Construction Drawings after disapproval of the same by Landlord or because the same do not comply with Code or other applicable laws;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5.1.5 Tenant’s request for changes in the Approved Working Drawings;</w:t>
      </w:r>
    </w:p>
    <w:p>
      <w:pPr>
        <w:spacing w:after="0" w:line="11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5.1.6 Tenant’s requirement for materials, components, finishes or improvements which are not available in a commercially reasonable time (and where no reasonable substitute exists) given the anticipated date of Substantial Completion of the Improvements, as set forth in the Lease;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5.1.7 Changes to the Base Building required by the Approved Working Drawings;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5.1.8 Tenant’s use of specialized or unusual improvements and/or delays m obtaining Permits due thereto;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5.1.9 Any failure by Tenant to timely pay to Landlord any portion of the Over-Allowance Amount; 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5.1.10 Any other acts or omissions of Tenant, or its agents, or employees;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then, notwithstanding anything to the contrary set forth in the Lease or this Work Letter and regardless of the actual date of the Substantial Completion of the Improvements, Substantial Completion of the Improvements shall be deemed to have occurred on the date such Substantial Completion of the Improvements would have occurred if no Tenant delay or delays, as set forth above, had occurred.</w:t>
      </w:r>
    </w:p>
    <w:p>
      <w:pPr>
        <w:spacing w:after="0" w:line="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Substantial Completion: Extension of Lease Commencement Date</w:t>
      </w:r>
      <w:r>
        <w:rPr>
          <w:rFonts w:ascii="Arial" w:cs="Arial" w:eastAsia="Arial" w:hAnsi="Arial"/>
          <w:sz w:val="17"/>
          <w:szCs w:val="17"/>
          <w:color w:val="auto"/>
        </w:rPr>
        <w:t xml:space="preserve">. For purposes of this Lease, and subject to adjustment for any Tenant delay or delays as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Work Letter above, “</w:t>
      </w:r>
      <w:r>
        <w:rPr>
          <w:rFonts w:ascii="Arial" w:cs="Arial" w:eastAsia="Arial" w:hAnsi="Arial"/>
          <w:sz w:val="17"/>
          <w:szCs w:val="17"/>
          <w:b w:val="1"/>
          <w:bCs w:val="1"/>
          <w:color w:val="auto"/>
        </w:rPr>
        <w:t>Substantial Completion</w:t>
      </w:r>
      <w:r>
        <w:rPr>
          <w:rFonts w:ascii="Arial" w:cs="Arial" w:eastAsia="Arial" w:hAnsi="Arial"/>
          <w:sz w:val="17"/>
          <w:szCs w:val="17"/>
          <w:color w:val="auto"/>
        </w:rPr>
        <w:t xml:space="preserve">” of the Improvements shall occur upon the completion of construction of the Improvements in the Premises pursuant to the Approved Working Drawings, with the exception of any punch list items and any tenant fixtures, work-stations, built-in furniture, or equipment to be installed by Tenant or under the supervision of Contractor. To the extent Substantial Completion of the Improvements has not occurred on or before August 16, 2011, the Lease Commencement Date otherwise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Summary to this Lease shall be extended on a day-for-day basis (in which event any other dates calculated based upon the Lease Commencement Date, such as the Lease Expiration Date and the Rent Abatement Period, shall be adjusted accordingly).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Tenant’s Entry Into the Premises Prior to Substantial Completion</w:t>
      </w:r>
      <w:r>
        <w:rPr>
          <w:rFonts w:ascii="Arial" w:cs="Arial" w:eastAsia="Arial" w:hAnsi="Arial"/>
          <w:sz w:val="18"/>
          <w:szCs w:val="18"/>
          <w:color w:val="auto"/>
        </w:rPr>
        <w:t>. Provided that Tenant and its agents do not interfere with construction of the Improvements, Landlord shall allow Tenant access to the Premises up to sixty (60) days prior to the Substantial Completion of the Improvements for the purpose of Tenant installing over standard equipment or fixtures (including Tenant’s data and telephone equipment) in the Premises, which installation shall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56" w:name="page557"/>
    <w:bookmarkEnd w:id="55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Tenant’s receipt, at Tenant’s sole cost and expense, of any required approvals and/or permits from the applicable governmental agencies. Prior to Tenant’s entry into the Premises as permitted by the terms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Tenant shall submit a schedule to Landlord and Contractor, for their approval, which schedule shall detail the timing and purpose of Tenant’s entry. Additionally, all of Tenant’s Agents, as that term is defined in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below, shall carry worker’s compensation insurance covering all of their respective employees, and shall also carry public liability insurance, including property damage, all with limits, in form and with companies as are required to be carried by Tenant as set forth in this Lease. Certificates for all insurance carried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be delivered to Landlord prior to Tenant’s entry into the Premises. Tenant’s Agents shall maintain all of the foregoing insurance coverage in force until the Improvements are fully completed and accepted by Landlord. All policies carried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insure Landlord and Tenant, as their interests may appear, as well as Contractor and Tenant’s Agents. All insurance, except Workers’ Compensation, maintained by Tenant’s Agents shall preclude subrogation claims by the insurer against anyone insured thereunder. Such insurance shall provide that it is primary insurance as respects the owner and that any other insurance maintained by owner is excess and noncontributing with the insurance required hereunder. Tenant shall hold Landlord harmless from and indemnify, protect and defend Landlord against any loss or damage to the Building or Premises and against injury to any persons caused by Tenant’s actions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6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Freight Elevators</w:t>
      </w:r>
      <w:r>
        <w:rPr>
          <w:rFonts w:ascii="Arial" w:cs="Arial" w:eastAsia="Arial" w:hAnsi="Arial"/>
          <w:sz w:val="17"/>
          <w:szCs w:val="17"/>
          <w:color w:val="auto"/>
        </w:rPr>
        <w:t xml:space="preserve">. As indicated in </w:t>
      </w:r>
      <w:r>
        <w:rPr>
          <w:rFonts w:ascii="Arial" w:cs="Arial" w:eastAsia="Arial" w:hAnsi="Arial"/>
          <w:sz w:val="17"/>
          <w:szCs w:val="17"/>
          <w:u w:val="single" w:color="auto"/>
          <w:color w:val="auto"/>
        </w:rPr>
        <w:t>Section 6.4.2</w:t>
      </w:r>
      <w:r>
        <w:rPr>
          <w:rFonts w:ascii="Arial" w:cs="Arial" w:eastAsia="Arial" w:hAnsi="Arial"/>
          <w:sz w:val="17"/>
          <w:szCs w:val="17"/>
          <w:color w:val="auto"/>
        </w:rPr>
        <w:t xml:space="preserve"> of this Lease, Landlord shall use commercially reasonable efforts to coordinate with Tanvex, the tenant of the remainder of the Building, to allow Tenant the temporary use of the Building elevator located in the back warehouse portion the first floor, which elevator services the Building mezzanine, in order to initially move Tenant’s furniture, fixtures and equipment into the Premises.</w:t>
      </w:r>
    </w:p>
    <w:p>
      <w:pPr>
        <w:spacing w:after="0" w:line="5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Tenant’s Representative</w:t>
      </w:r>
      <w:r>
        <w:rPr>
          <w:rFonts w:ascii="Arial" w:cs="Arial" w:eastAsia="Arial" w:hAnsi="Arial"/>
          <w:sz w:val="18"/>
          <w:szCs w:val="18"/>
          <w:color w:val="auto"/>
        </w:rPr>
        <w:t xml:space="preserve">. Tenant has designated Ed Marples as its sole representative with respect to the matters set forth in this Work Letter (whose e-mail address for the purposes of this Work Letter is </w:t>
      </w:r>
      <w:r>
        <w:rPr>
          <w:rFonts w:ascii="Arial" w:cs="Arial" w:eastAsia="Arial" w:hAnsi="Arial"/>
          <w:sz w:val="18"/>
          <w:szCs w:val="18"/>
          <w:u w:val="single" w:color="auto"/>
          <w:color w:val="auto"/>
        </w:rPr>
        <w:t>emarples@anaptvsbio.com</w:t>
      </w:r>
      <w:r>
        <w:rPr>
          <w:rFonts w:ascii="Arial" w:cs="Arial" w:eastAsia="Arial" w:hAnsi="Arial"/>
          <w:sz w:val="18"/>
          <w:szCs w:val="18"/>
          <w:color w:val="auto"/>
        </w:rPr>
        <w:t>), who, until further notice to Landlord, shall have full authority and responsibility to act on behalf of the Tenant as required in this Work Letter.</w:t>
      </w:r>
    </w:p>
    <w:p>
      <w:pPr>
        <w:spacing w:after="0" w:line="6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Landlord’s Representatives</w:t>
      </w:r>
      <w:r>
        <w:rPr>
          <w:rFonts w:ascii="Arial" w:cs="Arial" w:eastAsia="Arial" w:hAnsi="Arial"/>
          <w:sz w:val="16"/>
          <w:szCs w:val="16"/>
          <w:color w:val="auto"/>
        </w:rPr>
        <w:t>. Landlord has designated Richard Mount and Jake Brehm as its sole representative (the “</w:t>
      </w:r>
      <w:r>
        <w:rPr>
          <w:rFonts w:ascii="Arial" w:cs="Arial" w:eastAsia="Arial" w:hAnsi="Arial"/>
          <w:sz w:val="16"/>
          <w:szCs w:val="16"/>
          <w:b w:val="1"/>
          <w:bCs w:val="1"/>
          <w:color w:val="auto"/>
        </w:rPr>
        <w:t>Project Managers</w:t>
      </w:r>
      <w:r>
        <w:rPr>
          <w:rFonts w:ascii="Arial" w:cs="Arial" w:eastAsia="Arial" w:hAnsi="Arial"/>
          <w:sz w:val="16"/>
          <w:szCs w:val="16"/>
          <w:color w:val="auto"/>
        </w:rPr>
        <w:t>”) with respect to the matters set forth in this Work Letter (whose e-mail addresses for the purposes of this Work Letter are rmount@kilroyrealty.com and jbrehm@kilroyrealty.com, respectively), who shall each be responsible for the implementation of all Improvements to be performed by Landlord in the Premises. With regard to all matters involving such Improvements, Tenant shall communicate with the Project Managers rather than with the Contractor. Landlord shall not be responsible for any statement, representation or agreement made between Tenant and the Contractor or any subcontractor. It is hereby expressly acknowledged by Tenant that such Contractor is not Landlord’s agent and has no authority whatsoever to enter into agreements on Landlord’s behalf or otherwise bind Landlord. The Project Managers will furnish Tenant with notices of substantial completion, cost estimates for above standard Improvements, Landlord’s approvals or disapprovals of all documents to be prepared by Tenant pursuant to this Work Letter and changes thereto.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557" w:name="page558"/>
    <w:bookmarkEnd w:id="557"/>
    <w:p>
      <w:pPr>
        <w:ind w:right="1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Tenant’s Agents</w:t>
      </w:r>
      <w:r>
        <w:rPr>
          <w:rFonts w:ascii="Arial" w:cs="Arial" w:eastAsia="Arial" w:hAnsi="Arial"/>
          <w:sz w:val="18"/>
          <w:szCs w:val="18"/>
          <w:color w:val="auto"/>
        </w:rPr>
        <w:t>. Tenant shall not use (and upon notice from Landlord shall cease using) contractors, services, workmen, labor, materials or equipment (individually or collectively, “</w:t>
      </w:r>
      <w:r>
        <w:rPr>
          <w:rFonts w:ascii="Arial" w:cs="Arial" w:eastAsia="Arial" w:hAnsi="Arial"/>
          <w:sz w:val="18"/>
          <w:szCs w:val="18"/>
          <w:b w:val="1"/>
          <w:bCs w:val="1"/>
          <w:color w:val="auto"/>
        </w:rPr>
        <w:t>Labor Disturbing Services</w:t>
      </w:r>
      <w:r>
        <w:rPr>
          <w:rFonts w:ascii="Arial" w:cs="Arial" w:eastAsia="Arial" w:hAnsi="Arial"/>
          <w:sz w:val="18"/>
          <w:szCs w:val="18"/>
          <w:color w:val="auto"/>
        </w:rPr>
        <w:t>”) that, in Landlord’s reasonable judgment, would disturb labor harmony with the workforce or trades engaged in performing other work, labor or services in or about the Building or the Common Areas. Alternatively, at Landlord’s sole election, Landlord may require that Tenant shall cease utilizing the applicable Labor Disturbing Services during Building Hours, and may only utilize such Labor Disturbing Services during hours other than Building Hours. All contractors, subcontractors, laborers, materialmen, and suppliers retained directly by Tenant shall be the “Tenant’s Agents”).</w:t>
      </w:r>
    </w:p>
    <w:p>
      <w:pPr>
        <w:spacing w:after="0" w:line="8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under this Work Letter. Unless otherwise indicated, all references herein to a “number of days” shall mean and refer to calendar days.</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Tenant’s Lease Default</w:t>
      </w:r>
      <w:r>
        <w:rPr>
          <w:rFonts w:ascii="Arial" w:cs="Arial" w:eastAsia="Arial" w:hAnsi="Arial"/>
          <w:sz w:val="16"/>
          <w:szCs w:val="16"/>
          <w:color w:val="auto"/>
        </w:rPr>
        <w:t>. Notwithstanding any provision to the contrary contained in the Lease or this Work Letter, if any default (beyond the applicable notice and cure period set forth in this Lease or this Work Letter) by Tenant under the Lease or this Work Letter (including, without limitation, any failure by Tenant to fund any portion of the Over-Allowance Amount) occurs at any time on or before the Substantial Completion of the Improvements, then</w:t>
      </w:r>
    </w:p>
    <w:p>
      <w:pPr>
        <w:ind w:left="220" w:hanging="212"/>
        <w:spacing w:after="0"/>
        <w:tabs>
          <w:tab w:leader="none" w:pos="2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in addition to all other rights and remedies granted to Landlord pursuant to the Lease, Landlord shall have the right to withhold payment of all or any</w:t>
      </w:r>
    </w:p>
    <w:p>
      <w:pPr>
        <w:spacing w:after="0" w:line="20" w:lineRule="exact"/>
        <w:rPr>
          <w:rFonts w:ascii="Arial" w:cs="Arial" w:eastAsia="Arial" w:hAnsi="Arial"/>
          <w:sz w:val="17"/>
          <w:szCs w:val="17"/>
          <w:color w:val="auto"/>
        </w:rPr>
      </w:pPr>
    </w:p>
    <w:p>
      <w:pPr>
        <w:ind w:right="60"/>
        <w:spacing w:after="0" w:line="254" w:lineRule="auto"/>
        <w:rPr>
          <w:rFonts w:ascii="Arial" w:cs="Arial" w:eastAsia="Arial" w:hAnsi="Arial"/>
          <w:sz w:val="17"/>
          <w:szCs w:val="17"/>
          <w:color w:val="auto"/>
        </w:rPr>
      </w:pPr>
      <w:r>
        <w:rPr>
          <w:rFonts w:ascii="Arial" w:cs="Arial" w:eastAsia="Arial" w:hAnsi="Arial"/>
          <w:sz w:val="18"/>
          <w:szCs w:val="18"/>
          <w:color w:val="auto"/>
        </w:rPr>
        <w:t>portion of the Improvement Allowance and/or Landlord may, without any liability whatsoever, cause the cessation of construction of the Improvements (in which case, Tenant shall be responsible for any delay in the Substantial Completion of the Improvements and any costs occasioned thereby), and (ii) all other obligations of Landlord under the terms of the Lease and this Work Letter shall be forgiven until such time as such default is cured pursuant to the terms of this Lease.</w:t>
      </w:r>
    </w:p>
    <w:p>
      <w:pPr>
        <w:spacing w:after="0" w:line="8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Punch List</w:t>
      </w:r>
      <w:r>
        <w:rPr>
          <w:rFonts w:ascii="Arial" w:cs="Arial" w:eastAsia="Arial" w:hAnsi="Arial"/>
          <w:sz w:val="16"/>
          <w:szCs w:val="16"/>
          <w:color w:val="auto"/>
        </w:rPr>
        <w:t>. Promptly following the Substantial Completion of the Improvements, a representative of Tenant and a representative of Landlord and/or the Architect shall perform a joint walk-through inspection of the Improvements in the Premises to identify any “punchlist” items of known or apparent deficiencies or incomplete work required to be corrected or completed by Landlord pursuant to the Approved Working Drawings, which items Landlord shall repair or correct no later than thirty (30) days after the date of such walk-through (unless the nature of such repair or correction is such that more than thirty</w:t>
      </w:r>
    </w:p>
    <w:p>
      <w:pPr>
        <w:spacing w:after="0" w:line="2" w:lineRule="exact"/>
        <w:rPr>
          <w:sz w:val="20"/>
          <w:szCs w:val="20"/>
          <w:color w:val="auto"/>
        </w:rPr>
      </w:pPr>
    </w:p>
    <w:p>
      <w:pPr>
        <w:ind w:right="680" w:firstLine="8"/>
        <w:spacing w:after="0" w:line="261" w:lineRule="auto"/>
        <w:tabs>
          <w:tab w:leader="none" w:pos="34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days are required for completion, in which case, Landlord shall commence such repair or correction work within such thirty (30) day period and diligently prosecute the same to completion).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558" w:name="page559"/>
    <w:bookmarkEnd w:id="558"/>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 EXHIBIT B</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TIME DEADLINES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Dates</w:t>
            </w:r>
          </w:p>
        </w:tc>
        <w:tc>
          <w:tcPr>
            <w:tcW w:w="2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Actions to be Performed</w:t>
            </w:r>
          </w:p>
        </w:tc>
        <w:tc>
          <w:tcPr>
            <w:tcW w:w="1740" w:type="dxa"/>
            <w:vAlign w:val="bottom"/>
          </w:tcPr>
          <w:p>
            <w:pPr>
              <w:spacing w:after="0"/>
              <w:rPr>
                <w:sz w:val="14"/>
                <w:szCs w:val="14"/>
                <w:color w:val="auto"/>
              </w:rPr>
            </w:pPr>
          </w:p>
        </w:tc>
      </w:tr>
      <w:tr>
        <w:trPr>
          <w:trHeight w:val="303"/>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4"/>
              </w:rPr>
              <w:t>Within ten (10) business days following the full execution and delivery of</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w w:val="89"/>
              </w:rPr>
              <w:t>Final Space Plan to be completed by Tenant and delivered to Landlord.</w:t>
            </w:r>
          </w:p>
        </w:tc>
      </w:tr>
      <w:tr>
        <w:trPr>
          <w:trHeight w:val="230"/>
        </w:trPr>
        <w:tc>
          <w:tcPr>
            <w:tcW w:w="36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this Lease by Landlord and Tenant</w:t>
            </w:r>
          </w:p>
        </w:tc>
        <w:tc>
          <w:tcPr>
            <w:tcW w:w="2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6"/>
              </w:rPr>
              <w:t>Five (5) business days after the receipt of the Cost Proposal by Tenant</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w w:val="94"/>
              </w:rPr>
              <w:t>Tenant to approve Revised Cost Proposal and deliver Revised Cost</w:t>
            </w:r>
          </w:p>
        </w:tc>
      </w:tr>
      <w:tr>
        <w:trPr>
          <w:trHeight w:val="230"/>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Proposal to Landlord.</w:t>
            </w:r>
          </w:p>
        </w:tc>
      </w:tr>
    </w:tbl>
    <w:p>
      <w:pPr>
        <w:spacing w:after="0" w:line="94" w:lineRule="exact"/>
        <w:rPr>
          <w:sz w:val="20"/>
          <w:szCs w:val="20"/>
          <w:color w:val="auto"/>
        </w:rPr>
      </w:pPr>
    </w:p>
    <w:p>
      <w:pPr>
        <w:sectPr>
          <w:pgSz w:w="11900" w:h="16838" w:orient="portrait"/>
          <w:cols w:equalWidth="0" w:num="1">
            <w:col w:w="11200"/>
          </w:cols>
          <w:pgMar w:left="240" w:top="270" w:right="459" w:bottom="1440" w:gutter="0" w:footer="0" w:header="0"/>
        </w:sectPr>
      </w:pPr>
    </w:p>
    <w:p>
      <w:pPr>
        <w:ind w:left="520" w:hanging="512"/>
        <w:spacing w:after="0" w:line="277" w:lineRule="auto"/>
        <w:tabs>
          <w:tab w:leader="none" w:pos="52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Five (5) business days after the receipt of the Revised Cost Proposal by Tenant.</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Tenant to approve Revised Cost Proposal and deliver Revised Cost Proposal to Landlord.</w:t>
      </w:r>
    </w:p>
    <w:p>
      <w:pPr>
        <w:sectPr>
          <w:pgSz w:w="11900" w:h="16838" w:orient="portrait"/>
          <w:cols w:equalWidth="0" w:num="2">
            <w:col w:w="5660" w:space="420"/>
            <w:col w:w="5120"/>
          </w:cols>
          <w:pgMar w:left="240" w:top="270" w:right="459" w:bottom="1440" w:gutter="0" w:footer="0" w:header="0"/>
          <w:type w:val="continuous"/>
        </w:sectPr>
      </w:pPr>
    </w:p>
    <w:bookmarkStart w:id="559" w:name="page560"/>
    <w:bookmarkEnd w:id="559"/>
    <w:p>
      <w:pPr>
        <w:jc w:val="center"/>
        <w:ind w:right="-2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NOTICE OF LEASE TERM DATES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23837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169545</wp:posOffset>
            </wp:positionV>
            <wp:extent cx="223837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323850</wp:posOffset>
            </wp:positionV>
            <wp:extent cx="22383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478155</wp:posOffset>
            </wp:positionV>
            <wp:extent cx="223837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140"/>
          </w:cols>
          <w:pgMar w:left="24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Office Lease dated</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on floor(s)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between</w:t>
      </w:r>
      <w:r>
        <w:rPr>
          <w:sz w:val="20"/>
          <w:szCs w:val="20"/>
          <w:color w:val="auto"/>
        </w:rPr>
        <w:tab/>
      </w:r>
      <w:r>
        <w:rPr>
          <w:rFonts w:ascii="Arial" w:cs="Arial" w:eastAsia="Arial" w:hAnsi="Arial"/>
          <w:sz w:val="18"/>
          <w:szCs w:val="18"/>
          <w:color w:val="auto"/>
        </w:rPr>
        <w:t>, a</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of the office building located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hanging="584"/>
        <w:spacing w:after="0" w:line="277" w:lineRule="auto"/>
        <w:rPr>
          <w:sz w:val="20"/>
          <w:szCs w:val="20"/>
          <w:color w:val="auto"/>
        </w:rPr>
      </w:pPr>
      <w:r>
        <w:rPr>
          <w:rFonts w:ascii="Arial" w:cs="Arial" w:eastAsia="Arial" w:hAnsi="Arial"/>
          <w:sz w:val="18"/>
          <w:szCs w:val="18"/>
          <w:color w:val="auto"/>
        </w:rPr>
        <w:t>(“Landlord”), and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 a</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(“Tenant”) concerning Suite</w:t>
      </w:r>
    </w:p>
    <w:p>
      <w:pPr>
        <w:spacing w:after="0" w:line="463" w:lineRule="exact"/>
        <w:rPr>
          <w:sz w:val="20"/>
          <w:szCs w:val="20"/>
          <w:color w:val="auto"/>
        </w:rPr>
      </w:pPr>
    </w:p>
    <w:p>
      <w:pPr>
        <w:sectPr>
          <w:pgSz w:w="11900" w:h="16838" w:orient="portrait"/>
          <w:cols w:equalWidth="0" w:num="7">
            <w:col w:w="260" w:space="320"/>
            <w:col w:w="1700" w:space="420"/>
            <w:col w:w="40" w:space="460"/>
            <w:col w:w="2560" w:space="720"/>
            <w:col w:w="700" w:space="300"/>
            <w:col w:w="920" w:space="720"/>
            <w:col w:w="2020"/>
          </w:cols>
          <w:pgMar w:left="240" w:top="270" w:right="519" w:bottom="1440" w:gutter="0" w:footer="0" w:header="0"/>
          <w:type w:val="continuous"/>
        </w:sect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Office Lease (the “Lease”), we wish to advise you and/or confirm as follows: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1.</w:t>
            </w: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The Lease Term shall commence on or has commenced on</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for a term of</w:t>
            </w:r>
          </w:p>
        </w:tc>
        <w:tc>
          <w:tcPr>
            <w:tcW w:w="1700" w:type="dxa"/>
            <w:vAlign w:val="bottom"/>
          </w:tcPr>
          <w:p>
            <w:pPr>
              <w:ind w:left="500"/>
              <w:spacing w:after="0"/>
              <w:rPr>
                <w:sz w:val="20"/>
                <w:szCs w:val="20"/>
                <w:color w:val="auto"/>
              </w:rPr>
            </w:pPr>
            <w:r>
              <w:rPr>
                <w:rFonts w:ascii="Arial" w:cs="Arial" w:eastAsia="Arial" w:hAnsi="Arial"/>
                <w:sz w:val="18"/>
                <w:szCs w:val="18"/>
                <w:color w:val="auto"/>
              </w:rPr>
              <w:t>ending 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2.</w:t>
            </w:r>
          </w:p>
        </w:tc>
        <w:tc>
          <w:tcPr>
            <w:tcW w:w="2820" w:type="dxa"/>
            <w:vAlign w:val="bottom"/>
          </w:tcPr>
          <w:p>
            <w:pPr>
              <w:ind w:left="160"/>
              <w:spacing w:after="0"/>
              <w:rPr>
                <w:sz w:val="20"/>
                <w:szCs w:val="20"/>
                <w:color w:val="auto"/>
              </w:rPr>
            </w:pPr>
            <w:r>
              <w:rPr>
                <w:rFonts w:ascii="Arial" w:cs="Arial" w:eastAsia="Arial" w:hAnsi="Arial"/>
                <w:sz w:val="18"/>
                <w:szCs w:val="18"/>
                <w:color w:val="auto"/>
              </w:rPr>
              <w:t>Rent commenced to accrue on</w:t>
            </w:r>
          </w:p>
        </w:tc>
        <w:tc>
          <w:tcPr>
            <w:tcW w:w="2140" w:type="dxa"/>
            <w:vAlign w:val="bottom"/>
          </w:tcPr>
          <w:p>
            <w:pPr>
              <w:ind w:left="460"/>
              <w:spacing w:after="0"/>
              <w:rPr>
                <w:sz w:val="20"/>
                <w:szCs w:val="20"/>
                <w:color w:val="auto"/>
              </w:rPr>
            </w:pPr>
            <w:r>
              <w:rPr>
                <w:rFonts w:ascii="Arial" w:cs="Arial" w:eastAsia="Arial" w:hAnsi="Arial"/>
                <w:sz w:val="18"/>
                <w:szCs w:val="18"/>
                <w:color w:val="auto"/>
              </w:rPr>
              <w:t>, in the amount of</w:t>
            </w:r>
          </w:p>
        </w:tc>
        <w:tc>
          <w:tcPr>
            <w:tcW w:w="180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07" w:lineRule="exact"/>
        <w:rPr>
          <w:sz w:val="20"/>
          <w:szCs w:val="20"/>
          <w:color w:val="auto"/>
        </w:rPr>
      </w:pPr>
    </w:p>
    <w:p>
      <w:pPr>
        <w:ind w:left="900" w:right="400" w:hanging="446"/>
        <w:spacing w:after="0" w:line="342" w:lineRule="auto"/>
        <w:tabs>
          <w:tab w:leader="none" w:pos="900" w:val="left"/>
        </w:tabs>
        <w:numPr>
          <w:ilvl w:val="0"/>
          <w:numId w:val="471"/>
        </w:numPr>
        <w:rPr>
          <w:rFonts w:ascii="Arial" w:cs="Arial" w:eastAsia="Arial" w:hAnsi="Arial"/>
          <w:sz w:val="16"/>
          <w:szCs w:val="16"/>
          <w:color w:val="auto"/>
        </w:rPr>
      </w:pPr>
      <w:r>
        <w:rPr>
          <w:rFonts w:ascii="Arial" w:cs="Arial" w:eastAsia="Arial" w:hAnsi="Arial"/>
          <w:sz w:val="16"/>
          <w:szCs w:val="16"/>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4.</w:t>
            </w:r>
          </w:p>
        </w:tc>
        <w:tc>
          <w:tcPr>
            <w:tcW w:w="3840" w:type="dxa"/>
            <w:vAlign w:val="bottom"/>
          </w:tcPr>
          <w:p>
            <w:pPr>
              <w:ind w:left="160"/>
              <w:spacing w:after="0"/>
              <w:rPr>
                <w:sz w:val="20"/>
                <w:szCs w:val="20"/>
                <w:color w:val="auto"/>
              </w:rPr>
            </w:pPr>
            <w:r>
              <w:rPr>
                <w:rFonts w:ascii="Arial" w:cs="Arial" w:eastAsia="Arial" w:hAnsi="Arial"/>
                <w:sz w:val="18"/>
                <w:szCs w:val="18"/>
                <w:color w:val="auto"/>
              </w:rPr>
              <w:t>Your rent checks should be made payable to</w:t>
            </w:r>
          </w:p>
        </w:tc>
        <w:tc>
          <w:tcPr>
            <w:tcW w:w="1480" w:type="dxa"/>
            <w:vAlign w:val="bottom"/>
          </w:tcPr>
          <w:p>
            <w:pPr>
              <w:ind w:left="480"/>
              <w:spacing w:after="0"/>
              <w:rPr>
                <w:sz w:val="20"/>
                <w:szCs w:val="20"/>
                <w:color w:val="auto"/>
              </w:rPr>
            </w:pPr>
            <w:r>
              <w:rPr>
                <w:rFonts w:ascii="Arial" w:cs="Arial" w:eastAsia="Arial" w:hAnsi="Arial"/>
                <w:sz w:val="18"/>
                <w:szCs w:val="18"/>
                <w:color w:val="auto"/>
              </w:rPr>
              <w:t>at</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5.</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0"/>
              </w:rPr>
              <w:t>The exact number of rentable/usable square feet within the Premises is</w:t>
            </w:r>
          </w:p>
        </w:tc>
        <w:tc>
          <w:tcPr>
            <w:tcW w:w="1740" w:type="dxa"/>
            <w:vAlign w:val="bottom"/>
          </w:tcPr>
          <w:p>
            <w:pPr>
              <w:jc w:val="right"/>
              <w:spacing w:after="0"/>
              <w:rPr>
                <w:sz w:val="20"/>
                <w:szCs w:val="20"/>
                <w:color w:val="auto"/>
              </w:rPr>
            </w:pPr>
            <w:r>
              <w:rPr>
                <w:rFonts w:ascii="Arial" w:cs="Arial" w:eastAsia="Arial" w:hAnsi="Arial"/>
                <w:sz w:val="18"/>
                <w:szCs w:val="18"/>
                <w:color w:val="auto"/>
              </w:rPr>
              <w:t>square feet.</w:t>
            </w:r>
          </w:p>
        </w:tc>
      </w:tr>
    </w:tbl>
    <w:p>
      <w:pPr>
        <w:sectPr>
          <w:pgSz w:w="11900" w:h="16838" w:orient="portrait"/>
          <w:cols w:equalWidth="0" w:num="1">
            <w:col w:w="11140"/>
          </w:cols>
          <w:pgMar w:left="240" w:top="270" w:right="519" w:bottom="1440" w:gutter="0" w:footer="0" w:header="0"/>
          <w:type w:val="continuous"/>
        </w:sectPr>
      </w:pPr>
    </w:p>
    <w:bookmarkStart w:id="560" w:name="page561"/>
    <w:bookmarkEnd w:id="560"/>
    <w:p>
      <w:pPr>
        <w:ind w:left="460"/>
        <w:spacing w:after="0"/>
        <w:tabs>
          <w:tab w:leader="none" w:pos="8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w:t>
      </w:r>
      <w:r>
        <w:rPr>
          <w:sz w:val="20"/>
          <w:szCs w:val="20"/>
          <w:color w:val="auto"/>
        </w:rPr>
        <w:tab/>
      </w:r>
      <w:r>
        <w:rPr>
          <w:rFonts w:ascii="Arial" w:cs="Arial" w:eastAsia="Arial" w:hAnsi="Arial"/>
          <w:sz w:val="18"/>
          <w:szCs w:val="18"/>
          <w:color w:val="auto"/>
        </w:rPr>
        <w:t>Tenant’s Share as adjusted based upon the exact number of usable square feet within the Premises is</w:t>
      </w:r>
      <w:r>
        <w:rPr>
          <w:sz w:val="20"/>
          <w:szCs w:val="20"/>
          <w:color w:val="auto"/>
        </w:rPr>
        <w:tab/>
      </w:r>
      <w:r>
        <w:rPr>
          <w:rFonts w:ascii="Arial" w:cs="Arial" w:eastAsia="Arial" w:hAnsi="Arial"/>
          <w:sz w:val="17"/>
          <w:szCs w:val="17"/>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-10160</wp:posOffset>
            </wp:positionV>
            <wp:extent cx="20574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126365</wp:posOffset>
            </wp:positionV>
            <wp:extent cx="31432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Agreed to and Accepted as of</w:t>
            </w:r>
          </w:p>
        </w:tc>
        <w:tc>
          <w:tcPr>
            <w:tcW w:w="78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-10160</wp:posOffset>
            </wp:positionV>
            <wp:extent cx="225742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3" w:right="1440" w:bottom="1440" w:gutter="0" w:footer="0" w:header="0"/>
        </w:sectPr>
      </w:pPr>
    </w:p>
    <w:bookmarkStart w:id="561" w:name="page562"/>
    <w:bookmarkEnd w:id="56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 CORPORATE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 RULES AND REGULATIONS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73" w:lineRule="exact"/>
        <w:rPr>
          <w:sz w:val="20"/>
          <w:szCs w:val="20"/>
          <w:color w:val="auto"/>
        </w:rPr>
      </w:pPr>
    </w:p>
    <w:p>
      <w:pPr>
        <w:ind w:right="140" w:firstLine="464"/>
        <w:spacing w:after="0" w:line="255" w:lineRule="auto"/>
        <w:tabs>
          <w:tab w:leader="none" w:pos="636"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85" w:lineRule="exact"/>
        <w:rPr>
          <w:rFonts w:ascii="Arial" w:cs="Arial" w:eastAsia="Arial" w:hAnsi="Arial"/>
          <w:sz w:val="18"/>
          <w:szCs w:val="18"/>
          <w:color w:val="auto"/>
        </w:rPr>
      </w:pPr>
    </w:p>
    <w:p>
      <w:pPr>
        <w:ind w:firstLine="464"/>
        <w:spacing w:after="0" w:line="277" w:lineRule="auto"/>
        <w:tabs>
          <w:tab w:leader="none" w:pos="636"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 other than the doors in the second (2nd floor) elevator lobby of the Premises which may remain open during Building Hours.</w:t>
      </w:r>
    </w:p>
    <w:p>
      <w:pPr>
        <w:spacing w:after="0" w:line="62" w:lineRule="exact"/>
        <w:rPr>
          <w:rFonts w:ascii="Arial" w:cs="Arial" w:eastAsia="Arial" w:hAnsi="Arial"/>
          <w:sz w:val="18"/>
          <w:szCs w:val="18"/>
          <w:color w:val="auto"/>
        </w:rPr>
      </w:pPr>
    </w:p>
    <w:p>
      <w:pPr>
        <w:ind w:right="80" w:firstLine="464"/>
        <w:spacing w:after="0" w:line="270" w:lineRule="auto"/>
        <w:tabs>
          <w:tab w:leader="none" w:pos="636" w:val="left"/>
        </w:tabs>
        <w:numPr>
          <w:ilvl w:val="0"/>
          <w:numId w:val="472"/>
        </w:numPr>
        <w:rPr>
          <w:rFonts w:ascii="Arial" w:cs="Arial" w:eastAsia="Arial" w:hAnsi="Arial"/>
          <w:sz w:val="17"/>
          <w:szCs w:val="17"/>
          <w:color w:val="auto"/>
        </w:rPr>
      </w:pPr>
      <w:r>
        <w:rPr>
          <w:rFonts w:ascii="Arial" w:cs="Arial" w:eastAsia="Arial" w:hAnsi="Arial"/>
          <w:sz w:val="17"/>
          <w:szCs w:val="17"/>
          <w:color w:val="auto"/>
        </w:rPr>
        <w:t>Landlord reserves the right to close and keep locked all entrance and exit doors of the Building during such hours as are customary for comparable buildings in the San Diego, California area.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ectPr>
          <w:pgSz w:w="11900" w:h="16838" w:orient="portrait"/>
          <w:cols w:equalWidth="0" w:num="1">
            <w:col w:w="11420"/>
          </w:cols>
          <w:pgMar w:left="240" w:top="270" w:right="239" w:bottom="1440" w:gutter="0" w:footer="0" w:header="0"/>
        </w:sectPr>
      </w:pPr>
    </w:p>
    <w:bookmarkStart w:id="562" w:name="page563"/>
    <w:bookmarkEnd w:id="562"/>
    <w:p>
      <w:pPr>
        <w:ind w:left="-100" w:firstLine="464"/>
        <w:spacing w:after="0" w:line="255" w:lineRule="auto"/>
        <w:tabs>
          <w:tab w:leader="none" w:pos="536" w:val="left"/>
        </w:tabs>
        <w:numPr>
          <w:ilvl w:val="0"/>
          <w:numId w:val="4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large furniture, freight or large equipment of any kind shall be brought into the Building without prior notice to Landlord. All such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81" w:lineRule="exact"/>
        <w:rPr>
          <w:rFonts w:ascii="Arial" w:cs="Arial" w:eastAsia="Arial" w:hAnsi="Arial"/>
          <w:sz w:val="18"/>
          <w:szCs w:val="18"/>
          <w:color w:val="auto"/>
        </w:rPr>
      </w:pPr>
    </w:p>
    <w:p>
      <w:pPr>
        <w:jc w:val="both"/>
        <w:ind w:left="-100" w:right="40" w:firstLine="464"/>
        <w:spacing w:after="0" w:line="342" w:lineRule="auto"/>
        <w:tabs>
          <w:tab w:leader="none" w:pos="536"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5" w:lineRule="exact"/>
        <w:rPr>
          <w:rFonts w:ascii="Arial" w:cs="Arial" w:eastAsia="Arial" w:hAnsi="Arial"/>
          <w:sz w:val="16"/>
          <w:szCs w:val="16"/>
          <w:color w:val="auto"/>
        </w:rPr>
      </w:pPr>
    </w:p>
    <w:p>
      <w:pPr>
        <w:jc w:val="both"/>
        <w:ind w:left="-100" w:right="200" w:firstLine="464"/>
        <w:spacing w:after="0" w:line="264" w:lineRule="auto"/>
        <w:tabs>
          <w:tab w:leader="none" w:pos="53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73" w:lineRule="exact"/>
        <w:rPr>
          <w:rFonts w:ascii="Arial" w:cs="Arial" w:eastAsia="Arial" w:hAnsi="Arial"/>
          <w:sz w:val="18"/>
          <w:szCs w:val="18"/>
          <w:color w:val="auto"/>
        </w:rPr>
      </w:pPr>
    </w:p>
    <w:p>
      <w:pPr>
        <w:jc w:val="both"/>
        <w:ind w:left="-100" w:right="60" w:firstLine="464"/>
        <w:spacing w:after="0" w:line="286" w:lineRule="auto"/>
        <w:tabs>
          <w:tab w:leader="none" w:pos="536"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57" w:lineRule="exact"/>
        <w:rPr>
          <w:rFonts w:ascii="Arial" w:cs="Arial" w:eastAsia="Arial" w:hAnsi="Arial"/>
          <w:sz w:val="17"/>
          <w:szCs w:val="17"/>
          <w:color w:val="auto"/>
        </w:rPr>
      </w:pPr>
    </w:p>
    <w:p>
      <w:pPr>
        <w:ind w:left="-100" w:firstLine="464"/>
        <w:spacing w:after="0" w:line="264" w:lineRule="auto"/>
        <w:tabs>
          <w:tab w:leader="none" w:pos="53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 nor (except to the extent of hanging typical picture frames, white boards, interior signs, and the like, on the walls) mark, drive nails or screws, or drill into the partitions, woodwork or drywall or in any way deface the Premises or any part thereof without Landlord’s prior written consent.</w:t>
      </w:r>
    </w:p>
    <w:p>
      <w:pPr>
        <w:spacing w:after="0" w:line="73" w:lineRule="exact"/>
        <w:rPr>
          <w:rFonts w:ascii="Arial" w:cs="Arial" w:eastAsia="Arial" w:hAnsi="Arial"/>
          <w:sz w:val="18"/>
          <w:szCs w:val="18"/>
          <w:color w:val="auto"/>
        </w:rPr>
      </w:pPr>
    </w:p>
    <w:p>
      <w:pPr>
        <w:ind w:left="-100" w:right="220" w:firstLine="464"/>
        <w:spacing w:after="0" w:line="308" w:lineRule="auto"/>
        <w:tabs>
          <w:tab w:leader="none" w:pos="536" w:val="left"/>
        </w:tabs>
        <w:numPr>
          <w:ilvl w:val="0"/>
          <w:numId w:val="473"/>
        </w:numPr>
        <w:rPr>
          <w:rFonts w:ascii="Arial" w:cs="Arial" w:eastAsia="Arial" w:hAnsi="Arial"/>
          <w:sz w:val="17"/>
          <w:szCs w:val="17"/>
          <w:color w:val="auto"/>
        </w:rPr>
      </w:pPr>
      <w:r>
        <w:rPr>
          <w:rFonts w:ascii="Arial" w:cs="Arial" w:eastAsia="Arial" w:hAnsi="Arial"/>
          <w:sz w:val="17"/>
          <w:szCs w:val="17"/>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38" w:lineRule="exact"/>
        <w:rPr>
          <w:rFonts w:ascii="Arial" w:cs="Arial" w:eastAsia="Arial" w:hAnsi="Arial"/>
          <w:sz w:val="17"/>
          <w:szCs w:val="17"/>
          <w:color w:val="auto"/>
        </w:rPr>
      </w:pPr>
    </w:p>
    <w:p>
      <w:pPr>
        <w:ind w:left="-100" w:right="20" w:firstLine="464"/>
        <w:spacing w:after="0" w:line="286" w:lineRule="auto"/>
        <w:tabs>
          <w:tab w:leader="none" w:pos="626" w:val="left"/>
        </w:tabs>
        <w:numPr>
          <w:ilvl w:val="0"/>
          <w:numId w:val="473"/>
        </w:numPr>
        <w:rPr>
          <w:rFonts w:ascii="Arial" w:cs="Arial" w:eastAsia="Arial" w:hAnsi="Arial"/>
          <w:sz w:val="17"/>
          <w:szCs w:val="17"/>
          <w:color w:val="auto"/>
        </w:rPr>
      </w:pPr>
      <w:r>
        <w:rPr>
          <w:rFonts w:ascii="Arial" w:cs="Arial" w:eastAsia="Arial" w:hAnsi="Arial"/>
          <w:sz w:val="17"/>
          <w:szCs w:val="17"/>
          <w:color w:val="auto"/>
        </w:rPr>
        <w:t>Except as otherwise expressly permitted in the Lease, Tenant shall not use or keep in or on the Premises, the Building, or the Project any kerosene, gasoline, explosive material, corrosive material, material capable of emitting toxic fumes, or other inflammable or combustible fluid chemical, substitute or material. Tenant shall provide material safety data sheets for any Hazardous Material used or kept on the Premises.</w:t>
      </w:r>
    </w:p>
    <w:p>
      <w:pPr>
        <w:spacing w:after="0" w:line="57" w:lineRule="exact"/>
        <w:rPr>
          <w:rFonts w:ascii="Arial" w:cs="Arial" w:eastAsia="Arial" w:hAnsi="Arial"/>
          <w:sz w:val="17"/>
          <w:szCs w:val="17"/>
          <w:color w:val="auto"/>
        </w:rPr>
      </w:pPr>
    </w:p>
    <w:p>
      <w:pPr>
        <w:ind w:left="620" w:hanging="256"/>
        <w:spacing w:after="0"/>
        <w:tabs>
          <w:tab w:leader="none" w:pos="62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 Landlord.</w:t>
      </w:r>
    </w:p>
    <w:p>
      <w:pPr>
        <w:spacing w:after="0" w:line="140" w:lineRule="exact"/>
        <w:rPr>
          <w:rFonts w:ascii="Arial" w:cs="Arial" w:eastAsia="Arial" w:hAnsi="Arial"/>
          <w:sz w:val="16"/>
          <w:szCs w:val="16"/>
          <w:color w:val="auto"/>
        </w:rPr>
      </w:pPr>
    </w:p>
    <w:p>
      <w:pPr>
        <w:ind w:left="-100" w:right="60" w:firstLine="464"/>
        <w:spacing w:after="0" w:line="277" w:lineRule="auto"/>
        <w:tabs>
          <w:tab w:leader="none" w:pos="62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Tenant shall not use, keep or permit to be used or kept, any foul or noxious gas or substance in or on the Premises, or permit or allow the Premises to be occupied or used in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40" w:top="273" w:right="339" w:bottom="1440" w:gutter="0" w:footer="0" w:header="0"/>
        </w:sectPr>
      </w:pPr>
    </w:p>
    <w:bookmarkStart w:id="563" w:name="page564"/>
    <w:bookmarkEnd w:id="56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 Landlord hereby acknowledges and agrees that Tenant’s use of the Premises for the Permitted Use shall in no event be deemed “offensive or objectionable” in and of itself nor otherwise constitute a breach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63" w:lineRule="exact"/>
        <w:rPr>
          <w:sz w:val="20"/>
          <w:szCs w:val="20"/>
          <w:color w:val="auto"/>
        </w:rPr>
      </w:pPr>
    </w:p>
    <w:p>
      <w:pPr>
        <w:ind w:right="60" w:firstLine="464"/>
        <w:spacing w:after="0" w:line="264" w:lineRule="auto"/>
        <w:tabs>
          <w:tab w:leader="none" w:pos="72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Tenant shall not bring into or keep within the Project, the Building or the Premises any firearms, animals (except in connection with the rodent vivarium), birds, aquariums, or, except in areas designated by Landlord, bicycles or other vehicles. Throughout the Term of the Lease, Landlord shall provide for Tenant’s use a bike locker to adequately secure and store bicycles.</w:t>
      </w:r>
    </w:p>
    <w:p>
      <w:pPr>
        <w:spacing w:after="0" w:line="73" w:lineRule="exact"/>
        <w:rPr>
          <w:rFonts w:ascii="Arial" w:cs="Arial" w:eastAsia="Arial" w:hAnsi="Arial"/>
          <w:sz w:val="18"/>
          <w:szCs w:val="18"/>
          <w:color w:val="auto"/>
        </w:rPr>
      </w:pPr>
    </w:p>
    <w:p>
      <w:pPr>
        <w:ind w:right="200" w:firstLine="464"/>
        <w:spacing w:after="0" w:line="255" w:lineRule="auto"/>
        <w:tabs>
          <w:tab w:leader="none" w:pos="72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miles and regulations. Landlord hereby acknowledges and agrees that Tenant’s use of the Premises for the Permitted Use shall not, in and of itself, be deemed “offensive, objectionable or immoral” nor otherwise constitute a breach of this Section 14.</w:t>
      </w:r>
    </w:p>
    <w:p>
      <w:pPr>
        <w:spacing w:after="0" w:line="85" w:lineRule="exact"/>
        <w:rPr>
          <w:rFonts w:ascii="Arial" w:cs="Arial" w:eastAsia="Arial" w:hAnsi="Arial"/>
          <w:sz w:val="18"/>
          <w:szCs w:val="18"/>
          <w:color w:val="auto"/>
        </w:rPr>
      </w:pPr>
    </w:p>
    <w:p>
      <w:pPr>
        <w:ind w:right="20" w:firstLine="464"/>
        <w:spacing w:after="0" w:line="297" w:lineRule="auto"/>
        <w:tabs>
          <w:tab w:leader="none" w:pos="726"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50" w:lineRule="exact"/>
        <w:rPr>
          <w:rFonts w:ascii="Arial" w:cs="Arial" w:eastAsia="Arial" w:hAnsi="Arial"/>
          <w:sz w:val="16"/>
          <w:szCs w:val="16"/>
          <w:color w:val="auto"/>
        </w:rPr>
      </w:pPr>
    </w:p>
    <w:p>
      <w:pPr>
        <w:ind w:right="100" w:firstLine="464"/>
        <w:spacing w:after="0" w:line="277" w:lineRule="auto"/>
        <w:tabs>
          <w:tab w:leader="none" w:pos="72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62" w:lineRule="exact"/>
        <w:rPr>
          <w:rFonts w:ascii="Arial" w:cs="Arial" w:eastAsia="Arial" w:hAnsi="Arial"/>
          <w:sz w:val="18"/>
          <w:szCs w:val="18"/>
          <w:color w:val="auto"/>
        </w:rPr>
      </w:pPr>
    </w:p>
    <w:p>
      <w:pPr>
        <w:ind w:firstLine="464"/>
        <w:spacing w:after="0" w:line="279" w:lineRule="auto"/>
        <w:tabs>
          <w:tab w:leader="none" w:pos="726" w:val="left"/>
        </w:tabs>
        <w:numPr>
          <w:ilvl w:val="0"/>
          <w:numId w:val="474"/>
        </w:numPr>
        <w:rPr>
          <w:rFonts w:ascii="Arial" w:cs="Arial" w:eastAsia="Arial" w:hAnsi="Arial"/>
          <w:sz w:val="17"/>
          <w:szCs w:val="17"/>
          <w:color w:val="auto"/>
        </w:rPr>
      </w:pPr>
      <w:r>
        <w:rPr>
          <w:rFonts w:ascii="Arial" w:cs="Arial" w:eastAsia="Arial" w:hAnsi="Arial"/>
          <w:sz w:val="17"/>
          <w:szCs w:val="17"/>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 Furthermore, in no event shall Tenant, its employees or agents smoke tobacco products within the Building or within seventy-five feet (75’) of any entrance into the Building or into any other Project building.</w:t>
      </w:r>
    </w:p>
    <w:p>
      <w:pPr>
        <w:spacing w:after="0" w:line="63" w:lineRule="exact"/>
        <w:rPr>
          <w:rFonts w:ascii="Arial" w:cs="Arial" w:eastAsia="Arial" w:hAnsi="Arial"/>
          <w:sz w:val="17"/>
          <w:szCs w:val="17"/>
          <w:color w:val="auto"/>
        </w:rPr>
      </w:pPr>
    </w:p>
    <w:p>
      <w:pPr>
        <w:ind w:right="20" w:firstLine="464"/>
        <w:spacing w:after="0" w:line="277" w:lineRule="auto"/>
        <w:tabs>
          <w:tab w:leader="none" w:pos="72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Tenant shall not waste electricity, water or air conditioning and agrees to cooperate fully with Landlord to ensure the most effective operation of the Building’s heating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64" w:name="page565"/>
    <w:bookmarkEnd w:id="5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air conditioning system, and shall refrain from attempting to adjust any controls. Tenant shall participate in recycling programs undertaken by Landlord.</w:t>
      </w:r>
    </w:p>
    <w:p>
      <w:pPr>
        <w:spacing w:after="0" w:line="140" w:lineRule="exact"/>
        <w:rPr>
          <w:sz w:val="20"/>
          <w:szCs w:val="20"/>
          <w:color w:val="auto"/>
        </w:rPr>
      </w:pPr>
    </w:p>
    <w:p>
      <w:pPr>
        <w:ind w:firstLine="464"/>
        <w:spacing w:after="0" w:line="271" w:lineRule="auto"/>
        <w:tabs>
          <w:tab w:leader="none" w:pos="726"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San Diego, California without violation of any law or ordinance governing such disposal. All trash, garbage and refuse disposal shall be made only through entry-ways and elevators provided for such purposes at such times as Landlord shall designate.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 Landlord shall, at Tenant’s sole cost and expense, provide one (1) dumpster (with locking capabilities) in the area of the Project designated by Landlord for the use of such dumpsters.</w:t>
      </w:r>
    </w:p>
    <w:p>
      <w:pPr>
        <w:spacing w:after="0" w:line="70" w:lineRule="exact"/>
        <w:rPr>
          <w:rFonts w:ascii="Arial" w:cs="Arial" w:eastAsia="Arial" w:hAnsi="Arial"/>
          <w:sz w:val="17"/>
          <w:szCs w:val="17"/>
          <w:color w:val="auto"/>
        </w:rPr>
      </w:pPr>
    </w:p>
    <w:p>
      <w:pPr>
        <w:ind w:left="740" w:hanging="276"/>
        <w:spacing w:after="0"/>
        <w:tabs>
          <w:tab w:leader="none" w:pos="74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agency.</w:t>
      </w:r>
    </w:p>
    <w:p>
      <w:pPr>
        <w:spacing w:after="0" w:line="140" w:lineRule="exact"/>
        <w:rPr>
          <w:rFonts w:ascii="Arial" w:cs="Arial" w:eastAsia="Arial" w:hAnsi="Arial"/>
          <w:sz w:val="16"/>
          <w:szCs w:val="16"/>
          <w:color w:val="auto"/>
        </w:rPr>
      </w:pPr>
    </w:p>
    <w:p>
      <w:pPr>
        <w:ind w:firstLine="464"/>
        <w:spacing w:after="0" w:line="289" w:lineRule="auto"/>
        <w:tabs>
          <w:tab w:leader="none" w:pos="72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be responsible for any damage to the window film on the exterior windows of the Premises and shall promptly repair any such damage at Tenant’s sole cost and expense. Tenant shall keep its window coverings closed during any period of the day when the sun is shining directly on the windows of the Premises. Prior to leaving the Premises for the day, Tenant shall draw or lower window coverings and extinguish all lights. Tenant shall abide by Landlord’s regulations concerning the opening and closing of window coverings which are attached to the windows in the Premises, if any, which have a view of any interior portion of the Building or Building Common Areas.</w:t>
      </w:r>
    </w:p>
    <w:p>
      <w:pPr>
        <w:spacing w:after="0" w:line="58" w:lineRule="exact"/>
        <w:rPr>
          <w:rFonts w:ascii="Arial" w:cs="Arial" w:eastAsia="Arial" w:hAnsi="Arial"/>
          <w:sz w:val="16"/>
          <w:szCs w:val="16"/>
          <w:color w:val="auto"/>
        </w:rPr>
      </w:pPr>
    </w:p>
    <w:p>
      <w:pPr>
        <w:ind w:right="340" w:firstLine="464"/>
        <w:spacing w:after="0" w:line="308" w:lineRule="auto"/>
        <w:tabs>
          <w:tab w:leader="none" w:pos="726"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38" w:lineRule="exact"/>
        <w:rPr>
          <w:rFonts w:ascii="Arial" w:cs="Arial" w:eastAsia="Arial" w:hAnsi="Arial"/>
          <w:sz w:val="17"/>
          <w:szCs w:val="17"/>
          <w:color w:val="auto"/>
        </w:rPr>
      </w:pPr>
    </w:p>
    <w:p>
      <w:pPr>
        <w:ind w:left="740" w:hanging="276"/>
        <w:spacing w:after="0"/>
        <w:tabs>
          <w:tab w:leader="none" w:pos="7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Tenant must comply with requests by the Landlord concerning the informing of their employees of items of importance to the Landlord.</w:t>
      </w:r>
    </w:p>
    <w:p>
      <w:pPr>
        <w:spacing w:after="0" w:line="124" w:lineRule="exact"/>
        <w:rPr>
          <w:rFonts w:ascii="Arial" w:cs="Arial" w:eastAsia="Arial" w:hAnsi="Arial"/>
          <w:sz w:val="17"/>
          <w:szCs w:val="17"/>
          <w:color w:val="auto"/>
        </w:rPr>
      </w:pPr>
    </w:p>
    <w:p>
      <w:pPr>
        <w:ind w:right="200" w:firstLine="464"/>
        <w:spacing w:after="0" w:line="266" w:lineRule="auto"/>
        <w:tabs>
          <w:tab w:leader="none" w:pos="72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Tenant must comply with applicable “</w:t>
      </w:r>
      <w:r>
        <w:rPr>
          <w:rFonts w:ascii="Arial" w:cs="Arial" w:eastAsia="Arial" w:hAnsi="Arial"/>
          <w:sz w:val="18"/>
          <w:szCs w:val="18"/>
          <w:b w:val="1"/>
          <w:bCs w:val="1"/>
          <w:color w:val="auto"/>
        </w:rPr>
        <w:t>NO-SMOKING</w:t>
      </w:r>
      <w:r>
        <w:rPr>
          <w:rFonts w:ascii="Arial" w:cs="Arial" w:eastAsia="Arial" w:hAnsi="Arial"/>
          <w:sz w:val="18"/>
          <w:szCs w:val="18"/>
          <w:color w:val="auto"/>
        </w:rPr>
        <w:t>” ordinances and all related, similar or successor ordinances, rules, regulations or codes. If Tenant is required under the ordinance to adopt a written smoking policy, a copy of said policy shall be on file in the office of the Building. In addition, no smoking of any substance shall be permitted within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65" w:name="page566"/>
    <w:bookmarkEnd w:id="565"/>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except in specifically designated outdoor areas. Within such designated outdoor areas, all remnants of consumed cigarettes and related paraphernalia shall be deposited in ash trays and/or waste receptacles. No cigarettes shall be extinguished and/or left on the ground or any other surface of the Project. Cigarettes shall be extinguished only in ashtrays. Furthermore, in no event shall Tenant, its employees or agents smoke tobacco products or other substances within any interior areas of the Project or within seventy-five feet (75’) of any entrance into the Building or into any other Project building.</w:t>
      </w:r>
    </w:p>
    <w:p>
      <w:pPr>
        <w:spacing w:after="0" w:line="46" w:lineRule="exact"/>
        <w:rPr>
          <w:sz w:val="20"/>
          <w:szCs w:val="20"/>
          <w:color w:val="auto"/>
        </w:rPr>
      </w:pPr>
    </w:p>
    <w:p>
      <w:pPr>
        <w:ind w:firstLine="464"/>
        <w:spacing w:after="0" w:line="254" w:lineRule="auto"/>
        <w:tabs>
          <w:tab w:leader="none" w:pos="72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84" w:lineRule="exact"/>
        <w:rPr>
          <w:rFonts w:ascii="Arial" w:cs="Arial" w:eastAsia="Arial" w:hAnsi="Arial"/>
          <w:sz w:val="18"/>
          <w:szCs w:val="18"/>
          <w:color w:val="auto"/>
        </w:rPr>
      </w:pPr>
    </w:p>
    <w:p>
      <w:pPr>
        <w:ind w:right="40" w:firstLine="464"/>
        <w:spacing w:after="0" w:line="277" w:lineRule="auto"/>
        <w:tabs>
          <w:tab w:leader="none" w:pos="72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All office equipment of any electrical or mechanical nature shall be placed by Tenant in the Premises in settings approved by Landlord, to absorb or prevent any vibration, noise and annoyance.</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Tenant shall not use in any space or in the public halls of the Building, any hand trucks except those equipped with rubber tires and rubber side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guards.</w:t>
      </w:r>
    </w:p>
    <w:p>
      <w:pPr>
        <w:spacing w:after="0" w:line="102" w:lineRule="exact"/>
        <w:rPr>
          <w:rFonts w:ascii="Arial" w:cs="Arial" w:eastAsia="Arial" w:hAnsi="Arial"/>
          <w:sz w:val="16"/>
          <w:szCs w:val="16"/>
          <w:color w:val="auto"/>
        </w:rPr>
      </w:pPr>
    </w:p>
    <w:p>
      <w:pPr>
        <w:ind w:left="740" w:hanging="276"/>
        <w:spacing w:after="0"/>
        <w:tabs>
          <w:tab w:leader="none" w:pos="74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No auction, liquidation, fire sale, going-out-of-business or bankruptcy sale shall be conducted in the Premises without the prior written consent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102" w:lineRule="exact"/>
        <w:rPr>
          <w:rFonts w:ascii="Arial" w:cs="Arial" w:eastAsia="Arial" w:hAnsi="Arial"/>
          <w:sz w:val="16"/>
          <w:szCs w:val="16"/>
          <w:color w:val="auto"/>
        </w:rPr>
      </w:pPr>
    </w:p>
    <w:p>
      <w:pPr>
        <w:ind w:left="740" w:hanging="276"/>
        <w:spacing w:after="0"/>
        <w:tabs>
          <w:tab w:leader="none" w:pos="74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 tenant shall use or permit the use of any portion of the Premises for living quarters, sleeping apartments or lodging rooms.</w:t>
      </w:r>
    </w:p>
    <w:p>
      <w:pPr>
        <w:spacing w:after="0" w:line="117" w:lineRule="exact"/>
        <w:rPr>
          <w:rFonts w:ascii="Arial" w:cs="Arial" w:eastAsia="Arial" w:hAnsi="Arial"/>
          <w:sz w:val="18"/>
          <w:szCs w:val="18"/>
          <w:color w:val="auto"/>
        </w:rPr>
      </w:pPr>
    </w:p>
    <w:p>
      <w:pPr>
        <w:ind w:right="180" w:firstLine="464"/>
        <w:spacing w:after="0" w:line="342" w:lineRule="auto"/>
        <w:tabs>
          <w:tab w:leader="none" w:pos="726"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agrees that it will not unreasonably modify, amend, change or enforce these Rules and Regulations in any unreasonable manner or in a manner which will unreasonably and materially interferes with the Permitted Use pursuant to the terms and conditions of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566" w:name="page567"/>
    <w:bookmarkEnd w:id="56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Lease. Landlord shall provide Tenant with not less than thirty (30) days prior written notice of any modification, amendment or change to these Rules and Regulations. Notwithstanding the foregoing,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04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rPr>
              <w:t>EXHIBIT E</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3"/>
        </w:trPr>
        <w:tc>
          <w:tcPr>
            <w:tcW w:w="8280" w:type="dxa"/>
            <w:vAlign w:val="bottom"/>
            <w:gridSpan w:val="3"/>
          </w:tcPr>
          <w:p>
            <w:pPr>
              <w:jc w:val="center"/>
              <w:ind w:left="3070"/>
              <w:spacing w:after="0"/>
              <w:rPr>
                <w:sz w:val="20"/>
                <w:szCs w:val="20"/>
                <w:color w:val="auto"/>
              </w:rPr>
            </w:pPr>
            <w:r>
              <w:rPr>
                <w:rFonts w:ascii="Arial" w:cs="Arial" w:eastAsia="Arial" w:hAnsi="Arial"/>
                <w:sz w:val="18"/>
                <w:szCs w:val="18"/>
                <w:b w:val="1"/>
                <w:bCs w:val="1"/>
                <w:color w:val="auto"/>
              </w:rPr>
              <w:t>PACIFIC CORPORATE CENTER</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828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rPr>
              <w:t>FORM OF TENANT’S ESTOPPEL CERTIFICATE</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8280" w:type="dxa"/>
            <w:vAlign w:val="bottom"/>
            <w:gridSpan w:val="3"/>
          </w:tcPr>
          <w:p>
            <w:pPr>
              <w:ind w:left="460"/>
              <w:spacing w:after="0"/>
              <w:rPr>
                <w:sz w:val="20"/>
                <w:szCs w:val="20"/>
                <w:color w:val="auto"/>
              </w:rPr>
            </w:pPr>
            <w:r>
              <w:rPr>
                <w:rFonts w:ascii="Arial" w:cs="Arial" w:eastAsia="Arial" w:hAnsi="Arial"/>
                <w:sz w:val="18"/>
                <w:szCs w:val="18"/>
                <w:color w:val="auto"/>
                <w:w w:val="96"/>
              </w:rPr>
              <w:t>The undersigned as Tenant under that certain Office Lease (the “Lease”) made and entered into as of</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 201</w:t>
            </w:r>
          </w:p>
        </w:tc>
        <w:tc>
          <w:tcPr>
            <w:tcW w:w="1900" w:type="dxa"/>
            <w:vAlign w:val="bottom"/>
            <w:gridSpan w:val="2"/>
          </w:tcPr>
          <w:p>
            <w:pPr>
              <w:ind w:left="140"/>
              <w:spacing w:after="0"/>
              <w:rPr>
                <w:sz w:val="20"/>
                <w:szCs w:val="20"/>
                <w:color w:val="auto"/>
              </w:rPr>
            </w:pPr>
            <w:r>
              <w:rPr>
                <w:rFonts w:ascii="Arial" w:cs="Arial" w:eastAsia="Arial" w:hAnsi="Arial"/>
                <w:sz w:val="18"/>
                <w:szCs w:val="18"/>
                <w:color w:val="auto"/>
              </w:rPr>
              <w:t>by and between</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as</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Landlord, and the undersigned as Tenant, for Premises on the</w:t>
            </w: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w w:val="94"/>
              </w:rPr>
              <w:t>floor(s) of the office building located at</w:t>
            </w:r>
          </w:p>
        </w:tc>
        <w:tc>
          <w:tcPr>
            <w:tcW w:w="460" w:type="dxa"/>
            <w:vAlign w:val="bottom"/>
          </w:tcPr>
          <w:p>
            <w:pPr>
              <w:spacing w:after="0"/>
              <w:rPr>
                <w:sz w:val="18"/>
                <w:szCs w:val="18"/>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ind w:left="300"/>
              <w:spacing w:after="0"/>
              <w:rPr>
                <w:sz w:val="20"/>
                <w:szCs w:val="20"/>
                <w:color w:val="auto"/>
              </w:rPr>
            </w:pPr>
            <w:r>
              <w:rPr>
                <w:rFonts w:ascii="Arial" w:cs="Arial" w:eastAsia="Arial" w:hAnsi="Arial"/>
                <w:sz w:val="18"/>
                <w:szCs w:val="18"/>
                <w:color w:val="auto"/>
              </w:rPr>
              <w:t>, California</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certifies as follows:</w:t>
            </w: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80" w:firstLine="464"/>
        <w:spacing w:after="0" w:line="277" w:lineRule="auto"/>
        <w:tabs>
          <w:tab w:leader="none" w:pos="63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and correct copy of the Lease and all amendments and modifications thereto. The documents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represent the entire agreement between the parties as to the Premises.</w:t>
      </w:r>
    </w:p>
    <w:p>
      <w:pPr>
        <w:spacing w:after="0" w:line="62" w:lineRule="exact"/>
        <w:rPr>
          <w:sz w:val="20"/>
          <w:szCs w:val="20"/>
          <w:color w:val="auto"/>
        </w:rPr>
      </w:pPr>
    </w:p>
    <w:p>
      <w:pPr>
        <w:ind w:left="900" w:hanging="443"/>
        <w:spacing w:after="0" w:line="258" w:lineRule="auto"/>
        <w:rPr>
          <w:sz w:val="20"/>
          <w:szCs w:val="20"/>
          <w:color w:val="auto"/>
        </w:rPr>
      </w:pPr>
      <w:r>
        <w:rPr>
          <w:rFonts w:ascii="Arial" w:cs="Arial" w:eastAsia="Arial" w:hAnsi="Arial"/>
          <w:sz w:val="18"/>
          <w:szCs w:val="18"/>
          <w:color w:val="auto"/>
        </w:rPr>
        <w:t>2. The undersigned currently occupies the Premises described in the Lease, the Lease Term commenced on</w:t>
      </w:r>
      <w:r>
        <w:rPr>
          <w:sz w:val="20"/>
          <w:szCs w:val="20"/>
          <w:color w:val="auto"/>
        </w:rPr>
        <w:t xml:space="preserve"> </w:t>
      </w:r>
      <w:r>
        <w:rPr>
          <w:rFonts w:ascii="Arial" w:cs="Arial" w:eastAsia="Arial" w:hAnsi="Arial"/>
          <w:sz w:val="18"/>
          <w:szCs w:val="18"/>
          <w:color w:val="auto"/>
        </w:rPr>
        <w:t>, and the Lease Term expires on , and the undersigned has no option to terminate or cancel the Lease or to purchase all or any part of the Premises, the Building and/or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03"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3. Base Rent became payable on</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640" w:hanging="176"/>
        <w:spacing w:after="0"/>
        <w:tabs>
          <w:tab w:leader="none" w:pos="6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The Lease is in full force and effect and has not been modified, supplemented or amended in any way except as provided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Tenant shall not modify the documents contained in Exhibit A without the prior written consent of Landlord’s mortgagee.</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All monthly installments of Base Rent, all Additional Rent and all monthly installments of estimated Additional Rent have been paid when due</w:t>
      </w:r>
    </w:p>
    <w:p>
      <w:pPr>
        <w:spacing w:after="0" w:line="35" w:lineRule="exact"/>
        <w:rPr>
          <w:sz w:val="20"/>
          <w:szCs w:val="20"/>
          <w:color w:val="auto"/>
        </w:rPr>
      </w:pPr>
    </w:p>
    <w:p>
      <w:pPr>
        <w:spacing w:after="0"/>
        <w:tabs>
          <w:tab w:leader="none" w:pos="1500" w:val="left"/>
          <w:tab w:leader="none" w:pos="6120" w:val="left"/>
        </w:tabs>
        <w:rPr>
          <w:sz w:val="20"/>
          <w:szCs w:val="20"/>
          <w:color w:val="auto"/>
        </w:rPr>
      </w:pPr>
      <w:r>
        <w:rPr>
          <w:rFonts w:ascii="Arial" w:cs="Arial" w:eastAsia="Arial" w:hAnsi="Arial"/>
          <w:sz w:val="18"/>
          <w:szCs w:val="18"/>
          <w:color w:val="auto"/>
        </w:rPr>
        <w:t>through</w:t>
      </w:r>
      <w:r>
        <w:rPr>
          <w:sz w:val="20"/>
          <w:szCs w:val="20"/>
          <w:color w:val="auto"/>
        </w:rPr>
        <w:tab/>
      </w:r>
      <w:r>
        <w:rPr>
          <w:rFonts w:ascii="Arial" w:cs="Arial" w:eastAsia="Arial" w:hAnsi="Arial"/>
          <w:sz w:val="18"/>
          <w:szCs w:val="18"/>
          <w:color w:val="auto"/>
        </w:rPr>
        <w:t>. The current monthly installment of Base Rent is $</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right="460" w:firstLine="464"/>
        <w:spacing w:after="0" w:line="308" w:lineRule="auto"/>
        <w:tabs>
          <w:tab w:leader="none" w:pos="636"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All conditions of the Lease to be performed by Landlord necessary to the enforceability of the Lease have been satisfied and Landlord is not in default thereunder. In addition, the undersigned has not delivered any notice to Landlord regarding a default by Landlord thereunder.</w:t>
      </w:r>
    </w:p>
    <w:p>
      <w:pPr>
        <w:spacing w:after="0" w:line="38" w:lineRule="exact"/>
        <w:rPr>
          <w:rFonts w:ascii="Arial" w:cs="Arial" w:eastAsia="Arial" w:hAnsi="Arial"/>
          <w:sz w:val="17"/>
          <w:szCs w:val="17"/>
          <w:color w:val="auto"/>
        </w:rPr>
      </w:pPr>
    </w:p>
    <w:p>
      <w:pPr>
        <w:ind w:left="640" w:hanging="176"/>
        <w:spacing w:after="0"/>
        <w:tabs>
          <w:tab w:leader="none" w:pos="64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has been deposited with Landlord except as provided in the Lease.</w:t>
      </w:r>
    </w:p>
    <w:p>
      <w:pPr>
        <w:sectPr>
          <w:pgSz w:w="11900" w:h="16838" w:orient="portrait"/>
          <w:cols w:equalWidth="0" w:num="1">
            <w:col w:w="11400"/>
          </w:cols>
          <w:pgMar w:left="240" w:top="256" w:right="259" w:bottom="1440" w:gutter="0" w:footer="0" w:header="0"/>
        </w:sectPr>
      </w:pPr>
    </w:p>
    <w:bookmarkStart w:id="568" w:name="page569"/>
    <w:bookmarkEnd w:id="568"/>
    <w:p>
      <w:pPr>
        <w:ind w:right="720" w:firstLine="464"/>
        <w:spacing w:after="0" w:line="277" w:lineRule="auto"/>
        <w:tabs>
          <w:tab w:leader="none" w:pos="726" w:val="left"/>
        </w:tabs>
        <w:numPr>
          <w:ilvl w:val="0"/>
          <w:numId w:val="4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date hereof, there are no existing defenses or offsets, or, to the undersigned’s knowledge, claims or any basis for a claim, that the undersigned has against Landlord.</w:t>
      </w:r>
    </w:p>
    <w:p>
      <w:pPr>
        <w:spacing w:after="0" w:line="62" w:lineRule="exact"/>
        <w:rPr>
          <w:rFonts w:ascii="Arial" w:cs="Arial" w:eastAsia="Arial" w:hAnsi="Arial"/>
          <w:sz w:val="18"/>
          <w:szCs w:val="18"/>
          <w:color w:val="auto"/>
        </w:rPr>
      </w:pPr>
    </w:p>
    <w:p>
      <w:pPr>
        <w:ind w:right="60" w:firstLine="464"/>
        <w:spacing w:after="0" w:line="264" w:lineRule="auto"/>
        <w:tabs>
          <w:tab w:leader="none" w:pos="7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There are no actions pending against the undersigned under the bankruptcy or similar laws of the United States or any state.</w:t>
      </w:r>
    </w:p>
    <w:p>
      <w:pPr>
        <w:spacing w:after="0" w:line="117" w:lineRule="exact"/>
        <w:rPr>
          <w:rFonts w:ascii="Arial" w:cs="Arial" w:eastAsia="Arial" w:hAnsi="Arial"/>
          <w:sz w:val="18"/>
          <w:szCs w:val="18"/>
          <w:color w:val="auto"/>
        </w:rPr>
      </w:pPr>
    </w:p>
    <w:p>
      <w:pPr>
        <w:ind w:right="160" w:firstLine="464"/>
        <w:spacing w:after="0" w:line="277" w:lineRule="auto"/>
        <w:tabs>
          <w:tab w:leader="none" w:pos="72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Other than in compliance with all applicable laws and incidental to the ordinary course of the use of the Premises, the undersigned has not used or stored any hazardous substances in the Premises.</w:t>
      </w:r>
    </w:p>
    <w:p>
      <w:pPr>
        <w:spacing w:after="0" w:line="62" w:lineRule="exact"/>
        <w:rPr>
          <w:rFonts w:ascii="Arial" w:cs="Arial" w:eastAsia="Arial" w:hAnsi="Arial"/>
          <w:sz w:val="18"/>
          <w:szCs w:val="18"/>
          <w:color w:val="auto"/>
        </w:rPr>
      </w:pPr>
    </w:p>
    <w:p>
      <w:pPr>
        <w:ind w:firstLine="464"/>
        <w:spacing w:after="0" w:line="264" w:lineRule="auto"/>
        <w:tabs>
          <w:tab w:leader="none" w:pos="72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47" w:lineRule="exact"/>
        <w:rPr>
          <w:sz w:val="20"/>
          <w:szCs w:val="20"/>
          <w:color w:val="auto"/>
        </w:rPr>
      </w:pPr>
    </w:p>
    <w:p>
      <w:pPr>
        <w:ind w:left="460"/>
        <w:spacing w:after="0"/>
        <w:tabs>
          <w:tab w:leader="none" w:pos="2280" w:val="left"/>
          <w:tab w:leader="none" w:pos="3360" w:val="left"/>
          <w:tab w:leader="none" w:pos="4400" w:val="left"/>
          <w:tab w:leader="none" w:pos="4840" w:val="left"/>
        </w:tabs>
        <w:rPr>
          <w:sz w:val="20"/>
          <w:szCs w:val="20"/>
          <w:color w:val="auto"/>
        </w:rPr>
      </w:pPr>
      <w:r>
        <w:rPr>
          <w:rFonts w:ascii="Arial" w:cs="Arial" w:eastAsia="Arial" w:hAnsi="Arial"/>
          <w:sz w:val="18"/>
          <w:szCs w:val="18"/>
          <w:color w:val="auto"/>
        </w:rPr>
        <w:t>Executed at</w:t>
      </w:r>
      <w:r>
        <w:rPr>
          <w:sz w:val="20"/>
          <w:szCs w:val="20"/>
          <w:color w:val="auto"/>
        </w:rPr>
        <w:tab/>
      </w: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4767580</wp:posOffset>
            </wp:positionH>
            <wp:positionV relativeFrom="paragraph">
              <wp:posOffset>-10160</wp:posOffset>
            </wp:positionV>
            <wp:extent cx="222885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28575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4767580</wp:posOffset>
            </wp:positionH>
            <wp:positionV relativeFrom="paragraph">
              <wp:posOffset>-10160</wp:posOffset>
            </wp:positionV>
            <wp:extent cx="222885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28575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69" w:name="page570"/>
    <w:bookmarkEnd w:id="56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PACIFIC CORPORATE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WHEN RECORDED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ALLEN MATKINS LECK GAMBLE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&amp; MALLORY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190l Avenue of the Stars,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Anton N. Natsis, Esq.</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RECOGNITION OF COVENANTS,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CONDITIONS, AND RESTRICTIONS</w:t>
      </w:r>
    </w:p>
    <w:p>
      <w:pPr>
        <w:sectPr>
          <w:pgSz w:w="11900" w:h="16838" w:orient="portrait"/>
          <w:cols w:equalWidth="0" w:num="1">
            <w:col w:w="11380"/>
          </w:cols>
          <w:pgMar w:left="240" w:top="270" w:right="27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Recognition of Covenants, Conditions, and Restrictions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the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by and between</w:t>
      </w:r>
    </w:p>
    <w:p>
      <w:pPr>
        <w:spacing w:after="0" w:line="46" w:lineRule="exact"/>
        <w:rPr>
          <w:sz w:val="20"/>
          <w:szCs w:val="20"/>
          <w:color w:val="auto"/>
        </w:rPr>
      </w:pPr>
    </w:p>
    <w:p>
      <w:pPr>
        <w:sectPr>
          <w:pgSz w:w="11900" w:h="16838" w:orient="portrait"/>
          <w:cols w:equalWidth="0" w:num="4">
            <w:col w:w="8040" w:space="620"/>
            <w:col w:w="460" w:space="580"/>
            <w:col w:w="280" w:space="180"/>
            <w:col w:w="1220"/>
          </w:cols>
          <w:pgMar w:left="240" w:top="270" w:right="279" w:bottom="1440" w:gutter="0" w:footer="0" w:header="0"/>
          <w:type w:val="continuous"/>
        </w:sectPr>
      </w:pPr>
    </w:p>
    <w:p>
      <w:pPr>
        <w:ind w:left="900"/>
        <w:spacing w:after="0"/>
        <w:tabs>
          <w:tab w:leader="none" w:pos="3160" w:val="left"/>
        </w:tabs>
        <w:rPr>
          <w:sz w:val="20"/>
          <w:szCs w:val="20"/>
          <w:color w:val="auto"/>
        </w:rPr>
      </w:pPr>
      <w:r>
        <w:rPr>
          <w:rFonts w:ascii="Arial" w:cs="Arial" w:eastAsia="Arial" w:hAnsi="Arial"/>
          <w:sz w:val="18"/>
          <w:szCs w:val="18"/>
          <w:color w:val="auto"/>
        </w:rPr>
        <w:t>(“Landlord”), and</w:t>
      </w:r>
      <w:r>
        <w:rPr>
          <w:sz w:val="20"/>
          <w:szCs w:val="20"/>
          <w:color w:val="auto"/>
        </w:rPr>
        <w:tab/>
      </w:r>
      <w:r>
        <w:rPr>
          <w:rFonts w:ascii="Arial" w:cs="Arial" w:eastAsia="Arial" w:hAnsi="Arial"/>
          <w:sz w:val="16"/>
          <w:szCs w:val="16"/>
          <w:color w:val="auto"/>
        </w:rPr>
        <w:t>(“Tenant”), with reference to the following facts:</w:t>
      </w:r>
    </w:p>
    <w:p>
      <w:pPr>
        <w:spacing w:after="0" w:line="103" w:lineRule="exact"/>
        <w:rPr>
          <w:sz w:val="20"/>
          <w:szCs w:val="20"/>
          <w:color w:val="auto"/>
        </w:rPr>
      </w:pPr>
    </w:p>
    <w:p>
      <w:pPr>
        <w:ind w:left="460"/>
        <w:spacing w:after="0"/>
        <w:tabs>
          <w:tab w:leader="none" w:pos="7100" w:val="left"/>
          <w:tab w:leader="none" w:pos="7600" w:val="left"/>
        </w:tabs>
        <w:rPr>
          <w:sz w:val="20"/>
          <w:szCs w:val="20"/>
          <w:color w:val="auto"/>
        </w:rPr>
      </w:pPr>
      <w:r>
        <w:rPr>
          <w:rFonts w:ascii="Arial" w:cs="Arial" w:eastAsia="Arial" w:hAnsi="Arial"/>
          <w:sz w:val="18"/>
          <w:szCs w:val="18"/>
          <w:color w:val="auto"/>
        </w:rPr>
        <w:t>A. Landlord and Tenant entered into that certain Office Lease Agreement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“Lease”). Pursuant to the Lease, Landlord</w:t>
      </w:r>
    </w:p>
    <w:p>
      <w:pPr>
        <w:sectPr>
          <w:pgSz w:w="11900" w:h="16838" w:orient="portrait"/>
          <w:cols w:equalWidth="0" w:num="1">
            <w:col w:w="11380"/>
          </w:cols>
          <w:pgMar w:left="240" w:top="270" w:right="279" w:bottom="1440" w:gutter="0" w:footer="0" w:header="0"/>
          <w:type w:val="continuous"/>
        </w:sectPr>
      </w:pP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leased to Tenant and Tenant leased from Landlord space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located in an office building on certain real property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and incorporated herein by this reference (the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The Premises are located in an office building located on real property which is part of an area owned by Landlord containing approximately</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 acres of real property located in the City of , California (the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as more particularly described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and incorporated herein by this reference.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Landlord, as declarant, has previously recorded, or proposes to record concurrently with the recordation of this Agreement, a Declaration of</w:t>
      </w:r>
    </w:p>
    <w:p>
      <w:pPr>
        <w:spacing w:after="0" w:line="35" w:lineRule="exact"/>
        <w:rPr>
          <w:sz w:val="20"/>
          <w:szCs w:val="20"/>
          <w:color w:val="auto"/>
        </w:rPr>
      </w:pPr>
    </w:p>
    <w:p>
      <w:pPr>
        <w:spacing w:after="0"/>
        <w:tabs>
          <w:tab w:leader="none" w:pos="5800" w:val="left"/>
          <w:tab w:leader="none" w:pos="6240" w:val="left"/>
        </w:tabs>
        <w:rPr>
          <w:sz w:val="20"/>
          <w:szCs w:val="20"/>
          <w:color w:val="auto"/>
        </w:rPr>
      </w:pPr>
      <w:r>
        <w:rPr>
          <w:rFonts w:ascii="Arial" w:cs="Arial" w:eastAsia="Arial" w:hAnsi="Arial"/>
          <w:sz w:val="18"/>
          <w:szCs w:val="18"/>
          <w:color w:val="auto"/>
        </w:rPr>
        <w:t>Covenants, Conditions, and Restrictions (the “</w:t>
      </w:r>
      <w:r>
        <w:rPr>
          <w:rFonts w:ascii="Arial" w:cs="Arial" w:eastAsia="Arial" w:hAnsi="Arial"/>
          <w:sz w:val="18"/>
          <w:szCs w:val="18"/>
          <w:b w:val="1"/>
          <w:bCs w:val="1"/>
          <w:color w:val="auto"/>
        </w:rPr>
        <w:t>Declaration</w:t>
      </w:r>
      <w:r>
        <w:rPr>
          <w:rFonts w:ascii="Arial" w:cs="Arial" w:eastAsia="Arial" w:hAnsi="Arial"/>
          <w:sz w:val="18"/>
          <w:szCs w:val="18"/>
          <w:color w:val="auto"/>
        </w:rPr>
        <w: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in connection with the Project.</w:t>
      </w:r>
    </w:p>
    <w:p>
      <w:pPr>
        <w:spacing w:after="0" w:line="1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 Tenant is agreeing to recognize and be bound by the terms of the Declaration, and the parties hereto desire to set forth their agreements concerning the same.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(a) the foregoing recitals and the mutual agreements hereinafter set forth, and (b) for other good and valuable consideration, the receipt and sufficiency of which are hereby acknowledged, the parties hereto agree as follows,</w:t>
      </w:r>
    </w:p>
    <w:p>
      <w:pPr>
        <w:spacing w:after="0" w:line="62" w:lineRule="exact"/>
        <w:rPr>
          <w:sz w:val="20"/>
          <w:szCs w:val="20"/>
          <w:color w:val="auto"/>
        </w:rPr>
      </w:pPr>
    </w:p>
    <w:p>
      <w:pPr>
        <w:ind w:right="120" w:firstLine="464"/>
        <w:spacing w:after="0" w:line="277" w:lineRule="auto"/>
        <w:tabs>
          <w:tab w:leader="none" w:pos="636"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Tenant’s Recognition of Declaration</w:t>
      </w:r>
      <w:r>
        <w:rPr>
          <w:rFonts w:ascii="Arial" w:cs="Arial" w:eastAsia="Arial" w:hAnsi="Arial"/>
          <w:sz w:val="18"/>
          <w:szCs w:val="18"/>
          <w:color w:val="auto"/>
        </w:rPr>
        <w:t>. Notwithstanding that the Lease has been executed prior to the recordation of the Declaration, Tenant agrees to recognize and by bound by all of the terms and conditions of the Declaration.</w:t>
      </w:r>
    </w:p>
    <w:p>
      <w:pPr>
        <w:sectPr>
          <w:pgSz w:w="11900" w:h="16838" w:orient="portrait"/>
          <w:cols w:equalWidth="0" w:num="1">
            <w:col w:w="11380"/>
          </w:cols>
          <w:pgMar w:left="240" w:top="270" w:right="279" w:bottom="1440" w:gutter="0" w:footer="0" w:header="0"/>
          <w:type w:val="continuous"/>
        </w:sectPr>
      </w:pPr>
    </w:p>
    <w:bookmarkStart w:id="570" w:name="page571"/>
    <w:bookmarkEnd w:id="570"/>
    <w:p>
      <w:pPr>
        <w:ind w:left="640" w:hanging="176"/>
        <w:spacing w:after="0"/>
        <w:tabs>
          <w:tab w:leader="none" w:pos="64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right="1060" w:firstLine="913"/>
        <w:spacing w:after="0" w:line="277" w:lineRule="auto"/>
        <w:rPr>
          <w:sz w:val="20"/>
          <w:szCs w:val="20"/>
          <w:color w:val="auto"/>
        </w:rPr>
      </w:pPr>
      <w:r>
        <w:rPr>
          <w:rFonts w:ascii="Arial" w:cs="Arial" w:eastAsia="Arial" w:hAnsi="Arial"/>
          <w:sz w:val="18"/>
          <w:szCs w:val="18"/>
          <w:color w:val="auto"/>
        </w:rPr>
        <w:t>2.1 This Agreement shall be binding upon and inure to the benefit of the parties hereto and their respective heirs, estates, personal representatives, successors, and assigns.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This Agreement is made in, and shall be governed, enforced and construed under the laws of, the State of California.</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2.3 This Agreement constitutes the entire understanding and agreements of the parties with respect to the subject matter hereof, and shall supersede and replace all prior understandings and agreements, whether verbal or in writing. The parties confirm and acknowledge that there are no other promises, covenants, understandings, agreements, representations, or warranties with respect to the subject matter of this Agreement except as expressly set forth herein.</w:t>
      </w:r>
    </w:p>
    <w:p>
      <w:pPr>
        <w:spacing w:after="0" w:line="7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2.4 This Agreement is not to be modified, terminated, or amended in any respect, except pursuant to any instrument in writing duly executed by both of the parties hereto.</w:t>
      </w:r>
    </w:p>
    <w:p>
      <w:pPr>
        <w:spacing w:after="0" w:line="6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2.5 In the event that either party hereto shall bring any legal action or other proceeding with respect to the breach, interpretation, or enforcement of this Agreement, or with respect to any dispute relating to any transaction covered by this Agreement, the losing party in such action or proceeding shall reimburse the prevailing party therein for all reasonable costs of litigation, including reasonable attorneys’ fees, in such amount as may be determined by the court or other tribunal having jurisdiction, including matters on appeal.</w:t>
      </w:r>
    </w:p>
    <w:p>
      <w:pPr>
        <w:spacing w:after="0" w:line="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2.6 All captions and heading herein are for convenience and ease of reference only, and shall not be used or referred to in any way in connection with the interpretation or enforcement of this Agreement.</w:t>
      </w:r>
    </w:p>
    <w:p>
      <w:pPr>
        <w:spacing w:after="0" w:line="6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2.7 If any provision of this Agreement, as applied to any party or to any circumstance, shall be adjudged by a court of competent jurisdictions to be void or unenforceable for any reason, the same shall not affect any other provision of this Agreement, the application of such provision under circumstances different from those adjudged by the court, or the validity or enforceability of this Agreement as a whole.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 Time is of the essence of this Agreement.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2.9 The Parties agree to execute any further documents, and take any further actions, as may be reasonable and appropriate in order to carry out the purpose and intent of this Agreement.</w:t>
      </w:r>
    </w:p>
    <w:p>
      <w:pPr>
        <w:spacing w:after="0" w:line="62"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2.10 As used herein, the masculine, feminine or neuter gender, and the singular and plural numbers, shall each be deemed to include the others whenever and whatever the context so indicates.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571" w:name="page572"/>
    <w:bookmarkEnd w:id="571"/>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OF RECOGNITION OF</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COVENANTS, CONDITIONS AND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-10160</wp:posOffset>
            </wp:positionV>
            <wp:extent cx="202882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-10160</wp:posOffset>
            </wp:positionV>
            <wp:extent cx="202882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-10160</wp:posOffset>
            </wp:positionV>
            <wp:extent cx="202882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69" w:right="1440"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G</w:t>
            </w:r>
          </w:p>
        </w:tc>
        <w:tc>
          <w:tcPr>
            <w:tcW w:w="118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453"/>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PACIFIC CORPORATE CENTER</w:t>
            </w:r>
          </w:p>
        </w:tc>
        <w:tc>
          <w:tcPr>
            <w:tcW w:w="3640" w:type="dxa"/>
            <w:vAlign w:val="bottom"/>
          </w:tcPr>
          <w:p>
            <w:pPr>
              <w:spacing w:after="0"/>
              <w:rPr>
                <w:sz w:val="24"/>
                <w:szCs w:val="24"/>
                <w:color w:val="auto"/>
              </w:rPr>
            </w:pPr>
          </w:p>
        </w:tc>
      </w:tr>
      <w:tr>
        <w:trPr>
          <w:trHeight w:val="432"/>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4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rPr>
              <w:t>FORM OF LETTER OF CREDIT</w:t>
            </w:r>
          </w:p>
        </w:tc>
        <w:tc>
          <w:tcPr>
            <w:tcW w:w="3640" w:type="dxa"/>
            <w:vAlign w:val="bottom"/>
          </w:tcPr>
          <w:p>
            <w:pPr>
              <w:spacing w:after="0"/>
              <w:rPr>
                <w:sz w:val="24"/>
                <w:szCs w:val="24"/>
                <w:color w:val="auto"/>
              </w:rPr>
            </w:pPr>
          </w:p>
        </w:tc>
      </w:tr>
      <w:tr>
        <w:trPr>
          <w:trHeight w:val="414"/>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(Letterhead of a money center bank</w:t>
            </w:r>
          </w:p>
        </w:tc>
        <w:tc>
          <w:tcPr>
            <w:tcW w:w="36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acceptable to the Landlord)</w:t>
            </w:r>
          </w:p>
        </w:tc>
        <w:tc>
          <w:tcPr>
            <w:tcW w:w="3640" w:type="dxa"/>
            <w:vAlign w:val="bottom"/>
          </w:tcPr>
          <w:p>
            <w:pPr>
              <w:spacing w:after="0"/>
              <w:rPr>
                <w:sz w:val="20"/>
                <w:szCs w:val="20"/>
                <w:color w:val="auto"/>
              </w:rPr>
            </w:pP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w w:val="99"/>
              </w:rPr>
              <w:t>FAX NO. [()</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[Insert Bank Name And Address]</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SWIFT: [Insert No., if any]</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DATE OF ISSUE:_______</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rPr>
              <w:t>BENEFICIARY:</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40" w:type="dxa"/>
            <w:vAlign w:val="bottom"/>
            <w:gridSpan w:val="2"/>
          </w:tcPr>
          <w:p>
            <w:pPr>
              <w:ind w:left="820"/>
              <w:spacing w:after="0"/>
              <w:rPr>
                <w:sz w:val="20"/>
                <w:szCs w:val="20"/>
                <w:color w:val="auto"/>
              </w:rPr>
            </w:pPr>
            <w:r>
              <w:rPr>
                <w:rFonts w:ascii="Arial" w:cs="Arial" w:eastAsia="Arial" w:hAnsi="Arial"/>
                <w:sz w:val="18"/>
                <w:szCs w:val="18"/>
                <w:color w:val="auto"/>
              </w:rPr>
              <w:t>APPLICANT:</w:t>
            </w:r>
          </w:p>
        </w:tc>
        <w:tc>
          <w:tcPr>
            <w:tcW w:w="3640" w:type="dxa"/>
            <w:vAlign w:val="bottom"/>
          </w:tcPr>
          <w:p>
            <w:pPr>
              <w:spacing w:after="0"/>
              <w:rPr>
                <w:sz w:val="24"/>
                <w:szCs w:val="24"/>
                <w:color w:val="auto"/>
              </w:rPr>
            </w:pPr>
          </w:p>
        </w:tc>
      </w:t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[Insert Beneficiary Name And Address]</w:t>
            </w:r>
          </w:p>
        </w:tc>
        <w:tc>
          <w:tcPr>
            <w:tcW w:w="1600" w:type="dxa"/>
            <w:vAlign w:val="bottom"/>
          </w:tcPr>
          <w:p>
            <w:pPr>
              <w:spacing w:after="0"/>
              <w:rPr>
                <w:sz w:val="20"/>
                <w:szCs w:val="20"/>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[Insert Applicant Name And Address]</w:t>
            </w:r>
          </w:p>
        </w:tc>
      </w:tr>
      <w:tr>
        <w:trPr>
          <w:trHeight w:val="432"/>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LETTER OF CREDIT NO. _______</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w w:val="98"/>
              </w:rPr>
              <w:t>EXPIRATION DATE:</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AMOUNT AVAILABLE:</w:t>
            </w: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______________ AT OUR COUNTERS</w:t>
            </w:r>
          </w:p>
        </w:tc>
        <w:tc>
          <w:tcPr>
            <w:tcW w:w="1600" w:type="dxa"/>
            <w:vAlign w:val="bottom"/>
          </w:tcPr>
          <w:p>
            <w:pPr>
              <w:spacing w:after="0"/>
              <w:rPr>
                <w:sz w:val="18"/>
                <w:szCs w:val="18"/>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USD[Insert Dollar Amount]</w:t>
            </w:r>
          </w:p>
        </w:tc>
      </w:tr>
      <w:tr>
        <w:trPr>
          <w:trHeight w:val="230"/>
        </w:trPr>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(U.S. DOLLARS [Insert Dollar Amount])</w:t>
            </w:r>
          </w:p>
        </w:tc>
      </w:tr>
      <w:tr>
        <w:trPr>
          <w:trHeight w:val="432"/>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LADIES AND GENTLEMEN:</w:t>
            </w: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24"/>
        </w:trPr>
        <w:tc>
          <w:tcPr>
            <w:tcW w:w="7380" w:type="dxa"/>
            <w:vAlign w:val="bottom"/>
            <w:gridSpan w:val="6"/>
          </w:tcPr>
          <w:p>
            <w:pPr>
              <w:spacing w:after="0"/>
              <w:rPr>
                <w:sz w:val="20"/>
                <w:szCs w:val="20"/>
                <w:color w:val="auto"/>
              </w:rPr>
            </w:pPr>
            <w:r>
              <w:rPr>
                <w:rFonts w:ascii="Arial" w:cs="Arial" w:eastAsia="Arial" w:hAnsi="Arial"/>
                <w:sz w:val="18"/>
                <w:szCs w:val="18"/>
                <w:color w:val="auto"/>
              </w:rPr>
              <w:t>WE HEREBY ESTABLISH OUR IRREVOCABLE STANDBY LETTER OF CREDIT NO.</w:t>
            </w:r>
          </w:p>
        </w:tc>
        <w:tc>
          <w:tcPr>
            <w:tcW w:w="3640" w:type="dxa"/>
            <w:vAlign w:val="bottom"/>
          </w:tcPr>
          <w:p>
            <w:pPr>
              <w:ind w:left="300"/>
              <w:spacing w:after="0"/>
              <w:rPr>
                <w:sz w:val="20"/>
                <w:szCs w:val="20"/>
                <w:color w:val="auto"/>
              </w:rPr>
            </w:pPr>
            <w:r>
              <w:rPr>
                <w:rFonts w:ascii="Arial" w:cs="Arial" w:eastAsia="Arial" w:hAnsi="Arial"/>
                <w:sz w:val="18"/>
                <w:szCs w:val="18"/>
                <w:color w:val="auto"/>
                <w:w w:val="94"/>
              </w:rPr>
              <w:t>IN YOUR FAVOR FOR THE ACCOUNT OF</w:t>
            </w:r>
          </w:p>
        </w:tc>
      </w:tr>
    </w:tbl>
    <w:p>
      <w:pPr>
        <w:ind w:right="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[Insert Tenant’s Name], A [Insert Entity Type], UP TO THE AGGREGATE AMOUNT OF USD[Insert Dollar Amount] ([Insert Dollar Amount] U.S. DOLLARS) EFFECTIVE IMMEDIATELY AND EXPIRING ON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AVAILABLE BY PAYMENT UPON PRESENTATION OF YOUR DRAFT AT SIGHT DRAWN ON [Insert Bank Name] WHEN ACCOMPANIED BY THE FOLLOWING DOCUMENT(S):</w:t>
      </w:r>
    </w:p>
    <w:p>
      <w:pPr>
        <w:spacing w:after="0" w:line="78" w:lineRule="exact"/>
        <w:rPr>
          <w:sz w:val="20"/>
          <w:szCs w:val="20"/>
          <w:color w:val="auto"/>
        </w:rPr>
      </w:pPr>
    </w:p>
    <w:p>
      <w:pPr>
        <w:ind w:left="640" w:hanging="176"/>
        <w:spacing w:after="0"/>
        <w:tabs>
          <w:tab w:leader="none" w:pos="64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THE ORIGINAL OF THIS IRREVOCABLE STANDBY LETTER OF CREDIT AND AMENDMENT(S), IF ANY.</w:t>
      </w:r>
    </w:p>
    <w:p>
      <w:pPr>
        <w:spacing w:after="0" w:line="117" w:lineRule="exact"/>
        <w:rPr>
          <w:rFonts w:ascii="Arial" w:cs="Arial" w:eastAsia="Arial" w:hAnsi="Arial"/>
          <w:sz w:val="18"/>
          <w:szCs w:val="18"/>
          <w:b w:val="1"/>
          <w:bCs w:val="1"/>
          <w:color w:val="auto"/>
        </w:rPr>
      </w:pPr>
    </w:p>
    <w:p>
      <w:pPr>
        <w:ind w:firstLine="464"/>
        <w:spacing w:after="0" w:line="282" w:lineRule="auto"/>
        <w:tabs>
          <w:tab w:leader="none" w:pos="636"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BENEFICIARY’S SIGNED STATEMENT PURPORTEDLY SIGNED BY AN AUTHORIZED REPRESENTATIVE OF [Insert Landlord’s Name), A [Insert Entity Type] (“LANDLORD”) STATING THE FOLLOWING:</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THE LANDLORD, EITHER (A) UNDER THE LEASE (DEFINED BELOW), OR (B) AS A</w:t>
      </w:r>
    </w:p>
    <w:p>
      <w:pPr>
        <w:spacing w:after="0" w:line="35"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RESULT OF THE TERMINATION OF SUCH LEASE, HAS THE RIGHT TO DRAW DOWN THE AMOUNT OF USD IN ACCORDANCE WITH THE TERMS OF THAT CERTAIN OFFICE LEASE DATED [Insert Lease Date], AS AMENDED (COLLECTIVELY, THE “LEASE”), OR SUCH AMOUNT CONSTITUTES DAMAGES OWING BY THE TENANT</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80"/>
          </w:cols>
          <w:pgMar w:left="240" w:top="257" w:right="279" w:bottom="1440" w:gutter="0" w:footer="0" w:header="0"/>
        </w:sectPr>
      </w:pPr>
    </w:p>
    <w:bookmarkStart w:id="573" w:name="page574"/>
    <w:bookmarkEnd w:id="573"/>
    <w:p>
      <w:pPr>
        <w:ind w:left="460"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SUCH LEASE TO BENEFICIARY RESULTING FROM THE BREACH OF SUCH LEASE BY THE TENANT THEREUNDER, AND SUCH AMOUNT REMAINS UNPAID AT THE TIME OF THIS DRAWING.”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WE HAVE RECEIVED A WRITTEN NOTICE OF [Insert Bank Name]’S ELECTION NOT</w:t>
      </w:r>
    </w:p>
    <w:p>
      <w:pPr>
        <w:spacing w:after="0" w:line="35"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TO EXTEND ITS STANDBY LETTER OF CREDIT NO. AND HAVE NOT RECEIVED A REPLACEMENT LETTER OF CREDIT WITHIN AT LEAST SIXTY (60) DAYS PRIOR TO THE PRESENT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35"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CREDIT NO. AS THE RESULT OF THE FILING OF A VOLUNTARY PETITION UNDER THE U.S. BANKRUPTCY CODE OR A STATE BANKRUPTCY CODE BY THE TENANT UNDER THAT CERTAIN OFFICE LEASE DATED [Insert Lease Date], AS AMENDED (COLLECTIVELY, THE “LEASE”), WHICH FILING HAS NOT BEEN DISMISSED AT THE TIME OF THIS DRAWING.”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CREDIT NO. AS THE RESULT OF AN INVOLUNTARY PETITION HA YING BEEN FILED UNDER THE U.S. BANKRUPTCY CODE OR A STATE BANKRUPTCY CODE AGAINST THE TENANT UNDER THAT CERTAIN OFFICE LEASE DATED [Insert Lease Date], AS AMENDED (COLLECTIVELY, THE “LEASE”), WHICH FILING HAS NOT BEEN DISMISSED AT THE TIME OF THIS DRAWING.”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SPECIAL CONDITIONS:</w:t>
      </w:r>
    </w:p>
    <w:p>
      <w:pPr>
        <w:spacing w:after="0" w:line="117"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INFORMATION REQUIRED WHETHER INDICATED BY BLANKS, BRACKETS OR OTHERWISE, MUST BE COMPLETED AT THE TIME OF DRAWING. [Please Provide The Required Forms For Review, And Attach As Schedules To The Letter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SIGNATURES MUST BE MANUALLY EXECUTED IN ORIGINALS.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574" w:name="page575"/>
    <w:bookmarkEnd w:id="5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BANKING CHARGES ARE FOR THE APPLICANT’S ACCOUNT.</w:t>
      </w:r>
    </w:p>
    <w:p>
      <w:pPr>
        <w:spacing w:after="0" w:line="225"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IT IS A CONDITION OF THIS STANDBY LETTER OF CREDIT THAT IT SHALL BE DEEMED AUTOMATICALLY EXTENDED WITHOUT AMENDMENT FOR A PERIOD OF ONE YEAR FROM THE PRESENT OR ANY FUTURE EXPIRATION DATE, UNLESS AT LEAST SIXTY</w:t>
      </w:r>
    </w:p>
    <w:p>
      <w:pPr>
        <w:ind w:right="60" w:firstLine="8"/>
        <w:spacing w:after="0" w:line="265" w:lineRule="auto"/>
        <w:tabs>
          <w:tab w:leader="none" w:pos="345" w:val="left"/>
        </w:tabs>
        <w:numPr>
          <w:ilvl w:val="0"/>
          <w:numId w:val="484"/>
        </w:numPr>
        <w:rPr>
          <w:rFonts w:ascii="Arial" w:cs="Arial" w:eastAsia="Arial" w:hAnsi="Arial"/>
          <w:sz w:val="17"/>
          <w:szCs w:val="17"/>
          <w:color w:val="auto"/>
        </w:rPr>
      </w:pPr>
      <w:r>
        <w:rPr>
          <w:rFonts w:ascii="Arial" w:cs="Arial" w:eastAsia="Arial" w:hAnsi="Arial"/>
          <w:sz w:val="17"/>
          <w:szCs w:val="17"/>
          <w:color w:val="auto"/>
        </w:rPr>
        <w:t>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 ATED OFFICE. IN NO EVENT, AND WITHOUT FURTHER NOTICE FROM OURSELVES, SHALL THE EXPIRATION DATE BE EXTENDED BEYOND A</w:t>
      </w:r>
    </w:p>
    <w:p>
      <w:pPr>
        <w:spacing w:after="0" w:line="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color w:val="auto"/>
        </w:rPr>
        <w:t>FINAL EXPIRATION DATE OF</w:t>
      </w:r>
      <w:r>
        <w:rPr>
          <w:sz w:val="20"/>
          <w:szCs w:val="20"/>
          <w:color w:val="auto"/>
        </w:rPr>
        <w:tab/>
      </w:r>
      <w:r>
        <w:rPr>
          <w:rFonts w:ascii="Arial" w:cs="Arial" w:eastAsia="Arial" w:hAnsi="Arial"/>
          <w:sz w:val="16"/>
          <w:szCs w:val="16"/>
          <w:color w:val="auto"/>
        </w:rPr>
        <w:t>(120 days from the Lease Expiration Date).</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LETTER OF CREDIT MAY BE TRANSFERRED SUCCESSIVELY IN WHOLE (BUT NOT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BY APPLICANT. IN CASE OF ANY TRANSFER UNDER THIS LETTER OF CREDIT, THE DRAFT AND ANY REQUIRED STATEMENT MUST BE EXECUTED BY THE TRANSFEREE AND WHERE THE BENEFICIARY’S NAME APPEARS WITHIN THIS STANDBY LETTER OF CREDIT, THE TRANSFEREE’S NAME IS AUTO MATICALLY SUBSTITUTED THEREFOR.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ALL DRAFTS REQUIRED UNDER THIS STANDBY LETTER OF CREDIT MUST BE MARKED: “DRAWN UNDER [Insert Bank Name] STANDBY</w:t>
      </w:r>
    </w:p>
    <w:p>
      <w:pPr>
        <w:spacing w:after="0" w:line="35"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LETTER OF CREDIT NO.</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HEREBY AGREE WITH YOU THAT IF DRAFTS ARE PRESENTED TO [Insert Bank Name] UNDER THIS LETTER OF CREDIT AT OR PRIOR TO [Insert Time—(</w:t>
      </w:r>
      <w:r>
        <w:rPr>
          <w:rFonts w:ascii="Arial" w:cs="Arial" w:eastAsia="Arial" w:hAnsi="Arial"/>
          <w:sz w:val="18"/>
          <w:szCs w:val="18"/>
          <w:i w:val="1"/>
          <w:iCs w:val="1"/>
          <w:color w:val="auto"/>
        </w:rPr>
        <w:t>e.g</w:t>
      </w:r>
      <w:r>
        <w:rPr>
          <w:rFonts w:ascii="Arial" w:cs="Arial" w:eastAsia="Arial" w:hAnsi="Arial"/>
          <w:sz w:val="18"/>
          <w:szCs w:val="18"/>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w:t>
      </w:r>
      <w:r>
        <w:rPr>
          <w:rFonts w:ascii="Arial" w:cs="Arial" w:eastAsia="Arial" w:hAnsi="Arial"/>
          <w:sz w:val="18"/>
          <w:szCs w:val="18"/>
          <w:i w:val="1"/>
          <w:iCs w:val="1"/>
          <w:color w:val="auto"/>
        </w:rPr>
        <w:t>e.g</w:t>
      </w:r>
      <w:r>
        <w:rPr>
          <w:rFonts w:ascii="Arial" w:cs="Arial" w:eastAsia="Arial" w:hAnsi="Arial"/>
          <w:sz w:val="18"/>
          <w:szCs w:val="18"/>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3" w:right="239" w:bottom="1440" w:gutter="0" w:footer="0" w:header="0"/>
        </w:sectPr>
      </w:pPr>
    </w:p>
    <w:bookmarkStart w:id="575" w:name="page576"/>
    <w:bookmarkEnd w:id="57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EXPIRATION DATE FOR THIS LETTER OF CREDIT SHALL EVER FALL ON A DAY WHICH IS NOT A BUSINESS DAY THEN SUCH EXPIRATION DATE SHALL AUTOMATICALLY BE EXTENDED TO THE DATE WHICH IS THE NEXT BUSINESS DAY.</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w:t>
      </w:r>
    </w:p>
    <w:p>
      <w:pPr>
        <w:ind w:right="300"/>
        <w:spacing w:after="0" w:line="250" w:lineRule="auto"/>
        <w:rPr>
          <w:sz w:val="20"/>
          <w:szCs w:val="20"/>
          <w:color w:val="auto"/>
        </w:rPr>
      </w:pPr>
      <w:r>
        <w:rPr>
          <w:rFonts w:ascii="Arial" w:cs="Arial" w:eastAsia="Arial" w:hAnsi="Arial"/>
          <w:sz w:val="18"/>
          <w:szCs w:val="18"/>
          <w:color w:val="auto"/>
        </w:rPr>
        <w:t>OF CREDIT TO OUR FACSIMILE NUMBER, [Insert Fax Number - ( ) - ], ATTENTION: [Insert Appropriate Recipient], WITH TELEPHONIC CONFIRMATION OF OUR RECEIPT OF SUCH FACSIMILE TRANSMISSION AT OUR TELEPHONE NUMBER [Insert Telephone Number - ( ) - ] OR TO SUCH OTHER FACSIMILE OR TELEPHONE NUMBERS, AS TO WHICH YOU HAVE RECEIVED</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9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WE HEREBY ENGAGE WITH YOU THAT ALL DOCUMENT( 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w:t>
      </w:r>
      <w:r>
        <w:rPr>
          <w:rFonts w:ascii="Arial" w:cs="Arial" w:eastAsia="Arial" w:hAnsi="Arial"/>
          <w:sz w:val="18"/>
          <w:szCs w:val="18"/>
          <w:u w:val="single" w:color="auto"/>
          <w:color w:val="auto"/>
        </w:rPr>
        <w:t>(Expiration Date) .</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87" w:lineRule="exact"/>
        <w:rPr>
          <w:sz w:val="20"/>
          <w:szCs w:val="20"/>
          <w:color w:val="auto"/>
        </w:rPr>
      </w:pPr>
    </w:p>
    <w:p>
      <w:pPr>
        <w:ind w:right="1380"/>
        <w:spacing w:after="0" w:line="308"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Issuing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74" w:right="299" w:bottom="1440" w:gutter="0" w:footer="0" w:header="0"/>
        </w:sectPr>
      </w:pPr>
    </w:p>
    <w:bookmarkStart w:id="576" w:name="page577"/>
    <w:bookmarkEnd w:id="5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MARKET RENT DETERMINATION FACTORS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When determining Market Rent, the following rules and instructions shall be followed.</w:t>
      </w:r>
    </w:p>
    <w:p>
      <w:pPr>
        <w:spacing w:after="0" w:line="113" w:lineRule="exact"/>
        <w:rPr>
          <w:sz w:val="20"/>
          <w:szCs w:val="20"/>
          <w:color w:val="auto"/>
        </w:rPr>
      </w:pPr>
    </w:p>
    <w:p>
      <w:pPr>
        <w:ind w:left="-40" w:firstLine="464"/>
        <w:spacing w:after="0" w:line="285" w:lineRule="auto"/>
        <w:tabs>
          <w:tab w:leader="none" w:pos="596"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RELEVANT FACTORS</w:t>
      </w:r>
      <w:r>
        <w:rPr>
          <w:rFonts w:ascii="Arial" w:cs="Arial" w:eastAsia="Arial" w:hAnsi="Arial"/>
          <w:sz w:val="16"/>
          <w:szCs w:val="16"/>
          <w:color w:val="auto"/>
        </w:rPr>
        <w:t>. The “</w:t>
      </w:r>
      <w:r>
        <w:rPr>
          <w:rFonts w:ascii="Arial" w:cs="Arial" w:eastAsia="Arial" w:hAnsi="Arial"/>
          <w:sz w:val="16"/>
          <w:szCs w:val="16"/>
          <w:b w:val="1"/>
          <w:bCs w:val="1"/>
          <w:color w:val="auto"/>
        </w:rPr>
        <w:t>Comparable Transactions</w:t>
      </w:r>
      <w:r>
        <w:rPr>
          <w:rFonts w:ascii="Arial" w:cs="Arial" w:eastAsia="Arial" w:hAnsi="Arial"/>
          <w:sz w:val="16"/>
          <w:szCs w:val="16"/>
          <w:color w:val="auto"/>
        </w:rPr>
        <w:t>” shall be the “Net Equivalent Lease Rates” per rentable square foot, at which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are, pursuant to transactions consummated within twelve (12) months prior to the commencement of the Option Term, leasing non-sublease, non-encumbered space comparable in location and quality to the Premises containing a square footage comparable to that of the Premises for a term of five (5) years, in an arm’s-length transaction, which comparable space is located in “Comparable Buildings.” The terms of the Comparable Transactions shall be calculated as a “Net Equivalent Lease Rate” pursuant to the terms of this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and shall take into consideration only the following terms and concessions: (i) the rental rate and escalations for the Comparable Transactions, the amount of parking rent per parking permit paid in the Comparable Transactions, if any, operating expense and tax protection granted in such Comparable Transactions such as a base year or expense stop (although for each such Comparable Transaction the base rent shall be adjusted to a triple net base rent using reasonable estimates of operating expenses and taxes as determined by Landlord for each such Comparable Transaction); (iv) rental abatement concessions, if any, being granted such tenants in connection with such comparable space, (v) any “Renewal Allowance,” as defined herein below, to be provided by Tenant in connection with the Option Term as compared to the improvements or allowances provided or to be provided in the Comparable Transactions, taking into account the contributory value of the existing improvements in the Premises, such value to be based upon the age, design, quality of finishes, and layout of the existing improvements, and (vi) all other monetary concessions (including the value of any signage), if any, being granted such tenants in connection with such Comparable Transactions. Notwithstanding any contrary provision hereof, in determining the Market Rent, no consideration shall be given to any period of rental abatement, if any, granted to tenants in Comparable Transactions in connection with the design, permitting and construction of improvements, or any commission paid or not paid in connection with such Comparable Transaction. The Market Rent shall include adjustment of the stated size of the Premises based upon the standards of measurement utilized in the Comparable Transactions. The Market Rent shall additionally be subject to appropriate adjustments (if any) to account for differences in the then-existing financial condition of the Tenant vis-a-vis the subject tenants under the Comparable Transactions and taking into account any applicable credit enhancements (e.g., security deposits, letters of credit, guaranties, etc.).</w:t>
      </w:r>
    </w:p>
    <w:p>
      <w:pPr>
        <w:spacing w:after="0" w:line="62" w:lineRule="exact"/>
        <w:rPr>
          <w:rFonts w:ascii="Arial" w:cs="Arial" w:eastAsia="Arial" w:hAnsi="Arial"/>
          <w:sz w:val="16"/>
          <w:szCs w:val="16"/>
          <w:color w:val="auto"/>
        </w:rPr>
      </w:pPr>
    </w:p>
    <w:p>
      <w:pPr>
        <w:ind w:left="-40" w:right="20" w:firstLine="464"/>
        <w:spacing w:after="0" w:line="258" w:lineRule="auto"/>
        <w:tabs>
          <w:tab w:leader="none" w:pos="596" w:val="left"/>
        </w:tabs>
        <w:numPr>
          <w:ilvl w:val="0"/>
          <w:numId w:val="485"/>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SECURITY</w:t>
      </w:r>
      <w:r>
        <w:rPr>
          <w:rFonts w:ascii="Arial" w:cs="Arial" w:eastAsia="Arial" w:hAnsi="Arial"/>
          <w:sz w:val="18"/>
          <w:szCs w:val="18"/>
          <w:color w:val="auto"/>
        </w:rPr>
        <w:t>. The Market Rent shall additionally include a determination as to whether, and if so to what extent, Tenant must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with financial security, such as an enhanced security deposit, a letter of credit or guaranty, for Tenant’s Rent obligations during the Option Term; provided, however, Tenant shall only be obligated to provide additional financial security to the extent Tenant’s then-existing financial condition is materially worse than those existing as of the date of this Lease. Such determination shall be made by reviewing the extent of financial security then generally being imposed in</w:t>
      </w:r>
    </w:p>
    <w:p>
      <w:pPr>
        <w:spacing w:after="0" w:line="120" w:lineRule="exact"/>
        <w:rPr>
          <w:rFonts w:ascii="Arial" w:cs="Arial" w:eastAsia="Arial" w:hAnsi="Arial"/>
          <w:sz w:val="18"/>
          <w:szCs w:val="18"/>
          <w:color w:val="auto"/>
        </w:rPr>
      </w:pPr>
    </w:p>
    <w:p>
      <w:pPr>
        <w:ind w:left="5620" w:hanging="96"/>
        <w:spacing w:after="0"/>
        <w:tabs>
          <w:tab w:leader="none" w:pos="56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40"/>
          </w:cols>
          <w:pgMar w:left="280" w:top="269" w:right="279" w:bottom="1440" w:gutter="0" w:footer="0" w:header="0"/>
        </w:sectPr>
      </w:pPr>
    </w:p>
    <w:bookmarkStart w:id="577" w:name="page578"/>
    <w:bookmarkEnd w:id="577"/>
    <w:p>
      <w:pPr>
        <w:ind w:right="5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 and giving reasonable consideration to Tenant’s prior performance history during the Lease Term).</w:t>
      </w:r>
    </w:p>
    <w:p>
      <w:pPr>
        <w:spacing w:after="0" w:line="69" w:lineRule="exact"/>
        <w:rPr>
          <w:sz w:val="20"/>
          <w:szCs w:val="20"/>
          <w:color w:val="auto"/>
        </w:rPr>
      </w:pPr>
    </w:p>
    <w:p>
      <w:pPr>
        <w:ind w:right="20" w:firstLine="464"/>
        <w:spacing w:after="0" w:line="271" w:lineRule="auto"/>
        <w:tabs>
          <w:tab w:leader="none" w:pos="636" w:val="left"/>
        </w:tabs>
        <w:numPr>
          <w:ilvl w:val="0"/>
          <w:numId w:val="486"/>
        </w:numPr>
        <w:rPr>
          <w:rFonts w:ascii="Arial" w:cs="Arial" w:eastAsia="Arial" w:hAnsi="Arial"/>
          <w:sz w:val="17"/>
          <w:szCs w:val="17"/>
          <w:color w:val="auto"/>
        </w:rPr>
      </w:pPr>
      <w:r>
        <w:rPr>
          <w:rFonts w:ascii="Arial" w:cs="Arial" w:eastAsia="Arial" w:hAnsi="Arial"/>
          <w:sz w:val="17"/>
          <w:szCs w:val="17"/>
          <w:b w:val="1"/>
          <w:bCs w:val="1"/>
          <w:u w:val="single" w:color="auto"/>
          <w:color w:val="auto"/>
        </w:rPr>
        <w:t>RENEWAL IMPROVEMENT ALLOWANCE</w:t>
      </w:r>
      <w:r>
        <w:rPr>
          <w:rFonts w:ascii="Arial" w:cs="Arial" w:eastAsia="Arial" w:hAnsi="Arial"/>
          <w:sz w:val="17"/>
          <w:szCs w:val="17"/>
          <w:color w:val="auto"/>
        </w:rPr>
        <w:t>. Notwithstanding anything to the contrary set forth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once the Market Rent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Term is determined as a Net Equivalent Lease Rate, if, in connection with such determination, it is deemed that Tenant is entitled to an improvement or comparable allowance for the improvement of the Premises, (the total dollar value of such allowance shall be referred to herein as the “</w:t>
      </w:r>
      <w:r>
        <w:rPr>
          <w:rFonts w:ascii="Arial" w:cs="Arial" w:eastAsia="Arial" w:hAnsi="Arial"/>
          <w:sz w:val="17"/>
          <w:szCs w:val="17"/>
          <w:b w:val="1"/>
          <w:bCs w:val="1"/>
          <w:color w:val="auto"/>
        </w:rPr>
        <w:t>Renewal</w:t>
      </w:r>
      <w:r>
        <w:rPr>
          <w:rFonts w:ascii="Arial" w:cs="Arial" w:eastAsia="Arial" w:hAnsi="Arial"/>
          <w:sz w:val="17"/>
          <w:szCs w:val="17"/>
          <w:color w:val="auto"/>
        </w:rPr>
        <w:t xml:space="preserve"> </w:t>
      </w:r>
      <w:r>
        <w:rPr>
          <w:rFonts w:ascii="Arial" w:cs="Arial" w:eastAsia="Arial" w:hAnsi="Arial"/>
          <w:sz w:val="17"/>
          <w:szCs w:val="17"/>
          <w:b w:val="1"/>
          <w:bCs w:val="1"/>
          <w:color w:val="auto"/>
        </w:rPr>
        <w:t>Allowance</w:t>
      </w:r>
      <w:r>
        <w:rPr>
          <w:rFonts w:ascii="Arial" w:cs="Arial" w:eastAsia="Arial" w:hAnsi="Arial"/>
          <w:sz w:val="17"/>
          <w:szCs w:val="17"/>
          <w:color w:val="auto"/>
        </w:rPr>
        <w:t>”), Landlord shall pay the Renewal Allowance to Tenant pursuant to a commercially reasonable disbursement procedure determined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terms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Lease and the rental rate component of the Market Rent shall be increased to be a rental rate which takes into consideration that Tenant will receive payment of such Renewal Allowance and, accordingly, such payment (with interest at a then-applicable, commercially reasonable amortization rate) shall be factored into the base rent component of the Market Rent. Notwithstanding any provision to the contrary, in no event shall Tenant be obligated to accept a Renewal Allowance once the Market Rent has been determined, and in the event Tenant elects not to accept such a Renewal Allowance, the Market Rent shall be adjusted accordingly to take account of such non-election.</w:t>
      </w:r>
    </w:p>
    <w:p>
      <w:pPr>
        <w:spacing w:after="0" w:line="66" w:lineRule="exact"/>
        <w:rPr>
          <w:rFonts w:ascii="Arial" w:cs="Arial" w:eastAsia="Arial" w:hAnsi="Arial"/>
          <w:sz w:val="17"/>
          <w:szCs w:val="17"/>
          <w:color w:val="auto"/>
        </w:rPr>
      </w:pPr>
    </w:p>
    <w:p>
      <w:pPr>
        <w:ind w:firstLine="464"/>
        <w:spacing w:after="0" w:line="292" w:lineRule="auto"/>
        <w:tabs>
          <w:tab w:leader="none" w:pos="636" w:val="left"/>
        </w:tabs>
        <w:numPr>
          <w:ilvl w:val="0"/>
          <w:numId w:val="486"/>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COMPARABLE BUILDINGS</w:t>
      </w:r>
      <w:r>
        <w:rPr>
          <w:rFonts w:ascii="Arial" w:cs="Arial" w:eastAsia="Arial" w:hAnsi="Arial"/>
          <w:sz w:val="16"/>
          <w:szCs w:val="16"/>
          <w:color w:val="auto"/>
        </w:rPr>
        <w:t>. For purposes of this Lease, the term “</w:t>
      </w:r>
      <w:r>
        <w:rPr>
          <w:rFonts w:ascii="Arial" w:cs="Arial" w:eastAsia="Arial" w:hAnsi="Arial"/>
          <w:sz w:val="16"/>
          <w:szCs w:val="16"/>
          <w:b w:val="1"/>
          <w:bCs w:val="1"/>
          <w:color w:val="auto"/>
        </w:rPr>
        <w:t>Comparable Buildings</w:t>
      </w:r>
      <w:r>
        <w:rPr>
          <w:rFonts w:ascii="Arial" w:cs="Arial" w:eastAsia="Arial" w:hAnsi="Arial"/>
          <w:sz w:val="16"/>
          <w:szCs w:val="16"/>
          <w:color w:val="auto"/>
        </w:rPr>
        <w:t>” shall mean first-class multi-tenant occupancy</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development buildings (based on the approximate percentage of lab to office buildout) which are comparable to the Building in terms of age (based upon the date of completion of construction or major renovation), quality of construction, level of services and amenities (including, but not limited to, the type (e.g., surface, covered, subterranean) and amount of parking), size and appearance, and are located in the “Comparable Area,” which is the “Sorrento Mesa, University Towne Center, Torrey Pines and Del Mar/Carmel Valley Area.” The “</w:t>
      </w:r>
      <w:r>
        <w:rPr>
          <w:rFonts w:ascii="Arial" w:cs="Arial" w:eastAsia="Arial" w:hAnsi="Arial"/>
          <w:sz w:val="16"/>
          <w:szCs w:val="16"/>
          <w:b w:val="1"/>
          <w:bCs w:val="1"/>
          <w:color w:val="auto"/>
        </w:rPr>
        <w:t>Sorrento Mesa, University Towne Center, Torrey Pines and Del</w:t>
      </w:r>
      <w:r>
        <w:rPr>
          <w:rFonts w:ascii="Arial" w:cs="Arial" w:eastAsia="Arial" w:hAnsi="Arial"/>
          <w:sz w:val="16"/>
          <w:szCs w:val="16"/>
          <w:color w:val="auto"/>
        </w:rPr>
        <w:t xml:space="preserve"> </w:t>
      </w:r>
      <w:r>
        <w:rPr>
          <w:rFonts w:ascii="Arial" w:cs="Arial" w:eastAsia="Arial" w:hAnsi="Arial"/>
          <w:sz w:val="16"/>
          <w:szCs w:val="16"/>
          <w:b w:val="1"/>
          <w:bCs w:val="1"/>
          <w:color w:val="auto"/>
        </w:rPr>
        <w:t>Mar/Carmel Valley Area</w:t>
      </w:r>
      <w:r>
        <w:rPr>
          <w:rFonts w:ascii="Arial" w:cs="Arial" w:eastAsia="Arial" w:hAnsi="Arial"/>
          <w:sz w:val="16"/>
          <w:szCs w:val="16"/>
          <w:color w:val="auto"/>
        </w:rPr>
        <w:t>” shall be the area containing Comparable Buildings which have reasonably comparable freeway access to the Project and which</w:t>
      </w:r>
      <w:r>
        <w:rPr>
          <w:rFonts w:ascii="Arial" w:cs="Arial" w:eastAsia="Arial" w:hAnsi="Arial"/>
          <w:sz w:val="16"/>
          <w:szCs w:val="16"/>
          <w:b w:val="1"/>
          <w:bCs w:val="1"/>
          <w:color w:val="auto"/>
        </w:rPr>
        <w:t xml:space="preserve"> </w:t>
      </w:r>
      <w:r>
        <w:rPr>
          <w:rFonts w:ascii="Arial" w:cs="Arial" w:eastAsia="Arial" w:hAnsi="Arial"/>
          <w:sz w:val="16"/>
          <w:szCs w:val="16"/>
          <w:color w:val="auto"/>
        </w:rPr>
        <w:t>are within an area bounded by SR-52 on the South side, SR-56 on the North side, I-15 on the East side, and the Pacific Ocean on the West side.</w:t>
      </w:r>
    </w:p>
    <w:p>
      <w:pPr>
        <w:spacing w:after="0" w:line="98" w:lineRule="exact"/>
        <w:rPr>
          <w:rFonts w:ascii="Arial" w:cs="Arial" w:eastAsia="Arial" w:hAnsi="Arial"/>
          <w:sz w:val="16"/>
          <w:szCs w:val="16"/>
          <w:color w:val="auto"/>
        </w:rPr>
      </w:pPr>
    </w:p>
    <w:p>
      <w:pPr>
        <w:ind w:left="5660" w:hanging="96"/>
        <w:spacing w:after="0"/>
        <w:tabs>
          <w:tab w:leader="none" w:pos="566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74" w:right="259" w:bottom="1440" w:gutter="0" w:footer="0" w:header="0"/>
        </w:sectPr>
      </w:pPr>
    </w:p>
    <w:bookmarkStart w:id="578" w:name="page579"/>
    <w:bookmarkEnd w:id="578"/>
    <w:p>
      <w:pPr>
        <w:ind w:left="10200"/>
        <w:spacing w:after="0"/>
        <w:rPr>
          <w:sz w:val="20"/>
          <w:szCs w:val="20"/>
          <w:color w:val="auto"/>
        </w:rPr>
      </w:pPr>
      <w:r>
        <w:rPr>
          <w:rFonts w:ascii="Arial" w:cs="Arial" w:eastAsia="Arial" w:hAnsi="Arial"/>
          <w:sz w:val="18"/>
          <w:szCs w:val="18"/>
          <w:b w:val="1"/>
          <w:bCs w:val="1"/>
          <w:color w:val="auto"/>
        </w:rPr>
        <w:t>EXHIBIT 10.10</w:t>
      </w:r>
    </w:p>
    <w:p>
      <w:pPr>
        <w:spacing w:after="0" w:line="25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  Certain confidential information contained in this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 1933,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ANTIBODY GENERATION AGREEMENT</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ANTIBODY GENERATION AGREEMENT is entered into and effective as of December 2011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ANAPTYSBIO,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having its principal place of business at 10421 Pacific Center Court, Suite 200, San Diego,</w:t>
      </w:r>
      <w:r>
        <w:rPr>
          <w:rFonts w:ascii="Arial" w:cs="Arial" w:eastAsia="Arial" w:hAnsi="Arial"/>
          <w:sz w:val="18"/>
          <w:szCs w:val="18"/>
          <w:b w:val="1"/>
          <w:bCs w:val="1"/>
          <w:color w:val="auto"/>
        </w:rPr>
        <w:t xml:space="preserve"> </w:t>
      </w:r>
      <w:r>
        <w:rPr>
          <w:rFonts w:ascii="Arial" w:cs="Arial" w:eastAsia="Arial" w:hAnsi="Arial"/>
          <w:sz w:val="18"/>
          <w:szCs w:val="18"/>
          <w:color w:val="auto"/>
        </w:rPr>
        <w:t>CA 92121, and CELGENE CORPORATION, a Delaware corporation (together with its subsidiaries and affiliates hereinafter collectively referred to as “</w:t>
      </w:r>
      <w:r>
        <w:rPr>
          <w:rFonts w:ascii="Arial" w:cs="Arial" w:eastAsia="Arial" w:hAnsi="Arial"/>
          <w:sz w:val="18"/>
          <w:szCs w:val="18"/>
          <w:b w:val="1"/>
          <w:bCs w:val="1"/>
          <w:i w:val="1"/>
          <w:iCs w:val="1"/>
          <w:color w:val="auto"/>
        </w:rPr>
        <w:t>Client</w:t>
      </w:r>
      <w:r>
        <w:rPr>
          <w:rFonts w:ascii="Arial" w:cs="Arial" w:eastAsia="Arial" w:hAnsi="Arial"/>
          <w:sz w:val="18"/>
          <w:szCs w:val="18"/>
          <w:color w:val="auto"/>
        </w:rPr>
        <w:t>”), having its principal place of business at 86 Morris Avenue, Summit, NJ 07901.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AnaptysBio possesses proprietary technology useful for the discovery, modification, optimization and humanization of antibodies; and</w:t>
      </w:r>
    </w:p>
    <w:p>
      <w:pPr>
        <w:spacing w:after="0" w:line="237"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Client wishes to have AnaptysBio apply such technology to one or more biological targets and/or antibodies selected by Client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generating antibodies for use in the development of human therapeutic agents.</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premises and the mutual covenants contained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intending to be legally bound, agree as follows:</w:t>
      </w:r>
    </w:p>
    <w:p>
      <w:pPr>
        <w:spacing w:after="0" w:line="189" w:lineRule="exact"/>
        <w:rPr>
          <w:sz w:val="20"/>
          <w:szCs w:val="20"/>
          <w:color w:val="auto"/>
        </w:rPr>
      </w:pPr>
    </w:p>
    <w:p>
      <w:pPr>
        <w:ind w:left="460" w:hanging="452"/>
        <w:spacing w:after="0"/>
        <w:tabs>
          <w:tab w:leader="none" w:pos="4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shall mean (a) GAAP (United States Generally Accepted Accounting Principles); or (b) IFRS (International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Standards), in either case, consistently applied.</w:t>
      </w:r>
    </w:p>
    <w:p>
      <w:pPr>
        <w:spacing w:after="0" w:line="1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any entity that, directly or indirectly through one or more intermediaries, is controlled by, controlling,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a party hereto, for so long as such control exists, and shall include any entity more than 50% of whose voting stock or participating profit interest is owned or controlled, directly or indirectly, by a party, and any entity which owns or controls, directly or indirectly, more than 50% (or such lesser percentage that is the maximum allowed to be owned by a foreign entity in a particular jurisdiction) of the voting stock of a party. As used in this Section 1.1, “control” means to possess, directly or indirectly, the power to direct the management and policies of an entity, whether through ownership of voting securities or by contract relating to voting rights or corporate governance.</w:t>
      </w:r>
    </w:p>
    <w:p>
      <w:pPr>
        <w:spacing w:after="0" w:line="188"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AnaptysBio Platform</w:t>
      </w:r>
      <w:r>
        <w:rPr>
          <w:rFonts w:ascii="Arial" w:cs="Arial" w:eastAsia="Arial" w:hAnsi="Arial"/>
          <w:sz w:val="18"/>
          <w:szCs w:val="18"/>
          <w:color w:val="auto"/>
        </w:rPr>
        <w:t>’’ shall mean AnaptysBio’s proprietary technology that is generally applicable to the discovery, modification, optimization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and/or humanization of antibodies and/or other proteins, and/or nucleic acids relating thereto (including, without</w:t>
      </w:r>
    </w:p>
    <w:p>
      <w:pPr>
        <w:sectPr>
          <w:pgSz w:w="11900" w:h="16838" w:orient="portrait"/>
          <w:cols w:equalWidth="0" w:num="1">
            <w:col w:w="11420"/>
          </w:cols>
          <w:pgMar w:left="240" w:top="120" w:right="239" w:bottom="1440" w:gutter="0" w:footer="0" w:header="0"/>
        </w:sectPr>
      </w:pPr>
    </w:p>
    <w:bookmarkStart w:id="579" w:name="page580"/>
    <w:bookmarkEnd w:id="579"/>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the expression, manufacture and formulation of any of the foregoing), such as, but not limited to, software, nucleic acids, vectors, cell lines, libraries, screening systems, reagents, methods, databases and instrumentation that, in each case, is Controlled by AnaptysBio on or after the Effective Date. The AnaptysBio Platform shall exclude Client Technology.</w:t>
      </w:r>
    </w:p>
    <w:p>
      <w:pPr>
        <w:spacing w:after="0" w:line="17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AnaptysBio Technology</w:t>
      </w:r>
      <w:r>
        <w:rPr>
          <w:rFonts w:ascii="Arial" w:cs="Arial" w:eastAsia="Arial" w:hAnsi="Arial"/>
          <w:sz w:val="17"/>
          <w:szCs w:val="17"/>
          <w:color w:val="auto"/>
        </w:rPr>
        <w:t>” shall mean: (a) to the extent Controlled by AnaptysBio on the Effective Date or during the Research Period, all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relating to the AnaptysBio Platform; and (b) all patent and other intellectual property rights in any of the foregoing. Without limiting the generality of the foregoing, AnaptysBio Technology shall include any such Information generated, discovered or developed in whole or in part by employees or agents of AnaptysBio in performing any Project, or otherwise generated, discovered or developed in whole or in part by employees or agents of AnaptysBio during the term of this Agreement; in each case, to the extent any of the foregoing: (i) relate or apply to the AnaptysBio Platform, improvements to the AnaptysBio Platform, or the use of the AnaptysBio Platform or any such AnaptysBio Platform improvements; or (ii) are generally applicable to the discovery, modification, optimization or humanization of proteins and nucleic acids (including, without limitation, the expression and manufacture thereof). AnaptysBio Technology shall exclude Client Technology.</w:t>
      </w:r>
    </w:p>
    <w:p>
      <w:pPr>
        <w:spacing w:after="0" w:line="17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Antibody</w:t>
      </w:r>
      <w:r>
        <w:rPr>
          <w:rFonts w:ascii="Arial" w:cs="Arial" w:eastAsia="Arial" w:hAnsi="Arial"/>
          <w:sz w:val="18"/>
          <w:szCs w:val="18"/>
          <w:color w:val="auto"/>
        </w:rPr>
        <w:t>” shall mean any immunoglobulin molecule, or fragment thereof, whether in monospecific or other form, and shall include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immunoglobulin fragment (such as Fv, Fab, F(ab’)2) containing one or more complementarity determining regions (CDRs) or framework regions (FRs)), any fusion protein comprising an immunoglobulin molecule or immunoglobulin molecule fragment and any single chain antibody (such as scFv), any truncation of any of the foregoing, or any derivative or modification of any of the foregoing.</w:t>
      </w:r>
    </w:p>
    <w:p>
      <w:pPr>
        <w:spacing w:after="0" w:line="1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shall mean a biologics license application, as defined in the United States Federal Food, Drug and Cosmetic Act of 1938, as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and all rules, regulations and guidance promulgated thereunder, or any successor application thereto, or any foreign equivalent application, registration, certification or approval that is required prior to the marketing, distribution, sale and/or other commercial exploitation of a biological product for human use in a regulatory jurisdiction.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Client Antibody</w:t>
      </w:r>
      <w:r>
        <w:rPr>
          <w:rFonts w:ascii="Arial" w:cs="Arial" w:eastAsia="Arial" w:hAnsi="Arial"/>
          <w:sz w:val="17"/>
          <w:szCs w:val="17"/>
          <w:color w:val="auto"/>
        </w:rPr>
        <w:t>” shall mean, with respect to a particular Project, the starting Antibody (if any) identified in the applicable Research Plan.</w:t>
      </w:r>
    </w:p>
    <w:p>
      <w:pPr>
        <w:spacing w:after="0" w:line="23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Client Assay</w:t>
      </w:r>
      <w:r>
        <w:rPr>
          <w:rFonts w:ascii="Arial" w:cs="Arial" w:eastAsia="Arial" w:hAnsi="Arial"/>
          <w:sz w:val="18"/>
          <w:szCs w:val="18"/>
          <w:color w:val="auto"/>
        </w:rPr>
        <w:t>” shall mean, with respect to a particular Project, any assay identified in the applicable Research Plan that is to be transferred by</w:t>
      </w:r>
      <w:r>
        <w:rPr>
          <w:rFonts w:ascii="Arial" w:cs="Arial" w:eastAsia="Arial" w:hAnsi="Arial"/>
          <w:sz w:val="18"/>
          <w:szCs w:val="18"/>
          <w:b w:val="1"/>
          <w:bCs w:val="1"/>
          <w:color w:val="auto"/>
        </w:rPr>
        <w:t xml:space="preserve"> </w:t>
      </w:r>
      <w:r>
        <w:rPr>
          <w:rFonts w:ascii="Arial" w:cs="Arial" w:eastAsia="Arial" w:hAnsi="Arial"/>
          <w:sz w:val="18"/>
          <w:szCs w:val="18"/>
          <w:color w:val="auto"/>
        </w:rPr>
        <w:t>Client to AnaptysBio (if any).</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Client Information</w:t>
      </w:r>
      <w:r>
        <w:rPr>
          <w:rFonts w:ascii="Arial" w:cs="Arial" w:eastAsia="Arial" w:hAnsi="Arial"/>
          <w:sz w:val="18"/>
          <w:szCs w:val="18"/>
          <w:color w:val="auto"/>
        </w:rPr>
        <w:t>” shall mean, with respect to a particular Project: (a) the Information (other than chemical or biological materials)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Research Plan that is to be provided by Client to AnaptysBio in connection with such Project, and (b) any additional Information disclosed by Client to AnaptysBio in connection with Client’s transfer to AnaptysBio of the Client Materials for such Project.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80" w:name="page581"/>
    <w:bookmarkEnd w:id="580"/>
    <w:p>
      <w:pPr>
        <w:ind w:right="1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 </w:t>
      </w:r>
      <w:r>
        <w:rPr>
          <w:rFonts w:ascii="Arial" w:cs="Arial" w:eastAsia="Arial" w:hAnsi="Arial"/>
          <w:sz w:val="18"/>
          <w:szCs w:val="18"/>
          <w:color w:val="auto"/>
        </w:rPr>
        <w:t>“</w:t>
      </w:r>
      <w:r>
        <w:rPr>
          <w:rFonts w:ascii="Arial" w:cs="Arial" w:eastAsia="Arial" w:hAnsi="Arial"/>
          <w:sz w:val="18"/>
          <w:szCs w:val="18"/>
          <w:b w:val="1"/>
          <w:bCs w:val="1"/>
          <w:color w:val="auto"/>
        </w:rPr>
        <w:t>Client Materials</w:t>
      </w:r>
      <w:r>
        <w:rPr>
          <w:rFonts w:ascii="Arial" w:cs="Arial" w:eastAsia="Arial" w:hAnsi="Arial"/>
          <w:sz w:val="18"/>
          <w:szCs w:val="18"/>
          <w:color w:val="auto"/>
        </w:rPr>
        <w:t>” shall mean, with respect to a particular Project, collectively, the chemical or biological samples of Client Antibody and Client</w:t>
      </w:r>
      <w:r>
        <w:rPr>
          <w:rFonts w:ascii="Arial" w:cs="Arial" w:eastAsia="Arial" w:hAnsi="Arial"/>
          <w:sz w:val="18"/>
          <w:szCs w:val="18"/>
          <w:b w:val="1"/>
          <w:bCs w:val="1"/>
          <w:color w:val="auto"/>
        </w:rPr>
        <w:t xml:space="preserve"> </w:t>
      </w:r>
      <w:r>
        <w:rPr>
          <w:rFonts w:ascii="Arial" w:cs="Arial" w:eastAsia="Arial" w:hAnsi="Arial"/>
          <w:sz w:val="18"/>
          <w:szCs w:val="18"/>
          <w:color w:val="auto"/>
        </w:rPr>
        <w:t>Target to be provided, and the Client Assay(s) to be transferred, by Client to AnaptysBio for use in the performance of such Project, each as set forth in the applicable Research Plan.</w:t>
      </w:r>
    </w:p>
    <w:p>
      <w:pPr>
        <w:spacing w:after="0" w:line="176"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Client Results</w:t>
      </w:r>
      <w:r>
        <w:rPr>
          <w:rFonts w:ascii="Arial" w:cs="Arial" w:eastAsia="Arial" w:hAnsi="Arial"/>
          <w:sz w:val="18"/>
          <w:szCs w:val="18"/>
          <w:color w:val="auto"/>
        </w:rPr>
        <w:t>” shall mean, with respect to a particular Project, effective only upon and from such time as Client has made full and timely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Success Fee for such Project to AnaptysBio:</w:t>
      </w:r>
    </w:p>
    <w:p>
      <w:pPr>
        <w:spacing w:after="0" w:line="166" w:lineRule="exact"/>
        <w:rPr>
          <w:sz w:val="20"/>
          <w:szCs w:val="20"/>
          <w:color w:val="auto"/>
        </w:rPr>
      </w:pPr>
    </w:p>
    <w:p>
      <w:pPr>
        <w:ind w:right="640" w:firstLine="921"/>
        <w:spacing w:after="0" w:line="277" w:lineRule="auto"/>
        <w:tabs>
          <w:tab w:leader="none" w:pos="1168" w:val="left"/>
        </w:tabs>
        <w:numPr>
          <w:ilvl w:val="0"/>
          <w:numId w:val="488"/>
        </w:numPr>
        <w:rPr>
          <w:rFonts w:ascii="Arial" w:cs="Arial" w:eastAsia="Arial" w:hAnsi="Arial"/>
          <w:sz w:val="18"/>
          <w:szCs w:val="18"/>
          <w:b w:val="1"/>
          <w:bCs w:val="1"/>
          <w:color w:val="auto"/>
        </w:rPr>
      </w:pPr>
      <w:r>
        <w:rPr>
          <w:rFonts w:ascii="Arial" w:cs="Arial" w:eastAsia="Arial" w:hAnsi="Arial"/>
          <w:sz w:val="18"/>
          <w:szCs w:val="18"/>
          <w:color w:val="auto"/>
        </w:rPr>
        <w:t>any and all data and results generated, discovered or developed by or on behalf of Client as a result of performing the Evaluation (but excluding AnaptysBio Technology); and</w:t>
      </w:r>
    </w:p>
    <w:p>
      <w:pPr>
        <w:spacing w:after="0" w:line="170" w:lineRule="exact"/>
        <w:rPr>
          <w:rFonts w:ascii="Arial" w:cs="Arial" w:eastAsia="Arial" w:hAnsi="Arial"/>
          <w:sz w:val="18"/>
          <w:szCs w:val="18"/>
          <w:b w:val="1"/>
          <w:bCs w:val="1"/>
          <w:color w:val="auto"/>
        </w:rPr>
      </w:pPr>
    </w:p>
    <w:p>
      <w:pPr>
        <w:ind w:right="700" w:firstLine="921"/>
        <w:spacing w:after="0" w:line="277" w:lineRule="auto"/>
        <w:tabs>
          <w:tab w:leader="none" w:pos="1178" w:val="left"/>
        </w:tabs>
        <w:numPr>
          <w:ilvl w:val="0"/>
          <w:numId w:val="488"/>
        </w:numPr>
        <w:rPr>
          <w:rFonts w:ascii="Arial" w:cs="Arial" w:eastAsia="Arial" w:hAnsi="Arial"/>
          <w:sz w:val="18"/>
          <w:szCs w:val="18"/>
          <w:b w:val="1"/>
          <w:bCs w:val="1"/>
          <w:color w:val="auto"/>
        </w:rPr>
      </w:pPr>
      <w:r>
        <w:rPr>
          <w:rFonts w:ascii="Arial" w:cs="Arial" w:eastAsia="Arial" w:hAnsi="Arial"/>
          <w:sz w:val="18"/>
          <w:szCs w:val="18"/>
          <w:color w:val="auto"/>
        </w:rPr>
        <w:t>any and all data and results generated, discovered or developed by or on behalf of Client after payment of the Success Fee using any Delivered Antibody(ies) and/or Delivered Antibody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Client Target</w:t>
      </w:r>
      <w:r>
        <w:rPr>
          <w:rFonts w:ascii="Arial" w:cs="Arial" w:eastAsia="Arial" w:hAnsi="Arial"/>
          <w:sz w:val="18"/>
          <w:szCs w:val="18"/>
          <w:color w:val="auto"/>
        </w:rPr>
        <w:t>” shall mean, with respect to a particular Project, the biological target identified in the applicable Research Plan.</w:t>
      </w:r>
    </w:p>
    <w:p>
      <w:pPr>
        <w:spacing w:after="0" w:line="225"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Client Technology</w:t>
      </w:r>
      <w:r>
        <w:rPr>
          <w:rFonts w:ascii="Arial" w:cs="Arial" w:eastAsia="Arial" w:hAnsi="Arial"/>
          <w:sz w:val="18"/>
          <w:szCs w:val="18"/>
          <w:color w:val="auto"/>
        </w:rPr>
        <w:t>” shall mean: (a) Client Materials and Client Information; (b) if applicable, Client Results; and (c) all patent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rights in any of the foregoing.</w:t>
      </w:r>
    </w:p>
    <w:p>
      <w:pPr>
        <w:spacing w:after="0" w:line="16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all Information, tangible or intangible, whether in written, graphic, oral, visual or electronic form,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or made available by one party to the other party under this Agreement and is not subject to the exceptions set forth in Section 5.2. Confidential Information provided by a party to the other party in written, graphic or electronic form shall be marked “Confidential.” Confidential Information initially provided by a party to the other party orally or visually shall be summarized in a writing marked “Confidential” which shall be delivered to the other party within 30 days after the initial oral or visual disclosure.</w:t>
      </w:r>
    </w:p>
    <w:p>
      <w:pPr>
        <w:spacing w:after="0" w:line="184"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Controlled</w:t>
      </w:r>
      <w:r>
        <w:rPr>
          <w:rFonts w:ascii="Arial" w:cs="Arial" w:eastAsia="Arial" w:hAnsi="Arial"/>
          <w:sz w:val="18"/>
          <w:szCs w:val="18"/>
          <w:color w:val="auto"/>
        </w:rPr>
        <w:t>” shall mean, with respect to any Information or intellectual property rights, possession by a party of the ability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license or otherwise) to grant a license or a sublicense of or under such Information or intellectual property rights without violating the terms of any agreement or other arrangement with any Third Party.</w:t>
      </w:r>
    </w:p>
    <w:p>
      <w:pPr>
        <w:spacing w:after="0" w:line="176"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Delivered Antibody</w:t>
      </w:r>
      <w:r>
        <w:rPr>
          <w:rFonts w:ascii="Arial" w:cs="Arial" w:eastAsia="Arial" w:hAnsi="Arial"/>
          <w:sz w:val="18"/>
          <w:szCs w:val="18"/>
          <w:color w:val="auto"/>
        </w:rPr>
        <w:t>” shall mean, with respect to a particular Project, any Antibody resulting from AnaptysBio’s performance of such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delivered to Client pursuant to Section 2.3(a).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1.17 “Delivered Antibody Information</w:t>
      </w:r>
      <w:r>
        <w:rPr>
          <w:rFonts w:ascii="Arial" w:cs="Arial" w:eastAsia="Arial" w:hAnsi="Arial"/>
          <w:sz w:val="16"/>
          <w:szCs w:val="16"/>
          <w:color w:val="auto"/>
        </w:rPr>
        <w:t>” shall mean, with respect to a particular Project: [*], as more fully described in the applicable Research Plan.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Delivered Antibody Inventions</w:t>
      </w:r>
      <w:r>
        <w:rPr>
          <w:rFonts w:ascii="Arial" w:cs="Arial" w:eastAsia="Arial" w:hAnsi="Arial"/>
          <w:sz w:val="18"/>
          <w:szCs w:val="18"/>
          <w:color w:val="auto"/>
        </w:rPr>
        <w:t>” shall have the meaning provided in Section 4.4(a).</w:t>
      </w:r>
    </w:p>
    <w:p>
      <w:pPr>
        <w:spacing w:after="0" w:line="158"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581" w:name="page582"/>
    <w:bookmarkEnd w:id="581"/>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1.19 </w:t>
      </w:r>
      <w:r>
        <w:rPr>
          <w:rFonts w:ascii="Arial" w:cs="Arial" w:eastAsia="Arial" w:hAnsi="Arial"/>
          <w:sz w:val="17"/>
          <w:szCs w:val="17"/>
          <w:color w:val="auto"/>
        </w:rPr>
        <w:t>“</w:t>
      </w:r>
      <w:r>
        <w:rPr>
          <w:rFonts w:ascii="Arial" w:cs="Arial" w:eastAsia="Arial" w:hAnsi="Arial"/>
          <w:sz w:val="17"/>
          <w:szCs w:val="17"/>
          <w:b w:val="1"/>
          <w:bCs w:val="1"/>
          <w:color w:val="auto"/>
        </w:rPr>
        <w:t>Delivered Antibody Patents</w:t>
      </w:r>
      <w:r>
        <w:rPr>
          <w:rFonts w:ascii="Arial" w:cs="Arial" w:eastAsia="Arial" w:hAnsi="Arial"/>
          <w:sz w:val="17"/>
          <w:szCs w:val="17"/>
          <w:color w:val="auto"/>
        </w:rPr>
        <w:t>” shall mean all patents and patent applications claiming or disclosing any Delivered Antibody Invention(s).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Evaluation</w:t>
      </w:r>
      <w:r>
        <w:rPr>
          <w:rFonts w:ascii="Arial" w:cs="Arial" w:eastAsia="Arial" w:hAnsi="Arial"/>
          <w:sz w:val="18"/>
          <w:szCs w:val="18"/>
          <w:color w:val="auto"/>
        </w:rPr>
        <w:t>” shall have the meaning provided in Section 2.4(a).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Evaluation Period</w:t>
      </w:r>
      <w:r>
        <w:rPr>
          <w:rFonts w:ascii="Arial" w:cs="Arial" w:eastAsia="Arial" w:hAnsi="Arial"/>
          <w:sz w:val="18"/>
          <w:szCs w:val="18"/>
          <w:color w:val="auto"/>
        </w:rPr>
        <w:t>” shall have the meaning provided in Section 2.4(a).</w:t>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w:t>
      </w:r>
      <w:r>
        <w:rPr>
          <w:rFonts w:ascii="Arial" w:cs="Arial" w:eastAsia="Arial" w:hAnsi="Arial"/>
          <w:sz w:val="16"/>
          <w:szCs w:val="16"/>
          <w:b w:val="1"/>
          <w:bCs w:val="1"/>
          <w:color w:val="auto"/>
        </w:rPr>
        <w:t>Excluded Costs</w:t>
      </w:r>
      <w:r>
        <w:rPr>
          <w:rFonts w:ascii="Arial" w:cs="Arial" w:eastAsia="Arial" w:hAnsi="Arial"/>
          <w:sz w:val="16"/>
          <w:szCs w:val="16"/>
          <w:color w:val="auto"/>
        </w:rPr>
        <w:t>” shall mean, with respect to a particular Project: (a) the reasonable out-of-pocket costs of specialized reagents, supplies or</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or specialized services performed by Third Party subcontractors of AnaptysBio, that, in each case, are needed specifically for such Project but are not generally required for other similar projects AnaptysBio performs on behalf of Third Parties; and (b) all reasonable out-of-pocket travel costs pre-approved by Client, that are in compliance with Client’s travel policy, and incurred by AnaptysBio in the event that Client requests, and AnaptysBio agrees, that any AnaptysBio personnel provide technical assistance at any location other than AnaptysBio’s facilities in connection with such Project.</w:t>
      </w:r>
    </w:p>
    <w:p>
      <w:pPr>
        <w:spacing w:after="0" w:line="154"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color w:val="auto"/>
        </w:rPr>
        <w:t>“</w:t>
      </w:r>
      <w:r>
        <w:rPr>
          <w:rFonts w:ascii="Arial" w:cs="Arial" w:eastAsia="Arial" w:hAnsi="Arial"/>
          <w:sz w:val="16"/>
          <w:szCs w:val="16"/>
          <w:b w:val="1"/>
          <w:bCs w:val="1"/>
          <w:color w:val="auto"/>
        </w:rPr>
        <w:t>First Commercial Sale</w:t>
      </w:r>
      <w:r>
        <w:rPr>
          <w:rFonts w:ascii="Arial" w:cs="Arial" w:eastAsia="Arial" w:hAnsi="Arial"/>
          <w:sz w:val="16"/>
          <w:szCs w:val="16"/>
          <w:color w:val="auto"/>
        </w:rPr>
        <w:t>” shall mean the first sale of a Product by Client or any of its Affiliates, licensees or sublicensees to a Third Party for end</w:t>
      </w:r>
      <w:r>
        <w:rPr>
          <w:rFonts w:ascii="Arial" w:cs="Arial" w:eastAsia="Arial" w:hAnsi="Arial"/>
          <w:sz w:val="16"/>
          <w:szCs w:val="16"/>
          <w:b w:val="1"/>
          <w:bCs w:val="1"/>
          <w:color w:val="auto"/>
        </w:rPr>
        <w:t xml:space="preserve"> </w:t>
      </w:r>
      <w:r>
        <w:rPr>
          <w:rFonts w:ascii="Arial" w:cs="Arial" w:eastAsia="Arial" w:hAnsi="Arial"/>
          <w:sz w:val="16"/>
          <w:szCs w:val="16"/>
          <w:color w:val="auto"/>
        </w:rPr>
        <w:t>use or consumption in a country after the governing health regulatory authority of such country has granted marketing approval (</w:t>
      </w:r>
      <w:r>
        <w:rPr>
          <w:rFonts w:ascii="Arial" w:cs="Arial" w:eastAsia="Arial" w:hAnsi="Arial"/>
          <w:sz w:val="16"/>
          <w:szCs w:val="16"/>
          <w:i w:val="1"/>
          <w:iCs w:val="1"/>
          <w:color w:val="auto"/>
        </w:rPr>
        <w:t>e.g</w:t>
      </w:r>
      <w:r>
        <w:rPr>
          <w:rFonts w:ascii="Arial" w:cs="Arial" w:eastAsia="Arial" w:hAnsi="Arial"/>
          <w:sz w:val="16"/>
          <w:szCs w:val="16"/>
          <w:color w:val="auto"/>
        </w:rPr>
        <w:t>., BLA approval) with respect to such Product. Sale to an Affiliate or to a licensee or sublicensee of Client or any of its Affiliates shall not constitute a First Commercial Sale.</w:t>
      </w:r>
    </w:p>
    <w:p>
      <w:pPr>
        <w:spacing w:after="0" w:line="142"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color w:val="auto"/>
        </w:rPr>
        <w:t>“</w:t>
      </w:r>
      <w:r>
        <w:rPr>
          <w:rFonts w:ascii="Arial" w:cs="Arial" w:eastAsia="Arial" w:hAnsi="Arial"/>
          <w:sz w:val="16"/>
          <w:szCs w:val="16"/>
          <w:b w:val="1"/>
          <w:bCs w:val="1"/>
          <w:color w:val="auto"/>
        </w:rPr>
        <w:t>Information</w:t>
      </w:r>
      <w:r>
        <w:rPr>
          <w:rFonts w:ascii="Arial" w:cs="Arial" w:eastAsia="Arial" w:hAnsi="Arial"/>
          <w:sz w:val="16"/>
          <w:szCs w:val="16"/>
          <w:color w:val="auto"/>
        </w:rPr>
        <w:t>” shall mean know-how, trade secrets, data, inventions, proprietary software, works of authorship, designs, techniques,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formulations, structure and other information relating to compounds, compositions, specifications, reagents, ideas and information.</w:t>
      </w:r>
    </w:p>
    <w:p>
      <w:pPr>
        <w:spacing w:after="0" w:line="116" w:lineRule="exact"/>
        <w:rPr>
          <w:sz w:val="20"/>
          <w:szCs w:val="20"/>
          <w:color w:val="auto"/>
        </w:rPr>
      </w:pPr>
    </w:p>
    <w:p>
      <w:pPr>
        <w:ind w:right="320" w:firstLine="456"/>
        <w:spacing w:after="0" w:line="314"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color w:val="auto"/>
        </w:rPr>
        <w:t>“</w:t>
      </w:r>
      <w:r>
        <w:rPr>
          <w:rFonts w:ascii="Arial" w:cs="Arial" w:eastAsia="Arial" w:hAnsi="Arial"/>
          <w:sz w:val="16"/>
          <w:szCs w:val="16"/>
          <w:b w:val="1"/>
          <w:bCs w:val="1"/>
          <w:color w:val="auto"/>
        </w:rPr>
        <w:t>Joint Invention</w:t>
      </w:r>
      <w:r>
        <w:rPr>
          <w:rFonts w:ascii="Arial" w:cs="Arial" w:eastAsia="Arial" w:hAnsi="Arial"/>
          <w:sz w:val="16"/>
          <w:szCs w:val="16"/>
          <w:color w:val="auto"/>
        </w:rPr>
        <w:t>” shall mean any invention, whether or not patentable, that is made jointly (as determined in accordance with U.S.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inventorship) by one or more employees, consultants or contractors of Client and one or more employees, consultants or contractors of AnaptysBio, in the course of activities undertaken pursuant to this Agreement; but, in each case, excluding AnaptysBio Technology and Client Technology.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Joint Patents</w:t>
      </w:r>
      <w:r>
        <w:rPr>
          <w:rFonts w:ascii="Arial" w:cs="Arial" w:eastAsia="Arial" w:hAnsi="Arial"/>
          <w:sz w:val="18"/>
          <w:szCs w:val="18"/>
          <w:color w:val="auto"/>
        </w:rPr>
        <w:t>” shall have the meaning provided in Section 4.4(b).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shall have the meaning provided in Section 2.6.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shall mean [*].</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Phase 1 Trial</w:t>
      </w:r>
      <w:r>
        <w:rPr>
          <w:rFonts w:ascii="Arial" w:cs="Arial" w:eastAsia="Arial" w:hAnsi="Arial"/>
          <w:sz w:val="18"/>
          <w:szCs w:val="18"/>
          <w:color w:val="auto"/>
        </w:rPr>
        <w:t>” shall mean a human clinical trial that would satisfy the requirements for a Phase 1 study as defined in 21 CFR § 312.21(a)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Phase 2 Trial</w:t>
      </w:r>
      <w:r>
        <w:rPr>
          <w:rFonts w:ascii="Arial" w:cs="Arial" w:eastAsia="Arial" w:hAnsi="Arial"/>
          <w:sz w:val="18"/>
          <w:szCs w:val="18"/>
          <w:color w:val="auto"/>
        </w:rPr>
        <w:t>” shall mean a human clinical trial that would satisfy the requirements for a Phase 2 study as defined in 21 CFR § 312.21(b)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582" w:name="page583"/>
    <w:bookmarkEnd w:id="582"/>
    <w:p>
      <w:pPr>
        <w:ind w:right="1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 </w:t>
      </w:r>
      <w:r>
        <w:rPr>
          <w:rFonts w:ascii="Arial" w:cs="Arial" w:eastAsia="Arial" w:hAnsi="Arial"/>
          <w:sz w:val="18"/>
          <w:szCs w:val="18"/>
          <w:color w:val="auto"/>
        </w:rPr>
        <w:t>“</w:t>
      </w:r>
      <w:r>
        <w:rPr>
          <w:rFonts w:ascii="Arial" w:cs="Arial" w:eastAsia="Arial" w:hAnsi="Arial"/>
          <w:sz w:val="18"/>
          <w:szCs w:val="18"/>
          <w:b w:val="1"/>
          <w:bCs w:val="1"/>
          <w:color w:val="auto"/>
        </w:rPr>
        <w:t>Phase 3 Trial</w:t>
      </w:r>
      <w:r>
        <w:rPr>
          <w:rFonts w:ascii="Arial" w:cs="Arial" w:eastAsia="Arial" w:hAnsi="Arial"/>
          <w:sz w:val="18"/>
          <w:szCs w:val="18"/>
          <w:color w:val="auto"/>
        </w:rPr>
        <w:t>” shall mean a human clinical trial that would satisfy the requirements for a Phase 3 study as defined in 21 CFR § 312.2l(c)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162"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product, composition, method, device, or service (a) that comprises, contains or uses any Delivered Antibody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or modification of a Delivered Antibody), in whole or in part, or (b) the manufacture, use, sale, offer for sale or import of which is covered by any Delivered Antibody Patent.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shall mean a project directed to either [*].</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Project Goals</w:t>
      </w:r>
      <w:r>
        <w:rPr>
          <w:rFonts w:ascii="Arial" w:cs="Arial" w:eastAsia="Arial" w:hAnsi="Arial"/>
          <w:sz w:val="18"/>
          <w:szCs w:val="18"/>
          <w:color w:val="auto"/>
        </w:rPr>
        <w:t>” shall mean, with respect to a particular Project, the specific design goals with respect to binding affinity and specificity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to be generated and characterized by AnaptysBio in such Project, as set forth in the applicable Research Plan.</w:t>
      </w:r>
    </w:p>
    <w:p>
      <w:pPr>
        <w:spacing w:after="0" w:line="162"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1.35 </w:t>
      </w:r>
      <w:r>
        <w:rPr>
          <w:rFonts w:ascii="Arial" w:cs="Arial" w:eastAsia="Arial" w:hAnsi="Arial"/>
          <w:sz w:val="16"/>
          <w:szCs w:val="16"/>
          <w:color w:val="auto"/>
        </w:rPr>
        <w:t>“</w:t>
      </w:r>
      <w:r>
        <w:rPr>
          <w:rFonts w:ascii="Arial" w:cs="Arial" w:eastAsia="Arial" w:hAnsi="Arial"/>
          <w:sz w:val="16"/>
          <w:szCs w:val="16"/>
          <w:b w:val="1"/>
          <w:bCs w:val="1"/>
          <w:color w:val="auto"/>
        </w:rPr>
        <w:t>Remaining Materials</w:t>
      </w:r>
      <w:r>
        <w:rPr>
          <w:rFonts w:ascii="Arial" w:cs="Arial" w:eastAsia="Arial" w:hAnsi="Arial"/>
          <w:sz w:val="16"/>
          <w:szCs w:val="16"/>
          <w:color w:val="auto"/>
        </w:rPr>
        <w:t>” shall mean any and all biological or chemical materials derived from the Client Materials in the course and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a Project by or on behalf of AnaptysBio. Notwithstanding the foregoing, Remaining Materials shall exclude the Delivered Antibodies.</w:t>
      </w:r>
    </w:p>
    <w:p>
      <w:pPr>
        <w:spacing w:after="0" w:line="11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Research Period</w:t>
      </w:r>
      <w:r>
        <w:rPr>
          <w:rFonts w:ascii="Arial" w:cs="Arial" w:eastAsia="Arial" w:hAnsi="Arial"/>
          <w:sz w:val="18"/>
          <w:szCs w:val="18"/>
          <w:color w:val="auto"/>
        </w:rPr>
        <w:t>” shall mean the period commencing on the Effective Date and, subject to earlier termination of this Agreement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Article 7,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shall have the meaning provided in Section 2.1(b).</w:t>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Results</w:t>
      </w:r>
      <w:r>
        <w:rPr>
          <w:rFonts w:ascii="Arial" w:cs="Arial" w:eastAsia="Arial" w:hAnsi="Arial"/>
          <w:sz w:val="18"/>
          <w:szCs w:val="18"/>
          <w:color w:val="auto"/>
        </w:rPr>
        <w:t>” shall mean, with respect to a particular Project: (a) any and all data and results generated, discovered or developed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AnaptysBio in the course and as a result of performance of such Project, which data and results relate specifically and solely to the applicable Client Materials, Client Information and/or Delivered Antibodies; and (b) any and all data and results generated is covered or developed by or on behalf of Client as a result of performing the Evaluation of Delivered Antibodies from such Project (it being understood that upon payment of the Success Fee for such Project to AnaptysBio, the data and results described in this clause (b) shall be deemed Client Results). Notwithstanding the foregoing, the Results shall exclude the AnaptysBio Technology and the Client Technology.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Subject AnaptysBio Patent</w:t>
      </w:r>
      <w:r>
        <w:rPr>
          <w:rFonts w:ascii="Arial" w:cs="Arial" w:eastAsia="Arial" w:hAnsi="Arial"/>
          <w:sz w:val="18"/>
          <w:szCs w:val="18"/>
          <w:color w:val="auto"/>
        </w:rPr>
        <w:t>” shall mean any patent application or patent within the AnaptysBio Technology that:</w:t>
      </w:r>
    </w:p>
    <w:p>
      <w:pPr>
        <w:spacing w:after="0" w:line="229" w:lineRule="exact"/>
        <w:rPr>
          <w:sz w:val="20"/>
          <w:szCs w:val="20"/>
          <w:color w:val="auto"/>
        </w:rPr>
      </w:pPr>
    </w:p>
    <w:p>
      <w:pPr>
        <w:ind w:left="1180" w:hanging="259"/>
        <w:spacing w:after="0"/>
        <w:tabs>
          <w:tab w:leader="none" w:pos="1180" w:val="left"/>
        </w:tabs>
        <w:numPr>
          <w:ilvl w:val="1"/>
          <w:numId w:val="489"/>
        </w:numPr>
        <w:rPr>
          <w:rFonts w:ascii="Arial" w:cs="Arial" w:eastAsia="Arial" w:hAnsi="Arial"/>
          <w:sz w:val="17"/>
          <w:szCs w:val="17"/>
          <w:b w:val="1"/>
          <w:bCs w:val="1"/>
          <w:color w:val="auto"/>
        </w:rPr>
      </w:pPr>
      <w:r>
        <w:rPr>
          <w:rFonts w:ascii="Arial" w:cs="Arial" w:eastAsia="Arial" w:hAnsi="Arial"/>
          <w:sz w:val="17"/>
          <w:szCs w:val="17"/>
          <w:color w:val="auto"/>
        </w:rPr>
        <w:t>claims any invention that AnaptysBio either (i) used in generating a particular Delivered Antibody assigned to Client hereunder, or</w:t>
      </w:r>
    </w:p>
    <w:p>
      <w:pPr>
        <w:spacing w:after="0" w:line="34" w:lineRule="exact"/>
        <w:rPr>
          <w:rFonts w:ascii="Arial" w:cs="Arial" w:eastAsia="Arial" w:hAnsi="Arial"/>
          <w:sz w:val="17"/>
          <w:szCs w:val="17"/>
          <w:b w:val="1"/>
          <w:bCs w:val="1"/>
          <w:color w:val="auto"/>
        </w:rPr>
      </w:pPr>
    </w:p>
    <w:p>
      <w:pPr>
        <w:ind w:left="280" w:hanging="272"/>
        <w:spacing w:after="0"/>
        <w:tabs>
          <w:tab w:leader="none" w:pos="2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incorporated into a particular Delivered Antibody assigned to Client hereunder; and</w:t>
      </w:r>
    </w:p>
    <w:p>
      <w:pPr>
        <w:spacing w:after="0" w:line="210" w:lineRule="exact"/>
        <w:rPr>
          <w:rFonts w:ascii="Arial" w:cs="Arial" w:eastAsia="Arial" w:hAnsi="Arial"/>
          <w:sz w:val="18"/>
          <w:szCs w:val="18"/>
          <w:color w:val="auto"/>
        </w:rPr>
      </w:pPr>
    </w:p>
    <w:p>
      <w:pPr>
        <w:ind w:left="1180" w:hanging="259"/>
        <w:spacing w:after="0"/>
        <w:tabs>
          <w:tab w:leader="none" w:pos="1180" w:val="left"/>
        </w:tabs>
        <w:numPr>
          <w:ilvl w:val="1"/>
          <w:numId w:val="490"/>
        </w:numPr>
        <w:rPr>
          <w:rFonts w:ascii="Arial" w:cs="Arial" w:eastAsia="Arial" w:hAnsi="Arial"/>
          <w:sz w:val="16"/>
          <w:szCs w:val="16"/>
          <w:b w:val="1"/>
          <w:bCs w:val="1"/>
          <w:color w:val="auto"/>
        </w:rPr>
      </w:pPr>
      <w:r>
        <w:rPr>
          <w:rFonts w:ascii="Arial" w:cs="Arial" w:eastAsia="Arial" w:hAnsi="Arial"/>
          <w:sz w:val="16"/>
          <w:szCs w:val="16"/>
          <w:color w:val="auto"/>
        </w:rPr>
        <w:t>would, in the absence of a license thereunder, be infringed by the manufacture, use, sale, offer for sale or import of such Delivered Antibody.</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Success Fee</w:t>
      </w:r>
      <w:r>
        <w:rPr>
          <w:rFonts w:ascii="Arial" w:cs="Arial" w:eastAsia="Arial" w:hAnsi="Arial"/>
          <w:sz w:val="18"/>
          <w:szCs w:val="18"/>
          <w:color w:val="auto"/>
        </w:rPr>
        <w:t>” shall have the meaning provided in Section 3.3.</w:t>
      </w:r>
    </w:p>
    <w:p>
      <w:pPr>
        <w:spacing w:after="0" w:line="158"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583" w:name="page584"/>
    <w:bookmarkEnd w:id="583"/>
    <w:p>
      <w:pPr>
        <w:ind w:right="2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1.41 </w:t>
      </w:r>
      <w:r>
        <w:rPr>
          <w:rFonts w:ascii="Arial" w:cs="Arial" w:eastAsia="Arial" w:hAnsi="Arial"/>
          <w:sz w:val="18"/>
          <w:szCs w:val="18"/>
          <w:color w:val="auto"/>
        </w:rPr>
        <w:t>“</w:t>
      </w:r>
      <w:r>
        <w:rPr>
          <w:rFonts w:ascii="Arial" w:cs="Arial" w:eastAsia="Arial" w:hAnsi="Arial"/>
          <w:sz w:val="18"/>
          <w:szCs w:val="18"/>
          <w:b w:val="1"/>
          <w:bCs w:val="1"/>
          <w:color w:val="auto"/>
        </w:rPr>
        <w:t>Success Fee Due Date</w:t>
      </w:r>
      <w:r>
        <w:rPr>
          <w:rFonts w:ascii="Arial" w:cs="Arial" w:eastAsia="Arial" w:hAnsi="Arial"/>
          <w:sz w:val="18"/>
          <w:szCs w:val="18"/>
          <w:color w:val="auto"/>
        </w:rPr>
        <w:t>” shall mean, with respect to a particular Project, the date that is [*] after expiration of the Evaluation Period and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for such Project. Notwithstanding the foregoing, if, prior to expiration of the Evaluation Period for a Project, Client exercises its rights under Section 2.4(b) with respect to such Project, then the “Success Fee Due Date” shall be the date that is [*].</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entity other than AnaptysBio or Client or an Affiliate of AnaptysBio.</w:t>
      </w:r>
    </w:p>
    <w:p>
      <w:pPr>
        <w:spacing w:after="0" w:line="22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 issued patent that has not expired or been revoked, held invalid or unenforceable by a patent office, court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agency of competent jurisdiction in a final and non-appealable judgment (or judgment from which no appeal was taken within the allowable time period), or a claim within a patent application that has not been revoked, cancelled, withdrawn, held invalid or abandoned and which has not been pending for more than [*] years from its first priority filing date.</w:t>
      </w:r>
    </w:p>
    <w:p>
      <w:pPr>
        <w:spacing w:after="0" w:line="207" w:lineRule="exact"/>
        <w:rPr>
          <w:sz w:val="20"/>
          <w:szCs w:val="20"/>
          <w:color w:val="auto"/>
        </w:rPr>
      </w:pPr>
    </w:p>
    <w:p>
      <w:pPr>
        <w:ind w:left="460" w:hanging="452"/>
        <w:spacing w:after="0"/>
        <w:tabs>
          <w:tab w:leader="none" w:pos="46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TEERING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OMMITTEE</w:t>
      </w:r>
      <w:r>
        <w:rPr>
          <w:rFonts w:ascii="Arial" w:cs="Arial" w:eastAsia="Arial" w:hAnsi="Arial"/>
          <w:sz w:val="18"/>
          <w:szCs w:val="18"/>
          <w:b w:val="1"/>
          <w:bCs w:val="1"/>
          <w:color w:val="auto"/>
        </w:rPr>
        <w:t>, P</w:t>
      </w:r>
      <w:r>
        <w:rPr>
          <w:rFonts w:ascii="Arial" w:cs="Arial" w:eastAsia="Arial" w:hAnsi="Arial"/>
          <w:sz w:val="15"/>
          <w:szCs w:val="15"/>
          <w:b w:val="1"/>
          <w:bCs w:val="1"/>
          <w:color w:val="auto"/>
        </w:rPr>
        <w:t>ROJECTS AND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ELIVERABLES</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Steering Committee and Projects</w:t>
      </w:r>
      <w:r>
        <w:rPr>
          <w:rFonts w:ascii="Arial" w:cs="Arial" w:eastAsia="Arial" w:hAnsi="Arial"/>
          <w:sz w:val="18"/>
          <w:szCs w:val="18"/>
          <w:color w:val="auto"/>
        </w:rPr>
        <w:t>.</w:t>
      </w:r>
    </w:p>
    <w:p>
      <w:pPr>
        <w:spacing w:after="0" w:line="225" w:lineRule="exact"/>
        <w:rPr>
          <w:sz w:val="20"/>
          <w:szCs w:val="20"/>
          <w:color w:val="auto"/>
        </w:rPr>
      </w:pPr>
    </w:p>
    <w:p>
      <w:pPr>
        <w:ind w:right="160" w:firstLine="921"/>
        <w:spacing w:after="0" w:line="282" w:lineRule="auto"/>
        <w:tabs>
          <w:tab w:leader="none" w:pos="1168"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Steering Committee</w:t>
      </w:r>
      <w:r>
        <w:rPr>
          <w:rFonts w:ascii="Arial" w:cs="Arial" w:eastAsia="Arial" w:hAnsi="Arial"/>
          <w:sz w:val="18"/>
          <w:szCs w:val="18"/>
          <w:color w:val="auto"/>
        </w:rPr>
        <w:t>. A steering committee (hereinafter the “</w:t>
      </w:r>
      <w:r>
        <w:rPr>
          <w:rFonts w:ascii="Arial" w:cs="Arial" w:eastAsia="Arial" w:hAnsi="Arial"/>
          <w:sz w:val="18"/>
          <w:szCs w:val="18"/>
          <w:b w:val="1"/>
          <w:bCs w:val="1"/>
          <w:i w:val="1"/>
          <w:iCs w:val="1"/>
          <w:color w:val="auto"/>
        </w:rPr>
        <w:t>Steering Committee</w:t>
      </w:r>
      <w:r>
        <w:rPr>
          <w:rFonts w:ascii="Arial" w:cs="Arial" w:eastAsia="Arial" w:hAnsi="Arial"/>
          <w:sz w:val="18"/>
          <w:szCs w:val="18"/>
          <w:color w:val="auto"/>
        </w:rPr>
        <w:t>”) shall be formed within 30 days after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as further described at Exhibit B.</w:t>
      </w:r>
    </w:p>
    <w:p>
      <w:pPr>
        <w:spacing w:after="0" w:line="16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Approval of Projects</w:t>
      </w:r>
      <w:r>
        <w:rPr>
          <w:rFonts w:ascii="Arial" w:cs="Arial" w:eastAsia="Arial" w:hAnsi="Arial"/>
          <w:sz w:val="17"/>
          <w:szCs w:val="17"/>
          <w:color w:val="auto"/>
        </w:rPr>
        <w:t>. During the Research Period, AnaptysBio shall perform the [*] Projects for Client attached hereto as Exhibit A (the</w:t>
      </w:r>
    </w:p>
    <w:p>
      <w:pPr>
        <w:spacing w:after="0" w:line="39" w:lineRule="exact"/>
        <w:rPr>
          <w:sz w:val="20"/>
          <w:szCs w:val="20"/>
          <w:color w:val="auto"/>
        </w:rPr>
      </w:pPr>
    </w:p>
    <w:p>
      <w:pPr>
        <w:jc w:val="both"/>
        <w:ind w:right="3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Research Plan</w:t>
      </w:r>
      <w:r>
        <w:rPr>
          <w:rFonts w:ascii="Arial" w:cs="Arial" w:eastAsia="Arial" w:hAnsi="Arial"/>
          <w:sz w:val="17"/>
          <w:szCs w:val="17"/>
          <w:color w:val="auto"/>
        </w:rPr>
        <w:t>”) and the Projects described therein (the “</w:t>
      </w:r>
      <w:r>
        <w:rPr>
          <w:rFonts w:ascii="Arial" w:cs="Arial" w:eastAsia="Arial" w:hAnsi="Arial"/>
          <w:sz w:val="17"/>
          <w:szCs w:val="17"/>
          <w:b w:val="1"/>
          <w:bCs w:val="1"/>
          <w:i w:val="1"/>
          <w:iCs w:val="1"/>
          <w:color w:val="auto"/>
        </w:rPr>
        <w:t>Projects</w:t>
      </w:r>
      <w:r>
        <w:rPr>
          <w:rFonts w:ascii="Arial" w:cs="Arial" w:eastAsia="Arial" w:hAnsi="Arial"/>
          <w:sz w:val="17"/>
          <w:szCs w:val="17"/>
          <w:color w:val="auto"/>
        </w:rPr>
        <w:t>”). During the performance of a Project, [*]. If AnaptysBio disputes in good faith that a proposed substitute Project is feasible, AnaptysBio shall so notify Client within [*] after receipt of the Project Notice, and the parties shall confer in good faith regarding the matter, [*]. In addition, in the event AnaptysBio [*]. Unless AnaptysBio provides notice as set forth above that [*], which shall be in a form acceptable to the parties and shall specify the following information for such substitute Project:</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140" w:firstLine="921"/>
        <w:spacing w:after="0" w:line="256" w:lineRule="auto"/>
        <w:tabs>
          <w:tab w:leader="none" w:pos="1158"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Plans</w:t>
      </w:r>
      <w:r>
        <w:rPr>
          <w:rFonts w:ascii="Arial" w:cs="Arial" w:eastAsia="Arial" w:hAnsi="Arial"/>
          <w:sz w:val="18"/>
          <w:szCs w:val="18"/>
          <w:color w:val="auto"/>
        </w:rPr>
        <w:t>. Each Research Plan shall be subject to all of the terms and conditions of this Agreement, in addition to the specific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such Research Plan. To the extent any terms of a Research Plan conflict with the terms of this Agreement, the terms of this Agreement shall control, unless and only to the extent that such Research Plan expressly states the intent of the parties that the Research Plan supersede this Agreement with respect to a specific matter. Each fully-executed Research Plan shall be deemed incorporated herein by reference, and a copy thereof shall be attached to this Agreement. Any changes to a Research Plan shall be in writing, executed by an authorized representative of each party, attached to the original Research Plan, and incorporated herein and therein by reference.</w:t>
      </w:r>
    </w:p>
    <w:p>
      <w:pPr>
        <w:spacing w:after="0" w:line="187" w:lineRule="exact"/>
        <w:rPr>
          <w:rFonts w:ascii="Arial" w:cs="Arial" w:eastAsia="Arial" w:hAnsi="Arial"/>
          <w:sz w:val="18"/>
          <w:szCs w:val="18"/>
          <w:b w:val="1"/>
          <w:bCs w:val="1"/>
          <w:color w:val="auto"/>
        </w:rPr>
      </w:pPr>
    </w:p>
    <w:p>
      <w:pPr>
        <w:ind w:right="140" w:firstLine="921"/>
        <w:spacing w:after="0" w:line="282" w:lineRule="auto"/>
        <w:tabs>
          <w:tab w:leader="none" w:pos="1178"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r>
        <w:rPr>
          <w:rFonts w:ascii="Arial" w:cs="Arial" w:eastAsia="Arial" w:hAnsi="Arial"/>
          <w:sz w:val="18"/>
          <w:szCs w:val="18"/>
          <w:color w:val="auto"/>
        </w:rPr>
        <w:t>. On a Project-by-Project basis, commencing on acceptance of the Research Plan for each Project and expiring on,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except for the activities under this Agreement, AnaptysBio shall not [*]. Notwithstanding the preceding sentence or any</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584" w:name="page585"/>
    <w:bookmarkEnd w:id="58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provision of this Agreement to the contrary, AnaptysBio shall at all times be free to conduct, participate in, or fund, directly or indirectly, alone or with any Third Party, any activities directed to the discovery, research or commercialization of Antibodies that: [*].</w:t>
      </w:r>
    </w:p>
    <w:p>
      <w:pPr>
        <w:spacing w:after="0" w:line="166"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2.2 Transfer and Use of Client Materials and Information</w:t>
      </w:r>
      <w:r>
        <w:rPr>
          <w:rFonts w:ascii="Arial" w:cs="Arial" w:eastAsia="Arial" w:hAnsi="Arial"/>
          <w:sz w:val="18"/>
          <w:szCs w:val="18"/>
          <w:color w:val="auto"/>
        </w:rPr>
        <w:t>. As promptly as practicable after mutual written approval of the Research Plan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substitute Project (or after the Effective Date in the case of the Projects), Client shall deliver to AnaptysBio the Client Materials and the Client Information for such Project as specified in the applicable Research Plan.</w:t>
      </w:r>
    </w:p>
    <w:p>
      <w:pPr>
        <w:spacing w:after="0" w:line="176" w:lineRule="exact"/>
        <w:rPr>
          <w:sz w:val="20"/>
          <w:szCs w:val="20"/>
          <w:color w:val="auto"/>
        </w:rPr>
      </w:pPr>
    </w:p>
    <w:p>
      <w:pPr>
        <w:ind w:right="160" w:firstLine="456"/>
        <w:spacing w:after="0" w:line="292" w:lineRule="auto"/>
        <w:rPr>
          <w:sz w:val="20"/>
          <w:szCs w:val="20"/>
          <w:color w:val="auto"/>
        </w:rPr>
      </w:pPr>
      <w:r>
        <w:rPr>
          <w:rFonts w:ascii="Arial" w:cs="Arial" w:eastAsia="Arial" w:hAnsi="Arial"/>
          <w:sz w:val="16"/>
          <w:szCs w:val="16"/>
          <w:b w:val="1"/>
          <w:bCs w:val="1"/>
          <w:color w:val="auto"/>
        </w:rPr>
        <w:t>2.3 Performance of Projects; Substitution of Projects; Deliverables</w:t>
      </w:r>
      <w:r>
        <w:rPr>
          <w:rFonts w:ascii="Arial" w:cs="Arial" w:eastAsia="Arial" w:hAnsi="Arial"/>
          <w:sz w:val="16"/>
          <w:szCs w:val="16"/>
          <w:color w:val="auto"/>
        </w:rPr>
        <w:t>. On a Project-by-Project basis, promptly following receipt of the Client</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Client Information for a Project, AnaptysBio shall use commercially reasonable efforts to perform such Project, as described in the applicable Research Plan. In the event that the research term of the Project exceeds [*] or a substitute Project is agreed to by the parties under Section 2.l(b), and the combined research term of the Project and substitute Project exceed [*], the parties agree to negotiate in good faith additional funding payments for the time period that is in excess of [*]. In addition, such substitute Project shall not be counted as an additional Project. AnaptysBio may perform some Project activities through one or more subcontractors, provided that AnaptysBio shall at all times be fully responsible for the compliance of its subcontractors with this Agreement. Promptly following AnaptysBio’s completion of its responsibilities under each Research Plan, AnaptysBio shall:</w:t>
      </w:r>
    </w:p>
    <w:p>
      <w:pPr>
        <w:spacing w:after="0" w:line="166" w:lineRule="exact"/>
        <w:rPr>
          <w:sz w:val="20"/>
          <w:szCs w:val="20"/>
          <w:color w:val="auto"/>
        </w:rPr>
      </w:pPr>
    </w:p>
    <w:p>
      <w:pPr>
        <w:ind w:left="1740" w:hanging="248"/>
        <w:spacing w:after="0"/>
        <w:tabs>
          <w:tab w:leader="none" w:pos="1740" w:val="left"/>
        </w:tabs>
        <w:numPr>
          <w:ilvl w:val="0"/>
          <w:numId w:val="494"/>
        </w:numPr>
        <w:rPr>
          <w:rFonts w:ascii="Arial" w:cs="Arial" w:eastAsia="Arial" w:hAnsi="Arial"/>
          <w:sz w:val="16"/>
          <w:szCs w:val="16"/>
          <w:b w:val="1"/>
          <w:bCs w:val="1"/>
          <w:color w:val="auto"/>
        </w:rPr>
      </w:pPr>
      <w:r>
        <w:rPr>
          <w:rFonts w:ascii="Arial" w:cs="Arial" w:eastAsia="Arial" w:hAnsi="Arial"/>
          <w:sz w:val="16"/>
          <w:szCs w:val="16"/>
          <w:color w:val="auto"/>
        </w:rPr>
        <w:t>deliver to Client the Antibodies generated and characterized in the course of the performance of the applicable Project that meet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Project Goals; [*]; and</w:t>
      </w:r>
    </w:p>
    <w:p>
      <w:pPr>
        <w:spacing w:after="0" w:line="210" w:lineRule="exact"/>
        <w:rPr>
          <w:rFonts w:ascii="Arial" w:cs="Arial" w:eastAsia="Arial" w:hAnsi="Arial"/>
          <w:sz w:val="16"/>
          <w:szCs w:val="16"/>
          <w:b w:val="1"/>
          <w:bCs w:val="1"/>
          <w:color w:val="auto"/>
        </w:rPr>
      </w:pPr>
    </w:p>
    <w:p>
      <w:pPr>
        <w:ind w:left="1760" w:hanging="268"/>
        <w:spacing w:after="0"/>
        <w:tabs>
          <w:tab w:leader="none" w:pos="1760" w:val="left"/>
        </w:tabs>
        <w:numPr>
          <w:ilvl w:val="0"/>
          <w:numId w:val="494"/>
        </w:numPr>
        <w:rPr>
          <w:rFonts w:ascii="Arial" w:cs="Arial" w:eastAsia="Arial" w:hAnsi="Arial"/>
          <w:sz w:val="18"/>
          <w:szCs w:val="18"/>
          <w:b w:val="1"/>
          <w:bCs w:val="1"/>
          <w:color w:val="auto"/>
        </w:rPr>
      </w:pPr>
      <w:r>
        <w:rPr>
          <w:rFonts w:ascii="Arial" w:cs="Arial" w:eastAsia="Arial" w:hAnsi="Arial"/>
          <w:sz w:val="18"/>
          <w:szCs w:val="18"/>
          <w:color w:val="auto"/>
        </w:rPr>
        <w:t>provide a written report to Client setting forth, for each Delivered Antibody from such Project, [*].</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avoidance of doubt, AnaptysBio shall have no obligation: (A) to generate or characterize Antibodies other than as expressly set forth in the Research Plans; (B) to deliver to Client any Antibodies other than as expressly set forth in Section 2.3(a); (C) to disclose to Client any Results with respect to any Antibody other than the Delivered Antibody Information with respect to the Delivered Antibodies; or (D) to disclose to Client any Information regarding the AnaptysBio Platform.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Client Evaluation of Delivered Antibodies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6" w:lineRule="auto"/>
        <w:tabs>
          <w:tab w:leader="none" w:pos="1168"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w:t>
      </w:r>
      <w:r>
        <w:rPr>
          <w:rFonts w:ascii="Arial" w:cs="Arial" w:eastAsia="Arial" w:hAnsi="Arial"/>
          <w:sz w:val="18"/>
          <w:szCs w:val="18"/>
          <w:color w:val="auto"/>
        </w:rPr>
        <w:t>. Commencing upon Client’s receipt of the Delivered Antibodies and Delivered Antibody Information from each Project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 thereafter, or such extended time period as may mutually agreed by the parties (the “</w:t>
      </w:r>
      <w:r>
        <w:rPr>
          <w:rFonts w:ascii="Arial" w:cs="Arial" w:eastAsia="Arial" w:hAnsi="Arial"/>
          <w:sz w:val="18"/>
          <w:szCs w:val="18"/>
          <w:b w:val="1"/>
          <w:bCs w:val="1"/>
          <w:i w:val="1"/>
          <w:iCs w:val="1"/>
          <w:color w:val="auto"/>
        </w:rPr>
        <w:t>Evaluation Period</w:t>
      </w:r>
      <w:r>
        <w:rPr>
          <w:rFonts w:ascii="Arial" w:cs="Arial" w:eastAsia="Arial" w:hAnsi="Arial"/>
          <w:sz w:val="18"/>
          <w:szCs w:val="18"/>
          <w:color w:val="auto"/>
        </w:rPr>
        <w:t>”), Client will [*]. Client may conduct the Evaluation either directly or indirectly through its Affiliate(s), agent(s), consultant(s) and/or subcontractor(s), provided that Client shall at all times be fully responsible for the compliance of its Affiliate(s), agent(s), consultant(s) and/or subcontractor(s) with this Agreement and, prior to providing any Delivered Antibody or Delivered Antibody Information to any agent, consultant or subcontractor, shall obtain the written agreement of such agent, consultant or subcontractor to be bound by clauses (ii) and (iii)</w:t>
      </w:r>
    </w:p>
    <w:p>
      <w:pPr>
        <w:spacing w:after="0" w:line="12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585" w:name="page586"/>
    <w:bookmarkEnd w:id="585"/>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Section 2.5(a). Unless Client notifies AnaptysBio in writing on or before the end of the Evaluation Period for a Project that Client in good faith believes that [*]. In addition, regardless of whether or not Client has completed any or all Evaluation activities by the end of the Evaluation Period for a Project, Client shall not have the right to deliver a notice to AnaptysBio that the Project Goals for such Project have not been met unless Client has generated data during such Evaluation Period, through performance of Evaluation activities, to support its contention that none of such Delivered Antibodies meets the Project Goals. If Client notifies AnaptysBio in writing by the end of the Evaluation Period for a Project that Client in good faith believes that [*].</w:t>
      </w:r>
    </w:p>
    <w:p>
      <w:pPr>
        <w:spacing w:after="0" w:line="154" w:lineRule="exact"/>
        <w:rPr>
          <w:sz w:val="20"/>
          <w:szCs w:val="20"/>
          <w:color w:val="auto"/>
        </w:rPr>
      </w:pPr>
    </w:p>
    <w:p>
      <w:pPr>
        <w:ind w:right="200" w:firstLine="921"/>
        <w:spacing w:after="0" w:line="298" w:lineRule="auto"/>
        <w:tabs>
          <w:tab w:leader="none" w:pos="1178" w:val="left"/>
        </w:tabs>
        <w:numPr>
          <w:ilvl w:val="0"/>
          <w:numId w:val="496"/>
        </w:numPr>
        <w:rPr>
          <w:rFonts w:ascii="Arial" w:cs="Arial" w:eastAsia="Arial" w:hAnsi="Arial"/>
          <w:sz w:val="16"/>
          <w:szCs w:val="16"/>
          <w:b w:val="1"/>
          <w:bCs w:val="1"/>
          <w:color w:val="auto"/>
        </w:rPr>
      </w:pPr>
      <w:r>
        <w:rPr>
          <w:rFonts w:ascii="Arial" w:cs="Arial" w:eastAsia="Arial" w:hAnsi="Arial"/>
          <w:sz w:val="16"/>
          <w:szCs w:val="16"/>
          <w:b w:val="1"/>
          <w:bCs w:val="1"/>
          <w:color w:val="auto"/>
        </w:rPr>
        <w:t>Independent Laboratory Determination</w:t>
      </w:r>
      <w:r>
        <w:rPr>
          <w:rFonts w:ascii="Arial" w:cs="Arial" w:eastAsia="Arial" w:hAnsi="Arial"/>
          <w:sz w:val="16"/>
          <w:szCs w:val="16"/>
          <w:color w:val="auto"/>
        </w:rPr>
        <w:t>. If Client notifies AnaptysBio in writing by the end of the Evaluation Period for a Project that</w:t>
      </w:r>
      <w:r>
        <w:rPr>
          <w:rFonts w:ascii="Arial" w:cs="Arial" w:eastAsia="Arial" w:hAnsi="Arial"/>
          <w:sz w:val="16"/>
          <w:szCs w:val="16"/>
          <w:b w:val="1"/>
          <w:bCs w:val="1"/>
          <w:color w:val="auto"/>
        </w:rPr>
        <w:t xml:space="preserve"> </w:t>
      </w:r>
      <w:r>
        <w:rPr>
          <w:rFonts w:ascii="Arial" w:cs="Arial" w:eastAsia="Arial" w:hAnsi="Arial"/>
          <w:sz w:val="16"/>
          <w:szCs w:val="16"/>
          <w:color w:val="auto"/>
        </w:rPr>
        <w:t>Client in good faith believes that [*] of the Delivered Antibodies] from such Project do not meet the Project Goals, and AnaptysBio in good faith does not agree that [*] of the Delivered Antibodies from such Project do not meet the Project Goals, then [*]. The parties will initially share the costs of the independent laboratory’s analysis on an equal basis in accordance with a pre-agreed budget and maximum cost for such activities, but the party in whose favor the independent laboratory rules shall be entitled to have its share of such costs reimbursed by the other party promptly following such determination.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Use of Delivered Antibodies, Information and Results</w:t>
      </w:r>
      <w:r>
        <w:rPr>
          <w:rFonts w:ascii="Arial" w:cs="Arial" w:eastAsia="Arial" w:hAnsi="Arial"/>
          <w:sz w:val="18"/>
          <w:szCs w:val="18"/>
          <w:color w:val="auto"/>
        </w:rPr>
        <w:t>.</w:t>
      </w:r>
    </w:p>
    <w:p>
      <w:pPr>
        <w:spacing w:after="0" w:line="229" w:lineRule="exact"/>
        <w:rPr>
          <w:sz w:val="20"/>
          <w:szCs w:val="20"/>
          <w:color w:val="auto"/>
        </w:rPr>
      </w:pPr>
    </w:p>
    <w:p>
      <w:pPr>
        <w:ind w:right="300" w:firstLine="921"/>
        <w:spacing w:after="0" w:line="308" w:lineRule="auto"/>
        <w:tabs>
          <w:tab w:leader="none" w:pos="1168" w:val="left"/>
        </w:tabs>
        <w:numPr>
          <w:ilvl w:val="0"/>
          <w:numId w:val="497"/>
        </w:numPr>
        <w:rPr>
          <w:rFonts w:ascii="Arial" w:cs="Arial" w:eastAsia="Arial" w:hAnsi="Arial"/>
          <w:sz w:val="17"/>
          <w:szCs w:val="17"/>
          <w:b w:val="1"/>
          <w:bCs w:val="1"/>
          <w:color w:val="auto"/>
        </w:rPr>
      </w:pPr>
      <w:r>
        <w:rPr>
          <w:rFonts w:ascii="Arial" w:cs="Arial" w:eastAsia="Arial" w:hAnsi="Arial"/>
          <w:sz w:val="17"/>
          <w:szCs w:val="17"/>
          <w:color w:val="auto"/>
        </w:rPr>
        <w:t>Prior to Success Fee Due Date. On a Project-by-Project basis, until the Success Fee Due Date for a Project (or, if this Agreement is earlier terminated in accordance with Article 7, until such termination), except as expressly set forth in Sections 2.5(b) and 2.5(c):</w:t>
      </w:r>
    </w:p>
    <w:p>
      <w:pPr>
        <w:spacing w:after="0" w:line="146" w:lineRule="exact"/>
        <w:rPr>
          <w:rFonts w:ascii="Arial" w:cs="Arial" w:eastAsia="Arial" w:hAnsi="Arial"/>
          <w:sz w:val="17"/>
          <w:szCs w:val="17"/>
          <w:b w:val="1"/>
          <w:bCs w:val="1"/>
          <w:color w:val="auto"/>
        </w:rPr>
      </w:pPr>
    </w:p>
    <w:p>
      <w:pPr>
        <w:ind w:left="1700" w:hanging="208"/>
        <w:spacing w:after="0"/>
        <w:tabs>
          <w:tab w:leader="none" w:pos="1700" w:val="left"/>
        </w:tabs>
        <w:numPr>
          <w:ilvl w:val="1"/>
          <w:numId w:val="497"/>
        </w:numPr>
        <w:rPr>
          <w:rFonts w:ascii="Arial" w:cs="Arial" w:eastAsia="Arial" w:hAnsi="Arial"/>
          <w:sz w:val="17"/>
          <w:szCs w:val="17"/>
          <w:b w:val="1"/>
          <w:bCs w:val="1"/>
          <w:color w:val="auto"/>
        </w:rPr>
      </w:pPr>
      <w:r>
        <w:rPr>
          <w:rFonts w:ascii="Arial" w:cs="Arial" w:eastAsia="Arial" w:hAnsi="Arial"/>
          <w:sz w:val="17"/>
          <w:szCs w:val="17"/>
          <w:color w:val="auto"/>
        </w:rPr>
        <w:t>AnaptysBio shall solely own all rights in the Delivered Antibodies and Delivered Antibody Information resulting from such Project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and associated Results;</w:t>
      </w:r>
    </w:p>
    <w:p>
      <w:pPr>
        <w:spacing w:after="0" w:line="210" w:lineRule="exact"/>
        <w:rPr>
          <w:rFonts w:ascii="Arial" w:cs="Arial" w:eastAsia="Arial" w:hAnsi="Arial"/>
          <w:sz w:val="17"/>
          <w:szCs w:val="17"/>
          <w:b w:val="1"/>
          <w:bCs w:val="1"/>
          <w:color w:val="auto"/>
        </w:rPr>
      </w:pPr>
    </w:p>
    <w:p>
      <w:pPr>
        <w:ind w:right="180" w:firstLine="1492"/>
        <w:spacing w:after="0" w:line="277" w:lineRule="auto"/>
        <w:tabs>
          <w:tab w:leader="none" w:pos="1748" w:val="left"/>
        </w:tabs>
        <w:numPr>
          <w:ilvl w:val="1"/>
          <w:numId w:val="497"/>
        </w:numPr>
        <w:rPr>
          <w:rFonts w:ascii="Arial" w:cs="Arial" w:eastAsia="Arial" w:hAnsi="Arial"/>
          <w:sz w:val="18"/>
          <w:szCs w:val="18"/>
          <w:b w:val="1"/>
          <w:bCs w:val="1"/>
          <w:color w:val="auto"/>
        </w:rPr>
      </w:pPr>
      <w:r>
        <w:rPr>
          <w:rFonts w:ascii="Arial" w:cs="Arial" w:eastAsia="Arial" w:hAnsi="Arial"/>
          <w:sz w:val="18"/>
          <w:szCs w:val="18"/>
          <w:color w:val="auto"/>
        </w:rPr>
        <w:t>each party shall treat such Delivered Antibodies and Delivered Antibody Information as Confidential Information of the other party in accordance with Article 5;</w:t>
      </w:r>
    </w:p>
    <w:p>
      <w:pPr>
        <w:spacing w:after="0" w:line="170" w:lineRule="exact"/>
        <w:rPr>
          <w:rFonts w:ascii="Arial" w:cs="Arial" w:eastAsia="Arial" w:hAnsi="Arial"/>
          <w:sz w:val="18"/>
          <w:szCs w:val="18"/>
          <w:b w:val="1"/>
          <w:bCs w:val="1"/>
          <w:color w:val="auto"/>
        </w:rPr>
      </w:pPr>
    </w:p>
    <w:p>
      <w:pPr>
        <w:ind w:right="60" w:firstLine="1492"/>
        <w:spacing w:after="0" w:line="257" w:lineRule="auto"/>
        <w:tabs>
          <w:tab w:leader="none" w:pos="1798" w:val="left"/>
        </w:tabs>
        <w:numPr>
          <w:ilvl w:val="1"/>
          <w:numId w:val="497"/>
        </w:numPr>
        <w:rPr>
          <w:rFonts w:ascii="Arial" w:cs="Arial" w:eastAsia="Arial" w:hAnsi="Arial"/>
          <w:sz w:val="18"/>
          <w:szCs w:val="18"/>
          <w:b w:val="1"/>
          <w:bCs w:val="1"/>
          <w:color w:val="auto"/>
        </w:rPr>
      </w:pPr>
      <w:r>
        <w:rPr>
          <w:rFonts w:ascii="Arial" w:cs="Arial" w:eastAsia="Arial" w:hAnsi="Arial"/>
          <w:sz w:val="18"/>
          <w:szCs w:val="18"/>
          <w:color w:val="auto"/>
        </w:rPr>
        <w:t>Client covenants that: (1) except as expressly permitted by Section 2.4, it will not conduct or have conducted on its behalf, nor cause or allow any Affiliate or Third Party to conduct, any study of any such Delivered Antibody or related Product; (2) Client will not use any such Delivered Antibody or Delivered Antibody Information for any purpose other than the Evaluation; and (3) except as expressly permitted by Section 2.4, Client will not transfer or disclose, or cause to be transferred or disclosed, any such Delivered Antibody, Delivered Antibody Information, or Results to any Affiliate or to any Third Party; and</w:t>
      </w:r>
    </w:p>
    <w:p>
      <w:pPr>
        <w:spacing w:after="0" w:line="188" w:lineRule="exact"/>
        <w:rPr>
          <w:rFonts w:ascii="Arial" w:cs="Arial" w:eastAsia="Arial" w:hAnsi="Arial"/>
          <w:sz w:val="18"/>
          <w:szCs w:val="18"/>
          <w:b w:val="1"/>
          <w:bCs w:val="1"/>
          <w:color w:val="auto"/>
        </w:rPr>
      </w:pPr>
    </w:p>
    <w:p>
      <w:pPr>
        <w:ind w:right="520" w:firstLine="1492"/>
        <w:spacing w:after="0" w:line="277" w:lineRule="auto"/>
        <w:tabs>
          <w:tab w:leader="none" w:pos="1788" w:val="left"/>
        </w:tabs>
        <w:numPr>
          <w:ilvl w:val="1"/>
          <w:numId w:val="497"/>
        </w:numPr>
        <w:rPr>
          <w:rFonts w:ascii="Arial" w:cs="Arial" w:eastAsia="Arial" w:hAnsi="Arial"/>
          <w:sz w:val="18"/>
          <w:szCs w:val="18"/>
          <w:b w:val="1"/>
          <w:bCs w:val="1"/>
          <w:color w:val="auto"/>
        </w:rPr>
      </w:pPr>
      <w:r>
        <w:rPr>
          <w:rFonts w:ascii="Arial" w:cs="Arial" w:eastAsia="Arial" w:hAnsi="Arial"/>
          <w:sz w:val="18"/>
          <w:szCs w:val="18"/>
          <w:color w:val="auto"/>
        </w:rPr>
        <w:t>AnaptysBio shall not use any such Delivered Antibody, Delivered Antibody Information or Results for any purpose other than performance of such Project.</w:t>
      </w:r>
    </w:p>
    <w:p>
      <w:pPr>
        <w:spacing w:after="0" w:line="166" w:lineRule="exact"/>
        <w:rPr>
          <w:rFonts w:ascii="Arial" w:cs="Arial" w:eastAsia="Arial" w:hAnsi="Arial"/>
          <w:sz w:val="18"/>
          <w:szCs w:val="18"/>
          <w:b w:val="1"/>
          <w:bCs w:val="1"/>
          <w:color w:val="auto"/>
        </w:rPr>
      </w:pPr>
    </w:p>
    <w:p>
      <w:pPr>
        <w:ind w:right="140" w:firstLine="921"/>
        <w:spacing w:after="0" w:line="347" w:lineRule="auto"/>
        <w:tabs>
          <w:tab w:leader="none" w:pos="1178" w:val="left"/>
        </w:tabs>
        <w:numPr>
          <w:ilvl w:val="0"/>
          <w:numId w:val="497"/>
        </w:numPr>
        <w:rPr>
          <w:rFonts w:ascii="Arial" w:cs="Arial" w:eastAsia="Arial" w:hAnsi="Arial"/>
          <w:sz w:val="16"/>
          <w:szCs w:val="16"/>
          <w:b w:val="1"/>
          <w:bCs w:val="1"/>
          <w:color w:val="auto"/>
        </w:rPr>
      </w:pPr>
      <w:r>
        <w:rPr>
          <w:rFonts w:ascii="Arial" w:cs="Arial" w:eastAsia="Arial" w:hAnsi="Arial"/>
          <w:sz w:val="16"/>
          <w:szCs w:val="16"/>
          <w:b w:val="1"/>
          <w:bCs w:val="1"/>
          <w:color w:val="auto"/>
        </w:rPr>
        <w:t>Success Fee Timely Paid</w:t>
      </w:r>
      <w:r>
        <w:rPr>
          <w:rFonts w:ascii="Arial" w:cs="Arial" w:eastAsia="Arial" w:hAnsi="Arial"/>
          <w:sz w:val="16"/>
          <w:szCs w:val="16"/>
          <w:color w:val="auto"/>
        </w:rPr>
        <w:t>. On a Project-by-Project basis, if Client pays the Success Fee for a Project in full on or before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 Fee Due Date (or, if this Agreement is earlier terminated in accordance with Article 7, prior to such termination), then effective upon such payment:</w:t>
      </w:r>
    </w:p>
    <w:p>
      <w:pPr>
        <w:spacing w:after="0" w:line="49"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586" w:name="page587"/>
    <w:bookmarkEnd w:id="586"/>
    <w:p>
      <w:pPr>
        <w:ind w:right="380" w:firstLine="1492"/>
        <w:spacing w:after="0" w:line="277" w:lineRule="auto"/>
        <w:tabs>
          <w:tab w:leader="none" w:pos="1698" w:val="left"/>
        </w:tabs>
        <w:numPr>
          <w:ilvl w:val="1"/>
          <w:numId w:val="4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ownership of the Delivered Antibodies and Delivered Antibody Information from such Project and all associated Results shall be assigned solely to Client pursuant to, and subject to the terms and conditions of, Section 4.1;</w:t>
      </w:r>
    </w:p>
    <w:p>
      <w:pPr>
        <w:spacing w:after="0" w:line="170" w:lineRule="exact"/>
        <w:rPr>
          <w:rFonts w:ascii="Arial" w:cs="Arial" w:eastAsia="Arial" w:hAnsi="Arial"/>
          <w:sz w:val="18"/>
          <w:szCs w:val="18"/>
          <w:b w:val="1"/>
          <w:bCs w:val="1"/>
          <w:color w:val="auto"/>
        </w:rPr>
      </w:pPr>
    </w:p>
    <w:p>
      <w:pPr>
        <w:ind w:right="20" w:firstLine="1492"/>
        <w:spacing w:after="0" w:line="277" w:lineRule="auto"/>
        <w:tabs>
          <w:tab w:leader="none" w:pos="1748" w:val="left"/>
        </w:tabs>
        <w:numPr>
          <w:ilvl w:val="1"/>
          <w:numId w:val="498"/>
        </w:numPr>
        <w:rPr>
          <w:rFonts w:ascii="Arial" w:cs="Arial" w:eastAsia="Arial" w:hAnsi="Arial"/>
          <w:sz w:val="18"/>
          <w:szCs w:val="18"/>
          <w:b w:val="1"/>
          <w:bCs w:val="1"/>
          <w:color w:val="auto"/>
        </w:rPr>
      </w:pPr>
      <w:r>
        <w:rPr>
          <w:rFonts w:ascii="Arial" w:cs="Arial" w:eastAsia="Arial" w:hAnsi="Arial"/>
          <w:sz w:val="18"/>
          <w:szCs w:val="18"/>
          <w:color w:val="auto"/>
        </w:rPr>
        <w:t>AnaptysBio shall treat such Delivered Antibodies, Delivered Antibody Information and Results as Confidential Information of Client in accordance with Article 5; and</w:t>
      </w:r>
    </w:p>
    <w:p>
      <w:pPr>
        <w:spacing w:after="0" w:line="170" w:lineRule="exact"/>
        <w:rPr>
          <w:rFonts w:ascii="Arial" w:cs="Arial" w:eastAsia="Arial" w:hAnsi="Arial"/>
          <w:sz w:val="18"/>
          <w:szCs w:val="18"/>
          <w:b w:val="1"/>
          <w:bCs w:val="1"/>
          <w:color w:val="auto"/>
        </w:rPr>
      </w:pPr>
    </w:p>
    <w:p>
      <w:pPr>
        <w:ind w:right="100" w:firstLine="1492"/>
        <w:spacing w:after="0" w:line="277" w:lineRule="auto"/>
        <w:tabs>
          <w:tab w:leader="none" w:pos="1798" w:val="left"/>
        </w:tabs>
        <w:numPr>
          <w:ilvl w:val="1"/>
          <w:numId w:val="498"/>
        </w:numPr>
        <w:rPr>
          <w:rFonts w:ascii="Arial" w:cs="Arial" w:eastAsia="Arial" w:hAnsi="Arial"/>
          <w:sz w:val="18"/>
          <w:szCs w:val="18"/>
          <w:b w:val="1"/>
          <w:bCs w:val="1"/>
          <w:color w:val="auto"/>
        </w:rPr>
      </w:pPr>
      <w:r>
        <w:rPr>
          <w:rFonts w:ascii="Arial" w:cs="Arial" w:eastAsia="Arial" w:hAnsi="Arial"/>
          <w:sz w:val="18"/>
          <w:szCs w:val="18"/>
          <w:color w:val="auto"/>
        </w:rPr>
        <w:t>AnaptysBio shall destroy all Results of such Project (other than the Delivered Antibodies and Delivered Antibody Information) and all Remaining Client Materials from such Project.</w:t>
      </w:r>
    </w:p>
    <w:p>
      <w:pPr>
        <w:spacing w:after="0" w:line="166" w:lineRule="exact"/>
        <w:rPr>
          <w:rFonts w:ascii="Arial" w:cs="Arial" w:eastAsia="Arial" w:hAnsi="Arial"/>
          <w:sz w:val="18"/>
          <w:szCs w:val="18"/>
          <w:b w:val="1"/>
          <w:bCs w:val="1"/>
          <w:color w:val="auto"/>
        </w:rPr>
      </w:pPr>
    </w:p>
    <w:p>
      <w:pPr>
        <w:jc w:val="both"/>
        <w:ind w:right="180" w:firstLine="464"/>
        <w:spacing w:after="0" w:line="266" w:lineRule="auto"/>
        <w:tabs>
          <w:tab w:leader="none" w:pos="701"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Success Fee Not Timely Paid</w:t>
      </w:r>
      <w:r>
        <w:rPr>
          <w:rFonts w:ascii="Arial" w:cs="Arial" w:eastAsia="Arial" w:hAnsi="Arial"/>
          <w:sz w:val="18"/>
          <w:szCs w:val="18"/>
          <w:color w:val="auto"/>
        </w:rPr>
        <w:t>. On a Project-by-Project basis, if Client fails to pay the Success Fee for a Project in full on or before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Fee Due Date (or, if this Agreement is earlier terminated in accordance with Article 7, prior to such termination), then effective as of such Success Fee Due Date (or such earlier termination, as applicable):</w:t>
      </w:r>
    </w:p>
    <w:p>
      <w:pPr>
        <w:spacing w:after="0" w:line="180" w:lineRule="exact"/>
        <w:rPr>
          <w:rFonts w:ascii="Arial" w:cs="Arial" w:eastAsia="Arial" w:hAnsi="Arial"/>
          <w:sz w:val="18"/>
          <w:szCs w:val="18"/>
          <w:b w:val="1"/>
          <w:bCs w:val="1"/>
          <w:color w:val="auto"/>
        </w:rPr>
      </w:pPr>
    </w:p>
    <w:p>
      <w:pPr>
        <w:ind w:left="1700" w:hanging="208"/>
        <w:spacing w:after="0"/>
        <w:tabs>
          <w:tab w:leader="none" w:pos="1700" w:val="left"/>
        </w:tabs>
        <w:numPr>
          <w:ilvl w:val="1"/>
          <w:numId w:val="499"/>
        </w:numPr>
        <w:rPr>
          <w:rFonts w:ascii="Arial" w:cs="Arial" w:eastAsia="Arial" w:hAnsi="Arial"/>
          <w:sz w:val="17"/>
          <w:szCs w:val="17"/>
          <w:b w:val="1"/>
          <w:bCs w:val="1"/>
          <w:color w:val="auto"/>
        </w:rPr>
      </w:pPr>
      <w:r>
        <w:rPr>
          <w:rFonts w:ascii="Arial" w:cs="Arial" w:eastAsia="Arial" w:hAnsi="Arial"/>
          <w:sz w:val="17"/>
          <w:szCs w:val="17"/>
          <w:color w:val="auto"/>
        </w:rPr>
        <w:t>neither party shall file, or cause to be filed, any Delivered Antibody Patent with respect to any Delivered Antibody Invention from</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such Project;</w:t>
      </w:r>
    </w:p>
    <w:p>
      <w:pPr>
        <w:spacing w:after="0" w:line="210" w:lineRule="exact"/>
        <w:rPr>
          <w:rFonts w:ascii="Arial" w:cs="Arial" w:eastAsia="Arial" w:hAnsi="Arial"/>
          <w:sz w:val="17"/>
          <w:szCs w:val="17"/>
          <w:b w:val="1"/>
          <w:bCs w:val="1"/>
          <w:color w:val="auto"/>
        </w:rPr>
      </w:pPr>
    </w:p>
    <w:p>
      <w:pPr>
        <w:ind w:right="180" w:firstLine="1492"/>
        <w:spacing w:after="0" w:line="264" w:lineRule="auto"/>
        <w:tabs>
          <w:tab w:leader="none" w:pos="1748" w:val="left"/>
        </w:tabs>
        <w:numPr>
          <w:ilvl w:val="1"/>
          <w:numId w:val="499"/>
        </w:numPr>
        <w:rPr>
          <w:rFonts w:ascii="Arial" w:cs="Arial" w:eastAsia="Arial" w:hAnsi="Arial"/>
          <w:sz w:val="18"/>
          <w:szCs w:val="18"/>
          <w:b w:val="1"/>
          <w:bCs w:val="1"/>
          <w:color w:val="auto"/>
        </w:rPr>
      </w:pPr>
      <w:r>
        <w:rPr>
          <w:rFonts w:ascii="Arial" w:cs="Arial" w:eastAsia="Arial" w:hAnsi="Arial"/>
          <w:sz w:val="18"/>
          <w:szCs w:val="18"/>
          <w:color w:val="auto"/>
        </w:rPr>
        <w:t>Client and AnaptysBio shall immediately destroy all Delivered Antibodies from such Project and, except as expressly set forth in Section 7.4(b), all associated Delivered Antibody Information and Results, and AnaptysBio shall destroy all Remaining Client Materials from such Project, and, in each case, certify such destruction in writing to the other party;</w:t>
      </w:r>
    </w:p>
    <w:p>
      <w:pPr>
        <w:spacing w:after="0" w:line="181" w:lineRule="exact"/>
        <w:rPr>
          <w:rFonts w:ascii="Arial" w:cs="Arial" w:eastAsia="Arial" w:hAnsi="Arial"/>
          <w:sz w:val="18"/>
          <w:szCs w:val="18"/>
          <w:b w:val="1"/>
          <w:bCs w:val="1"/>
          <w:color w:val="auto"/>
        </w:rPr>
      </w:pPr>
    </w:p>
    <w:p>
      <w:pPr>
        <w:ind w:right="440" w:firstLine="1492"/>
        <w:spacing w:after="0" w:line="277" w:lineRule="auto"/>
        <w:tabs>
          <w:tab w:leader="none" w:pos="1798" w:val="left"/>
        </w:tabs>
        <w:numPr>
          <w:ilvl w:val="1"/>
          <w:numId w:val="499"/>
        </w:numPr>
        <w:rPr>
          <w:rFonts w:ascii="Arial" w:cs="Arial" w:eastAsia="Arial" w:hAnsi="Arial"/>
          <w:sz w:val="18"/>
          <w:szCs w:val="18"/>
          <w:b w:val="1"/>
          <w:bCs w:val="1"/>
          <w:color w:val="auto"/>
        </w:rPr>
      </w:pPr>
      <w:r>
        <w:rPr>
          <w:rFonts w:ascii="Arial" w:cs="Arial" w:eastAsia="Arial" w:hAnsi="Arial"/>
          <w:sz w:val="18"/>
          <w:szCs w:val="18"/>
          <w:color w:val="auto"/>
        </w:rPr>
        <w:t>the Delivered Antibodies and Delivered Antibody Information from such Project and all associated Results shall be considered Confidential Information of both parties; and</w:t>
      </w:r>
    </w:p>
    <w:p>
      <w:pPr>
        <w:spacing w:after="0" w:line="170" w:lineRule="exact"/>
        <w:rPr>
          <w:rFonts w:ascii="Arial" w:cs="Arial" w:eastAsia="Arial" w:hAnsi="Arial"/>
          <w:sz w:val="18"/>
          <w:szCs w:val="18"/>
          <w:b w:val="1"/>
          <w:bCs w:val="1"/>
          <w:color w:val="auto"/>
        </w:rPr>
      </w:pPr>
    </w:p>
    <w:p>
      <w:pPr>
        <w:ind w:right="60" w:firstLine="1492"/>
        <w:spacing w:after="0" w:line="264" w:lineRule="auto"/>
        <w:tabs>
          <w:tab w:leader="none" w:pos="1788" w:val="left"/>
        </w:tabs>
        <w:numPr>
          <w:ilvl w:val="1"/>
          <w:numId w:val="499"/>
        </w:numPr>
        <w:rPr>
          <w:rFonts w:ascii="Arial" w:cs="Arial" w:eastAsia="Arial" w:hAnsi="Arial"/>
          <w:sz w:val="18"/>
          <w:szCs w:val="18"/>
          <w:b w:val="1"/>
          <w:bCs w:val="1"/>
          <w:color w:val="auto"/>
        </w:rPr>
      </w:pPr>
      <w:r>
        <w:rPr>
          <w:rFonts w:ascii="Arial" w:cs="Arial" w:eastAsia="Arial" w:hAnsi="Arial"/>
          <w:sz w:val="18"/>
          <w:szCs w:val="18"/>
          <w:color w:val="auto"/>
        </w:rPr>
        <w:t>each of Client and AnaptysBio hereby covenants that it will not (either directly or through any Affiliate or Third Party) develop, make, have made, use, sell, have sold, offer for sale or import any such Delivered Antibody or any Product based thereon, or otherwise exploit the associated Delivered Antibody Information or Results.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2.6 Materials Transfer</w:t>
      </w:r>
      <w:r>
        <w:rPr>
          <w:rFonts w:ascii="Arial" w:cs="Arial" w:eastAsia="Arial" w:hAnsi="Arial"/>
          <w:sz w:val="18"/>
          <w:szCs w:val="18"/>
          <w:color w:val="auto"/>
        </w:rPr>
        <w:t>. In connection with a Project, a party may provide to the other party certain biological or chemical materials,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Client Materials and Delivered Antibodies (collectively, “</w:t>
      </w:r>
      <w:r>
        <w:rPr>
          <w:rFonts w:ascii="Arial" w:cs="Arial" w:eastAsia="Arial" w:hAnsi="Arial"/>
          <w:sz w:val="18"/>
          <w:szCs w:val="18"/>
          <w:b w:val="1"/>
          <w:bCs w:val="1"/>
          <w:i w:val="1"/>
          <w:iCs w:val="1"/>
          <w:color w:val="auto"/>
        </w:rPr>
        <w:t>Materials</w:t>
      </w:r>
      <w:r>
        <w:rPr>
          <w:rFonts w:ascii="Arial" w:cs="Arial" w:eastAsia="Arial" w:hAnsi="Arial"/>
          <w:sz w:val="18"/>
          <w:szCs w:val="18"/>
          <w:color w:val="auto"/>
        </w:rPr>
        <w:t>”). Except as otherwise expressly set forth in this Agreement , all such Materials will remain the sole property of the providing party, will be used only in furtherance of the activities expressly contemplated by this Agreement, will not be used or delivered to or for the benefit of any Third Party (except, in the case of AnaptysBio, in connection with the subcontracting of Project activities in accordance with Section 2.3) without the prior written consent of the providing party, and will be used in compliance with all applicable laws, rules and regulations. The Materials supplied under this Agreement must be used with prudence and appropriate caution in any experimental work because not all of their characteristics may be known. Except as expressly set forth herein, THE MATERIALS ARE PROVIDED “AS IS” AND WITHOUT ANY REPRESENTATION OR</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587" w:name="page588"/>
    <w:bookmarkEnd w:id="587"/>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WARRANTY, EXPRESS OR IMPLIED, INCLUDING WITHOUT LIMITATION ANY IMPLIED WARRANTY OF MERCHANTABILITY OR OF FITNESS FOR ANY PARTICULAR PURPOSE OR ANY WARRANTY THAT THE USE OF THE MATERIALS WILL NOT INFRINGE OR VIOLATE ANY PATENT OR OTHER PROPRIETARY RIGHTS OF ANY THIRD PARTY.</w:t>
      </w:r>
    </w:p>
    <w:p>
      <w:pPr>
        <w:spacing w:after="0" w:line="204" w:lineRule="exact"/>
        <w:rPr>
          <w:sz w:val="20"/>
          <w:szCs w:val="20"/>
          <w:color w:val="auto"/>
        </w:rPr>
      </w:pPr>
    </w:p>
    <w:p>
      <w:pPr>
        <w:ind w:left="460" w:hanging="452"/>
        <w:spacing w:after="0"/>
        <w:tabs>
          <w:tab w:leader="none" w:pos="46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AYMENTS</w:t>
      </w:r>
      <w:r>
        <w:rPr>
          <w:rFonts w:ascii="Arial" w:cs="Arial" w:eastAsia="Arial" w:hAnsi="Arial"/>
          <w:sz w:val="18"/>
          <w:szCs w:val="18"/>
          <w:b w:val="1"/>
          <w:bCs w:val="1"/>
          <w:color w:val="auto"/>
        </w:rPr>
        <w:t>.</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3.1 Initial Fee</w:t>
      </w:r>
      <w:r>
        <w:rPr>
          <w:rFonts w:ascii="Arial" w:cs="Arial" w:eastAsia="Arial" w:hAnsi="Arial"/>
          <w:sz w:val="18"/>
          <w:szCs w:val="18"/>
          <w:color w:val="auto"/>
        </w:rPr>
        <w:t>. Client shall pay to AnaptysBio a one-time, non-refundable, non-creditable initial fee of six million dollars ($6,000,000) within five (5)</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after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Reimbursement for Excluded Costs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64" w:lineRule="auto"/>
        <w:tabs>
          <w:tab w:leader="none" w:pos="1168" w:val="left"/>
        </w:tabs>
        <w:numPr>
          <w:ilvl w:val="0"/>
          <w:numId w:val="501"/>
        </w:numPr>
        <w:rPr>
          <w:rFonts w:ascii="Arial" w:cs="Arial" w:eastAsia="Arial" w:hAnsi="Arial"/>
          <w:sz w:val="18"/>
          <w:szCs w:val="18"/>
          <w:b w:val="1"/>
          <w:bCs w:val="1"/>
          <w:color w:val="auto"/>
        </w:rPr>
      </w:pPr>
      <w:r>
        <w:rPr>
          <w:rFonts w:ascii="Arial" w:cs="Arial" w:eastAsia="Arial" w:hAnsi="Arial"/>
          <w:sz w:val="18"/>
          <w:szCs w:val="18"/>
          <w:color w:val="auto"/>
        </w:rPr>
        <w:t>On a Project-by-Project basis Client shall reimburse AnaptysBio for [*] Except as expressly set forth in such Research Plan, AnaptysBio shall issue written, reasonably detailed invoices to Client for such Excluded Costs on a monthly basis, and Client shall pay each such invoice in full within [*] of receipt.</w:t>
      </w:r>
    </w:p>
    <w:p>
      <w:pPr>
        <w:spacing w:after="0" w:line="177"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3.3 Success Fee</w:t>
      </w:r>
      <w:r>
        <w:rPr>
          <w:rFonts w:ascii="Arial" w:cs="Arial" w:eastAsia="Arial" w:hAnsi="Arial"/>
          <w:sz w:val="18"/>
          <w:szCs w:val="18"/>
          <w:color w:val="auto"/>
        </w:rPr>
        <w:t>. On a Project-by-Project basis, Client shall pay to AnaptysBio a non-refundable, non-creditable fee of five hundred thousand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($500,000) per Project (the “</w:t>
      </w:r>
      <w:r>
        <w:rPr>
          <w:rFonts w:ascii="Arial" w:cs="Arial" w:eastAsia="Arial" w:hAnsi="Arial"/>
          <w:sz w:val="18"/>
          <w:szCs w:val="18"/>
          <w:b w:val="1"/>
          <w:bCs w:val="1"/>
          <w:i w:val="1"/>
          <w:iCs w:val="1"/>
          <w:color w:val="auto"/>
        </w:rPr>
        <w:t>Success Fee</w:t>
      </w:r>
      <w:r>
        <w:rPr>
          <w:rFonts w:ascii="Arial" w:cs="Arial" w:eastAsia="Arial" w:hAnsi="Arial"/>
          <w:sz w:val="18"/>
          <w:szCs w:val="18"/>
          <w:color w:val="auto"/>
        </w:rPr>
        <w:t>”) as set forth below:</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3.4 Milestone Payments</w:t>
      </w:r>
      <w:r>
        <w:rPr>
          <w:rFonts w:ascii="Arial" w:cs="Arial" w:eastAsia="Arial" w:hAnsi="Arial"/>
          <w:sz w:val="18"/>
          <w:szCs w:val="18"/>
          <w:color w:val="auto"/>
        </w:rPr>
        <w:t>. Subject to the limitations set forth below, within [*] following the first occurrence of each of the events set forth below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each Product arising from a Project, Client shall provide written notice to AnaptysBio of the occurrence of such event and shall pay to AnaptysBio the corresponding milestone payment set forth below (whether such milestone is achieved by Client, its Affiliate or any of their respective licensees or sublicensees):</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3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Milestone</w:t>
            </w:r>
          </w:p>
        </w:tc>
        <w:tc>
          <w:tcPr>
            <w:tcW w:w="0" w:type="dxa"/>
            <w:vAlign w:val="bottom"/>
          </w:tcPr>
          <w:p>
            <w:pPr>
              <w:spacing w:after="0"/>
              <w:rPr>
                <w:sz w:val="1"/>
                <w:szCs w:val="1"/>
                <w:color w:val="auto"/>
              </w:rPr>
            </w:pPr>
          </w:p>
        </w:tc>
      </w:tr>
      <w:tr>
        <w:trPr>
          <w:trHeight w:val="178"/>
        </w:trPr>
        <w:tc>
          <w:tcPr>
            <w:tcW w:w="4200" w:type="dxa"/>
            <w:vAlign w:val="bottom"/>
            <w:gridSpan w:val="3"/>
            <w:vMerge w:val="continue"/>
          </w:tcPr>
          <w:p>
            <w:pPr>
              <w:spacing w:after="0"/>
              <w:rPr>
                <w:sz w:val="15"/>
                <w:szCs w:val="15"/>
                <w:color w:val="auto"/>
              </w:rPr>
            </w:pPr>
          </w:p>
        </w:tc>
        <w:tc>
          <w:tcPr>
            <w:tcW w:w="2860" w:type="dxa"/>
            <w:vAlign w:val="bottom"/>
          </w:tcPr>
          <w:p>
            <w:pPr>
              <w:spacing w:after="0"/>
              <w:rPr>
                <w:sz w:val="15"/>
                <w:szCs w:val="15"/>
                <w:color w:val="auto"/>
              </w:rPr>
            </w:pPr>
          </w:p>
        </w:tc>
        <w:tc>
          <w:tcPr>
            <w:tcW w:w="7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8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per Product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On a Project-by-Project basis, each of the milestone payments set forth above shall be payable: (a) only once per Product, regardless of the number of times a particular Product achieves any milestone set forth above; and (b) only two times per Project, for the first two Products to achieve any milestone set forth above, regardless of the number of Products from such Project that achieve the milestones set forth above; such that the maximum amount payable</w:t>
      </w:r>
    </w:p>
    <w:p>
      <w:pPr>
        <w:spacing w:after="0" w:line="75"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588" w:name="page589"/>
    <w:bookmarkEnd w:id="588"/>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this Section 3.4 for each Project shall be fifty-three million dollars ($53,000,000). With respect to any particular milestone event set forth above, from and after such time as the corresponding milestone payment has been paid for two Products arising from a Project, Client shall have no further obligation to notify AnaptysBio of the achievement of such milestone event by any other Product arising from such Project or to pay any additional milestone payment for any such achievement. For purposes of the foregoing milestones, “initiation” of a clinical trial shall mean [*]. Each of the foregoing milestone payments shall be payable only one time for the first and second Product arising from a Project and shall not be payable on any additional Products arising from the Project.</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3.5 Royalties</w:t>
      </w:r>
      <w:r>
        <w:rPr>
          <w:rFonts w:ascii="Arial" w:cs="Arial" w:eastAsia="Arial" w:hAnsi="Arial"/>
          <w:sz w:val="16"/>
          <w:szCs w:val="16"/>
          <w:color w:val="auto"/>
        </w:rPr>
        <w:t>. Client shall pay to AnaptysBio a royalty equal to [*] percent [*]% of Net Sales of Products. Royalties under this Section 3.5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on a Product-by-Product and country-by-country basis from the First Commercial Sale of a Product in a country until the later of [*] (the “</w:t>
      </w:r>
      <w:r>
        <w:rPr>
          <w:rFonts w:ascii="Arial" w:cs="Arial" w:eastAsia="Arial" w:hAnsi="Arial"/>
          <w:sz w:val="16"/>
          <w:szCs w:val="16"/>
          <w:b w:val="1"/>
          <w:bCs w:val="1"/>
          <w:i w:val="1"/>
          <w:iCs w:val="1"/>
          <w:color w:val="auto"/>
        </w:rPr>
        <w:t>Royalty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In the event Client obtains a license under any issued patent of a Third Party in a country for which license Client is obligated to pay such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royalty on sales of a Product in such country, then Client may offset [*] percent ([*]%) of the royalties actually paid to such Third Party under such patent license with respect to sales of such Product in such country against the royalties due AnaptysBio under this Agreement with respect to Net Sales of such Product in such country, provided that in no event shall the effective royalty rate applicable to Net Sales of such Product in such country hereunder be reduced below [*]% as a result of all such offsets in the aggregate. For the avoidance of doubt, royalties shall be payable only once with respect to the same unit of Product. On a Product-by-Product and country-by-country basis, upon expiration of the Royalty Term for a Product in a country, Client’s licenses and rights hereunder with respect to such Product in such country shall continue in effect, but become fully paid-up, royalty-free, transferable, perpetual and irrevocable.</w:t>
      </w:r>
    </w:p>
    <w:p>
      <w:pPr>
        <w:spacing w:after="0" w:line="16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3.6 Applicability of Payment Obligations</w:t>
      </w:r>
      <w:r>
        <w:rPr>
          <w:rFonts w:ascii="Arial" w:cs="Arial" w:eastAsia="Arial" w:hAnsi="Arial"/>
          <w:sz w:val="16"/>
          <w:szCs w:val="16"/>
          <w:color w:val="auto"/>
        </w:rPr>
        <w:t>. Client acknowledges and agrees that all milestone and royalty payment obligations as set forth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3.4 and 3.5 shall apply notwithstanding the sale, license, transfer or other disposition by Client of any of its rights with respect to any Delivered Antibody, Product, Delivered Antibody Information or Delivered Antibody Patent. Moreover, Client shall at all times be and remain liable for any and all fees and payments that may become due hereunder with respect to any Delivered Antibody or Product, regardless of whether Client has sold, licensed, transferred or otherwise disposed of any of its rights with respect to such Delivered Antibody or Product or any Delivered Antibody Information or Delivered Antibody Patent to any Affiliate or Third Party. Prior to selling, licensing, transferring or otherwise disposing of any of Client’s rights with respect to any Delivered Antibody, Product, Delivered Antibody Information or Delivered Antibody Patent to any Affiliate or Third Party, Client shall obtain the written agreement of such Affiliate or Third Party, for the benefit of AnaptysBio, to be bound by Sections 3.4 through 3.12 of this Agreement to the same extent as Client, and Client shall provide prompt written notice of any such sale, license, transfer or other disposition to AnaptysBio, including the identity of the applicable Delivered Antibody(ies), Product(s), Delivered Antibody Information and/or Delivered Antibody Patent and the identity of the purchaser, licensee, transferee or other recipient thereof. Client shall ensure that any such transfer arrangement is consistent with the terms of this Agreement.</w:t>
      </w:r>
    </w:p>
    <w:p>
      <w:pPr>
        <w:spacing w:after="0" w:line="164"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3.7 Third Party Patents</w:t>
      </w:r>
      <w:r>
        <w:rPr>
          <w:rFonts w:ascii="Arial" w:cs="Arial" w:eastAsia="Arial" w:hAnsi="Arial"/>
          <w:sz w:val="18"/>
          <w:szCs w:val="18"/>
          <w:color w:val="auto"/>
        </w:rPr>
        <w:t>. Except as expressly set forth in Section 4.3(b), Client shall be solely responsible for obtaining such licenses under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patent or other intellectual</w:t>
      </w:r>
    </w:p>
    <w:p>
      <w:pPr>
        <w:spacing w:after="0" w:line="94" w:lineRule="exact"/>
        <w:rPr>
          <w:sz w:val="20"/>
          <w:szCs w:val="20"/>
          <w:color w:val="auto"/>
        </w:rPr>
      </w:pPr>
    </w:p>
    <w:p>
      <w:pPr>
        <w:jc w:val="both"/>
        <w:ind w:left="5880"/>
        <w:spacing w:after="0"/>
        <w:tabs>
          <w:tab w:leader="none" w:pos="8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589" w:name="page590"/>
    <w:bookmarkEnd w:id="589"/>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rights as Client determines are necessary or desirable for the manufacture, use, sale, offer for sale or import of Delivered Antibodies or Products, at Client’s sole expense.</w:t>
      </w:r>
    </w:p>
    <w:p>
      <w:pPr>
        <w:spacing w:after="0" w:line="16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3.8 Payment; Reports</w:t>
      </w:r>
      <w:r>
        <w:rPr>
          <w:rFonts w:ascii="Arial" w:cs="Arial" w:eastAsia="Arial" w:hAnsi="Arial"/>
          <w:sz w:val="18"/>
          <w:szCs w:val="18"/>
          <w:color w:val="auto"/>
        </w:rPr>
        <w:t>. Royalties shall be calculated and reported for each calendar quarter and shall be paid within [*] after the end of each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Each payment shall be accompanied by a report of [*].</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3.9 Exchange Rate; Manner and Place of Payment</w:t>
      </w:r>
      <w:r>
        <w:rPr>
          <w:rFonts w:ascii="Arial" w:cs="Arial" w:eastAsia="Arial" w:hAnsi="Arial"/>
          <w:sz w:val="18"/>
          <w:szCs w:val="18"/>
          <w:color w:val="auto"/>
        </w:rPr>
        <w:t>. All payments hereunder shall be payable in U.S. dollars and shall be made by electronic funds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immediately available funds to a bank and account designated in writing by AnaptysBio, unless otherwise specified in writing by AnaptysBio. When conversion of payments from any foreign currency is required, such conversion shall be made at the rate of exchange used by Client throughout its accounting system for the applicable calendar quarter.</w:t>
      </w:r>
    </w:p>
    <w:p>
      <w:pPr>
        <w:spacing w:after="0" w:line="180"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3.10 Income Tax Withholding</w:t>
      </w:r>
      <w:r>
        <w:rPr>
          <w:rFonts w:ascii="Arial" w:cs="Arial" w:eastAsia="Arial" w:hAnsi="Arial"/>
          <w:sz w:val="17"/>
          <w:szCs w:val="17"/>
          <w:color w:val="auto"/>
        </w:rPr>
        <w:t>. AnaptysBio will pay any and all taxes levied on account of any payments made to it under this Agreement. If any taxes</w:t>
      </w:r>
      <w:r>
        <w:rPr>
          <w:rFonts w:ascii="Arial" w:cs="Arial" w:eastAsia="Arial" w:hAnsi="Arial"/>
          <w:sz w:val="17"/>
          <w:szCs w:val="17"/>
          <w:b w:val="1"/>
          <w:bCs w:val="1"/>
          <w:color w:val="auto"/>
        </w:rPr>
        <w:t xml:space="preserve"> </w:t>
      </w:r>
      <w:r>
        <w:rPr>
          <w:rFonts w:ascii="Arial" w:cs="Arial" w:eastAsia="Arial" w:hAnsi="Arial"/>
          <w:sz w:val="17"/>
          <w:szCs w:val="17"/>
          <w:color w:val="auto"/>
        </w:rPr>
        <w:t>are required to be withheld by Client, Client will (a) deduct such taxes from the payment made to AnaptysBio, (b) timely pay the taxes to the proper taxing authority, (c) send proof of payment to AnaptysBio (and, if such tax authority provides a receipt for such payment to Client, a copy of such receipt), and (d) reasonably assist AnaptysBio in its efforts to obtain a credit for or refund of such tax payment.</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3.11 Records and Audit Rights</w:t>
      </w:r>
      <w:r>
        <w:rPr>
          <w:rFonts w:ascii="Arial" w:cs="Arial" w:eastAsia="Arial" w:hAnsi="Arial"/>
          <w:sz w:val="16"/>
          <w:szCs w:val="16"/>
          <w:color w:val="auto"/>
        </w:rPr>
        <w:t>. During the Term and for a period of [*] years thereafter, Client shall keep (and shall cause its Affiliates, licensees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sublicensees to keep) complete and accurate records pertaining to the sale or other disposition of Products in sufficient detail to permit AnaptysBio to confirm the accuracy of all royalty payments due hereunder. AnaptysBio shall have the right to cause an independent, certified public accountant reasonably acceptable to Client to audit such records to confirm Net Sales and royalty payments for a period covering not more than the preceding [*] full calendar years. Such audits may be exercised during normal business hours upon reasonable prior written notice to Client. All information received or learned in connection with such audit shall be Confidential Information of Client and shall be subject to Article 5, provided that AnaptysBio may use and disclose such information to the extent necessary to prepare its financial statements. Prompt adjustments shall be made by the parties to reflect the results of such audit. AnaptysBio shall bear the full cost of such audit unless such audit discloses an underpayment by Client of more than [*]% of the amount due under this Agreement, in which case, Client shall bear the full cost of such audit and shall promptly remit to AnaptysBio the amount of any underpayment.</w:t>
      </w:r>
    </w:p>
    <w:p>
      <w:pPr>
        <w:spacing w:after="0" w:line="160"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3.12 Late Payments</w:t>
      </w:r>
      <w:r>
        <w:rPr>
          <w:rFonts w:ascii="Arial" w:cs="Arial" w:eastAsia="Arial" w:hAnsi="Arial"/>
          <w:sz w:val="18"/>
          <w:szCs w:val="18"/>
          <w:color w:val="auto"/>
        </w:rPr>
        <w:t>. In the event that any payment due under this Agreement is not made when due, the payment shall accrue interest from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due at the rate of [*]% per month (or, if lower, the maximum legal annual interest rate). The payment of such interest shall not limit AnaptysBio from exercising any other rights it may have as a consequence of the lateness of any payment.</w:t>
      </w:r>
    </w:p>
    <w:p>
      <w:pPr>
        <w:spacing w:after="0" w:line="203" w:lineRule="exact"/>
        <w:rPr>
          <w:sz w:val="20"/>
          <w:szCs w:val="20"/>
          <w:color w:val="auto"/>
        </w:rPr>
      </w:pPr>
    </w:p>
    <w:p>
      <w:pPr>
        <w:ind w:left="460" w:hanging="452"/>
        <w:spacing w:after="0"/>
        <w:tabs>
          <w:tab w:leader="none" w:pos="46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58"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590" w:name="page591"/>
    <w:bookmarkEnd w:id="590"/>
    <w:p>
      <w:pPr>
        <w:ind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 Delivered Antibodies</w:t>
      </w:r>
      <w:r>
        <w:rPr>
          <w:rFonts w:ascii="Arial" w:cs="Arial" w:eastAsia="Arial" w:hAnsi="Arial"/>
          <w:sz w:val="17"/>
          <w:szCs w:val="17"/>
          <w:color w:val="auto"/>
        </w:rPr>
        <w:t>. Subject to the terms and conditions of this Agreement, on a Project-by-Project basis, and effective only upon payment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Success Fee for a Project on or before the applicable Success Fee Due Date (or, if this Agreement is earlier terminated in accordance with Article 7, prior to such termination), AnaptysBio hereby assigns to Client all right, title and interest of AnaptysBio in and to the Delivered Antibodies and Delivered Antibody Information from such Project, and the Results of the Evaluation thereof, including all intellectual property rights in any of the foregoing. Client acknowledges and agrees that, notwithstanding any assignment by AnaptysBio to Client of any Delivered Antibody, Delivered Antibody Information and/or any Results of the Evaluation, or any further assignment, license or transfer by Client to any Affiliate or Third Party of any rights in any Delivered Antibody, Product, Delivered Antibody Information and/or Results of the Evaluation, all Delivered Antibodies and Products shall be and remain subject to the milestone and royalty payment obligations set forth in Sections 3.4 and 3.5, respectively.</w:t>
      </w:r>
    </w:p>
    <w:p>
      <w:pPr>
        <w:spacing w:after="0" w:line="172"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b w:val="1"/>
          <w:bCs w:val="1"/>
          <w:color w:val="auto"/>
        </w:rPr>
        <w:t>4.2 AnaptysBio Technology</w:t>
      </w:r>
      <w:r>
        <w:rPr>
          <w:rFonts w:ascii="Arial" w:cs="Arial" w:eastAsia="Arial" w:hAnsi="Arial"/>
          <w:sz w:val="17"/>
          <w:szCs w:val="17"/>
          <w:color w:val="auto"/>
        </w:rPr>
        <w:t>. AnaptysBio shall at all times be and remain the sole and exclusive owner of the AnaptysBio Technology and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no obligation to deliver, make available or disclose to Client any AnaptysBio Technology. AnaptysBio shall be free, in its sole discretion, to seek patent or other intellectual property protection of AnaptysBio Technology. Except as expressly set forth in Section 4.3, nothing in this Agreement shall be construed as granting to Client any right or license in any AnaptysBio Technology or any other intellectual property rights of AnaptysBio.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Freedom to Operate</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0" w:lineRule="auto"/>
        <w:tabs>
          <w:tab w:leader="none" w:pos="1168" w:val="left"/>
        </w:tabs>
        <w:numPr>
          <w:ilvl w:val="0"/>
          <w:numId w:val="503"/>
        </w:numPr>
        <w:rPr>
          <w:rFonts w:ascii="Arial" w:cs="Arial" w:eastAsia="Arial" w:hAnsi="Arial"/>
          <w:sz w:val="16"/>
          <w:szCs w:val="16"/>
          <w:b w:val="1"/>
          <w:bCs w:val="1"/>
          <w:color w:val="auto"/>
        </w:rPr>
      </w:pPr>
      <w:r>
        <w:rPr>
          <w:rFonts w:ascii="Arial" w:cs="Arial" w:eastAsia="Arial" w:hAnsi="Arial"/>
          <w:sz w:val="16"/>
          <w:szCs w:val="16"/>
          <w:b w:val="1"/>
          <w:bCs w:val="1"/>
          <w:color w:val="auto"/>
        </w:rPr>
        <w:t>Subject AnaptysBio Patents</w:t>
      </w:r>
      <w:r>
        <w:rPr>
          <w:rFonts w:ascii="Arial" w:cs="Arial" w:eastAsia="Arial" w:hAnsi="Arial"/>
          <w:sz w:val="16"/>
          <w:szCs w:val="16"/>
          <w:color w:val="auto"/>
        </w:rPr>
        <w:t>. Subject to the terms and conditions of this Agreement (including Sections 3.4 and 3.5 above and Section 4.3(b)</w:t>
      </w:r>
      <w:r>
        <w:rPr>
          <w:rFonts w:ascii="Arial" w:cs="Arial" w:eastAsia="Arial" w:hAnsi="Arial"/>
          <w:sz w:val="16"/>
          <w:szCs w:val="16"/>
          <w:b w:val="1"/>
          <w:bCs w:val="1"/>
          <w:color w:val="auto"/>
        </w:rPr>
        <w:t xml:space="preserve"> </w:t>
      </w:r>
      <w:r>
        <w:rPr>
          <w:rFonts w:ascii="Arial" w:cs="Arial" w:eastAsia="Arial" w:hAnsi="Arial"/>
          <w:sz w:val="16"/>
          <w:szCs w:val="16"/>
          <w:color w:val="auto"/>
        </w:rPr>
        <w:t>below), on a Project-by-Project basis, to the extent necessary, and effective only upon the effectiveness of the assignment set forth in Section 4.1 for a Project, AnaptysBio shall, and it hereby does, grant to Client a non-exclusive, worldwide, royalty-bearing license under the Subject AnaptysBio Patents associated with a particular Delivered Antibody from such Project, solely to make, have made, use, sell, have sold, offer for sale, and import such Delivered Antibody and related Products for all uses and purposes. The foregoing license will include the right to sublicense solely in conjunction with the grant by Client to a Third Party of a license to make, have made, use, sell, have sold, offer for sale, or import a Product based on such Delivered Antibody. For the avoidance of doubt, the license granted pursuant to this Section 4.3(a) excludes (i) the right to use any AnaptysBio Technology for the purpose of modifying any Antibody (including, without limitation, any Delivered Antibody), and (ii) the right to make, have made, use, sell, have sold, offer for sale, or import any Antibody other than a Delivered Antibody that has been assigned to Client pursuant to Section 4.1 and its related Products.</w:t>
      </w:r>
    </w:p>
    <w:p>
      <w:pPr>
        <w:spacing w:after="0" w:line="159" w:lineRule="exact"/>
        <w:rPr>
          <w:rFonts w:ascii="Arial" w:cs="Arial" w:eastAsia="Arial" w:hAnsi="Arial"/>
          <w:sz w:val="16"/>
          <w:szCs w:val="16"/>
          <w:b w:val="1"/>
          <w:bCs w:val="1"/>
          <w:color w:val="auto"/>
        </w:rPr>
      </w:pPr>
    </w:p>
    <w:p>
      <w:pPr>
        <w:jc w:val="both"/>
        <w:ind w:right="120" w:firstLine="921"/>
        <w:spacing w:after="0" w:line="261" w:lineRule="auto"/>
        <w:tabs>
          <w:tab w:leader="none" w:pos="1178"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In-Licensed Patents</w:t>
      </w:r>
      <w:r>
        <w:rPr>
          <w:rFonts w:ascii="Arial" w:cs="Arial" w:eastAsia="Arial" w:hAnsi="Arial"/>
          <w:sz w:val="18"/>
          <w:szCs w:val="18"/>
          <w:color w:val="auto"/>
        </w:rPr>
        <w:t>. With regard to any Subject AnaptysBio Patent licensed to Client pursuant to Section 4.3(a) that is licensed to</w:t>
      </w:r>
      <w:r>
        <w:rPr>
          <w:rFonts w:ascii="Arial" w:cs="Arial" w:eastAsia="Arial" w:hAnsi="Arial"/>
          <w:sz w:val="18"/>
          <w:szCs w:val="18"/>
          <w:b w:val="1"/>
          <w:bCs w:val="1"/>
          <w:color w:val="auto"/>
        </w:rPr>
        <w:t xml:space="preserve"> </w:t>
      </w:r>
      <w:r>
        <w:rPr>
          <w:rFonts w:ascii="Arial" w:cs="Arial" w:eastAsia="Arial" w:hAnsi="Arial"/>
          <w:sz w:val="18"/>
          <w:szCs w:val="18"/>
          <w:color w:val="auto"/>
        </w:rPr>
        <w:t>AnaptysBio by [*]. Subject to mutual execution by the parties of a sublicense agreement with respect to an In-Licensed Patent, AnaptysBio shall be responsible for any payments that may be due to Licensor(s) as a result of Client’s practice of the invention(s) claimed by such In-Licensed Patent within the scope of such sublicense.</w:t>
      </w:r>
    </w:p>
    <w:p>
      <w:pPr>
        <w:spacing w:after="0" w:line="113"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591" w:name="page592"/>
    <w:bookmarkEnd w:id="59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 Patents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58" w:lineRule="auto"/>
        <w:tabs>
          <w:tab w:leader="none" w:pos="1168"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Delivered Antibody Patents</w:t>
      </w:r>
      <w:r>
        <w:rPr>
          <w:rFonts w:ascii="Arial" w:cs="Arial" w:eastAsia="Arial" w:hAnsi="Arial"/>
          <w:sz w:val="18"/>
          <w:szCs w:val="18"/>
          <w:color w:val="auto"/>
        </w:rPr>
        <w:t>. Subject to the terms and conditions of this Agreement, on a Project-by-Project basis and effective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the assignment set forth in Section 4.1 for a Project, Client shall have the exclusive right, in its sole discretion and at its own expense, to file and prosecute any patent applications, and to maintain, defend and enforce any resulting patents, claiming or disclosing any Delivered Antibody or Delivered Antibody Information from such Project, any associated Product, or any method of making or using any of the foregoing (collectively, “</w:t>
      </w:r>
      <w:r>
        <w:rPr>
          <w:rFonts w:ascii="Arial" w:cs="Arial" w:eastAsia="Arial" w:hAnsi="Arial"/>
          <w:sz w:val="18"/>
          <w:szCs w:val="18"/>
          <w:b w:val="1"/>
          <w:bCs w:val="1"/>
          <w:i w:val="1"/>
          <w:iCs w:val="1"/>
          <w:color w:val="auto"/>
        </w:rPr>
        <w:t>Delivered Antibody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w:t>
      </w:r>
    </w:p>
    <w:p>
      <w:pPr>
        <w:spacing w:after="0" w:line="183" w:lineRule="exact"/>
        <w:rPr>
          <w:rFonts w:ascii="Arial" w:cs="Arial" w:eastAsia="Arial" w:hAnsi="Arial"/>
          <w:sz w:val="18"/>
          <w:szCs w:val="18"/>
          <w:b w:val="1"/>
          <w:bCs w:val="1"/>
          <w:color w:val="auto"/>
        </w:rPr>
      </w:pPr>
    </w:p>
    <w:p>
      <w:pPr>
        <w:ind w:right="360" w:firstLine="921"/>
        <w:spacing w:after="0" w:line="261" w:lineRule="auto"/>
        <w:tabs>
          <w:tab w:leader="none" w:pos="1178"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Joint Patents</w:t>
      </w:r>
      <w:r>
        <w:rPr>
          <w:rFonts w:ascii="Arial" w:cs="Arial" w:eastAsia="Arial" w:hAnsi="Arial"/>
          <w:sz w:val="18"/>
          <w:szCs w:val="18"/>
          <w:color w:val="auto"/>
        </w:rPr>
        <w:t>. For the avoidance of doubt, the parties do not anticipate that there will be any Joint Inventions, as they anticipate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and information resulting from activities under this Agreement are most likely to fall within the scope of AnaptysBio Technology, Client Technology or Delivered Antibody Inventions. However, in the event that any Joint Invention is made, the parties shall mutually agree, on a case-by-case basis, [*]</w:t>
      </w:r>
    </w:p>
    <w:p>
      <w:pPr>
        <w:spacing w:after="0" w:line="180"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4.5 Cooperation</w:t>
      </w:r>
      <w:r>
        <w:rPr>
          <w:rFonts w:ascii="Arial" w:cs="Arial" w:eastAsia="Arial" w:hAnsi="Arial"/>
          <w:sz w:val="18"/>
          <w:szCs w:val="18"/>
          <w:color w:val="auto"/>
        </w:rPr>
        <w:t>. The parties shall cooperate in good faith to accomplish the intent of Sections 4.1 and 4.4 and to enable each party to exercise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perform its responsibilities under such Sections, including the execution of all such documents and instruments and the performance of such acts (and causing its relevant employees to execute such documents and instruments and to perform such acts) as may be reasonably necessary in order to permit each party to exercise such rights and perform such obligations.</w:t>
      </w:r>
    </w:p>
    <w:p>
      <w:pPr>
        <w:spacing w:after="0" w:line="180"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4.6 No Implied Licenses</w:t>
      </w:r>
      <w:r>
        <w:rPr>
          <w:rFonts w:ascii="Arial" w:cs="Arial" w:eastAsia="Arial" w:hAnsi="Arial"/>
          <w:sz w:val="18"/>
          <w:szCs w:val="18"/>
          <w:color w:val="auto"/>
        </w:rPr>
        <w:t>. No right or license under any Information or intellectual property right of either party is granted or shall be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hereunder. All such rights or licenses are or shall be granted only as expressly provided in this Agreement.</w:t>
      </w:r>
    </w:p>
    <w:p>
      <w:pPr>
        <w:spacing w:after="0" w:line="189" w:lineRule="exact"/>
        <w:rPr>
          <w:sz w:val="20"/>
          <w:szCs w:val="20"/>
          <w:color w:val="auto"/>
        </w:rPr>
      </w:pPr>
    </w:p>
    <w:p>
      <w:pPr>
        <w:ind w:left="460" w:hanging="452"/>
        <w:spacing w:after="0"/>
        <w:tabs>
          <w:tab w:leader="none" w:pos="46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ROTECTION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5.1 Confidentiality</w:t>
      </w:r>
      <w:r>
        <w:rPr>
          <w:rFonts w:ascii="Arial" w:cs="Arial" w:eastAsia="Arial" w:hAnsi="Arial"/>
          <w:sz w:val="16"/>
          <w:szCs w:val="16"/>
          <w:color w:val="auto"/>
        </w:rPr>
        <w:t>. Except to the extent expressly authorized by this Agreement or otherwise agreed in writing by the parties, the parties agree that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(referred to as the “receiving party’ shall keep confidential and shall not publish or otherwise disclose and shall not use for any purpose other than as expressly provided for in this Agreement any Confidential Information of the other party. Each party may use the other party’s Confidential Information only to the extent required to accomplish the purposes of this Agreement. Each party may disclose Confidential Information of the other party to those of such party’s employees, directors, contractors and consultants who have a need for such information, provided that such party shall advise such employees, directors, contractors and consultants of the confidential nature thereof, shall insure that each such employee, director, contractor or consultant is bound by obligations of confidentiality at least as stringent as those contained in this Agreement and shall be responsible for the compliance of its employees, directors, contractors and consultants with the terms of this Agreement. Each party will use at least the same standard of care as it uses to protect proprietary or confidential information of its own (but in no event less than reasonable care) to ensure that its employees, directors, contractors and consultants do not disclose or make any unauthorized use of the other party’s Confidential Information. Each party will promptly</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the other upon discovery of any unauthorized use or disclosure of the other party’s Confidential Information.</w:t>
      </w:r>
    </w:p>
    <w:p>
      <w:pPr>
        <w:spacing w:after="0" w:line="2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5.2 Exceptions</w:t>
      </w:r>
      <w:r>
        <w:rPr>
          <w:rFonts w:ascii="Arial" w:cs="Arial" w:eastAsia="Arial" w:hAnsi="Arial"/>
          <w:sz w:val="18"/>
          <w:szCs w:val="18"/>
          <w:color w:val="auto"/>
        </w:rPr>
        <w:t>. Confidential Information shall not include any information that the receiving party can prove by competent evidence: (a) was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the receiving party prior to receipt from the other party other than as a result of performance of a Project; (b) was generally available to the public or otherwise part of the public domain at the time of its disclosure to the receiving party; (c) became generally available to the public or otherwise part of the public domain after its disclosure, other than through any act or omission of the receiving party in breach of this Agreement; (d) was disclosed to the receiving party, other than under an obligation of confidentiality, by a Third Party with the lawful right to make such disclosure; or (e) was independently discovered or developed by the receiving party without access to and without the aid, use or application of any Confidential Information disclosed or made available to the receiving party by the other party.</w:t>
      </w:r>
    </w:p>
    <w:p>
      <w:pPr>
        <w:spacing w:after="0" w:line="189"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5.3 Authorized Disclosure</w:t>
      </w:r>
      <w:r>
        <w:rPr>
          <w:rFonts w:ascii="Arial" w:cs="Arial" w:eastAsia="Arial" w:hAnsi="Arial"/>
          <w:sz w:val="18"/>
          <w:szCs w:val="18"/>
          <w:color w:val="auto"/>
        </w:rPr>
        <w:t>. Notwithstanding Section 5.1, a party may disclose Confidential Information of the other party, without violating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to the extent the disclosure is necessary in the following instances:</w:t>
      </w:r>
    </w:p>
    <w:p>
      <w:pPr>
        <w:spacing w:after="0" w:line="166" w:lineRule="exact"/>
        <w:rPr>
          <w:sz w:val="20"/>
          <w:szCs w:val="20"/>
          <w:color w:val="auto"/>
        </w:rPr>
      </w:pPr>
    </w:p>
    <w:p>
      <w:pPr>
        <w:ind w:left="1180" w:hanging="259"/>
        <w:spacing w:after="0"/>
        <w:tabs>
          <w:tab w:leader="none" w:pos="118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t>filing or prosecuting patent applications as permitted by this Agreement;</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as permitted by this Agreement;</w:t>
      </w:r>
    </w:p>
    <w:p>
      <w:pPr>
        <w:spacing w:after="0" w:line="225" w:lineRule="exact"/>
        <w:rPr>
          <w:rFonts w:ascii="Arial" w:cs="Arial" w:eastAsia="Arial" w:hAnsi="Arial"/>
          <w:sz w:val="18"/>
          <w:szCs w:val="18"/>
          <w:b w:val="1"/>
          <w:bCs w:val="1"/>
          <w:color w:val="auto"/>
        </w:rPr>
      </w:pPr>
    </w:p>
    <w:p>
      <w:pPr>
        <w:ind w:left="1160" w:hanging="239"/>
        <w:spacing w:after="0"/>
        <w:tabs>
          <w:tab w:leader="none" w:pos="116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t>exercising rights expressly granted to such party hereunder;</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t>enforcing the provisions of this Agreement; or</w:t>
      </w:r>
    </w:p>
    <w:p>
      <w:pPr>
        <w:spacing w:after="0" w:line="225" w:lineRule="exact"/>
        <w:rPr>
          <w:rFonts w:ascii="Arial" w:cs="Arial" w:eastAsia="Arial" w:hAnsi="Arial"/>
          <w:sz w:val="18"/>
          <w:szCs w:val="18"/>
          <w:b w:val="1"/>
          <w:bCs w:val="1"/>
          <w:color w:val="auto"/>
        </w:rPr>
      </w:pPr>
    </w:p>
    <w:p>
      <w:pPr>
        <w:ind w:right="140" w:firstLine="921"/>
        <w:spacing w:after="0" w:line="276" w:lineRule="auto"/>
        <w:tabs>
          <w:tab w:leader="none" w:pos="1158" w:val="left"/>
        </w:tabs>
        <w:numPr>
          <w:ilvl w:val="0"/>
          <w:numId w:val="506"/>
        </w:numPr>
        <w:rPr>
          <w:rFonts w:ascii="Arial" w:cs="Arial" w:eastAsia="Arial" w:hAnsi="Arial"/>
          <w:sz w:val="17"/>
          <w:szCs w:val="17"/>
          <w:b w:val="1"/>
          <w:bCs w:val="1"/>
          <w:color w:val="auto"/>
        </w:rPr>
      </w:pPr>
      <w:r>
        <w:rPr>
          <w:rFonts w:ascii="Arial" w:cs="Arial" w:eastAsia="Arial" w:hAnsi="Arial"/>
          <w:sz w:val="17"/>
          <w:szCs w:val="17"/>
          <w:color w:val="auto"/>
        </w:rPr>
        <w:t>complying with a valid order of a court or other governmental body having jurisdiction or with applicable law; provided that, if legally permissible and to the extent practicable under the circumstances, such party gives reasonable prior written notice to the other party of such required disclosure and, at the other party’s request and expense, cooperates with the other party’s efforts to contest such required disclosure, and/or to obtain a protective order preventing or limiting the disclosure and/or requiring that the Confidential Information so disclosed be used only for the purposes for which the law or regulation requires, or for which the order was issued, and/or to obtain other confidential treatment of such information.</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5.4 Use of Names; Blinded Data</w:t>
      </w:r>
      <w:r>
        <w:rPr>
          <w:rFonts w:ascii="Arial" w:cs="Arial" w:eastAsia="Arial" w:hAnsi="Arial"/>
          <w:sz w:val="18"/>
          <w:szCs w:val="18"/>
          <w:color w:val="auto"/>
        </w:rPr>
        <w:t>. Neither party shall use the other party’s name or trademarks in any advertising, sales, or promotional material or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publication without the prior written consent of the other party. Notwithstanding the preceding sentence or any other provision of this Article 5, the parties agree that for the purposes of promoting or otherwise highlighting the advantages of the AnaptysBio Technology, AnaptysBio may publish (or cause to be published) or otherwise disclose (or cause to be disclosed) to Third Parties, blinded data relating to Results, Delivered Antibodies and/or Delivered Antibody Information (such data to be limited to the number of projects, the types of projects, number and diversity of Antibodies generated or matured, binding affinity of Antibodies generated or matured, functional assay data, and number and types of mutations observed), at any time during or subsequent to the Term, provided that neither Client nor any Client Target, Client Antibody or Delivered Antibody shall be identified, directly or indirectly, in connection therewith.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593" w:name="page594"/>
    <w:bookmarkEnd w:id="593"/>
    <w:p>
      <w:pPr>
        <w:ind w:right="24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 Confidentiality of this Agreement</w:t>
      </w:r>
      <w:r>
        <w:rPr>
          <w:rFonts w:ascii="Arial" w:cs="Arial" w:eastAsia="Arial" w:hAnsi="Arial"/>
          <w:sz w:val="18"/>
          <w:szCs w:val="18"/>
          <w:color w:val="auto"/>
        </w:rPr>
        <w:t>. This Agreement and its terms are considered Confidential Information of both parties, and each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keep confidential and shall not publish or otherwise disclose this Agreement or its terms without the prior written consent of the other party, except as expressly permitted by Section 5.3, Section 5.4 or Section 5.6, and except that AnaptysBio may disclose this Agreement and its terms to actual or potential investors, strategic partners, acquirers and merger candidates on a confidential basis.</w:t>
      </w:r>
    </w:p>
    <w:p>
      <w:pPr>
        <w:spacing w:after="0" w:line="180"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5.6 Publicity</w:t>
      </w:r>
      <w:r>
        <w:rPr>
          <w:rFonts w:ascii="Arial" w:cs="Arial" w:eastAsia="Arial" w:hAnsi="Arial"/>
          <w:sz w:val="16"/>
          <w:szCs w:val="16"/>
          <w:color w:val="auto"/>
        </w:rPr>
        <w:t>. Except as required by judicial order or applicable law, neither party shall make any public announcement concerning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party. Notwithstanding the foregoing, from and after such time as Client begins publicly disclosing or discussing Client’s interest and/or efforts in the development of antibodies, AnaptysBio may issue one or more press releases concerning, or otherwise publicly disclose or discuss, the existence of this Agreement and/or the achievement of significant development and regulatory milestones by Products arising from this Agreement, after good faith consultation between the parties with respect to the text and timing of any such press release (or content and timing of any such other public disclosure or discussion) and subject to Client’s prior approval, which shall not be unreasonably withheld.</w:t>
      </w:r>
    </w:p>
    <w:p>
      <w:pPr>
        <w:spacing w:after="0" w:line="183" w:lineRule="exact"/>
        <w:rPr>
          <w:sz w:val="20"/>
          <w:szCs w:val="20"/>
          <w:color w:val="auto"/>
        </w:rPr>
      </w:pPr>
    </w:p>
    <w:p>
      <w:pPr>
        <w:ind w:left="460" w:hanging="452"/>
        <w:spacing w:after="0"/>
        <w:tabs>
          <w:tab w:leader="none" w:pos="46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D</w:t>
      </w:r>
      <w:r>
        <w:rPr>
          <w:rFonts w:ascii="Arial" w:cs="Arial" w:eastAsia="Arial" w:hAnsi="Arial"/>
          <w:sz w:val="15"/>
          <w:szCs w:val="15"/>
          <w:b w:val="1"/>
          <w:bCs w:val="1"/>
          <w:color w:val="auto"/>
        </w:rPr>
        <w:t>ISCLAIMER</w:t>
      </w:r>
      <w:r>
        <w:rPr>
          <w:rFonts w:ascii="Arial" w:cs="Arial" w:eastAsia="Arial" w:hAnsi="Arial"/>
          <w:sz w:val="18"/>
          <w:szCs w:val="18"/>
          <w:b w:val="1"/>
          <w:bCs w:val="1"/>
          <w:color w:val="auto"/>
        </w:rPr>
        <w:t>; L</w:t>
      </w:r>
      <w:r>
        <w:rPr>
          <w:rFonts w:ascii="Arial" w:cs="Arial" w:eastAsia="Arial" w:hAnsi="Arial"/>
          <w:sz w:val="15"/>
          <w:szCs w:val="15"/>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100" w:firstLine="456"/>
        <w:spacing w:after="0" w:line="258" w:lineRule="auto"/>
        <w:rPr>
          <w:sz w:val="20"/>
          <w:szCs w:val="20"/>
          <w:color w:val="auto"/>
        </w:rPr>
      </w:pPr>
      <w:r>
        <w:rPr>
          <w:rFonts w:ascii="Arial" w:cs="Arial" w:eastAsia="Arial" w:hAnsi="Arial"/>
          <w:sz w:val="18"/>
          <w:szCs w:val="18"/>
          <w:b w:val="1"/>
          <w:bCs w:val="1"/>
          <w:color w:val="auto"/>
        </w:rPr>
        <w:t>6.1 Mutual Representations and Warranties</w:t>
      </w:r>
      <w:r>
        <w:rPr>
          <w:rFonts w:ascii="Arial" w:cs="Arial" w:eastAsia="Arial" w:hAnsi="Arial"/>
          <w:sz w:val="18"/>
          <w:szCs w:val="18"/>
          <w:color w:val="auto"/>
        </w:rPr>
        <w:t>. Each party represents and warrants to the other that: (a) it is duly organized and validly existing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conflict with any agreement, instrument or understanding, oral or written, to which it is a party or by which it may be bound.</w:t>
      </w:r>
    </w:p>
    <w:p>
      <w:pPr>
        <w:spacing w:after="0" w:line="184"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6.2 Limited Services Warranty</w:t>
      </w:r>
      <w:r>
        <w:rPr>
          <w:rFonts w:ascii="Arial" w:cs="Arial" w:eastAsia="Arial" w:hAnsi="Arial"/>
          <w:sz w:val="16"/>
          <w:szCs w:val="16"/>
          <w:color w:val="auto"/>
        </w:rPr>
        <w:t>. AnaptysBio’s sole warranty with respect to each Project is that AnaptysBio will perform such Project with due care</w:t>
      </w:r>
      <w:r>
        <w:rPr>
          <w:rFonts w:ascii="Arial" w:cs="Arial" w:eastAsia="Arial" w:hAnsi="Arial"/>
          <w:sz w:val="16"/>
          <w:szCs w:val="16"/>
          <w:b w:val="1"/>
          <w:bCs w:val="1"/>
          <w:color w:val="auto"/>
        </w:rPr>
        <w:t xml:space="preserve"> </w:t>
      </w:r>
      <w:r>
        <w:rPr>
          <w:rFonts w:ascii="Arial" w:cs="Arial" w:eastAsia="Arial" w:hAnsi="Arial"/>
          <w:sz w:val="16"/>
          <w:szCs w:val="16"/>
          <w:color w:val="auto"/>
        </w:rPr>
        <w:t>and in accordance with applicable laws and regulations (including, without limitation, laws and regulations relating to health, safety and the environment, fair labor practices, unlawful discrimination and animal welfare), (b) the terms and conditions contained herein and (c) generally prevailing industry standards.</w:t>
      </w:r>
    </w:p>
    <w:p>
      <w:pPr>
        <w:spacing w:after="0" w:line="14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6.3 Disclaimer</w:t>
      </w:r>
      <w:r>
        <w:rPr>
          <w:rFonts w:ascii="Arial" w:cs="Arial" w:eastAsia="Arial" w:hAnsi="Arial"/>
          <w:sz w:val="18"/>
          <w:szCs w:val="18"/>
          <w:color w:val="auto"/>
        </w:rPr>
        <w:t>. Except as expressly set forth herein, EACH PARTY EXPRESSLY DISCLAIMS ANY AND ALL WARRANTIES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INCLUDING, WITHOUT LIMITATION, THE WARRANTIES OF DESIGN, MERCHANTABILITY, FITNESS FOR A PARTICULAR PURPOSE, NON-INFRINGEMENT OF THE INTELLECTUAL PROPERTY RIGHTS OF THIRD PARTIES, OR ARISING FROM A COURSE OF DEALING, USAGE OR TRADE PRACTICES. Without limiting the generality of the foregoing, Client acknowledges and• agrees that AnaptysBio does not make, and that AnaptysBio hereby disclaims, any representation or warranty (a) that the Project Goals will be achieved by any Antibody generated in the course of any Project, (b) as to the safety or usefulness for any purpose of the AnaptysBio Technology or any Delivered Antibody, Delivered Antibody Information or other Results, or (c) that any Delivered Antibody, Product, Delivered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69" w:right="259" w:bottom="1440" w:gutter="0" w:footer="0" w:header="0"/>
        </w:sectPr>
      </w:pPr>
    </w:p>
    <w:bookmarkStart w:id="594" w:name="page595"/>
    <w:bookmarkEnd w:id="594"/>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Antibody Information or other Results will be acceptable to any regulatory governmental agency to which they are presented or that Client will be able to market or otherwise exploit any Delivered Antibody or Product.</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6.4 Limitation of Liability</w:t>
      </w:r>
      <w:r>
        <w:rPr>
          <w:rFonts w:ascii="Arial" w:cs="Arial" w:eastAsia="Arial" w:hAnsi="Arial"/>
          <w:sz w:val="17"/>
          <w:szCs w:val="17"/>
          <w:color w:val="auto"/>
        </w:rPr>
        <w:t>. EXCEPT FOR LIABILITY FOR BREACH OF SECTION 4.1, 4.3 OR 4.4, OR ARTICLE 5 HEREOF, IN NO EVENT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EITHER PARTY BE ENTITLED TO RECOVER FROM THE OTHER PARTY ANY SPECIAL, INCIDENTAL, CONSEQUENTIAL OR PUNITIVE DAMAGES, INCLUDING, WITHOUT LIMITATION, LOST PROFITS AND THE COST OF PROCUREMENT OF SUBSTITUTE GOODS, TECHNOLOGY OR SERVICES, IN CONNECTION WITH THIS AGREEMENT, EVEN IF THE OTHER PARTY HAD NOTICE OF THE POSSIBILITY OF SUCH DAMAGES; provided, however, that the foregoing shall not be construed to limit either party’s indemnification obligations under Article 8. [*]</w:t>
      </w:r>
    </w:p>
    <w:p>
      <w:pPr>
        <w:spacing w:after="0" w:line="195" w:lineRule="exact"/>
        <w:rPr>
          <w:sz w:val="20"/>
          <w:szCs w:val="20"/>
          <w:color w:val="auto"/>
        </w:rPr>
      </w:pPr>
    </w:p>
    <w:p>
      <w:pPr>
        <w:ind w:left="460" w:hanging="452"/>
        <w:spacing w:after="0"/>
        <w:tabs>
          <w:tab w:leader="none" w:pos="46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7.1 Term</w:t>
      </w:r>
      <w:r>
        <w:rPr>
          <w:rFonts w:ascii="Arial" w:cs="Arial" w:eastAsia="Arial" w:hAnsi="Arial"/>
          <w:sz w:val="18"/>
          <w:szCs w:val="18"/>
          <w:color w:val="auto"/>
        </w:rPr>
        <w:t>. The term of this Agreement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commence on the Effective Date and, subject to earlier termination of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Article 7, shall continue until:</w:t>
      </w:r>
    </w:p>
    <w:p>
      <w:pPr>
        <w:spacing w:after="0" w:line="166" w:lineRule="exact"/>
        <w:rPr>
          <w:sz w:val="20"/>
          <w:szCs w:val="20"/>
          <w:color w:val="auto"/>
        </w:rPr>
      </w:pPr>
    </w:p>
    <w:p>
      <w:pPr>
        <w:ind w:right="220" w:firstLine="921"/>
        <w:spacing w:after="0" w:line="277" w:lineRule="auto"/>
        <w:tabs>
          <w:tab w:leader="none" w:pos="1168"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the Success Fee Due Date for the last Project initiated during the Research Period, unless Client has timely paid the Success Fee for at least one Project on or before the Success Fee Due Date for such last Project; or</w:t>
      </w:r>
    </w:p>
    <w:p>
      <w:pPr>
        <w:spacing w:after="0" w:line="170" w:lineRule="exact"/>
        <w:rPr>
          <w:rFonts w:ascii="Arial" w:cs="Arial" w:eastAsia="Arial" w:hAnsi="Arial"/>
          <w:sz w:val="18"/>
          <w:szCs w:val="18"/>
          <w:b w:val="1"/>
          <w:bCs w:val="1"/>
          <w:color w:val="auto"/>
        </w:rPr>
      </w:pPr>
    </w:p>
    <w:p>
      <w:pPr>
        <w:ind w:right="40" w:firstLine="921"/>
        <w:spacing w:after="0" w:line="308" w:lineRule="auto"/>
        <w:tabs>
          <w:tab w:leader="none" w:pos="1178"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if Client pays the Success Fee for at least one Project on or before the applicable Success Fee Due Date, the expiration of the last-to-expire of all Royalty Terms with respect to all Products associated with any Project for which Client obtained the assignment set forth in Section 4.1.</w:t>
      </w:r>
    </w:p>
    <w:p>
      <w:pPr>
        <w:spacing w:after="0" w:line="143"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b w:val="1"/>
          <w:bCs w:val="1"/>
          <w:color w:val="auto"/>
        </w:rPr>
        <w:t>7.2 Termination of Agreement for Material Breach</w:t>
      </w:r>
      <w:r>
        <w:rPr>
          <w:rFonts w:ascii="Arial" w:cs="Arial" w:eastAsia="Arial" w:hAnsi="Arial"/>
          <w:sz w:val="18"/>
          <w:szCs w:val="18"/>
          <w:color w:val="auto"/>
        </w:rPr>
        <w:t>. Each party shall have the right to terminate this Agreement upon 60 days’ prior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upon or after the material breach of any provision of this Agreement by the other party if the breaching party has not cured such breach by the end of such 60-day period.</w:t>
      </w:r>
    </w:p>
    <w:p>
      <w:pPr>
        <w:spacing w:after="0" w:line="176" w:lineRule="exact"/>
        <w:rPr>
          <w:sz w:val="20"/>
          <w:szCs w:val="20"/>
          <w:color w:val="auto"/>
        </w:rPr>
      </w:pPr>
    </w:p>
    <w:p>
      <w:pPr>
        <w:jc w:val="both"/>
        <w:ind w:right="540" w:firstLine="456"/>
        <w:spacing w:after="0" w:line="347" w:lineRule="auto"/>
        <w:rPr>
          <w:sz w:val="20"/>
          <w:szCs w:val="20"/>
          <w:color w:val="auto"/>
        </w:rPr>
      </w:pPr>
      <w:r>
        <w:rPr>
          <w:rFonts w:ascii="Arial" w:cs="Arial" w:eastAsia="Arial" w:hAnsi="Arial"/>
          <w:sz w:val="16"/>
          <w:szCs w:val="16"/>
          <w:b w:val="1"/>
          <w:bCs w:val="1"/>
          <w:color w:val="auto"/>
        </w:rPr>
        <w:t>7.3 Termination by Client At Will</w:t>
      </w:r>
      <w:r>
        <w:rPr>
          <w:rFonts w:ascii="Arial" w:cs="Arial" w:eastAsia="Arial" w:hAnsi="Arial"/>
          <w:sz w:val="16"/>
          <w:szCs w:val="16"/>
          <w:color w:val="auto"/>
        </w:rPr>
        <w:t>. Client shall have the right, at any time prior to delivery to Client of the Delivered Antibodies and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Antibody Information pursuant to Section 2.3 and in its sole discretion, to terminate this Agreement upon 30 days’ prior written notice to AnaptysBio.</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7.4 Disposal of Materials and Information</w:t>
      </w:r>
      <w:r>
        <w:rPr>
          <w:rFonts w:ascii="Arial" w:cs="Arial" w:eastAsia="Arial" w:hAnsi="Arial"/>
          <w:sz w:val="18"/>
          <w:szCs w:val="18"/>
          <w:color w:val="auto"/>
        </w:rPr>
        <w:t>. In the event of expiration or any termination of this Agreement:</w:t>
      </w:r>
    </w:p>
    <w:p>
      <w:pPr>
        <w:spacing w:after="0" w:line="229" w:lineRule="exact"/>
        <w:rPr>
          <w:sz w:val="20"/>
          <w:szCs w:val="20"/>
          <w:color w:val="auto"/>
        </w:rPr>
      </w:pPr>
    </w:p>
    <w:p>
      <w:pPr>
        <w:ind w:right="160" w:firstLine="921"/>
        <w:spacing w:after="0" w:line="264" w:lineRule="auto"/>
        <w:tabs>
          <w:tab w:leader="none" w:pos="1168" w:val="left"/>
        </w:tabs>
        <w:numPr>
          <w:ilvl w:val="0"/>
          <w:numId w:val="510"/>
        </w:numPr>
        <w:rPr>
          <w:rFonts w:ascii="Arial" w:cs="Arial" w:eastAsia="Arial" w:hAnsi="Arial"/>
          <w:sz w:val="18"/>
          <w:szCs w:val="18"/>
          <w:b w:val="1"/>
          <w:bCs w:val="1"/>
          <w:color w:val="auto"/>
        </w:rPr>
      </w:pPr>
      <w:r>
        <w:rPr>
          <w:rFonts w:ascii="Arial" w:cs="Arial" w:eastAsia="Arial" w:hAnsi="Arial"/>
          <w:sz w:val="18"/>
          <w:szCs w:val="18"/>
          <w:color w:val="auto"/>
        </w:rPr>
        <w:t>each party shall return to the other party all Materials of the other party remaining in such party’s possession promptly following such expiration or termination, except as expressly provided in Section 7.5 (including any surviving sections of this Agreement referenced therein); provided that AnaptysBio shall destroy all Remaining Materials;</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595" w:name="page596"/>
    <w:bookmarkEnd w:id="595"/>
    <w:p>
      <w:pPr>
        <w:ind w:left="-20" w:right="20" w:firstLine="921"/>
        <w:spacing w:after="0" w:line="257" w:lineRule="auto"/>
        <w:tabs>
          <w:tab w:leader="none" w:pos="1158" w:val="left"/>
        </w:tabs>
        <w:numPr>
          <w:ilvl w:val="0"/>
          <w:numId w:val="5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return to the other party all Confidential Information of the other party (including all copies thereof) in such party’s possession; provided, however, that each party may retain one copy of the other party’s Confidential Information in such party’s secure archives for the sole purpose of monitoring compliance with its obligations hereunder; and provided, further, that a party may retain such Confidential Information of the other party as is necessary or useful for the exercise or enforcement of any of its rights under this Agreement that survive such expiration or termination pursuant to the applicable provisions of Section 7.5; and</w:t>
      </w:r>
    </w:p>
    <w:p>
      <w:pPr>
        <w:spacing w:after="0" w:line="188" w:lineRule="exact"/>
        <w:rPr>
          <w:rFonts w:ascii="Arial" w:cs="Arial" w:eastAsia="Arial" w:hAnsi="Arial"/>
          <w:sz w:val="18"/>
          <w:szCs w:val="18"/>
          <w:b w:val="1"/>
          <w:bCs w:val="1"/>
          <w:color w:val="auto"/>
        </w:rPr>
      </w:pPr>
    </w:p>
    <w:p>
      <w:pPr>
        <w:ind w:left="-20" w:firstLine="921"/>
        <w:spacing w:after="0" w:line="308" w:lineRule="auto"/>
        <w:tabs>
          <w:tab w:leader="none" w:pos="1138" w:val="left"/>
        </w:tabs>
        <w:numPr>
          <w:ilvl w:val="0"/>
          <w:numId w:val="511"/>
        </w:numPr>
        <w:rPr>
          <w:rFonts w:ascii="Arial" w:cs="Arial" w:eastAsia="Arial" w:hAnsi="Arial"/>
          <w:sz w:val="17"/>
          <w:szCs w:val="17"/>
          <w:b w:val="1"/>
          <w:bCs w:val="1"/>
          <w:color w:val="auto"/>
        </w:rPr>
      </w:pPr>
      <w:r>
        <w:rPr>
          <w:rFonts w:ascii="Arial" w:cs="Arial" w:eastAsia="Arial" w:hAnsi="Arial"/>
          <w:sz w:val="17"/>
          <w:szCs w:val="17"/>
          <w:color w:val="auto"/>
        </w:rPr>
        <w:t>each party covenants that, from and after such expiration or termination, it will not use any Confidential Information of the other party for any purpose whatsoever, except as expressly set forth in Section 7.5 (including any surviving sections of this Agreement referenced therein).</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7.5 Consequences of Termination or Expiration</w:t>
      </w:r>
      <w:r>
        <w:rPr>
          <w:rFonts w:ascii="Arial" w:cs="Arial" w:eastAsia="Arial" w:hAnsi="Arial"/>
          <w:sz w:val="18"/>
          <w:szCs w:val="18"/>
          <w:color w:val="auto"/>
        </w:rPr>
        <w:t>.</w:t>
      </w:r>
    </w:p>
    <w:p>
      <w:pPr>
        <w:spacing w:after="0" w:line="225" w:lineRule="exact"/>
        <w:rPr>
          <w:sz w:val="20"/>
          <w:szCs w:val="20"/>
          <w:color w:val="auto"/>
        </w:rPr>
      </w:pPr>
    </w:p>
    <w:p>
      <w:pPr>
        <w:ind w:left="-20" w:right="140" w:firstLine="921"/>
        <w:spacing w:after="0" w:line="277" w:lineRule="auto"/>
        <w:tabs>
          <w:tab w:leader="none" w:pos="1148" w:val="left"/>
        </w:tabs>
        <w:numPr>
          <w:ilvl w:val="0"/>
          <w:numId w:val="512"/>
        </w:numPr>
        <w:rPr>
          <w:rFonts w:ascii="Arial" w:cs="Arial" w:eastAsia="Arial" w:hAnsi="Arial"/>
          <w:sz w:val="17"/>
          <w:szCs w:val="17"/>
          <w:b w:val="1"/>
          <w:bCs w:val="1"/>
          <w:color w:val="auto"/>
        </w:rPr>
      </w:pPr>
      <w:r>
        <w:rPr>
          <w:rFonts w:ascii="Arial" w:cs="Arial" w:eastAsia="Arial" w:hAnsi="Arial"/>
          <w:sz w:val="17"/>
          <w:szCs w:val="17"/>
          <w:b w:val="1"/>
          <w:bCs w:val="1"/>
          <w:color w:val="auto"/>
        </w:rPr>
        <w:t>Project Goals Not Achieved; Success Fee Not Paid</w:t>
      </w:r>
      <w:r>
        <w:rPr>
          <w:rFonts w:ascii="Arial" w:cs="Arial" w:eastAsia="Arial" w:hAnsi="Arial"/>
          <w:sz w:val="17"/>
          <w:szCs w:val="17"/>
          <w:color w:val="auto"/>
        </w:rPr>
        <w:t>. On a Project-by-Project basis, in the event of any termination or expiration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if the Project Goals for a Project were not met prior to such termination or expiration, and Client did not pay the Success Fee for such Project in full to AnaptysBio on or before the applicable Success Fee Due Date (or, if earlier, prior to termination or expiration of this Agreement), then: (i) Sections 4.1, 4.3 and 4.4(a) shall terminate with respect to such Project and be of no further force or effect; and (ii) clauses (i) through (iv) of Section 2.5(c) shall become effective with respect to such Project and survive such termination or expiration.</w:t>
      </w:r>
    </w:p>
    <w:p>
      <w:pPr>
        <w:spacing w:after="0" w:line="168" w:lineRule="exact"/>
        <w:rPr>
          <w:rFonts w:ascii="Arial" w:cs="Arial" w:eastAsia="Arial" w:hAnsi="Arial"/>
          <w:sz w:val="17"/>
          <w:szCs w:val="17"/>
          <w:b w:val="1"/>
          <w:bCs w:val="1"/>
          <w:color w:val="auto"/>
        </w:rPr>
      </w:pPr>
    </w:p>
    <w:p>
      <w:pPr>
        <w:jc w:val="both"/>
        <w:ind w:left="-20" w:right="180" w:firstLine="921"/>
        <w:spacing w:after="0" w:line="303" w:lineRule="auto"/>
        <w:tabs>
          <w:tab w:leader="none" w:pos="1158" w:val="left"/>
        </w:tabs>
        <w:numPr>
          <w:ilvl w:val="0"/>
          <w:numId w:val="512"/>
        </w:numPr>
        <w:rPr>
          <w:rFonts w:ascii="Arial" w:cs="Arial" w:eastAsia="Arial" w:hAnsi="Arial"/>
          <w:sz w:val="16"/>
          <w:szCs w:val="16"/>
          <w:b w:val="1"/>
          <w:bCs w:val="1"/>
          <w:color w:val="auto"/>
        </w:rPr>
      </w:pPr>
      <w:r>
        <w:rPr>
          <w:rFonts w:ascii="Arial" w:cs="Arial" w:eastAsia="Arial" w:hAnsi="Arial"/>
          <w:sz w:val="16"/>
          <w:szCs w:val="16"/>
          <w:b w:val="1"/>
          <w:bCs w:val="1"/>
          <w:color w:val="auto"/>
        </w:rPr>
        <w:t>Success Fee Paid</w:t>
      </w:r>
      <w:r>
        <w:rPr>
          <w:rFonts w:ascii="Arial" w:cs="Arial" w:eastAsia="Arial" w:hAnsi="Arial"/>
          <w:sz w:val="16"/>
          <w:szCs w:val="16"/>
          <w:color w:val="auto"/>
        </w:rPr>
        <w:t>. On a Project-by-Project basis, in the event of any termination or expiration of this Agreement, if Client paid the Success</w:t>
      </w:r>
      <w:r>
        <w:rPr>
          <w:rFonts w:ascii="Arial" w:cs="Arial" w:eastAsia="Arial" w:hAnsi="Arial"/>
          <w:sz w:val="16"/>
          <w:szCs w:val="16"/>
          <w:b w:val="1"/>
          <w:bCs w:val="1"/>
          <w:color w:val="auto"/>
        </w:rPr>
        <w:t xml:space="preserve"> </w:t>
      </w:r>
      <w:r>
        <w:rPr>
          <w:rFonts w:ascii="Arial" w:cs="Arial" w:eastAsia="Arial" w:hAnsi="Arial"/>
          <w:sz w:val="16"/>
          <w:szCs w:val="16"/>
          <w:color w:val="auto"/>
        </w:rPr>
        <w:t>Fee for a Project in full on or before the Success Fee Due Date and prior to such termination or expiration, Sections 2.5(b), 4.1, 4.3 and 4.4(a) shall survive such termination or expiration with respect to such Project in accordance with their respective terms, subject to Client’s continued compliance with all applicable terms and conditions of this Agreement, including, without limitation, Sections 3.4 through 3.12 (which shall survive such termination).</w:t>
      </w:r>
    </w:p>
    <w:p>
      <w:pPr>
        <w:spacing w:after="0" w:line="151" w:lineRule="exact"/>
        <w:rPr>
          <w:rFonts w:ascii="Arial" w:cs="Arial" w:eastAsia="Arial" w:hAnsi="Arial"/>
          <w:sz w:val="16"/>
          <w:szCs w:val="16"/>
          <w:b w:val="1"/>
          <w:bCs w:val="1"/>
          <w:color w:val="auto"/>
        </w:rPr>
      </w:pPr>
    </w:p>
    <w:p>
      <w:pPr>
        <w:ind w:left="-20" w:right="20" w:firstLine="921"/>
        <w:spacing w:after="0" w:line="254" w:lineRule="auto"/>
        <w:tabs>
          <w:tab w:leader="none" w:pos="1138"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expressly set forth in Section 7.4, 7.5(a) or 7.5(b), or below in this Section 7.5(c), upon expiration or any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all rights and obligations of the parties under this Agreement shall terminate and be of no further force or effect.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 or at law or in equity, with respect to breach of this Agreement. In the event of expiration or any termination of this Agreement (and in addition to any provisions of this Agreement that survive pursuant to the preceding provisions of this Section 7.5), the following provisions of this Agreement shall survive such expiration or termination in accordance with their respective terms and conditions: Sections 2.6 (last sentence only), 3.11, 3.12, 4.2, 4.4(b), 4.5 (solely as it applies to Joint Patents), 4.6, 6.3, 6.4, 7.4 and 7.5, and Articles 5, 8 and 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596" w:name="page597"/>
    <w:bookmarkEnd w:id="596"/>
    <w:p>
      <w:pPr>
        <w:ind w:left="460" w:hanging="452"/>
        <w:spacing w:after="0"/>
        <w:tabs>
          <w:tab w:leader="none" w:pos="460"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NDEMNIFICATION</w:t>
      </w:r>
      <w:r>
        <w:rPr>
          <w:rFonts w:ascii="Arial" w:cs="Arial" w:eastAsia="Arial" w:hAnsi="Arial"/>
          <w:sz w:val="18"/>
          <w:szCs w:val="18"/>
          <w:b w:val="1"/>
          <w:bCs w:val="1"/>
          <w:color w:val="auto"/>
        </w:rPr>
        <w: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8.1 By Client</w:t>
      </w:r>
      <w:r>
        <w:rPr>
          <w:rFonts w:ascii="Arial" w:cs="Arial" w:eastAsia="Arial" w:hAnsi="Arial"/>
          <w:sz w:val="16"/>
          <w:szCs w:val="16"/>
          <w:color w:val="auto"/>
        </w:rPr>
        <w:t>. Client hereby agrees to save, defend, indemnify and hold harmless AnaptysBio and its officers, directors, employees, consultants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agents (each, an “</w:t>
      </w:r>
      <w:r>
        <w:rPr>
          <w:rFonts w:ascii="Arial" w:cs="Arial" w:eastAsia="Arial" w:hAnsi="Arial"/>
          <w:sz w:val="16"/>
          <w:szCs w:val="16"/>
          <w:b w:val="1"/>
          <w:bCs w:val="1"/>
          <w:i w:val="1"/>
          <w:iCs w:val="1"/>
          <w:color w:val="auto"/>
        </w:rPr>
        <w:t>AnaptysBio Indemnitee</w:t>
      </w:r>
      <w:r>
        <w:rPr>
          <w:rFonts w:ascii="Arial" w:cs="Arial" w:eastAsia="Arial" w:hAnsi="Arial"/>
          <w:sz w:val="16"/>
          <w:szCs w:val="16"/>
          <w:color w:val="auto"/>
        </w:rPr>
        <w:t>”) from and against any and all losses, damages, liabilities, expenses and costs, including reasonable legal expense and attorneys’ fees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to which any AnaptysBio Indemnitee may become subject as a result of any claim, demand, action or other proceeding by any Third Party to the extent such Losses arise directly or indirectly out of (a) the use of Client Materials or Client Information in performance of a Project, (b) the development , manufacture, use, handling, storage, sale or other disposition of any Delivered Antibody or Product or use of any Delivered Antibody Information by or on behalf of Client or any Affiliate or Third Party to whom Client sells, licenses, transfers or disposes of its rights therein, (c) the negligence or willful misconduct of any Client Indemnitee, or (d) the breach by Client of any warranty, representation , covenant or agreement made by Client in this Agreement; except, in each case, to the extent such Losses result from the negligence or willful misconduct of any AnaptysBio Indemnitee or the breach by AnaptysBio of any warranty, representation, covenant or agreement made by AnaptysBio in this Agreement.</w:t>
      </w:r>
    </w:p>
    <w:p>
      <w:pPr>
        <w:spacing w:after="0" w:line="160"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8.2 By AnaptysBio</w:t>
      </w:r>
      <w:r>
        <w:rPr>
          <w:rFonts w:ascii="Arial" w:cs="Arial" w:eastAsia="Arial" w:hAnsi="Arial"/>
          <w:sz w:val="17"/>
          <w:szCs w:val="17"/>
          <w:color w:val="auto"/>
        </w:rPr>
        <w:t>. AnaptysBio hereby agrees to save, defend, indemnify and hold harmless Client and its officers, directors, employees, consultants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agents (each, a “</w:t>
      </w:r>
      <w:r>
        <w:rPr>
          <w:rFonts w:ascii="Arial" w:cs="Arial" w:eastAsia="Arial" w:hAnsi="Arial"/>
          <w:sz w:val="17"/>
          <w:szCs w:val="17"/>
          <w:b w:val="1"/>
          <w:bCs w:val="1"/>
          <w:i w:val="1"/>
          <w:iCs w:val="1"/>
          <w:color w:val="auto"/>
        </w:rPr>
        <w:t>Client Indemnitee</w:t>
      </w:r>
      <w:r>
        <w:rPr>
          <w:rFonts w:ascii="Arial" w:cs="Arial" w:eastAsia="Arial" w:hAnsi="Arial"/>
          <w:sz w:val="17"/>
          <w:szCs w:val="17"/>
          <w:color w:val="auto"/>
        </w:rPr>
        <w:t>”) from and against any and all Losses to which any Client Indemnitee may become subject as a result of any claim, demand, action or other proceeding by any Third Party to the extent such Losses arise directly or indirectly out of (a) the negligence or willful misconduct of any AnaptysBio Indemnitee, or (b) the breach by AnaptysBio of any warranty, representation, covenant or agreement made by AnaptysBio in this Agreement; except, in each case, to the extent such Losses result from the negligence or willful misconduct of any Client Indemnitee or the breach by Client of any warranty, representation, covenant or agreement made by Client in this Agreement.</w:t>
      </w:r>
    </w:p>
    <w:p>
      <w:pPr>
        <w:spacing w:after="0" w:line="174"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8.3 Control of Defense</w:t>
      </w:r>
      <w:r>
        <w:rPr>
          <w:rFonts w:ascii="Arial" w:cs="Arial" w:eastAsia="Arial" w:hAnsi="Arial"/>
          <w:sz w:val="17"/>
          <w:szCs w:val="17"/>
          <w:color w:val="auto"/>
        </w:rPr>
        <w:t>. In the event a party seeks indemnification under Section 8.1 or Section 8.2, it shall inform the other party (the “</w:t>
      </w:r>
      <w:r>
        <w:rPr>
          <w:rFonts w:ascii="Arial" w:cs="Arial" w:eastAsia="Arial" w:hAnsi="Arial"/>
          <w:sz w:val="17"/>
          <w:szCs w:val="17"/>
          <w:b w:val="1"/>
          <w:bCs w:val="1"/>
          <w:i w:val="1"/>
          <w:iCs w:val="1"/>
          <w:color w:val="auto"/>
        </w:rPr>
        <w:t>Indemnifying</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of a claim as soon as reasonably practicable after it receives notice of the claim, shall permit the Indemnifying Party to assume direction and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defense of the claim (including the right to settle the claim solely for monetary consideration with no admission of fault) at the Indemnifying Party’s expense, and shall cooperate as requested (at the expense of the Indemnifying Party) in the defense of the claim.</w:t>
      </w:r>
    </w:p>
    <w:p>
      <w:pPr>
        <w:spacing w:after="0" w:line="192" w:lineRule="exact"/>
        <w:rPr>
          <w:sz w:val="20"/>
          <w:szCs w:val="20"/>
          <w:color w:val="auto"/>
        </w:rPr>
      </w:pPr>
    </w:p>
    <w:p>
      <w:pPr>
        <w:ind w:left="460" w:hanging="452"/>
        <w:spacing w:after="0"/>
        <w:tabs>
          <w:tab w:leader="none" w:pos="46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9.1 Independent Contractor Relationship</w:t>
      </w:r>
      <w:r>
        <w:rPr>
          <w:rFonts w:ascii="Arial" w:cs="Arial" w:eastAsia="Arial" w:hAnsi="Arial"/>
          <w:sz w:val="18"/>
          <w:szCs w:val="18"/>
          <w:color w:val="auto"/>
        </w:rPr>
        <w:t>. AnaptysBio’s relationship with Client is that of an independent contractor, and nothing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should be construed to create a partnership, joint venture, or employer-employee relationship. Neither party is an agent of the other party or authorized to make any representation, contract, or commitment on behalf of the other party.</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9.2 Entire Agreement; Amendment</w:t>
      </w:r>
      <w:r>
        <w:rPr>
          <w:rFonts w:ascii="Arial" w:cs="Arial" w:eastAsia="Arial" w:hAnsi="Arial"/>
          <w:sz w:val="18"/>
          <w:szCs w:val="18"/>
          <w:color w:val="auto"/>
        </w:rPr>
        <w:t>. This Agreement, together with all Exhibits attached hereto, constitutes the final, complete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597" w:name="page598"/>
    <w:bookmarkEnd w:id="597"/>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subject matter hereof and supersedes all prior and contemporaneous understandings and agreements relating to its subject matter, including, without limitation, that certain Mutual Confidentiality Agreement between the parties dated May 11, 2011 (the “</w:t>
      </w:r>
      <w:r>
        <w:rPr>
          <w:rFonts w:ascii="Arial" w:cs="Arial" w:eastAsia="Arial" w:hAnsi="Arial"/>
          <w:sz w:val="18"/>
          <w:szCs w:val="18"/>
          <w:b w:val="1"/>
          <w:bCs w:val="1"/>
          <w:i w:val="1"/>
          <w:iCs w:val="1"/>
          <w:color w:val="auto"/>
        </w:rPr>
        <w:t>CDA</w:t>
      </w:r>
      <w:r>
        <w:rPr>
          <w:rFonts w:ascii="Arial" w:cs="Arial" w:eastAsia="Arial" w:hAnsi="Arial"/>
          <w:sz w:val="18"/>
          <w:szCs w:val="18"/>
          <w:color w:val="auto"/>
        </w:rPr>
        <w:t>”); provided, however, that all “Confidential Information,” as such term is defined in the CDA, that was disclosed by a party to the other party pursuant to the CDA shall be deemed Confidential Information of such party for purposes of this Agreement. This Agreement (including its Exhibits) may not be changed, modified, amended or supplemented except by a written instrument signed by both parties.</w:t>
      </w:r>
    </w:p>
    <w:p>
      <w:pPr>
        <w:spacing w:after="0" w:line="18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9.3 Non-Waiver</w:t>
      </w:r>
      <w:r>
        <w:rPr>
          <w:rFonts w:ascii="Arial" w:cs="Arial" w:eastAsia="Arial" w:hAnsi="Arial"/>
          <w:sz w:val="18"/>
          <w:szCs w:val="18"/>
          <w:color w:val="auto"/>
        </w:rPr>
        <w:t>. The failure of a party to insist upon strict performance of any provision of this Agreement or to exercise any right arising out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80"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b w:val="1"/>
          <w:bCs w:val="1"/>
          <w:color w:val="auto"/>
        </w:rPr>
        <w:t>9.4 Severability</w:t>
      </w:r>
      <w:r>
        <w:rPr>
          <w:rFonts w:ascii="Arial" w:cs="Arial" w:eastAsia="Arial" w:hAnsi="Arial"/>
          <w:sz w:val="17"/>
          <w:szCs w:val="17"/>
          <w:color w:val="auto"/>
        </w:rPr>
        <w:t>. If any provision of this Agreement should be held invalid or unenforceable, the remaining provisions shall be unaffected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full force and effect, to the extent consistent with the intent of the parties as evidenced by this Agreement as a whole.</w:t>
      </w:r>
    </w:p>
    <w:p>
      <w:pPr>
        <w:spacing w:after="0" w:line="1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9.5 Assignment</w:t>
      </w:r>
      <w:r>
        <w:rPr>
          <w:rFonts w:ascii="Arial" w:cs="Arial" w:eastAsia="Arial" w:hAnsi="Arial"/>
          <w:sz w:val="18"/>
          <w:szCs w:val="18"/>
          <w:color w:val="auto"/>
        </w:rPr>
        <w:t>. Neither this Agreement nor any rights or obligations hereunder may be assigned by either party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(which consent shall not be unreasonably withheld); provided, however, that either party may assign this Agreement and its rights and obligations hereunder without the other party’s consent to an Affiliate of the assigning party or in connection with the transfer or sale of all or substantially all of the business of such party to which this Agreement relates to a Third Party, whether by merger, sale of stock, sale of assets or otherwise, provided that in the event of any such transaction involving AnaptysBio (whether this Agreement is actually assigned or is assumed by the acquiring party by operation of law (e.g., in the context of a reverse triangular merger)), intellectual property rights of the acquiring party to such transaction (if other than AnaptysBio) shall not be included in the technology subject to this Agreement.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9.6 Governing Law</w:t>
      </w:r>
      <w:r>
        <w:rPr>
          <w:rFonts w:ascii="Arial" w:cs="Arial" w:eastAsia="Arial" w:hAnsi="Arial"/>
          <w:sz w:val="18"/>
          <w:szCs w:val="18"/>
          <w:color w:val="auto"/>
        </w:rPr>
        <w:t>. This Agreement shall be governed by the laws of the State of California, excluding its conflict of laws principles.</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9.7 Force Majeure</w:t>
      </w:r>
      <w:r>
        <w:rPr>
          <w:rFonts w:ascii="Arial" w:cs="Arial" w:eastAsia="Arial" w:hAnsi="Arial"/>
          <w:sz w:val="18"/>
          <w:szCs w:val="18"/>
          <w:color w:val="auto"/>
        </w:rPr>
        <w:t>. Except for the obligation to make payment when due, each party shall be excused from liability for the failure or delay 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obligation under this Agreement by reason of any event beyond such party’s reasonable control including but not limited to Acts of God, fire, flood, explosion, earthquake, or other natural forces, war, civil unrest, acts of terrorism, accident, destruction or other casualty, any lack or failure of transportation facilities, any lack or failure of supply of raw materials, any strike or labor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3" w:right="259" w:bottom="1440" w:gutter="0" w:footer="0" w:header="0"/>
        </w:sectPr>
      </w:pPr>
    </w:p>
    <w:bookmarkStart w:id="598" w:name="page599"/>
    <w:bookmarkEnd w:id="59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disturbance, or any other event similar to those enumerated above. Such excuse from liability shall be effective only to the extent and duration of the event(s) causing the failure or delay in performance and provided that the party has not caused such event(s) to occur. All delivery dates under this Agreement that have been affected by force majeure shall be tolled for the duration of such force majeure.</w:t>
      </w:r>
    </w:p>
    <w:p>
      <w:pPr>
        <w:spacing w:after="0" w:line="177"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9.8 Notices</w:t>
      </w:r>
      <w:r>
        <w:rPr>
          <w:rFonts w:ascii="Arial" w:cs="Arial" w:eastAsia="Arial" w:hAnsi="Arial"/>
          <w:sz w:val="18"/>
          <w:szCs w:val="18"/>
          <w:color w:val="auto"/>
        </w:rPr>
        <w:t>. Any notice to be given under this Agreement must be in writing and delivered either in person, by any method of mail (postage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requiring return receipt, by overnight courier, or by facsimile, to the party to be notified at its address(es) given below, or at any address such party has previously designated by prior written notice to the other. Notice shall be deemed sufficiently given for all purposes upon the earlier of: (a) the date of actual receipt; or (b) if mailed, three calendar days after the date of postmark.</w:t>
      </w:r>
    </w:p>
    <w:p>
      <w:pPr>
        <w:sectPr>
          <w:pgSz w:w="11900" w:h="16838" w:orient="portrait"/>
          <w:cols w:equalWidth="0" w:num="1">
            <w:col w:w="11340"/>
          </w:cols>
          <w:pgMar w:left="240" w:top="273" w:right="31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AnaptysBio: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10421 Pacific Center Court,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(858) 228-9642</w:t>
      </w:r>
    </w:p>
    <w:p>
      <w:pPr>
        <w:spacing w:after="0" w:line="200" w:lineRule="exact"/>
        <w:rPr>
          <w:sz w:val="20"/>
          <w:szCs w:val="20"/>
          <w:color w:val="auto"/>
        </w:rPr>
      </w:pPr>
    </w:p>
    <w:p>
      <w:pPr>
        <w:sectPr>
          <w:pgSz w:w="11900" w:h="16838" w:orient="portrait"/>
          <w:cols w:equalWidth="0" w:num="2">
            <w:col w:w="1720" w:space="320"/>
            <w:col w:w="9300"/>
          </w:cols>
          <w:pgMar w:left="240" w:top="273" w:right="31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Client: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Celgene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 Morris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NJ 07901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George S. Golumbeski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(908) 673-2769</w:t>
      </w:r>
    </w:p>
    <w:p>
      <w:pPr>
        <w:spacing w:after="0" w:line="200" w:lineRule="exact"/>
        <w:rPr>
          <w:sz w:val="20"/>
          <w:szCs w:val="20"/>
          <w:color w:val="auto"/>
        </w:rPr>
      </w:pPr>
    </w:p>
    <w:p>
      <w:pPr>
        <w:sectPr>
          <w:pgSz w:w="11900" w:h="16838" w:orient="portrait"/>
          <w:cols w:equalWidth="0" w:num="2">
            <w:col w:w="1320" w:space="720"/>
            <w:col w:w="9300"/>
          </w:cols>
          <w:pgMar w:left="240" w:top="273" w:right="319" w:bottom="1440" w:gutter="0" w:footer="0" w:header="0"/>
          <w:type w:val="continuous"/>
        </w:sectPr>
      </w:pPr>
    </w:p>
    <w:p>
      <w:pPr>
        <w:spacing w:after="0" w:line="1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Celgene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 Morris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NJ 07901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Legal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(908) 673-2771</w:t>
      </w:r>
    </w:p>
    <w:p>
      <w:pPr>
        <w:spacing w:after="0" w:line="200" w:lineRule="exact"/>
        <w:rPr>
          <w:sz w:val="20"/>
          <w:szCs w:val="20"/>
          <w:color w:val="auto"/>
        </w:rPr>
      </w:pPr>
    </w:p>
    <w:p>
      <w:pPr>
        <w:sectPr>
          <w:pgSz w:w="11900" w:h="16838" w:orient="portrait"/>
          <w:cols w:equalWidth="0" w:num="2">
            <w:col w:w="1540" w:space="500"/>
            <w:col w:w="9300"/>
          </w:cols>
          <w:pgMar w:left="240" w:top="273" w:right="319" w:bottom="1440" w:gutter="0" w:footer="0" w:header="0"/>
          <w:type w:val="continuous"/>
        </w:sectPr>
      </w:pPr>
    </w:p>
    <w:p>
      <w:pPr>
        <w:spacing w:after="0" w:line="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9.9 Interpretation</w:t>
      </w:r>
      <w:r>
        <w:rPr>
          <w:rFonts w:ascii="Arial" w:cs="Arial" w:eastAsia="Arial" w:hAnsi="Arial"/>
          <w:sz w:val="18"/>
          <w:szCs w:val="18"/>
          <w:color w:val="auto"/>
        </w:rPr>
        <w:t>. The headings of clauses contained in this Agreement preceding the text of the sections, subsections and paragraphs hereof are</w:t>
      </w:r>
      <w:r>
        <w:rPr>
          <w:rFonts w:ascii="Arial" w:cs="Arial" w:eastAsia="Arial" w:hAnsi="Arial"/>
          <w:sz w:val="18"/>
          <w:szCs w:val="18"/>
          <w:b w:val="1"/>
          <w:bCs w:val="1"/>
          <w:color w:val="auto"/>
        </w:rPr>
        <w:t xml:space="preserve"> </w:t>
      </w:r>
      <w:r>
        <w:rPr>
          <w:rFonts w:ascii="Arial" w:cs="Arial" w:eastAsia="Arial" w:hAnsi="Arial"/>
          <w:sz w:val="18"/>
          <w:szCs w:val="18"/>
          <w:color w:val="auto"/>
        </w:rPr>
        <w:t>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3" w:right="319" w:bottom="1440" w:gutter="0" w:footer="0" w:header="0"/>
          <w:type w:val="continuous"/>
        </w:sectPr>
      </w:pPr>
    </w:p>
    <w:bookmarkStart w:id="599" w:name="page600"/>
    <w:bookmarkEnd w:id="59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9.10 Counterparts</w:t>
      </w:r>
      <w:r>
        <w:rPr>
          <w:rFonts w:ascii="Arial" w:cs="Arial" w:eastAsia="Arial" w:hAnsi="Arial"/>
          <w:sz w:val="18"/>
          <w:szCs w:val="18"/>
          <w:color w:val="auto"/>
        </w:rPr>
        <w:t>. This Agreement may be executed in counterparts, including by transmission of facsimile or PDF copies of signature pages,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an original and all of which together shall constitute one and the same instrument.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0" w:right="279" w:bottom="1440" w:gutter="0" w:footer="0" w:header="0"/>
        </w:sectPr>
      </w:pPr>
    </w:p>
    <w:bookmarkStart w:id="600" w:name="page601"/>
    <w:bookmarkEnd w:id="60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ANTIBODY GENERATION AGREEMENT on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ELGENE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Hamza Suria</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G.S. Golumberski</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Hamza Suria</w:t>
            </w:r>
          </w:p>
        </w:tc>
        <w:tc>
          <w:tcPr>
            <w:tcW w:w="1160" w:type="dxa"/>
            <w:vAlign w:val="bottom"/>
          </w:tcPr>
          <w:p>
            <w:pPr>
              <w:ind w:left="660"/>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G.S. Golumberski</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Acting CEO</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SVP Business Development</w:t>
            </w:r>
          </w:p>
        </w:tc>
      </w:tr>
      <w:tr>
        <w:trPr>
          <w:trHeight w:val="432"/>
        </w:trPr>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ELGENE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J. Hugin</w:t>
            </w:r>
          </w:p>
        </w:tc>
      </w:tr>
      <w:tr>
        <w:trPr>
          <w:trHeight w:val="195"/>
        </w:trPr>
        <w:tc>
          <w:tcPr>
            <w:tcW w:w="5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160" w:type="dxa"/>
            <w:vAlign w:val="bottom"/>
          </w:tcPr>
          <w:p>
            <w:pPr>
              <w:ind w:left="660"/>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Robert J. Hugin</w:t>
            </w:r>
          </w:p>
        </w:tc>
      </w:tr>
      <w:tr>
        <w:trPr>
          <w:trHeight w:val="230"/>
        </w:trPr>
        <w:tc>
          <w:tcPr>
            <w:tcW w:w="5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0" w:right="239" w:bottom="1440" w:gutter="0" w:footer="0" w:header="0"/>
        </w:sectPr>
      </w:pPr>
    </w:p>
    <w:bookmarkStart w:id="601" w:name="page602"/>
    <w:bookmarkEnd w:id="60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Research Plan</w:t>
      </w:r>
    </w:p>
    <w:p>
      <w:pPr>
        <w:spacing w:after="0" w:line="26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0220"/>
          </w:cols>
          <w:pgMar w:left="1440" w:top="269" w:right="239" w:bottom="1440" w:gutter="0" w:footer="0" w:header="0"/>
        </w:sectPr>
      </w:pPr>
    </w:p>
    <w:bookmarkStart w:id="602" w:name="page603"/>
    <w:bookmarkEnd w:id="6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Steering Committee</w:t>
      </w:r>
    </w:p>
    <w:p>
      <w:pPr>
        <w:spacing w:after="0" w:line="225" w:lineRule="exact"/>
        <w:rPr>
          <w:sz w:val="20"/>
          <w:szCs w:val="20"/>
          <w:color w:val="auto"/>
        </w:rPr>
      </w:pPr>
    </w:p>
    <w:p>
      <w:pPr>
        <w:ind w:right="180" w:firstLine="464"/>
        <w:spacing w:after="0" w:line="282" w:lineRule="auto"/>
        <w:tabs>
          <w:tab w:leader="none" w:pos="701" w:val="left"/>
        </w:tabs>
        <w:numPr>
          <w:ilvl w:val="0"/>
          <w:numId w:val="515"/>
        </w:numPr>
        <w:rPr>
          <w:rFonts w:ascii="Arial" w:cs="Arial" w:eastAsia="Arial" w:hAnsi="Arial"/>
          <w:sz w:val="18"/>
          <w:szCs w:val="18"/>
          <w:color w:val="auto"/>
        </w:rPr>
      </w:pPr>
      <w:r>
        <w:rPr>
          <w:rFonts w:ascii="Arial" w:cs="Arial" w:eastAsia="Arial" w:hAnsi="Arial"/>
          <w:sz w:val="18"/>
          <w:szCs w:val="18"/>
          <w:b w:val="1"/>
          <w:bCs w:val="1"/>
          <w:u w:val="single" w:color="auto"/>
          <w:color w:val="auto"/>
        </w:rPr>
        <w:t>Steering Committee</w:t>
      </w:r>
      <w:r>
        <w:rPr>
          <w:rFonts w:ascii="Arial" w:cs="Arial" w:eastAsia="Arial" w:hAnsi="Arial"/>
          <w:sz w:val="18"/>
          <w:szCs w:val="18"/>
          <w:color w:val="auto"/>
        </w:rPr>
        <w:t>. A steering committee (hereinafter the “Steering Committee”) shall be formed within [*] after the Effective Date. The duties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Steering Committee shall include: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80" w:firstLine="464"/>
        <w:spacing w:after="0" w:line="266" w:lineRule="auto"/>
        <w:tabs>
          <w:tab w:leader="none" w:pos="711" w:val="left"/>
        </w:tabs>
        <w:numPr>
          <w:ilvl w:val="0"/>
          <w:numId w:val="516"/>
        </w:numPr>
        <w:rPr>
          <w:rFonts w:ascii="Arial" w:cs="Arial" w:eastAsia="Arial" w:hAnsi="Arial"/>
          <w:sz w:val="18"/>
          <w:szCs w:val="18"/>
          <w:color w:val="auto"/>
        </w:rPr>
      </w:pPr>
      <w:r>
        <w:rPr>
          <w:rFonts w:ascii="Arial" w:cs="Arial" w:eastAsia="Arial" w:hAnsi="Arial"/>
          <w:sz w:val="18"/>
          <w:szCs w:val="18"/>
          <w:b w:val="1"/>
          <w:bCs w:val="1"/>
          <w:u w:val="single" w:color="auto"/>
          <w:color w:val="auto"/>
        </w:rPr>
        <w:t>Steering Committee Composition</w:t>
      </w:r>
      <w:r>
        <w:rPr>
          <w:rFonts w:ascii="Arial" w:cs="Arial" w:eastAsia="Arial" w:hAnsi="Arial"/>
          <w:sz w:val="18"/>
          <w:szCs w:val="18"/>
          <w:color w:val="auto"/>
        </w:rPr>
        <w:t>. The Steering Committee shall be comprised of [*] representatives from each Party. The Steering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from each party shall be designated by such party upon written notice to the other party, and each party can change its designated representatives from time to time upon written notice to the other party.</w:t>
      </w:r>
    </w:p>
    <w:p>
      <w:pPr>
        <w:spacing w:after="0" w:line="176" w:lineRule="exact"/>
        <w:rPr>
          <w:rFonts w:ascii="Arial" w:cs="Arial" w:eastAsia="Arial" w:hAnsi="Arial"/>
          <w:sz w:val="18"/>
          <w:szCs w:val="18"/>
          <w:color w:val="auto"/>
        </w:rPr>
      </w:pPr>
    </w:p>
    <w:p>
      <w:pPr>
        <w:ind w:right="260" w:firstLine="464"/>
        <w:spacing w:after="0" w:line="281" w:lineRule="auto"/>
        <w:tabs>
          <w:tab w:leader="none" w:pos="701" w:val="left"/>
        </w:tabs>
        <w:numPr>
          <w:ilvl w:val="0"/>
          <w:numId w:val="516"/>
        </w:numPr>
        <w:rPr>
          <w:rFonts w:ascii="Arial" w:cs="Arial" w:eastAsia="Arial" w:hAnsi="Arial"/>
          <w:sz w:val="17"/>
          <w:szCs w:val="17"/>
          <w:color w:val="auto"/>
        </w:rPr>
      </w:pPr>
      <w:r>
        <w:rPr>
          <w:rFonts w:ascii="Arial" w:cs="Arial" w:eastAsia="Arial" w:hAnsi="Arial"/>
          <w:sz w:val="17"/>
          <w:szCs w:val="17"/>
          <w:b w:val="1"/>
          <w:bCs w:val="1"/>
          <w:u w:val="single" w:color="auto"/>
          <w:color w:val="auto"/>
        </w:rPr>
        <w:t>Steering Committee Meetings</w:t>
      </w:r>
      <w:r>
        <w:rPr>
          <w:rFonts w:ascii="Arial" w:cs="Arial" w:eastAsia="Arial" w:hAnsi="Arial"/>
          <w:sz w:val="17"/>
          <w:szCs w:val="17"/>
          <w:color w:val="auto"/>
        </w:rPr>
        <w:t>. The Steering Committee shall meet [*] and meetings may be conducted by telephone, electronic mail, facsimile,</w:t>
      </w:r>
      <w:r>
        <w:rPr>
          <w:rFonts w:ascii="Arial" w:cs="Arial" w:eastAsia="Arial" w:hAnsi="Arial"/>
          <w:sz w:val="17"/>
          <w:szCs w:val="17"/>
          <w:b w:val="1"/>
          <w:bCs w:val="1"/>
          <w:color w:val="auto"/>
        </w:rPr>
        <w:t xml:space="preserve"> </w:t>
      </w:r>
      <w:r>
        <w:rPr>
          <w:rFonts w:ascii="Arial" w:cs="Arial" w:eastAsia="Arial" w:hAnsi="Arial"/>
          <w:sz w:val="17"/>
          <w:szCs w:val="17"/>
          <w:color w:val="auto"/>
        </w:rPr>
        <w:t>video conference or in person. Up to [*] additional employees of each party may attend the Steering Committee meetings as non-voting observers. The Steering Committee shall be chaired by one of the representatives [*] (the “Chairperson”). The Chairperson shall prepare written minutes of each Steering Committee meeting and a written record of all Steering Committee decisions made during such meetings.</w:t>
      </w:r>
    </w:p>
    <w:p>
      <w:pPr>
        <w:spacing w:after="0" w:line="164" w:lineRule="exact"/>
        <w:rPr>
          <w:rFonts w:ascii="Arial" w:cs="Arial" w:eastAsia="Arial" w:hAnsi="Arial"/>
          <w:sz w:val="17"/>
          <w:szCs w:val="17"/>
          <w:color w:val="auto"/>
        </w:rPr>
      </w:pPr>
    </w:p>
    <w:p>
      <w:pPr>
        <w:ind w:right="120" w:firstLine="464"/>
        <w:spacing w:after="0" w:line="347" w:lineRule="auto"/>
        <w:tabs>
          <w:tab w:leader="none" w:pos="711" w:val="left"/>
        </w:tabs>
        <w:numPr>
          <w:ilvl w:val="0"/>
          <w:numId w:val="516"/>
        </w:numPr>
        <w:rPr>
          <w:rFonts w:ascii="Arial" w:cs="Arial" w:eastAsia="Arial" w:hAnsi="Arial"/>
          <w:sz w:val="16"/>
          <w:szCs w:val="16"/>
          <w:color w:val="auto"/>
        </w:rPr>
      </w:pPr>
      <w:r>
        <w:rPr>
          <w:rFonts w:ascii="Arial" w:cs="Arial" w:eastAsia="Arial" w:hAnsi="Arial"/>
          <w:sz w:val="16"/>
          <w:szCs w:val="16"/>
          <w:b w:val="1"/>
          <w:bCs w:val="1"/>
          <w:u w:val="single" w:color="auto"/>
          <w:color w:val="auto"/>
        </w:rPr>
        <w:t>Quorum; Required Vote</w:t>
      </w:r>
      <w:r>
        <w:rPr>
          <w:rFonts w:ascii="Arial" w:cs="Arial" w:eastAsia="Arial" w:hAnsi="Arial"/>
          <w:sz w:val="16"/>
          <w:szCs w:val="16"/>
          <w:color w:val="auto"/>
        </w:rPr>
        <w:t>. No Steering Committee meeting may be conducted unless at least [*] Steering Committee member from each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For the purposes of any approval or action taken by the Steering Committee, all decisions of the Steering Committee initially will be taken [*].</w:t>
      </w:r>
    </w:p>
    <w:p>
      <w:pPr>
        <w:spacing w:after="0" w:line="49"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03" w:name="page604"/>
    <w:bookmarkEnd w:id="603"/>
    <w:p>
      <w:pPr>
        <w:ind w:left="10200"/>
        <w:spacing w:after="0"/>
        <w:rPr>
          <w:sz w:val="20"/>
          <w:szCs w:val="20"/>
          <w:color w:val="auto"/>
        </w:rPr>
      </w:pPr>
      <w:r>
        <w:rPr>
          <w:rFonts w:ascii="Arial" w:cs="Arial" w:eastAsia="Arial" w:hAnsi="Arial"/>
          <w:sz w:val="18"/>
          <w:szCs w:val="18"/>
          <w:b w:val="1"/>
          <w:bCs w:val="1"/>
          <w:color w:val="auto"/>
        </w:rPr>
        <w:t>EXHIBIT 10.11</w:t>
      </w:r>
    </w:p>
    <w:p>
      <w:pPr>
        <w:spacing w:after="0" w:line="135"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Certain confidential information contained in this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of 1933,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EXCLUSIVE LICENSE AGREEMENT</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This COLLABORATION AND EXCLUSIVE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March 10 , 2014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(i) </w:t>
      </w:r>
      <w:r>
        <w:rPr>
          <w:rFonts w:ascii="Arial" w:cs="Arial" w:eastAsia="Arial" w:hAnsi="Arial"/>
          <w:sz w:val="18"/>
          <w:szCs w:val="18"/>
          <w:b w:val="1"/>
          <w:bCs w:val="1"/>
          <w:color w:val="auto"/>
        </w:rPr>
        <w:t>AnaptysBio, Inc.</w:t>
      </w:r>
      <w:r>
        <w:rPr>
          <w:rFonts w:ascii="Arial" w:cs="Arial" w:eastAsia="Arial" w:hAnsi="Arial"/>
          <w:sz w:val="18"/>
          <w:szCs w:val="18"/>
          <w:color w:val="auto"/>
        </w:rPr>
        <w:t>, a Delaware corporation, having a place of business at 10421 Pacific Center Court, Suite 200, San Diego, California 92121 (“</w:t>
      </w:r>
      <w:r>
        <w:rPr>
          <w:rFonts w:ascii="Arial" w:cs="Arial" w:eastAsia="Arial" w:hAnsi="Arial"/>
          <w:sz w:val="18"/>
          <w:szCs w:val="18"/>
          <w:b w:val="1"/>
          <w:bCs w:val="1"/>
          <w:color w:val="auto"/>
        </w:rPr>
        <w:t>AnaptysBio</w:t>
      </w:r>
      <w:r>
        <w:rPr>
          <w:rFonts w:ascii="Arial" w:cs="Arial" w:eastAsia="Arial" w:hAnsi="Arial"/>
          <w:sz w:val="18"/>
          <w:szCs w:val="18"/>
          <w:color w:val="auto"/>
        </w:rPr>
        <w:t xml:space="preserve">”), and (ii) </w:t>
      </w:r>
      <w:r>
        <w:rPr>
          <w:rFonts w:ascii="Arial" w:cs="Arial" w:eastAsia="Arial" w:hAnsi="Arial"/>
          <w:sz w:val="18"/>
          <w:szCs w:val="18"/>
          <w:b w:val="1"/>
          <w:bCs w:val="1"/>
          <w:color w:val="auto"/>
        </w:rPr>
        <w:t>TESARO, Inc.</w:t>
      </w:r>
      <w:r>
        <w:rPr>
          <w:rFonts w:ascii="Arial" w:cs="Arial" w:eastAsia="Arial" w:hAnsi="Arial"/>
          <w:sz w:val="18"/>
          <w:szCs w:val="18"/>
          <w:color w:val="auto"/>
        </w:rPr>
        <w:t>, a Delaware corporation, having a place of business at 1000 Winter Street, Suite 3300, Waltham, Massachusetts 02541 (“</w:t>
      </w:r>
      <w:r>
        <w:rPr>
          <w:rFonts w:ascii="Arial" w:cs="Arial" w:eastAsia="Arial" w:hAnsi="Arial"/>
          <w:sz w:val="18"/>
          <w:szCs w:val="18"/>
          <w:b w:val="1"/>
          <w:bCs w:val="1"/>
          <w:color w:val="auto"/>
        </w:rPr>
        <w:t>TESARO US</w:t>
      </w:r>
      <w:r>
        <w:rPr>
          <w:rFonts w:ascii="Arial" w:cs="Arial" w:eastAsia="Arial" w:hAnsi="Arial"/>
          <w:sz w:val="18"/>
          <w:szCs w:val="18"/>
          <w:color w:val="auto"/>
        </w:rPr>
        <w:t xml:space="preserve">”) and </w:t>
      </w:r>
      <w:r>
        <w:rPr>
          <w:rFonts w:ascii="Arial" w:cs="Arial" w:eastAsia="Arial" w:hAnsi="Arial"/>
          <w:sz w:val="18"/>
          <w:szCs w:val="18"/>
          <w:b w:val="1"/>
          <w:bCs w:val="1"/>
          <w:color w:val="auto"/>
        </w:rPr>
        <w:t>TESARO Development, Ltd.</w:t>
      </w:r>
      <w:r>
        <w:rPr>
          <w:rFonts w:ascii="Arial" w:cs="Arial" w:eastAsia="Arial" w:hAnsi="Arial"/>
          <w:sz w:val="18"/>
          <w:szCs w:val="18"/>
          <w:color w:val="auto"/>
        </w:rPr>
        <w:t>, a Bermuda corporation, having its principal office at Clarendon House, 2 Church Street, Hamilton HM 11, Bermuda (together with TESARO US, “TESARO”).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AnaptysBio has skills, expertise and proprietary technology for the discovery, generation and optimization of immunotherapy antibodies.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AnaptysBio is developing therapeutic antibodies against immune checkpoint proteins for use in the treatment of cancer and related conditions.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TESARO possesses expertise in the research, development, manufacturing and commercialization of treatments for cancer and related conditions.</w:t>
      </w:r>
    </w:p>
    <w:p>
      <w:pPr>
        <w:spacing w:after="0" w:line="24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 TESARO and AnaptysBio desire to enter a collaboration wherein AnaptysBio will perform certain discovery and early development of therapeutic antibodies against immune checkpoint proteins, with the goal of generating immunotherapy antibodies to such targets for subsequent preclinical, clinical, regulatory and commercial development by TESARO.</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covenants, conditions and undertakings hereinafter set forth, it is agreed by and between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 as follows:</w:t>
      </w:r>
    </w:p>
    <w:p>
      <w:pPr>
        <w:spacing w:after="0" w:line="234" w:lineRule="exact"/>
        <w:rPr>
          <w:sz w:val="20"/>
          <w:szCs w:val="20"/>
          <w:color w:val="auto"/>
        </w:rPr>
      </w:pPr>
    </w:p>
    <w:p>
      <w:pPr>
        <w:ind w:left="460" w:hanging="452"/>
        <w:spacing w:after="0"/>
        <w:tabs>
          <w:tab w:leader="none" w:pos="46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terms will have the meanings set forth below:</w:t>
      </w:r>
    </w:p>
    <w:p>
      <w:pPr>
        <w:spacing w:after="0" w:line="221"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any corporation or other entity, whether de jure or de facto, which is directly or indirectly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a Party hereto for so long as such control exists. For the purposes of this Section 1.1, “control” shall mean the direct or indirect ownership of at least fifty percent (50%) of the outstanding shares or other voting rights of the subject entity having the power to vote, or if not meeting the preceding,</w:t>
      </w:r>
    </w:p>
    <w:p>
      <w:pPr>
        <w:sectPr>
          <w:pgSz w:w="11900" w:h="16838" w:orient="portrait"/>
          <w:cols w:equalWidth="0" w:num="1">
            <w:col w:w="11420"/>
          </w:cols>
          <w:pgMar w:left="240" w:top="121" w:right="239" w:bottom="1440" w:gutter="0" w:footer="0" w:header="0"/>
        </w:sectPr>
      </w:pPr>
    </w:p>
    <w:bookmarkStart w:id="604" w:name="page605"/>
    <w:bookmarkEnd w:id="60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maximum voting right that may be held by the particular Party under the laws of the country where such entity exists, or the power to otherwise direct the affairs of the entity.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AnaptysBio IP Rights</w:t>
      </w:r>
      <w:r>
        <w:rPr>
          <w:rFonts w:ascii="Arial" w:cs="Arial" w:eastAsia="Arial" w:hAnsi="Arial"/>
          <w:sz w:val="18"/>
          <w:szCs w:val="18"/>
          <w:color w:val="auto"/>
        </w:rPr>
        <w:t>” shall mean, collectively, the AnaptysBio Patents and the AnaptysBio Know-How.</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AnaptysBio Know-How</w:t>
      </w:r>
      <w:r>
        <w:rPr>
          <w:rFonts w:ascii="Arial" w:cs="Arial" w:eastAsia="Arial" w:hAnsi="Arial"/>
          <w:sz w:val="16"/>
          <w:szCs w:val="16"/>
          <w:color w:val="auto"/>
        </w:rPr>
        <w:t>” shall mean all trade secret and other proprietary know- how rights in and to all data, information, compositions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technology (including, but not limited to, formulae, procedures, protocols, techniques and results of experimentation and testing) which are necessary or useful for TESARO to make, use, develop, sell or seek regulatory approval to market a Product, or to practice any method or process, and which</w:t>
      </w:r>
    </w:p>
    <w:p>
      <w:pPr>
        <w:spacing w:after="0" w:line="2" w:lineRule="exact"/>
        <w:rPr>
          <w:sz w:val="20"/>
          <w:szCs w:val="20"/>
          <w:color w:val="auto"/>
        </w:rPr>
      </w:pPr>
    </w:p>
    <w:p>
      <w:pPr>
        <w:ind w:right="240" w:firstLine="8"/>
        <w:spacing w:after="0" w:line="261" w:lineRule="auto"/>
        <w:tabs>
          <w:tab w:leader="none" w:pos="23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AnaptysBio discloses or makes available to TESARO under this Agreement, or (b) are within the Control of AnaptysBio. AnaptysBio Know-How shall exclude the AnaptysBio Platform.</w:t>
      </w:r>
    </w:p>
    <w:p>
      <w:pPr>
        <w:spacing w:after="0" w:line="18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AnaptysBio Patents</w:t>
      </w:r>
      <w:r>
        <w:rPr>
          <w:rFonts w:ascii="Arial" w:cs="Arial" w:eastAsia="Arial" w:hAnsi="Arial"/>
          <w:sz w:val="18"/>
          <w:szCs w:val="18"/>
          <w:color w:val="auto"/>
        </w:rPr>
        <w:t>” shall mean all Patents owned or Controlled by AnaptysBio to the extent claiming the manufacture, composition or use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Antibodies. AnaptysBio Patents shall exclude Patents included within the AnaptysBio Platform.</w:t>
      </w:r>
    </w:p>
    <w:p>
      <w:pPr>
        <w:spacing w:after="0" w:line="162"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AnaptysBio Platform</w:t>
      </w:r>
      <w:r>
        <w:rPr>
          <w:rFonts w:ascii="Arial" w:cs="Arial" w:eastAsia="Arial" w:hAnsi="Arial"/>
          <w:sz w:val="16"/>
          <w:szCs w:val="16"/>
          <w:color w:val="auto"/>
        </w:rPr>
        <w:t>” shall mean: (a) all know-how, trade secrets, data, inventions, proprietary software, works of authorship, designs,</w:t>
      </w:r>
      <w:r>
        <w:rPr>
          <w:rFonts w:ascii="Arial" w:cs="Arial" w:eastAsia="Arial" w:hAnsi="Arial"/>
          <w:sz w:val="16"/>
          <w:szCs w:val="16"/>
          <w:b w:val="1"/>
          <w:bCs w:val="1"/>
          <w:color w:val="auto"/>
        </w:rPr>
        <w:t xml:space="preserve"> </w:t>
      </w:r>
      <w:r>
        <w:rPr>
          <w:rFonts w:ascii="Arial" w:cs="Arial" w:eastAsia="Arial" w:hAnsi="Arial"/>
          <w:sz w:val="16"/>
          <w:szCs w:val="16"/>
          <w:color w:val="auto"/>
        </w:rPr>
        <w:t>techniques, methods, processes, formulations, structure and other information relating to compounds, compositions, specifications, reagents, ideas and information relating to AnaptysBio’s proprietary technology that is, in each case, generally applicable to the discovery, modification, optimization and/or humanization of antibodies and/or other proteins, and/or nucleic acids relating thereto (including, without limitation, the expression, manufacture and formulation of any of the foregoing); and (b) all patent and other intellectual property rights in any of the foregoing; provided, that the AnaptysBio Platform shall not include any Patents covering the composition of matter, in whole or in part, of any Development Antibody or the Patents set forth on Schedule</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12.2(i). Without limiting the generality of the foregoing, AnaptysBio Platform shall include any such information generated, discovered or developed in whole or in part by employees or agents of AnaptysBio in performing any Discovery Program, or otherwise generated, discovered or developed in whole or in part by employees or agents of AnaptysBio during the term of this Agreement; in each case, to the extent any of the foregoing: (i) relate to the AnaptysBio Platform, improvements to the AnaptysBio Platform, or the use of the AnaptysBio Platform or any such AnaptysBio Platform improvements; or (ii) are generally applicable to the discovery, modification, optimization or humanization of proteins and nucleic acids (including, without limitation, the expression and manufacture thereof); provided, that the AnaptysBio Platform shall not include any Patents covering the composition of matter, in whole or in part, of any Development Antibody or the Patents set forth on Schedule 12.2(i).</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Collaboration IP Rights</w:t>
      </w:r>
      <w:r>
        <w:rPr>
          <w:rFonts w:ascii="Arial" w:cs="Arial" w:eastAsia="Arial" w:hAnsi="Arial"/>
          <w:sz w:val="18"/>
          <w:szCs w:val="18"/>
          <w:color w:val="auto"/>
        </w:rPr>
        <w:t>” shall mean all Collaboration Patents and Collaboration Know-How.</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solely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605" w:name="page606"/>
    <w:bookmarkEnd w:id="605"/>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jointly by AnaptysBio and/or TESARO during and in connection with the Discovery Program, or by or for TESARO, its Affiliate or sublicensees in connection with the further development of a Product during and in connection with the Discovery Program. Collaboration Know-How shall exclude the AnaptysBio Platform.</w:t>
      </w:r>
    </w:p>
    <w:p>
      <w:pPr>
        <w:spacing w:after="0" w:line="1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color w:val="auto"/>
        </w:rPr>
        <w:t>“</w:t>
      </w:r>
      <w:r>
        <w:rPr>
          <w:rFonts w:ascii="Arial" w:cs="Arial" w:eastAsia="Arial" w:hAnsi="Arial"/>
          <w:sz w:val="16"/>
          <w:szCs w:val="16"/>
          <w:b w:val="1"/>
          <w:bCs w:val="1"/>
          <w:color w:val="auto"/>
        </w:rPr>
        <w:t>Collaboration Patents</w:t>
      </w:r>
      <w:r>
        <w:rPr>
          <w:rFonts w:ascii="Arial" w:cs="Arial" w:eastAsia="Arial" w:hAnsi="Arial"/>
          <w:sz w:val="16"/>
          <w:szCs w:val="16"/>
          <w:color w:val="auto"/>
        </w:rPr>
        <w:t>” shall mean all Patents the subject of which are inventions conceived and reduced to practice solely or jointly by</w:t>
      </w:r>
      <w:r>
        <w:rPr>
          <w:rFonts w:ascii="Arial" w:cs="Arial" w:eastAsia="Arial" w:hAnsi="Arial"/>
          <w:sz w:val="16"/>
          <w:szCs w:val="16"/>
          <w:b w:val="1"/>
          <w:bCs w:val="1"/>
          <w:color w:val="auto"/>
        </w:rPr>
        <w:t xml:space="preserve"> </w:t>
      </w:r>
      <w:r>
        <w:rPr>
          <w:rFonts w:ascii="Arial" w:cs="Arial" w:eastAsia="Arial" w:hAnsi="Arial"/>
          <w:sz w:val="16"/>
          <w:szCs w:val="16"/>
          <w:color w:val="auto"/>
        </w:rPr>
        <w:t>AnaptysBio and/or TESARO during and in connection with the Discovery Program, or by or for TESARO, its Affiliate or sublicensees in connection with the further development of a Product during and in connection with the Discovery Program. Collaboration Patents shall exclude the AnaptysBio Platform.</w:t>
      </w:r>
    </w:p>
    <w:p>
      <w:pPr>
        <w:spacing w:after="0" w:line="142" w:lineRule="exact"/>
        <w:rPr>
          <w:sz w:val="20"/>
          <w:szCs w:val="20"/>
          <w:color w:val="auto"/>
        </w:rPr>
      </w:pPr>
    </w:p>
    <w:p>
      <w:pPr>
        <w:ind w:right="800" w:firstLine="456"/>
        <w:spacing w:after="0" w:line="282"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that contains a Development Antibody and at least one other therapeutically active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ingredient which is not a Development Antibody.</w:t>
      </w:r>
    </w:p>
    <w:p>
      <w:pPr>
        <w:spacing w:after="0" w:line="1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 Party, such efforts that are consistent with the efforts and resources normally used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Party in the exercise of its reasonable business discretion relating to the research, development and commercialization of a pharmaceutical or biologic product owned by it or to which it has exclusive rights, with similar product characteristics, which is of similar market potential at a similar stage in its development or product life, taking into account issues of patent coverage, safety and efficacy, product profile, the competitiveness of the marketplace, the proprietary position of the compound or product, the regulatory structure involved, the potential or actual profitability of the applicable products (including pricing and reimbursement status achieved or to be achieved), and other relevant factors, including technical, legal, scientific and/or medical factors. For purposes of clarity, Commercially Reasonable Efforts would be determined on a market-by-market and indication- by-indication basis for a particular product and it is anticipated that the level of effort may be different for different markets and may change over time, reflecting changes in the status of the product and the market(s) involved. [*]</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10.1.</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Controls,</w:t>
      </w:r>
      <w:r>
        <w:rPr>
          <w:rFonts w:ascii="Arial" w:cs="Arial" w:eastAsia="Arial" w:hAnsi="Arial"/>
          <w:sz w:val="18"/>
          <w:szCs w:val="18"/>
          <w:color w:val="auto"/>
        </w:rPr>
        <w:t>” “</w:t>
      </w:r>
      <w:r>
        <w:rPr>
          <w:rFonts w:ascii="Arial" w:cs="Arial" w:eastAsia="Arial" w:hAnsi="Arial"/>
          <w:sz w:val="18"/>
          <w:szCs w:val="18"/>
          <w:b w:val="1"/>
          <w:bCs w:val="1"/>
          <w:color w:val="auto"/>
        </w:rPr>
        <w:t>Controlled</w:t>
      </w:r>
      <w:r>
        <w:rPr>
          <w:rFonts w:ascii="Arial" w:cs="Arial" w:eastAsia="Arial" w:hAnsi="Arial"/>
          <w:sz w:val="18"/>
          <w:szCs w:val="18"/>
          <w:color w:val="auto"/>
        </w:rPr>
        <w:t>” or “</w:t>
      </w:r>
      <w:r>
        <w:rPr>
          <w:rFonts w:ascii="Arial" w:cs="Arial" w:eastAsia="Arial" w:hAnsi="Arial"/>
          <w:sz w:val="18"/>
          <w:szCs w:val="18"/>
          <w:b w:val="1"/>
          <w:bCs w:val="1"/>
          <w:color w:val="auto"/>
        </w:rPr>
        <w:t>Controlling</w:t>
      </w:r>
      <w:r>
        <w:rPr>
          <w:rFonts w:ascii="Arial" w:cs="Arial" w:eastAsia="Arial" w:hAnsi="Arial"/>
          <w:sz w:val="18"/>
          <w:szCs w:val="18"/>
          <w:color w:val="auto"/>
        </w:rPr>
        <w:t>” shall mean possession of the ability to grant the licenses or sublicenses as provided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violating the terms of any agreement or other arrangements with any Third Party.</w:t>
      </w:r>
    </w:p>
    <w:p>
      <w:pPr>
        <w:spacing w:after="0" w:line="162" w:lineRule="exact"/>
        <w:rPr>
          <w:sz w:val="20"/>
          <w:szCs w:val="20"/>
          <w:color w:val="auto"/>
        </w:rPr>
      </w:pPr>
    </w:p>
    <w:p>
      <w:pPr>
        <w:ind w:right="540" w:firstLine="456"/>
        <w:spacing w:after="0" w:line="261"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Development Antibody</w:t>
      </w:r>
      <w:r>
        <w:rPr>
          <w:rFonts w:ascii="Arial" w:cs="Arial" w:eastAsia="Arial" w:hAnsi="Arial"/>
          <w:sz w:val="18"/>
          <w:szCs w:val="18"/>
          <w:color w:val="auto"/>
        </w:rPr>
        <w:t>” shall mean any antibody that is developed using the AnaptysBio Platform antibody technology under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and is a Target Antagonist. In addition, the antibodies existing as of the Effective Date and identified on Exhibit C attached to the Supplmental Information Package, which Exhibit also sets forth the sequence of such antibodies, shall each be a “Development Antibody” under this Agreement.</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Development Programs</w:t>
      </w:r>
      <w:r>
        <w:rPr>
          <w:rFonts w:ascii="Arial" w:cs="Arial" w:eastAsia="Arial" w:hAnsi="Arial"/>
          <w:sz w:val="18"/>
          <w:szCs w:val="18"/>
          <w:color w:val="auto"/>
        </w:rPr>
        <w:t>” shall mean, collectively, the PD-1 Development Program, TIM-3 Development Program and LAG-3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and “</w:t>
      </w:r>
      <w:r>
        <w:rPr>
          <w:rFonts w:ascii="Arial" w:cs="Arial" w:eastAsia="Arial" w:hAnsi="Arial"/>
          <w:sz w:val="18"/>
          <w:szCs w:val="18"/>
          <w:b w:val="1"/>
          <w:bCs w:val="1"/>
          <w:color w:val="auto"/>
        </w:rPr>
        <w:t>Development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Discovery Plan</w:t>
      </w:r>
      <w:r>
        <w:rPr>
          <w:rFonts w:ascii="Arial" w:cs="Arial" w:eastAsia="Arial" w:hAnsi="Arial"/>
          <w:sz w:val="18"/>
          <w:szCs w:val="18"/>
          <w:color w:val="auto"/>
        </w:rPr>
        <w:t>” shall mean the written research plan governing the joint effort of the Parties in conducting the applicable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amended from</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06" w:name="page607"/>
    <w:bookmarkEnd w:id="60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to time, in accordance with this Agreement. The initial Discovery Plan for each Discovery Program is attached to the Supplemental Information Package as Exhibits A-1 – A-3.</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Discovery Programs</w:t>
      </w:r>
      <w:r>
        <w:rPr>
          <w:rFonts w:ascii="Arial" w:cs="Arial" w:eastAsia="Arial" w:hAnsi="Arial"/>
          <w:sz w:val="18"/>
          <w:szCs w:val="18"/>
          <w:color w:val="auto"/>
        </w:rPr>
        <w:t>” shall mean, collectively, the PD-1 Discovery Program, TIM-3 Discovery Program and LAG-3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Discovery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Discovery Program Term</w:t>
      </w:r>
      <w:r>
        <w:rPr>
          <w:rFonts w:ascii="Arial" w:cs="Arial" w:eastAsia="Arial" w:hAnsi="Arial"/>
          <w:sz w:val="18"/>
          <w:szCs w:val="18"/>
          <w:color w:val="auto"/>
        </w:rPr>
        <w:t>” shall mean, with respect to a Discovery Program, the term of such Discovery Program, as provided in 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shall mean the European Agency for the Evaluation of Medicinal Products of the European Union,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Food and Drug Administration of the United States,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shall mean all uses of Products for any purpose, including the [*].</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shall mean a full-time person working on the Discovery Program, or in the case of less than a full-time, dedicated person, a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person year, based upon a total of [*] hours per year of work in connection with a Discovery Program.</w:t>
      </w:r>
    </w:p>
    <w:p>
      <w:pPr>
        <w:spacing w:after="0" w:line="162"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GLP Study</w:t>
      </w:r>
      <w:r>
        <w:rPr>
          <w:rFonts w:ascii="Arial" w:cs="Arial" w:eastAsia="Arial" w:hAnsi="Arial"/>
          <w:sz w:val="18"/>
          <w:szCs w:val="18"/>
          <w:color w:val="auto"/>
        </w:rPr>
        <w:t>” shall mean any in vitro or in vivo study that (i) is required under 21 C.F.R. § 58 to be governed under the principles of good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practice, or (ii) is performed by a GLP vendor.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shall mean an investigational new drug application filed with the FDA as more fully defined in 21 C.F.R. § 312.3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or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shall have the meaning set forth in Section 4.1.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LAG-3</w:t>
      </w:r>
      <w:r>
        <w:rPr>
          <w:rFonts w:ascii="Arial" w:cs="Arial" w:eastAsia="Arial" w:hAnsi="Arial"/>
          <w:sz w:val="18"/>
          <w:szCs w:val="18"/>
          <w:color w:val="auto"/>
        </w:rPr>
        <w:t>” shall mean lymphocyte-activation gene 3, encoded by the LAG3 gene, also known as CD223.</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LAG-3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LAG-3 Discovery Program.</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LAG-3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LAG-3, including dual-reactive antibodies that are directed to antagonize both PD-1 and LAG-3.</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means a Marketing Authorization Application, or similar application for marketing approval of a Product for use in the Field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EMA.</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07" w:name="page608"/>
    <w:bookmarkEnd w:id="607"/>
    <w:p>
      <w:pPr>
        <w:ind w:right="1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1.29.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shall mean a New Drug Application or Biologics License Application, or similar application for marketing approval of a Product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submitted to the FDA.</w:t>
      </w:r>
    </w:p>
    <w:p>
      <w:pPr>
        <w:spacing w:after="0" w:line="162"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Product, the gross invoiced sales price of such Product sold by TESARO, its Affiliates or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“Selling Party”), in arm’s- length sales to Third Parties, less deductions allowed to the Third Party customer by the Selling Party, to the extent actually taken by the Third Party customer, on such sales for:</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allowed for deductions resulting from clauses [*], collectively, shall not exceed [*] percent ([*]) of the total Net Sales.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 Product is sold as part of a Combination Product, for purposes of determining payments due hereunder, Net Sales of such Product shall be deemed to be an amount equal to the following: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divided by Y) multiplied by Z,</w:t>
      </w:r>
    </w:p>
    <w:p>
      <w:pPr>
        <w:spacing w:after="0" w:line="225"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where “X” is the average sales price during the applicable reporting period achieved for the relevant Product in the country in which such sale occurred when the Product contains only the Product and no other active pharmaceutical ingredient;</w:t>
      </w:r>
    </w:p>
    <w:p>
      <w:pPr>
        <w:spacing w:after="0" w:line="170"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“Y” is the sum of the average sales price during the applicable reporting period achieved in that country (as applicable) of each active pharmaceutical ingredient included in the Combination Product when such compound is sold as a separate product and not as part of a Combination Product;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 is the single price at which the relevant Combination Product was actually sold.</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no separate sale of either (i) the Product and no other active pharmaceutical ingredient or (ii) the other active pharmaceutical ingredient(s) of the Combination Product are made during the accounting period in which the sale was made or if the price for a particular therapeutically active ingredient or relevant product cannot otherwise be determined for an accounting period, Net Sales allocable to the Product shall be determined by mutual agreement reached in good faith by the Parties prior to the end of the accounting period in question based on an equitable method of determining the same that takes into account, variations in potency, the relative contribution of each therapeutically active ingredient in the Combination Product, and relative value to the end user of each therapeutically active ingredient.</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Sales among TESARO and its Affiliates or sublicensees shall be excluded from the computation of Net Sales, and no royalties will be payable on such sales except where such Affiliates or sublicensees are end users; provided, however, in that any subsequent resale to a Third Party shall be included within Net Sales.</w:t>
      </w:r>
    </w:p>
    <w:p>
      <w:pPr>
        <w:spacing w:after="0" w:line="18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Notwithstanding the foregoing, Net Sales shall be calculated and accounted for in accordance with United States generally accepted accounting principles (“GAAP”); provided, that if TESARO should change accounting standards during the term of this Agreement due to a</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608" w:name="page609"/>
    <w:bookmarkEnd w:id="60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acquisition or requirement of applicable laws, then Net Sales hereunder may be calculated and accounted for in accordance with such different set of accounting standards, consistently applied, following such change.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mean, respectively, AnaptysBio or TESARO, individually, or AnaptysBio and TESARO, collectively.</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shall mean (a) all patents and patent applications in any country or supranational jurisdiction in the Territory, and (b) any substitutions,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 continuations, continuations-in-part, provisional applications, reissues, renewals, registrations, confirmations, re-examinations, extensions, supplementary protection certificates and the like of any such patents or patent applications.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PD-1</w:t>
      </w:r>
      <w:r>
        <w:rPr>
          <w:rFonts w:ascii="Arial" w:cs="Arial" w:eastAsia="Arial" w:hAnsi="Arial"/>
          <w:sz w:val="18"/>
          <w:szCs w:val="18"/>
          <w:color w:val="auto"/>
        </w:rPr>
        <w:t>” shall mean programmed cell death protein 1, encoded by the PDCD1 gene, also known as CD279.</w:t>
      </w:r>
    </w:p>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PD-1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PD-1 Discovery Program.</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PD-1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PD-1, including the antibody identified on Exhibit C to the Supplemental Information Package. [*]</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indication or indications in patients with the disease or indication under study and would satisfy requirements of 21 CFR 312.21(b) or its foreign equivalent.</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shall mean a human clinical trial in any country, the results of which could be used to establish safety and efficacy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a basis for an NDA, and would satisfy requirements of 21 CFR 312.21(c) or its foreign equivalent.</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pharmaceutical or biologic product or therapy including one or more Development Antibodies, in whole or in part, as</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ingredient.</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 Third Party which a Party has engaged to perform services in connection with such Party fulfilling its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its rights under and pursuant to this Agreement.</w:t>
      </w:r>
    </w:p>
    <w:p>
      <w:pPr>
        <w:spacing w:after="0" w:line="162"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Supplemental Information Package</w:t>
      </w:r>
      <w:r>
        <w:rPr>
          <w:rFonts w:ascii="Arial" w:cs="Arial" w:eastAsia="Arial" w:hAnsi="Arial"/>
          <w:sz w:val="18"/>
          <w:szCs w:val="18"/>
          <w:color w:val="auto"/>
        </w:rPr>
        <w:t>” means the Supplemental Information Package delivered in connection with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Parties on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Target(s)</w:t>
      </w:r>
      <w:r>
        <w:rPr>
          <w:rFonts w:ascii="Arial" w:cs="Arial" w:eastAsia="Arial" w:hAnsi="Arial"/>
          <w:sz w:val="18"/>
          <w:szCs w:val="18"/>
          <w:color w:val="auto"/>
        </w:rPr>
        <w:t>” shall mean LAG-3, PD-1 and TIM-3.</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Target Antagonist</w:t>
      </w:r>
      <w:r>
        <w:rPr>
          <w:rFonts w:ascii="Arial" w:cs="Arial" w:eastAsia="Arial" w:hAnsi="Arial"/>
          <w:sz w:val="18"/>
          <w:szCs w:val="18"/>
          <w:color w:val="auto"/>
        </w:rPr>
        <w:t>” shall mean an antibody that is created against and selected in order to antagonize Target(s), and does anatagonize that</w:t>
      </w:r>
      <w:r>
        <w:rPr>
          <w:rFonts w:ascii="Arial" w:cs="Arial" w:eastAsia="Arial" w:hAnsi="Arial"/>
          <w:sz w:val="18"/>
          <w:szCs w:val="18"/>
          <w:b w:val="1"/>
          <w:bCs w:val="1"/>
          <w:color w:val="auto"/>
        </w:rPr>
        <w:t xml:space="preserve"> </w:t>
      </w:r>
      <w:r>
        <w:rPr>
          <w:rFonts w:ascii="Arial" w:cs="Arial" w:eastAsia="Arial" w:hAnsi="Arial"/>
          <w:sz w:val="18"/>
          <w:szCs w:val="18"/>
          <w:color w:val="auto"/>
        </w:rPr>
        <w:t>Target.</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609" w:name="page610"/>
    <w:bookmarkEnd w:id="60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1.43.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shall mean worldwide.</w:t>
      </w:r>
    </w:p>
    <w:p>
      <w:pPr>
        <w:spacing w:after="0" w:line="22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TESARO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by or for TESARO, its Affiliate or sublicensees in connection with the further development of a Product and Controlled by TESARO.</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TESARO Patents</w:t>
      </w:r>
      <w:r>
        <w:rPr>
          <w:rFonts w:ascii="Arial" w:cs="Arial" w:eastAsia="Arial" w:hAnsi="Arial"/>
          <w:sz w:val="18"/>
          <w:szCs w:val="18"/>
          <w:color w:val="auto"/>
        </w:rPr>
        <w:t>” shall mean all Patents Controlled by TESARO the subject of which are inventions conceived and reduced to practice by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TESARO, its Affiliate or sublicensees in connection with the further development of a Product.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TIM-3</w:t>
      </w:r>
      <w:r>
        <w:rPr>
          <w:rFonts w:ascii="Arial" w:cs="Arial" w:eastAsia="Arial" w:hAnsi="Arial"/>
          <w:sz w:val="18"/>
          <w:szCs w:val="18"/>
          <w:color w:val="auto"/>
        </w:rPr>
        <w:t>” shall mean the T cell immunoglobulin and mucin protein 3 protein, encoded by the TIM3 gene.</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TIM-3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TIM-3 Discovery Program.</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TIM-3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TIM-3, including dual-reactive antibodies that are directed to antagonize both PD-1 and TIM-3.</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or entity other than AnaptysBio and TESARO, and their respective Affiliates.</w:t>
      </w:r>
    </w:p>
    <w:p>
      <w:pPr>
        <w:spacing w:after="0" w:line="225"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7"/>
          <w:szCs w:val="17"/>
          <w:color w:val="auto"/>
        </w:rPr>
        <w:t>“</w:t>
      </w:r>
      <w:r>
        <w:rPr>
          <w:rFonts w:ascii="Arial" w:cs="Arial" w:eastAsia="Arial" w:hAnsi="Arial"/>
          <w:sz w:val="17"/>
          <w:szCs w:val="17"/>
          <w:b w:val="1"/>
          <w:bCs w:val="1"/>
          <w:color w:val="auto"/>
        </w:rPr>
        <w:t>Third Party In-License</w:t>
      </w:r>
      <w:r>
        <w:rPr>
          <w:rFonts w:ascii="Arial" w:cs="Arial" w:eastAsia="Arial" w:hAnsi="Arial"/>
          <w:sz w:val="17"/>
          <w:szCs w:val="17"/>
          <w:color w:val="auto"/>
        </w:rPr>
        <w:t>” shall mean any agreement between AnaptysBio or any Affiliate thereof and any Third Party under which AnaptysBio</w:t>
      </w:r>
      <w:r>
        <w:rPr>
          <w:rFonts w:ascii="Arial" w:cs="Arial" w:eastAsia="Arial" w:hAnsi="Arial"/>
          <w:sz w:val="17"/>
          <w:szCs w:val="17"/>
          <w:b w:val="1"/>
          <w:bCs w:val="1"/>
          <w:color w:val="auto"/>
        </w:rPr>
        <w:t xml:space="preserve"> </w:t>
      </w:r>
      <w:r>
        <w:rPr>
          <w:rFonts w:ascii="Arial" w:cs="Arial" w:eastAsia="Arial" w:hAnsi="Arial"/>
          <w:sz w:val="17"/>
          <w:szCs w:val="17"/>
          <w:color w:val="auto"/>
        </w:rPr>
        <w:t>or such Affiliate is or has been granted a license or other rights under the AnaptysBio IP Rights or with respect to the AnaptysBio Platform.</w:t>
      </w:r>
    </w:p>
    <w:p>
      <w:pPr>
        <w:spacing w:after="0" w:line="165" w:lineRule="exact"/>
        <w:rPr>
          <w:sz w:val="20"/>
          <w:szCs w:val="20"/>
          <w:color w:val="auto"/>
        </w:rPr>
      </w:pPr>
    </w:p>
    <w:p>
      <w:pPr>
        <w:ind w:left="460" w:hanging="452"/>
        <w:spacing w:after="0"/>
        <w:tabs>
          <w:tab w:leader="none" w:pos="4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PROGRAMS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2.1. Goals</w:t>
      </w:r>
      <w:r>
        <w:rPr>
          <w:rFonts w:ascii="Arial" w:cs="Arial" w:eastAsia="Arial" w:hAnsi="Arial"/>
          <w:sz w:val="18"/>
          <w:szCs w:val="18"/>
          <w:color w:val="auto"/>
        </w:rPr>
        <w:t>. The goals of the Discovery Programs are the discovery of Development Antibodies directed to the applicable Targets, and characterization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testing, including certain efficacy, pharmacology and toxicology studies, provided that none shall be a GLP Study, all as set forth in the applicable Discovery Plan for such Discovery Program.</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2.2. Responsibility</w:t>
      </w:r>
      <w:r>
        <w:rPr>
          <w:rFonts w:ascii="Arial" w:cs="Arial" w:eastAsia="Arial" w:hAnsi="Arial"/>
          <w:sz w:val="18"/>
          <w:szCs w:val="18"/>
          <w:color w:val="auto"/>
        </w:rPr>
        <w:t>. AnaptysBio shall hold the primary responsibility for executing each of the Discovery Programs in accordance with each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Plan. AnaptysBio shall utilize resources and methodologies as needed with respect to the AnaptysBio Platform to generate Development Antibodies with respect to each Target.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2.3. Conduct of the Discovery Program</w:t>
      </w:r>
      <w:r>
        <w:rPr>
          <w:rFonts w:ascii="Arial" w:cs="Arial" w:eastAsia="Arial" w:hAnsi="Arial"/>
          <w:sz w:val="18"/>
          <w:szCs w:val="18"/>
          <w:color w:val="auto"/>
        </w:rPr>
        <w:t>. Subject to the terms and conditions set forth herein, AnaptysBio agrees to conduct research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which shall be funded as set forth in Section 6. During each Discovery Program Term, AnaptysBio shall use Commercially Reasonable Efforts to conduct each Discovery Program in accordance with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1" w:right="259" w:bottom="1440" w:gutter="0" w:footer="0" w:header="0"/>
        </w:sectPr>
      </w:pPr>
    </w:p>
    <w:bookmarkStart w:id="610" w:name="page611"/>
    <w:bookmarkEnd w:id="610"/>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Discovery Plan within the time schedules contemplated therein and to keep TESARO informed as to the progress and results of the Discovery Programs hereunder.</w:t>
      </w:r>
    </w:p>
    <w:p>
      <w:pPr>
        <w:spacing w:after="0" w:line="1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2.4. Discovery Plans</w:t>
      </w:r>
      <w:r>
        <w:rPr>
          <w:rFonts w:ascii="Arial" w:cs="Arial" w:eastAsia="Arial" w:hAnsi="Arial"/>
          <w:sz w:val="18"/>
          <w:szCs w:val="18"/>
          <w:color w:val="auto"/>
        </w:rPr>
        <w:t>. Each Discovery Program shall be carried out in accordance with a mutually agreed upon written Discovery Plan,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specific research objectives and the research tasks to be performed and resources to be provided by AnaptysBio. The initial Discovery Plans, attached to the Supplemental Information Package as Exhibits A-1 – A-3, establish: (i) the scope of the research activities which will be performed under the applicable Discovery Program; (ii) the research objectives and work plan activities with respect to such Discovery Program; and (iii) the criteria for determining when a Development Antibody shall be advanced into its respective Development Program. The Discovery Plans may be amended or modified from time to time by approval of the JSC.</w:t>
      </w:r>
    </w:p>
    <w:p>
      <w:pPr>
        <w:spacing w:after="0" w:line="188"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2.5. Discovery Budgets</w:t>
      </w:r>
      <w:r>
        <w:rPr>
          <w:rFonts w:ascii="Arial" w:cs="Arial" w:eastAsia="Arial" w:hAnsi="Arial"/>
          <w:sz w:val="18"/>
          <w:szCs w:val="18"/>
          <w:color w:val="auto"/>
        </w:rPr>
        <w:t>. Each Discovery Plan includes a budget covering the activities to be conducted by AnaptysBio under such Discovery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Parties (each, a “</w:t>
      </w:r>
      <w:r>
        <w:rPr>
          <w:rFonts w:ascii="Arial" w:cs="Arial" w:eastAsia="Arial" w:hAnsi="Arial"/>
          <w:sz w:val="18"/>
          <w:szCs w:val="18"/>
          <w:b w:val="1"/>
          <w:bCs w:val="1"/>
          <w:color w:val="auto"/>
        </w:rPr>
        <w:t>Discovery Budget</w:t>
      </w:r>
      <w:r>
        <w:rPr>
          <w:rFonts w:ascii="Arial" w:cs="Arial" w:eastAsia="Arial" w:hAnsi="Arial"/>
          <w:sz w:val="18"/>
          <w:szCs w:val="18"/>
          <w:color w:val="auto"/>
        </w:rPr>
        <w:t>”). The Discovery Budgets may be amended from time to time by approval of the JSC, but, unless otherwise decided by the JSC, only following a JSC-approved modification to the applicable Discovery Plan which necessitates a change in the applicable Discovery Budget. At all times the Discovery Budgets shall reflect the Parties’ good faith estimate of the costs reasonably necessary in order for AnaptysBio to complete its activities set forth in the Discovery Plans.</w:t>
      </w:r>
    </w:p>
    <w:p>
      <w:pPr>
        <w:spacing w:after="0" w:line="184"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2.6. Discovery Program Costs</w:t>
      </w:r>
      <w:r>
        <w:rPr>
          <w:rFonts w:ascii="Arial" w:cs="Arial" w:eastAsia="Arial" w:hAnsi="Arial"/>
          <w:sz w:val="18"/>
          <w:szCs w:val="18"/>
          <w:color w:val="auto"/>
        </w:rPr>
        <w:t>. During the applicable Discovery Program Term and subject to TESARO funding the costs of each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6.1, AnaptysBio shall [*]. At the beginning of each calendar quarter,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2.7. Term of Discovery Program</w:t>
      </w:r>
      <w:r>
        <w:rPr>
          <w:rFonts w:ascii="Arial" w:cs="Arial" w:eastAsia="Arial" w:hAnsi="Arial"/>
          <w:sz w:val="17"/>
          <w:szCs w:val="17"/>
          <w:color w:val="auto"/>
        </w:rPr>
        <w:t>. Each Discovery Program Term shall commence on the Effective Date and shall end upon the earlier of [*].</w:t>
      </w:r>
    </w:p>
    <w:p>
      <w:pPr>
        <w:spacing w:after="0" w:line="23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 xml:space="preserve">2.8. Third Party Licenses. </w:t>
      </w:r>
      <w:r>
        <w:rPr>
          <w:rFonts w:ascii="Arial" w:cs="Arial" w:eastAsia="Arial" w:hAnsi="Arial"/>
          <w:sz w:val="17"/>
          <w:szCs w:val="17"/>
          <w:color w:val="auto"/>
        </w:rPr>
        <w:t>In the event that the Parties agree to acquire additional technologies, equipment or other fixed assets from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for use in the conduct of a Discovery Program, TESARO will be responsible for the payment of any amounts due to Third Parties for the license of intellectual property which directly applies to any Target, and the costs of negotiating, preparing and executing any such license.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Records; Inspection</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56" w:lineRule="auto"/>
        <w:tabs>
          <w:tab w:leader="none" w:pos="1168"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AnaptysBio and TESARO shall maintain records of each Discovery Program (or cause such records to be maintained) in sufficient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detail and in good scientific manner as will properly reflect all work done and results achieved in the performance of the Discovery Program (including all data in the form required under any applicable governmental regulations or as directed by the JSC). All such records shall be owned by AnaptysBio, and licensed to TESARO on a Discovery Program-by-Discovery Program basis in accordance with Section 5.1 and AnaptysBio shall deliver copies of any such records to TESARO upon TESARO’s written request. AnaptysBio shall maintain any such records, to the extent not delivered to TESARO, during the applicable Discovery Program Term and for a</w:t>
      </w:r>
    </w:p>
    <w:p>
      <w:pPr>
        <w:spacing w:after="0" w:line="12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11" w:name="page612"/>
    <w:bookmarkEnd w:id="611"/>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at least five (5) years thereafter, and shall provide TESARO access to such records at AnaptysBio’s place of business upon reasonable advance notice by TESARO.</w:t>
      </w:r>
    </w:p>
    <w:p>
      <w:pPr>
        <w:spacing w:after="0" w:line="166" w:lineRule="exact"/>
        <w:rPr>
          <w:sz w:val="20"/>
          <w:szCs w:val="20"/>
          <w:color w:val="auto"/>
        </w:rPr>
      </w:pPr>
    </w:p>
    <w:p>
      <w:pPr>
        <w:ind w:right="160" w:firstLine="921"/>
        <w:spacing w:after="0" w:line="261" w:lineRule="auto"/>
        <w:tabs>
          <w:tab w:leader="none" w:pos="1178"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each Discovery Program Term, each of TESARO and AnaptysBio shall use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disclose to the other Party all material information relating to the applicable Discovery Program promptly after it is learned or its materiality is appreciated. Each Party shall also keep the other Party, including the Joint Steering Committee, informed as to its progress under each Discovery Plan. [*]</w:t>
      </w:r>
    </w:p>
    <w:p>
      <w:pPr>
        <w:spacing w:after="0" w:line="180"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2.10. Technology Transfer</w:t>
      </w:r>
      <w:r>
        <w:rPr>
          <w:rFonts w:ascii="Arial" w:cs="Arial" w:eastAsia="Arial" w:hAnsi="Arial"/>
          <w:sz w:val="17"/>
          <w:szCs w:val="17"/>
          <w:color w:val="auto"/>
        </w:rPr>
        <w:t>. At any time after cessation, termination or completion of the applicable Discovery Program, or as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TESARO at any time after the Effective Date, TESARO shall have the right to request that AnaptysBio commence a technology transfer to TESARO, or its designee, of any tangible embodiments of AnaptysBio Know-How or other information and technology reasonably necessary for the GLP manufacture, clinical and/or commercial manufacture of Products or any Development Antibodies with respect to such Discovery Program. The cost of a technology transfer shall be borne by TESARO and shall be based on the FTE rates set forth herein. [*]</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Subcontracting</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68" w:val="left"/>
        </w:tabs>
        <w:numPr>
          <w:ilvl w:val="0"/>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t>AnaptysBio Right to Subcontract</w:t>
      </w:r>
      <w:r>
        <w:rPr>
          <w:rFonts w:ascii="Arial" w:cs="Arial" w:eastAsia="Arial" w:hAnsi="Arial"/>
          <w:sz w:val="16"/>
          <w:szCs w:val="16"/>
          <w:color w:val="auto"/>
        </w:rPr>
        <w:t>. Subject to the terms of this Agreement, AnaptysBio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under the Discovery Plans; provided, that with respect to each subcontract: (i) AnaptysBio shall notify TESARO in writing (on a confidential basis) in advance (including a description of the activity(ies) to be subcontracted, the identity of the Subcontractor and the countries involved); (ii) AnaptysBio shall ensure that each of its Subcontractors accepts and complies with all applicable terms and conditions of this Agreement, and AnaptysBio shall remain responsible for the performance of its Subcontractors hereunder; (iii) no subcontract shall contain any royalty bearing licenses or any milestone payment obligations, in each case, payable by AnaptysBio, without the prior written consent of TESARO; and (iv) any such subcontract shall (A) be in writing, (B) be subject and subordinate to the terms and conditions of this Agreement, (C) contain terms and conditions which are consistent with the terms and conditions of this Agreement, (D) not in any way diminish, reduce or eliminate any of AnaptysBio’s obligations under this Agreement, (E) impose on the Subcontractor all applicable obligations under the terms of this Agreement, including the reporting, audit, inspection and confidentiality provisions hereunder, as well as a provision prohibiting such Subcontractor from further sublicensing or subcontracting, and (F) use reasonable efforts to cause such subcontract to be assignable to TESARO without consent of the Subcontractor. Notwithstanding the foregoing, approval of the JSC will be required if AnaptysBio desires to engage a Subcontractor to perform work related to chemistry, manufacturing and controls.</w:t>
      </w:r>
    </w:p>
    <w:p>
      <w:pPr>
        <w:spacing w:after="0" w:line="168" w:lineRule="exact"/>
        <w:rPr>
          <w:rFonts w:ascii="Arial" w:cs="Arial" w:eastAsia="Arial" w:hAnsi="Arial"/>
          <w:sz w:val="16"/>
          <w:szCs w:val="16"/>
          <w:b w:val="1"/>
          <w:bCs w:val="1"/>
          <w:color w:val="auto"/>
        </w:rPr>
      </w:pPr>
    </w:p>
    <w:p>
      <w:pPr>
        <w:ind w:right="160" w:firstLine="921"/>
        <w:spacing w:after="0" w:line="314" w:lineRule="auto"/>
        <w:tabs>
          <w:tab w:leader="none" w:pos="1178" w:val="left"/>
        </w:tabs>
        <w:numPr>
          <w:ilvl w:val="0"/>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t>TESARO Right to Subcontract</w:t>
      </w:r>
      <w:r>
        <w:rPr>
          <w:rFonts w:ascii="Arial" w:cs="Arial" w:eastAsia="Arial" w:hAnsi="Arial"/>
          <w:sz w:val="16"/>
          <w:szCs w:val="16"/>
          <w:color w:val="auto"/>
        </w:rPr>
        <w:t>. Subject to the terms of this Agreement, TESARO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and exercise its rights under this Agreement (including any activities under the Development Programs); provided, that with respect to each subcontract: (i) TESARO shall ensure that each of its Subcontractors accepts and complies with all applicable terms and</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12" w:name="page613"/>
    <w:bookmarkEnd w:id="6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this Agreement, and TESARO shall remain responsible for the performance of its Subcontractors hereunder; and (ii) any such subcontract shall</w:t>
      </w:r>
    </w:p>
    <w:p>
      <w:pPr>
        <w:spacing w:after="0" w:line="46" w:lineRule="exact"/>
        <w:rPr>
          <w:sz w:val="20"/>
          <w:szCs w:val="20"/>
          <w:color w:val="auto"/>
        </w:rPr>
      </w:pPr>
    </w:p>
    <w:p>
      <w:pPr>
        <w:ind w:firstLine="8"/>
        <w:spacing w:after="0" w:line="295" w:lineRule="auto"/>
        <w:tabs>
          <w:tab w:leader="none" w:pos="295" w:val="left"/>
        </w:tabs>
        <w:numPr>
          <w:ilvl w:val="0"/>
          <w:numId w:val="523"/>
        </w:numPr>
        <w:rPr>
          <w:rFonts w:ascii="Arial" w:cs="Arial" w:eastAsia="Arial" w:hAnsi="Arial"/>
          <w:sz w:val="16"/>
          <w:szCs w:val="16"/>
          <w:color w:val="auto"/>
        </w:rPr>
      </w:pPr>
      <w:r>
        <w:rPr>
          <w:rFonts w:ascii="Arial" w:cs="Arial" w:eastAsia="Arial" w:hAnsi="Arial"/>
          <w:sz w:val="16"/>
          <w:szCs w:val="16"/>
          <w:color w:val="auto"/>
        </w:rPr>
        <w:t>be in writing, (B) be subject and subordinate to the terms and conditions of this Agreement, (C) contain terms and conditions which are consistent with the terms and conditions of this Agreement, (D) not in any way diminish, reduce or eliminate any of TESARO’s obligations under this Agreement, (E) impose on the Subcontractor all applicable obligations under the terms of this Agreement, including the reporting, audit, inspection and confidentiality provisions hereunder, and (F) use reasonable efforts to cause such subcontract to be assignable to AnaptysBio without consent of the Subcontractor.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p>
    <w:p>
      <w:pPr>
        <w:spacing w:after="0" w:line="252" w:lineRule="exact"/>
        <w:rPr>
          <w:sz w:val="20"/>
          <w:szCs w:val="20"/>
          <w:color w:val="auto"/>
        </w:rPr>
      </w:pPr>
    </w:p>
    <w:p>
      <w:pPr>
        <w:ind w:left="460" w:hanging="452"/>
        <w:spacing w:after="0"/>
        <w:tabs>
          <w:tab w:leader="none" w:pos="460"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PROGRAMS</w:t>
      </w:r>
    </w:p>
    <w:p>
      <w:pPr>
        <w:spacing w:after="0" w:line="225"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color w:val="auto"/>
        </w:rPr>
        <w:t>3.1. Development Program Activities</w:t>
      </w:r>
      <w:r>
        <w:rPr>
          <w:rFonts w:ascii="Arial" w:cs="Arial" w:eastAsia="Arial" w:hAnsi="Arial"/>
          <w:sz w:val="18"/>
          <w:szCs w:val="18"/>
          <w:color w:val="auto"/>
        </w:rPr>
        <w:t>. Following completion of each Discovery Program, TESARO shall be responsible, at its sole expense,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the Development Program, which shall include without limitation all pre-IND activities, including cross-reactivity studies and pilot studies to enable GLP pharmacology/toxicology studies, GMP manufacturing, regulatory filings, clinical trials and commercialization activities with respect to one or more Development Antibodies under each Development Program.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Records; Inspection</w:t>
      </w:r>
      <w:r>
        <w:rPr>
          <w:rFonts w:ascii="Arial" w:cs="Arial" w:eastAsia="Arial" w:hAnsi="Arial"/>
          <w:sz w:val="18"/>
          <w:szCs w:val="18"/>
          <w:color w:val="auto"/>
        </w:rPr>
        <w:t>.</w:t>
      </w:r>
    </w:p>
    <w:p>
      <w:pPr>
        <w:spacing w:after="0" w:line="225" w:lineRule="exact"/>
        <w:rPr>
          <w:sz w:val="20"/>
          <w:szCs w:val="20"/>
          <w:color w:val="auto"/>
        </w:rPr>
      </w:pPr>
    </w:p>
    <w:p>
      <w:pPr>
        <w:jc w:val="both"/>
        <w:ind w:right="60" w:firstLine="921"/>
        <w:spacing w:after="0" w:line="281" w:lineRule="auto"/>
        <w:tabs>
          <w:tab w:leader="none" w:pos="1168" w:val="left"/>
        </w:tabs>
        <w:numPr>
          <w:ilvl w:val="0"/>
          <w:numId w:val="525"/>
        </w:numPr>
        <w:rPr>
          <w:rFonts w:ascii="Arial" w:cs="Arial" w:eastAsia="Arial" w:hAnsi="Arial"/>
          <w:sz w:val="17"/>
          <w:szCs w:val="17"/>
          <w:b w:val="1"/>
          <w:bCs w:val="1"/>
          <w:color w:val="auto"/>
        </w:rPr>
      </w:pPr>
      <w:r>
        <w:rPr>
          <w:rFonts w:ascii="Arial" w:cs="Arial" w:eastAsia="Arial" w:hAnsi="Arial"/>
          <w:sz w:val="17"/>
          <w:szCs w:val="17"/>
          <w:b w:val="1"/>
          <w:bCs w:val="1"/>
          <w:color w:val="auto"/>
        </w:rPr>
        <w:t>Records</w:t>
      </w:r>
      <w:r>
        <w:rPr>
          <w:rFonts w:ascii="Arial" w:cs="Arial" w:eastAsia="Arial" w:hAnsi="Arial"/>
          <w:sz w:val="17"/>
          <w:szCs w:val="17"/>
          <w:color w:val="auto"/>
        </w:rPr>
        <w:t>. TESARO shall maintain records of each Development Program (or cause such records to be maintained) in sufficient detail and in</w:t>
      </w:r>
      <w:r>
        <w:rPr>
          <w:rFonts w:ascii="Arial" w:cs="Arial" w:eastAsia="Arial" w:hAnsi="Arial"/>
          <w:sz w:val="17"/>
          <w:szCs w:val="17"/>
          <w:b w:val="1"/>
          <w:bCs w:val="1"/>
          <w:color w:val="auto"/>
        </w:rPr>
        <w:t xml:space="preserve"> </w:t>
      </w:r>
      <w:r>
        <w:rPr>
          <w:rFonts w:ascii="Arial" w:cs="Arial" w:eastAsia="Arial" w:hAnsi="Arial"/>
          <w:sz w:val="17"/>
          <w:szCs w:val="17"/>
          <w:color w:val="auto"/>
        </w:rPr>
        <w:t>good scientific manner as will properly reflect all work done and results achieved in the performance of the Development Program (including all data in the form required under any applicable governmental regulations). TESARO shall maintain such records for a period of [*], and shall provide AnaptysBio access to such records at TESARO’s place of business upon reasonable advance notice by AnaptysBio in accordance with Section 7.4.</w:t>
      </w:r>
    </w:p>
    <w:p>
      <w:pPr>
        <w:spacing w:after="0" w:line="164" w:lineRule="exact"/>
        <w:rPr>
          <w:rFonts w:ascii="Arial" w:cs="Arial" w:eastAsia="Arial" w:hAnsi="Arial"/>
          <w:sz w:val="17"/>
          <w:szCs w:val="17"/>
          <w:b w:val="1"/>
          <w:bCs w:val="1"/>
          <w:color w:val="auto"/>
        </w:rPr>
      </w:pPr>
    </w:p>
    <w:p>
      <w:pPr>
        <w:ind w:right="40" w:firstLine="921"/>
        <w:spacing w:after="0" w:line="261" w:lineRule="auto"/>
        <w:tabs>
          <w:tab w:leader="none" w:pos="1178"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the performance of each Development Program, TESARO shall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disclose to AnaptysBio all material information relating to the applicable Development Program promptly after it is learned or its materiality is appreciated. TESARO shall also keep AnaptysBio informed as to its progress under each Development Program. Within sixty (60) days following the end of each calendar quarter of the Development Program, [*].</w:t>
      </w:r>
    </w:p>
    <w:p>
      <w:pPr>
        <w:spacing w:after="0" w:line="180" w:lineRule="exact"/>
        <w:rPr>
          <w:rFonts w:ascii="Arial" w:cs="Arial" w:eastAsia="Arial" w:hAnsi="Arial"/>
          <w:sz w:val="18"/>
          <w:szCs w:val="18"/>
          <w:b w:val="1"/>
          <w:bCs w:val="1"/>
          <w:color w:val="auto"/>
        </w:rPr>
      </w:pPr>
    </w:p>
    <w:p>
      <w:pPr>
        <w:ind w:right="400" w:firstLine="921"/>
        <w:spacing w:after="0" w:line="281" w:lineRule="auto"/>
        <w:tabs>
          <w:tab w:leader="none" w:pos="1148" w:val="left"/>
        </w:tabs>
        <w:numPr>
          <w:ilvl w:val="0"/>
          <w:numId w:val="525"/>
        </w:numPr>
        <w:rPr>
          <w:rFonts w:ascii="Arial" w:cs="Arial" w:eastAsia="Arial" w:hAnsi="Arial"/>
          <w:sz w:val="17"/>
          <w:szCs w:val="17"/>
          <w:b w:val="1"/>
          <w:bCs w:val="1"/>
          <w:color w:val="auto"/>
        </w:rPr>
      </w:pPr>
      <w:r>
        <w:rPr>
          <w:rFonts w:ascii="Arial" w:cs="Arial" w:eastAsia="Arial" w:hAnsi="Arial"/>
          <w:sz w:val="17"/>
          <w:szCs w:val="17"/>
          <w:b w:val="1"/>
          <w:bCs w:val="1"/>
          <w:color w:val="auto"/>
        </w:rPr>
        <w:t>Assistance by AnaptysBio</w:t>
      </w:r>
      <w:r>
        <w:rPr>
          <w:rFonts w:ascii="Arial" w:cs="Arial" w:eastAsia="Arial" w:hAnsi="Arial"/>
          <w:sz w:val="17"/>
          <w:szCs w:val="17"/>
          <w:color w:val="auto"/>
        </w:rPr>
        <w:t>. Upon reasonable request by TESARO, AnaptysBio will in good faith make available key personnel to assist</w:t>
      </w:r>
      <w:r>
        <w:rPr>
          <w:rFonts w:ascii="Arial" w:cs="Arial" w:eastAsia="Arial" w:hAnsi="Arial"/>
          <w:sz w:val="17"/>
          <w:szCs w:val="17"/>
          <w:b w:val="1"/>
          <w:bCs w:val="1"/>
          <w:color w:val="auto"/>
        </w:rPr>
        <w:t xml:space="preserve"> </w:t>
      </w:r>
      <w:r>
        <w:rPr>
          <w:rFonts w:ascii="Arial" w:cs="Arial" w:eastAsia="Arial" w:hAnsi="Arial"/>
          <w:sz w:val="17"/>
          <w:szCs w:val="17"/>
          <w:color w:val="auto"/>
        </w:rPr>
        <w:t>TESARO in the planning, monitoring and strategy of preclinical development, manufacturing and early clinical development under each Development Program, provided that any material expenses incurred by AnaptysBio (including FTEs utilized, reasonable travel expenses and specialized supplies or equipment required) shall be reimbursed by TESARO in accordance with Section 2.6 above.</w:t>
      </w:r>
    </w:p>
    <w:p>
      <w:pPr>
        <w:spacing w:after="0" w:line="97"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5" w:right="239" w:bottom="1440" w:gutter="0" w:footer="0" w:header="0"/>
        </w:sectPr>
      </w:pPr>
    </w:p>
    <w:bookmarkStart w:id="613" w:name="page614"/>
    <w:bookmarkEnd w:id="613"/>
    <w:p>
      <w:pPr>
        <w:ind w:left="460" w:hanging="452"/>
        <w:spacing w:after="0"/>
        <w:tabs>
          <w:tab w:leader="none" w:pos="46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w:t>
      </w:r>
    </w:p>
    <w:p>
      <w:pPr>
        <w:spacing w:after="0" w:line="225"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4.1. Joint Steering Committee</w:t>
      </w:r>
      <w:r>
        <w:rPr>
          <w:rFonts w:ascii="Arial" w:cs="Arial" w:eastAsia="Arial" w:hAnsi="Arial"/>
          <w:sz w:val="18"/>
          <w:szCs w:val="18"/>
          <w:color w:val="auto"/>
        </w:rPr>
        <w:t>. Promptly after the Effective Date, TESARO and AnaptysBio will establish a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“JSC”) to oversee, review and recommend direction of each Discovery Program. The responsibilities of the Joint Steering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monitoring, reporting progress, developing strategies and ensuring open and frequent exchange between the Parties regarding each Discovery Program and the activities of the Parties and their Affiliates, Subcontractors and agents thereunder.</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4.2. Membership</w:t>
      </w:r>
      <w:r>
        <w:rPr>
          <w:rFonts w:ascii="Arial" w:cs="Arial" w:eastAsia="Arial" w:hAnsi="Arial"/>
          <w:sz w:val="17"/>
          <w:szCs w:val="17"/>
          <w:color w:val="auto"/>
        </w:rPr>
        <w:t>. The JSC shall include [*] of each of TESARO and AnaptysBio, each Party’s members selected by that Party. AnaptysBio and</w:t>
      </w:r>
      <w:r>
        <w:rPr>
          <w:rFonts w:ascii="Arial" w:cs="Arial" w:eastAsia="Arial" w:hAnsi="Arial"/>
          <w:sz w:val="17"/>
          <w:szCs w:val="17"/>
          <w:b w:val="1"/>
          <w:bCs w:val="1"/>
          <w:color w:val="auto"/>
        </w:rPr>
        <w:t xml:space="preserve"> </w:t>
      </w:r>
      <w:r>
        <w:rPr>
          <w:rFonts w:ascii="Arial" w:cs="Arial" w:eastAsia="Arial" w:hAnsi="Arial"/>
          <w:sz w:val="17"/>
          <w:szCs w:val="17"/>
          <w:color w:val="auto"/>
        </w:rPr>
        <w:t>TESARO may each replace its JSC representatives at any time, upon written notice to the other Party. From time to time, the JSC may establish subcommittees to oversee particular projects or activities, and such subcommittees will be constituted as the JSC agrees. Each Party’s JSC members shall be senior individuals empowered to provide timely feedback regarding their Party’s decisions on key matters.</w:t>
      </w:r>
    </w:p>
    <w:p>
      <w:pPr>
        <w:spacing w:after="0" w:line="16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4.3. Meetings</w:t>
      </w:r>
      <w:r>
        <w:rPr>
          <w:rFonts w:ascii="Arial" w:cs="Arial" w:eastAsia="Arial" w:hAnsi="Arial"/>
          <w:sz w:val="18"/>
          <w:szCs w:val="18"/>
          <w:color w:val="auto"/>
        </w:rPr>
        <w:t>. During each Discovery Program Term, the JSC shall meet at least quarterly, or as agreed by the Parties, at such locations as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and will otherwise communicate regularly by telephone, electronic mail, facsimile and/or video conference. With the consent of the Parties, other representatives of AnaptysBio or TESARO may attend JSC meetings as nonvoting observers. Each Party shall be responsible for all of its own expenses associated with attendance of such meetings. [*]</w:t>
      </w:r>
    </w:p>
    <w:p>
      <w:pPr>
        <w:spacing w:after="0" w:line="180"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4.4. Minutes</w:t>
      </w:r>
      <w:r>
        <w:rPr>
          <w:rFonts w:ascii="Arial" w:cs="Arial" w:eastAsia="Arial" w:hAnsi="Arial"/>
          <w:sz w:val="18"/>
          <w:szCs w:val="18"/>
          <w:color w:val="auto"/>
        </w:rPr>
        <w:t>. The JSC shall keep accurate minutes of its deliberations which shall record all proposed decisions and all actions recommended or taken.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of the JSC (as appointed by the members of the JSC) shall be responsible for the preparation of draft minutes. [*] All records of the JSC shall at all times be available to both AnaptysBio and TESARO.</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Decision Making</w:t>
      </w:r>
      <w:r>
        <w:rPr>
          <w:rFonts w:ascii="Arial" w:cs="Arial" w:eastAsia="Arial" w:hAnsi="Arial"/>
          <w:sz w:val="18"/>
          <w:szCs w:val="18"/>
          <w:color w:val="auto"/>
        </w:rPr>
        <w:t>. [*]</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4.6. Development Program Meetings</w:t>
      </w:r>
      <w:r>
        <w:rPr>
          <w:rFonts w:ascii="Arial" w:cs="Arial" w:eastAsia="Arial" w:hAnsi="Arial"/>
          <w:sz w:val="18"/>
          <w:szCs w:val="18"/>
          <w:color w:val="auto"/>
        </w:rPr>
        <w:t>. During each [*] calendar period commencing with the completion of the applicable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a period of [*] thereafter, and then annually after such [*] period, upon the written request of either Party, TESARO and AnaptysBio shall meet to discuss the progress of each Development Program and review future activities planned by TESARO with respect thereto, including strategic plans for preclinical, clinical and commercial advancement of Products under each Development Program.</w:t>
      </w:r>
    </w:p>
    <w:p>
      <w:pPr>
        <w:spacing w:after="0" w:line="207" w:lineRule="exact"/>
        <w:rPr>
          <w:sz w:val="20"/>
          <w:szCs w:val="20"/>
          <w:color w:val="auto"/>
        </w:rPr>
      </w:pPr>
    </w:p>
    <w:p>
      <w:pPr>
        <w:ind w:left="460" w:right="8720" w:hanging="452"/>
        <w:spacing w:after="0" w:line="501" w:lineRule="auto"/>
        <w:tabs>
          <w:tab w:leader="none" w:pos="449"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LICENSES; EXCLUSIVITY 5.1. Grant</w:t>
      </w:r>
      <w:r>
        <w:rPr>
          <w:rFonts w:ascii="Arial" w:cs="Arial" w:eastAsia="Arial" w:hAnsi="Arial"/>
          <w:sz w:val="18"/>
          <w:szCs w:val="18"/>
          <w:color w:val="auto"/>
        </w:rPr>
        <w:t>.</w:t>
      </w:r>
    </w:p>
    <w:p>
      <w:pPr>
        <w:spacing w:after="0" w:line="4" w:lineRule="exact"/>
        <w:rPr>
          <w:rFonts w:ascii="Arial" w:cs="Arial" w:eastAsia="Arial" w:hAnsi="Arial"/>
          <w:sz w:val="18"/>
          <w:szCs w:val="18"/>
          <w:b w:val="1"/>
          <w:bCs w:val="1"/>
          <w:color w:val="auto"/>
        </w:rPr>
      </w:pPr>
    </w:p>
    <w:p>
      <w:pPr>
        <w:ind w:right="40" w:firstLine="921"/>
        <w:spacing w:after="0" w:line="264" w:lineRule="auto"/>
        <w:tabs>
          <w:tab w:leader="none" w:pos="1168" w:val="left"/>
        </w:tabs>
        <w:numPr>
          <w:ilvl w:val="1"/>
          <w:numId w:val="527"/>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AnaptysBio hereby grants to TESARO and its Affiliates an exclusive license (with the right to grant sublicenses through multiple tiers) under the AnaptysBio IP Rights and Collaboration IP Rights to research, develop, make, have made, use, sell, offer for sale, import and export Products for use in the Field and in the Territory.</w:t>
      </w:r>
    </w:p>
    <w:p>
      <w:pPr>
        <w:spacing w:after="0" w:line="110" w:lineRule="exact"/>
        <w:rPr>
          <w:sz w:val="20"/>
          <w:szCs w:val="20"/>
          <w:color w:val="auto"/>
        </w:rPr>
      </w:pPr>
    </w:p>
    <w:p>
      <w:pPr>
        <w:jc w:val="both"/>
        <w:ind w:left="5880"/>
        <w:spacing w:after="0"/>
        <w:tabs>
          <w:tab w:leader="none" w:pos="8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14" w:name="page615"/>
    <w:bookmarkEnd w:id="614"/>
    <w:p>
      <w:pPr>
        <w:ind w:right="60" w:firstLine="921"/>
        <w:spacing w:after="0" w:line="255" w:lineRule="auto"/>
        <w:tabs>
          <w:tab w:leader="none" w:pos="1178" w:val="left"/>
        </w:tabs>
        <w:numPr>
          <w:ilvl w:val="0"/>
          <w:numId w:val="5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and conditions of this Agreement, AnaptysBio hereby grants to TESARO and its Affiliates a non-exclusive license (with the right to grant sublicenses through multiple tiers) under the Patents and other intellectual property constituting the AnaptysBio Platform to research, develop, make, have made, use, sell, offer for sale, import and export Products for use in the Field and in the Territory and as necessary for TESARO to practice the licenses granted to it under Section 5.1(a); provided, however that the foregoing license grant to TESARO is limited to researching, developing, making, having made, selling, offering for sale, importing, exporting and using Development Antibodies previously generated by AnaptysBio, and expressly excludes any license of rights to TESARO to utilize, practice or operate the AnaptysBio Platform to develop or generate new or materially different antibodies.</w:t>
      </w:r>
    </w:p>
    <w:p>
      <w:pPr>
        <w:spacing w:after="0" w:line="185" w:lineRule="exact"/>
        <w:rPr>
          <w:sz w:val="20"/>
          <w:szCs w:val="20"/>
          <w:color w:val="auto"/>
        </w:rPr>
      </w:pPr>
    </w:p>
    <w:p>
      <w:pPr>
        <w:ind w:right="400" w:firstLine="456"/>
        <w:spacing w:after="0" w:line="258" w:lineRule="auto"/>
        <w:rPr>
          <w:sz w:val="20"/>
          <w:szCs w:val="20"/>
          <w:color w:val="auto"/>
        </w:rPr>
      </w:pPr>
      <w:r>
        <w:rPr>
          <w:rFonts w:ascii="Arial" w:cs="Arial" w:eastAsia="Arial" w:hAnsi="Arial"/>
          <w:sz w:val="18"/>
          <w:szCs w:val="18"/>
          <w:b w:val="1"/>
          <w:bCs w:val="1"/>
          <w:color w:val="auto"/>
        </w:rPr>
        <w:t>5.2. No Implied Licenses</w:t>
      </w:r>
      <w:r>
        <w:rPr>
          <w:rFonts w:ascii="Arial" w:cs="Arial" w:eastAsia="Arial" w:hAnsi="Arial"/>
          <w:sz w:val="18"/>
          <w:szCs w:val="18"/>
          <w:color w:val="auto"/>
        </w:rPr>
        <w:t>. Only the licenses granted pursuant to the express terms of this Agreement shall be of any legal force or effect.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or rights shall be created by implication, estoppel or otherwise. Without limiting the foregoing, if a Product contains an active pharmaceutcial ingredient or biologic in addition to the Development Antibody, then the licenses granted to TESARO under AnaptysBio IP Rights and the AnaptysBioPlatform shall not include the right to research, develop, make, have made, use, sell, offer for sale, import and export such other active pharmaceutical ingredient or biologic.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Exclusivity</w:t>
      </w:r>
      <w:r>
        <w:rPr>
          <w:rFonts w:ascii="Arial" w:cs="Arial" w:eastAsia="Arial" w:hAnsi="Arial"/>
          <w:sz w:val="18"/>
          <w:szCs w:val="18"/>
          <w:color w:val="auto"/>
        </w:rPr>
        <w:t>.</w:t>
      </w:r>
    </w:p>
    <w:p>
      <w:pPr>
        <w:spacing w:after="0" w:line="229" w:lineRule="exact"/>
        <w:rPr>
          <w:sz w:val="20"/>
          <w:szCs w:val="20"/>
          <w:color w:val="auto"/>
        </w:rPr>
      </w:pPr>
    </w:p>
    <w:p>
      <w:pPr>
        <w:ind w:right="460" w:firstLine="921"/>
        <w:spacing w:after="0" w:line="277" w:lineRule="auto"/>
        <w:tabs>
          <w:tab w:leader="none" w:pos="1168" w:val="left"/>
        </w:tabs>
        <w:numPr>
          <w:ilvl w:val="0"/>
          <w:numId w:val="529"/>
        </w:numPr>
        <w:rPr>
          <w:rFonts w:ascii="Arial" w:cs="Arial" w:eastAsia="Arial" w:hAnsi="Arial"/>
          <w:sz w:val="18"/>
          <w:szCs w:val="18"/>
          <w:b w:val="1"/>
          <w:bCs w:val="1"/>
          <w:color w:val="auto"/>
        </w:rPr>
      </w:pPr>
      <w:r>
        <w:rPr>
          <w:rFonts w:ascii="Arial" w:cs="Arial" w:eastAsia="Arial" w:hAnsi="Arial"/>
          <w:sz w:val="18"/>
          <w:szCs w:val="18"/>
          <w:color w:val="auto"/>
        </w:rPr>
        <w:t>Except to the extent required for AnaptysBio to fulfill its obligations under this Agreement and as permitted under this Agreement, with respect to each Target (or combination of Targets), [*].</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0"/>
          <w:numId w:val="529"/>
        </w:numPr>
        <w:rPr>
          <w:rFonts w:ascii="Arial" w:cs="Arial" w:eastAsia="Arial" w:hAnsi="Arial"/>
          <w:sz w:val="18"/>
          <w:szCs w:val="18"/>
          <w:b w:val="1"/>
          <w:bCs w:val="1"/>
          <w:color w:val="auto"/>
        </w:rPr>
      </w:pPr>
      <w:r>
        <w:rPr>
          <w:rFonts w:ascii="Arial" w:cs="Arial" w:eastAsia="Arial" w:hAnsi="Arial"/>
          <w:sz w:val="18"/>
          <w:szCs w:val="18"/>
          <w:color w:val="auto"/>
        </w:rPr>
        <w:t>During the Exclusivity Period, and except with respect to a Product pursuant to this Agreement, TESARO shall not [*].</w:t>
      </w:r>
    </w:p>
    <w:p>
      <w:pPr>
        <w:spacing w:after="0" w:line="225" w:lineRule="exact"/>
        <w:rPr>
          <w:rFonts w:ascii="Arial" w:cs="Arial" w:eastAsia="Arial" w:hAnsi="Arial"/>
          <w:sz w:val="18"/>
          <w:szCs w:val="18"/>
          <w:b w:val="1"/>
          <w:bCs w:val="1"/>
          <w:color w:val="auto"/>
        </w:rPr>
      </w:pPr>
    </w:p>
    <w:p>
      <w:pPr>
        <w:ind w:right="60" w:firstLine="921"/>
        <w:spacing w:after="0" w:line="257" w:lineRule="auto"/>
        <w:tabs>
          <w:tab w:leader="none" w:pos="1158" w:val="left"/>
        </w:tabs>
        <w:numPr>
          <w:ilvl w:val="0"/>
          <w:numId w:val="529"/>
        </w:numPr>
        <w:rPr>
          <w:rFonts w:ascii="Arial" w:cs="Arial" w:eastAsia="Arial" w:hAnsi="Arial"/>
          <w:sz w:val="18"/>
          <w:szCs w:val="18"/>
          <w:b w:val="1"/>
          <w:bCs w:val="1"/>
          <w:color w:val="auto"/>
        </w:rPr>
      </w:pPr>
      <w:r>
        <w:rPr>
          <w:rFonts w:ascii="Arial" w:cs="Arial" w:eastAsia="Arial" w:hAnsi="Arial"/>
          <w:sz w:val="18"/>
          <w:szCs w:val="18"/>
          <w:color w:val="auto"/>
        </w:rPr>
        <w:t>The exclusivity described in Sections 5.3(a) and 5.3(b) will apply on a Discovery Program/Development Program basis, such that if a Discovery Program or Development Program is terminated for any reason, then the Targets that are subject of that Discovery Program or Development Program shall no longer be subject to the exclusivity. By way of example, if the TIM-3 Discovery Program is terminated, then the exclusivity shall no longer apply to TIM-3 alone or dual-reactivity to TIM-3 and PD-1, but the exclusivity for the other non-terminated Discovery Programs (or Development Programs) shall continue.</w:t>
      </w:r>
    </w:p>
    <w:p>
      <w:pPr>
        <w:spacing w:after="0" w:line="188" w:lineRule="exact"/>
        <w:rPr>
          <w:rFonts w:ascii="Arial" w:cs="Arial" w:eastAsia="Arial" w:hAnsi="Arial"/>
          <w:sz w:val="18"/>
          <w:szCs w:val="18"/>
          <w:b w:val="1"/>
          <w:bCs w:val="1"/>
          <w:color w:val="auto"/>
        </w:rPr>
      </w:pPr>
    </w:p>
    <w:p>
      <w:pPr>
        <w:ind w:firstLine="921"/>
        <w:spacing w:after="0" w:line="272" w:lineRule="auto"/>
        <w:tabs>
          <w:tab w:leader="none" w:pos="1178" w:val="left"/>
        </w:tabs>
        <w:numPr>
          <w:ilvl w:val="0"/>
          <w:numId w:val="529"/>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provision of this Section 5.3, in the event of a Change of Control (as defined below) of AnaptysBio, or if AnaptysBio or an Affiliate acquires any Third Party, business or assets, or any interest therein (an “</w:t>
      </w:r>
      <w:r>
        <w:rPr>
          <w:rFonts w:ascii="Arial" w:cs="Arial" w:eastAsia="Arial" w:hAnsi="Arial"/>
          <w:sz w:val="17"/>
          <w:szCs w:val="17"/>
          <w:b w:val="1"/>
          <w:bCs w:val="1"/>
          <w:color w:val="auto"/>
        </w:rPr>
        <w:t>AnaptysBio Business Acquisition</w:t>
      </w:r>
      <w:r>
        <w:rPr>
          <w:rFonts w:ascii="Arial" w:cs="Arial" w:eastAsia="Arial" w:hAnsi="Arial"/>
          <w:sz w:val="17"/>
          <w:szCs w:val="17"/>
          <w:color w:val="auto"/>
        </w:rPr>
        <w:t>”), the provisions of this Section 5.3 shall not apply to any active research or development program that a portion of the surviving entity or Affiliate that was not AnaptysBio (prior to the Change of Control or AnaptysBio Business Acquisition) had ongoing as of immediately prior to the date of such Change of Control or AnaptysBio Business Acquisition. For purposes of this Section 5.3, a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with respect to a Party, the merger, consolidation, sale of substantially all of such Party’s assets or similar transaction or series of transactions, as a result of which such Party’s shareholders before such transaction or series of transactions own less than fifty percent (50%) of the total number of voting securities of</w:t>
      </w:r>
    </w:p>
    <w:p>
      <w:pPr>
        <w:spacing w:after="0" w:line="106"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15" w:name="page616"/>
    <w:bookmarkEnd w:id="615"/>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surviving entity immediately after such transaction or series of transactions. For clarity, if as a result of any such Change of Control, a Party exists as a wholly owned subsidiary of a parent, then the provisions of this Section 5.3 shall continue to apply to such Party as the surviving entity, but not to such parent.</w:t>
      </w:r>
    </w:p>
    <w:p>
      <w:pPr>
        <w:spacing w:after="0" w:line="181" w:lineRule="exact"/>
        <w:rPr>
          <w:sz w:val="20"/>
          <w:szCs w:val="20"/>
          <w:color w:val="auto"/>
        </w:rPr>
      </w:pPr>
    </w:p>
    <w:p>
      <w:pPr>
        <w:ind w:right="60" w:firstLine="921"/>
        <w:spacing w:after="0" w:line="302" w:lineRule="auto"/>
        <w:tabs>
          <w:tab w:leader="none" w:pos="1158" w:val="left"/>
        </w:tabs>
        <w:numPr>
          <w:ilvl w:val="1"/>
          <w:numId w:val="530"/>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provision of this Section 5.3, in the event of a Change of Control of TESARO or if TESARO or an Affiliate acquires any Third Party, business or assets, or any interest therein (a “</w:t>
      </w:r>
      <w:r>
        <w:rPr>
          <w:rFonts w:ascii="Arial" w:cs="Arial" w:eastAsia="Arial" w:hAnsi="Arial"/>
          <w:sz w:val="16"/>
          <w:szCs w:val="16"/>
          <w:b w:val="1"/>
          <w:bCs w:val="1"/>
          <w:color w:val="auto"/>
        </w:rPr>
        <w:t>TESARO Business Acquisition</w:t>
      </w:r>
      <w:r>
        <w:rPr>
          <w:rFonts w:ascii="Arial" w:cs="Arial" w:eastAsia="Arial" w:hAnsi="Arial"/>
          <w:sz w:val="16"/>
          <w:szCs w:val="16"/>
          <w:color w:val="auto"/>
        </w:rPr>
        <w:t>”), the provisions of this Section 5.3 shall not apply to any active research or development program that a portion of the surviving entity or Affiliate that was not TESARO (prior to the Change of Control or TESARO Business Acquisition) had ongoing as of immediately prior to the date of such Change of Control or TESARO Business Acquisition.</w:t>
      </w:r>
    </w:p>
    <w:p>
      <w:pPr>
        <w:spacing w:after="0" w:line="177" w:lineRule="exact"/>
        <w:rPr>
          <w:rFonts w:ascii="Arial" w:cs="Arial" w:eastAsia="Arial" w:hAnsi="Arial"/>
          <w:sz w:val="16"/>
          <w:szCs w:val="16"/>
          <w:b w:val="1"/>
          <w:bCs w:val="1"/>
          <w:color w:val="auto"/>
        </w:rPr>
      </w:pPr>
    </w:p>
    <w:p>
      <w:pPr>
        <w:ind w:left="460" w:hanging="452"/>
        <w:spacing w:after="0"/>
        <w:tabs>
          <w:tab w:leader="none" w:pos="46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6.1. Upfront Payment</w:t>
      </w:r>
      <w:r>
        <w:rPr>
          <w:rFonts w:ascii="Arial" w:cs="Arial" w:eastAsia="Arial" w:hAnsi="Arial"/>
          <w:sz w:val="16"/>
          <w:szCs w:val="16"/>
          <w:color w:val="auto"/>
        </w:rPr>
        <w:t>. Within ten (10) business days following the Effective Date, TESARO shall pay to AnaptysBio a non-creditable, non-refundable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license fee of seventeen million dollars (USD $17,000,000.00).</w:t>
      </w:r>
    </w:p>
    <w:p>
      <w:pPr>
        <w:spacing w:after="0" w:line="207"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b w:val="1"/>
          <w:bCs w:val="1"/>
          <w:color w:val="auto"/>
        </w:rPr>
        <w:t xml:space="preserve">6.2. Discovery Program Funding. </w:t>
      </w:r>
      <w:r>
        <w:rPr>
          <w:rFonts w:ascii="Arial" w:cs="Arial" w:eastAsia="Arial" w:hAnsi="Arial"/>
          <w:sz w:val="17"/>
          <w:szCs w:val="17"/>
          <w:color w:val="auto"/>
        </w:rPr>
        <w:t>TESARO shall reimburse AnaptysBio on a quarterly basis for all [*]. All payments are non-creditable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in Secction 6.3 or 6.4) and non-refundable (except pursuant to Section 7.4 or Section 13.2). Within ten (10) days of the end of each calendar quarter, AnaptysBio shall provide TESARO with an invoice for all amounts owed by TESARO under this Section 6.2 for that calendar quarter and TESARO shall pay such amounts within thirty (30) days after receipt of AnaptysBio’s quarterly invoice. All amounts paid by TESARO to AnaptysBio pursuant to this Section 6.2 shall be made in accordance with Section 7.2 with respect to withholding for taxes or any other charges.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6.3. Upfront Payment</w:t>
      </w:r>
      <w:r>
        <w:rPr>
          <w:rFonts w:ascii="Arial" w:cs="Arial" w:eastAsia="Arial" w:hAnsi="Arial"/>
          <w:sz w:val="17"/>
          <w:szCs w:val="17"/>
          <w:color w:val="auto"/>
        </w:rPr>
        <w:t>. On a Development Program-by-Development Program basis, TESARO shall pay AnaptysBio the following payments [*]:</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39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first GLP PK/tox Study</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First IND clearance</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 Clinical Trial</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Initiation of the first Phase III Clinical Trial for first indication</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III Clinical Trial for second indication</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NDA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NDA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MAA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MAA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640" w:type="dxa"/>
            <w:vAlign w:val="bottom"/>
            <w:gridSpan w:val="3"/>
          </w:tcPr>
          <w:p>
            <w:pPr>
              <w:ind w:left="40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*Confidential Treatment Requested.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16" w:name="page617"/>
    <w:bookmarkEnd w:id="6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180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NDA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NDA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MAA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MAA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spacing w:after="0"/>
              <w:rPr>
                <w:sz w:val="20"/>
                <w:szCs w:val="20"/>
                <w:color w:val="auto"/>
              </w:rPr>
            </w:pPr>
            <w:r>
              <w:rPr>
                <w:rFonts w:ascii="Arial" w:cs="Arial" w:eastAsia="Arial" w:hAnsi="Arial"/>
                <w:sz w:val="18"/>
                <w:szCs w:val="18"/>
                <w:color w:val="auto"/>
              </w:rPr>
              <w:t>As used in this Section 6.3, the following terms have the meanings set forth below:</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study or clinical trial, the administration of the first dose of Product to the first patient enrolled in such study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 clearance</w:t>
      </w:r>
      <w:r>
        <w:rPr>
          <w:rFonts w:ascii="Arial" w:cs="Arial" w:eastAsia="Arial" w:hAnsi="Arial"/>
          <w:sz w:val="18"/>
          <w:szCs w:val="18"/>
          <w:color w:val="auto"/>
        </w:rPr>
        <w:t>” means filing and clearance by FDA without rejection or being placed on clinical hold;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or condition;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means acceptance for filing with the applicable regulatory or governmental authority; and</w:t>
      </w:r>
    </w:p>
    <w:p>
      <w:pPr>
        <w:spacing w:after="0" w:line="225"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means, with respect to a Product in any country or jurisdiction, any approval, registration, license or authorization from a regulatory or governmental authority in a country or other jurisdiction that is necessary to market and sell such Product in such country or jurisdiction; “approval” shall specifically include FDA approvals of BLAs.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Earned Royalties</w:t>
      </w:r>
      <w:r>
        <w:rPr>
          <w:rFonts w:ascii="Arial" w:cs="Arial" w:eastAsia="Arial" w:hAnsi="Arial"/>
          <w:sz w:val="18"/>
          <w:szCs w:val="18"/>
          <w:color w:val="auto"/>
        </w:rPr>
        <w:t>.</w:t>
      </w:r>
    </w:p>
    <w:p>
      <w:pPr>
        <w:spacing w:after="0" w:line="229" w:lineRule="exact"/>
        <w:rPr>
          <w:sz w:val="20"/>
          <w:szCs w:val="20"/>
          <w:color w:val="auto"/>
        </w:rPr>
      </w:pPr>
    </w:p>
    <w:p>
      <w:pPr>
        <w:ind w:right="820" w:firstLine="921"/>
        <w:spacing w:after="0" w:line="277" w:lineRule="auto"/>
        <w:tabs>
          <w:tab w:leader="none" w:pos="1168" w:val="left"/>
        </w:tabs>
        <w:numPr>
          <w:ilvl w:val="0"/>
          <w:numId w:val="532"/>
        </w:numPr>
        <w:rPr>
          <w:rFonts w:ascii="Arial" w:cs="Arial" w:eastAsia="Arial" w:hAnsi="Arial"/>
          <w:sz w:val="18"/>
          <w:szCs w:val="18"/>
          <w:b w:val="1"/>
          <w:bCs w:val="1"/>
          <w:color w:val="auto"/>
        </w:rPr>
      </w:pPr>
      <w:r>
        <w:rPr>
          <w:rFonts w:ascii="Arial" w:cs="Arial" w:eastAsia="Arial" w:hAnsi="Arial"/>
          <w:sz w:val="18"/>
          <w:szCs w:val="18"/>
          <w:color w:val="auto"/>
        </w:rPr>
        <w:t>With respect to Net Sales of a Product resulting from a Development Antibody, on a Product-by-Product basis, TESARO shall pay AnaptysBio a royalty on Net Sales as follows:</w:t>
      </w:r>
    </w:p>
    <w:p>
      <w:pPr>
        <w:sectPr>
          <w:pgSz w:w="11900" w:h="16838" w:orient="portrait"/>
          <w:cols w:equalWidth="0" w:num="1">
            <w:col w:w="11420"/>
          </w:cols>
          <w:pgMar w:left="240" w:top="254" w:right="239" w:bottom="1440" w:gutter="0" w:footer="0" w:header="0"/>
        </w:sectPr>
      </w:pPr>
    </w:p>
    <w:p>
      <w:pPr>
        <w:spacing w:after="0" w:line="193"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Worldwide Annual Net Sales of a Product (on a</w:t>
      </w:r>
    </w:p>
    <w:p>
      <w:pPr>
        <w:spacing w:after="0" w:line="10"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Product-by-Product basis) during the applicable</w:t>
      </w:r>
    </w:p>
    <w:p>
      <w:pPr>
        <w:jc w:val="center"/>
        <w:ind w:left="2000"/>
        <w:spacing w:after="0"/>
        <w:rPr>
          <w:sz w:val="20"/>
          <w:szCs w:val="20"/>
          <w:color w:val="auto"/>
        </w:rPr>
      </w:pPr>
      <w:r>
        <w:rPr>
          <w:rFonts w:ascii="Arial" w:cs="Arial" w:eastAsia="Arial" w:hAnsi="Arial"/>
          <w:sz w:val="14"/>
          <w:szCs w:val="14"/>
          <w:color w:val="auto"/>
        </w:rPr>
        <w:t>calendar year during the Royalty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-3175</wp:posOffset>
            </wp:positionV>
            <wp:extent cx="174942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660"/>
        <w:spacing w:after="0"/>
        <w:rPr>
          <w:sz w:val="20"/>
          <w:szCs w:val="20"/>
          <w:color w:val="auto"/>
        </w:rPr>
      </w:pPr>
      <w:r>
        <w:rPr>
          <w:rFonts w:ascii="Arial" w:cs="Arial" w:eastAsia="Arial" w:hAnsi="Arial"/>
          <w:sz w:val="14"/>
          <w:szCs w:val="14"/>
          <w:color w:val="auto"/>
        </w:rPr>
        <w:t>Royalty Rate</w:t>
      </w:r>
    </w:p>
    <w:p>
      <w:pPr>
        <w:jc w:val="center"/>
        <w:ind w:right="1660"/>
        <w:spacing w:after="0" w:line="221" w:lineRule="auto"/>
        <w:rPr>
          <w:sz w:val="20"/>
          <w:szCs w:val="20"/>
          <w:color w:val="auto"/>
        </w:rPr>
      </w:pPr>
      <w:r>
        <w:rPr>
          <w:rFonts w:ascii="Arial" w:cs="Arial" w:eastAsia="Arial" w:hAnsi="Arial"/>
          <w:sz w:val="14"/>
          <w:szCs w:val="14"/>
          <w:color w:val="auto"/>
        </w:rPr>
        <w:t>Applicable to</w:t>
      </w:r>
    </w:p>
    <w:p>
      <w:pPr>
        <w:jc w:val="center"/>
        <w:ind w:right="1660"/>
        <w:spacing w:after="0"/>
        <w:rPr>
          <w:sz w:val="20"/>
          <w:szCs w:val="20"/>
          <w:color w:val="auto"/>
        </w:rPr>
      </w:pPr>
      <w:r>
        <w:rPr>
          <w:rFonts w:ascii="Arial" w:cs="Arial" w:eastAsia="Arial" w:hAnsi="Arial"/>
          <w:sz w:val="14"/>
          <w:szCs w:val="14"/>
          <w:color w:val="auto"/>
        </w:rPr>
        <w:t>a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-3175</wp:posOffset>
            </wp:positionV>
            <wp:extent cx="48895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 Treatment Requested.</w:t>
      </w:r>
    </w:p>
    <w:p>
      <w:pPr>
        <w:sectPr>
          <w:pgSz w:w="11900" w:h="16838" w:orient="portrait"/>
          <w:cols w:equalWidth="0" w:num="2">
            <w:col w:w="7920" w:space="720"/>
            <w:col w:w="2780"/>
          </w:cols>
          <w:pgMar w:left="240" w:top="254" w:right="239" w:bottom="1440" w:gutter="0" w:footer="0" w:header="0"/>
          <w:type w:val="continuous"/>
        </w:sectPr>
      </w:pPr>
    </w:p>
    <w:bookmarkStart w:id="617" w:name="page618"/>
    <w:bookmarkEnd w:id="617"/>
    <w:p>
      <w:pPr>
        <w:ind w:right="60" w:firstLine="921"/>
        <w:spacing w:after="0" w:line="255" w:lineRule="auto"/>
        <w:tabs>
          <w:tab w:leader="none" w:pos="1178" w:val="left"/>
        </w:tabs>
        <w:numPr>
          <w:ilvl w:val="1"/>
          <w:numId w:val="5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Royalties payable under this Section 6.4 shall be paid on a country-by- country basis from the date of the first commercial sale of each Product with respect to which royalty payments are due until the later of (i) the [*] ([*]) anniversary of the first commercial sale of the Product in such country, and (ii) the expiration date in such country of the last to expire of any Patent within the AnaptysBio Patents or the Collaboration Patents covering the manufacture, use or sale of such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 For the avoidance of doubt, TESARO’s obligation to pay royalties under this Section 6.4 is imposed only once with respect to the same unit of Product, notwithstanding such Product may be covered by more than one valid claim of an AnaptysBio Patent or Collaboration Patent.</w:t>
      </w:r>
    </w:p>
    <w:p>
      <w:pPr>
        <w:spacing w:after="0" w:line="193" w:lineRule="exact"/>
        <w:rPr>
          <w:rFonts w:ascii="Arial" w:cs="Arial" w:eastAsia="Arial" w:hAnsi="Arial"/>
          <w:sz w:val="18"/>
          <w:szCs w:val="18"/>
          <w:b w:val="1"/>
          <w:bCs w:val="1"/>
          <w:color w:val="auto"/>
        </w:rPr>
      </w:pPr>
    </w:p>
    <w:p>
      <w:pPr>
        <w:ind w:right="60" w:firstLine="921"/>
        <w:spacing w:after="0" w:line="255" w:lineRule="auto"/>
        <w:tabs>
          <w:tab w:leader="none" w:pos="1158" w:val="left"/>
        </w:tabs>
        <w:numPr>
          <w:ilvl w:val="1"/>
          <w:numId w:val="533"/>
        </w:numPr>
        <w:rPr>
          <w:rFonts w:ascii="Arial" w:cs="Arial" w:eastAsia="Arial" w:hAnsi="Arial"/>
          <w:sz w:val="18"/>
          <w:szCs w:val="18"/>
          <w:b w:val="1"/>
          <w:bCs w:val="1"/>
          <w:color w:val="auto"/>
        </w:rPr>
      </w:pPr>
      <w:r>
        <w:rPr>
          <w:rFonts w:ascii="Arial" w:cs="Arial" w:eastAsia="Arial" w:hAnsi="Arial"/>
          <w:sz w:val="18"/>
          <w:szCs w:val="18"/>
          <w:color w:val="auto"/>
        </w:rPr>
        <w:t>If TESARO pays royalties to any Third Party in a country in order to make, use, sell, offer for sale or import the Development Antibody component of a Product in such country, then TESARO shall have the right to credit [*] percent ([*]%) of such Third Party royalty payments against the royalties owing to AnaptysBio under Section 6.4(a) with respect to sales of such Product in such country; provided, however, that TESARO shall not reduce the amount of the royalties owing to AnaptysBio under Section 6.4(a) with respect to such Product in such country to less than [*] percent ([*]%) of the royalties that would otherwise be due under Section 6.4(a) with respect to such Product in such country. Notwithstanding the foregoing, if TESARO pays any such royalties to a Third Party that [*].</w:t>
      </w:r>
    </w:p>
    <w:p>
      <w:pPr>
        <w:spacing w:after="0" w:line="216" w:lineRule="exact"/>
        <w:rPr>
          <w:rFonts w:ascii="Arial" w:cs="Arial" w:eastAsia="Arial" w:hAnsi="Arial"/>
          <w:sz w:val="18"/>
          <w:szCs w:val="18"/>
          <w:b w:val="1"/>
          <w:bCs w:val="1"/>
          <w:color w:val="auto"/>
        </w:rPr>
      </w:pPr>
    </w:p>
    <w:p>
      <w:pPr>
        <w:ind w:left="460" w:hanging="452"/>
        <w:spacing w:after="0"/>
        <w:tabs>
          <w:tab w:leader="none" w:pos="46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PAYMENTS; RECORDS</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7.1. Payment Method</w:t>
      </w:r>
      <w:r>
        <w:rPr>
          <w:rFonts w:ascii="Arial" w:cs="Arial" w:eastAsia="Arial" w:hAnsi="Arial"/>
          <w:sz w:val="18"/>
          <w:szCs w:val="18"/>
          <w:color w:val="auto"/>
        </w:rPr>
        <w:t>. All payments due under this Agreement shall be made from a bank located in the United States by bank wire transfer in</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available funds to a bank account designated by AnaptysBio. All payments hereunder shall be made in U.S. dollars. In the event that the due date of any payment subject to Section 6 is a Saturday, Sunday or national holiday, such payment may be paid on the following business day. Any payments that are not paid on the date such payments are due under this Agreement shall bear interest to the extent permitted by applicable law at the rate of [*] percent ([*]%) per annum, calculated on the number of days such payment is delinquent.</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Taxes</w:t>
      </w:r>
      <w:r>
        <w:rPr>
          <w:rFonts w:ascii="Arial" w:cs="Arial" w:eastAsia="Arial" w:hAnsi="Arial"/>
          <w:sz w:val="18"/>
          <w:szCs w:val="18"/>
          <w:color w:val="auto"/>
        </w:rPr>
        <w:t>. All payments required to be paid to AnaptysBio pursuant to this Agreement shall be paid with deduction for withholding for or on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taxes (other than taxes imposed on or measured by net income) or similar governmental charge.</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18" w:name="page619"/>
    <w:bookmarkEnd w:id="618"/>
    <w:p>
      <w:pPr>
        <w:jc w:val="both"/>
        <w:ind w:right="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 Royalty Payments and Reports</w:t>
      </w:r>
      <w:r>
        <w:rPr>
          <w:rFonts w:ascii="Arial" w:cs="Arial" w:eastAsia="Arial" w:hAnsi="Arial"/>
          <w:sz w:val="18"/>
          <w:szCs w:val="18"/>
          <w:color w:val="auto"/>
        </w:rPr>
        <w:t>. Royalty payments under this Agreement with respect to Net Sales of Product in a given calendar quarter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AnaptysBio or its designee quarterly within [*] ([*]) days following the applicable calendar quarter. Each royalty payment shall be accompanied by a report [*].</w:t>
      </w:r>
    </w:p>
    <w:p>
      <w:pPr>
        <w:spacing w:after="0" w:line="17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7.4. Books and Records; Accounting and Audits</w:t>
      </w:r>
      <w:r>
        <w:rPr>
          <w:rFonts w:ascii="Arial" w:cs="Arial" w:eastAsia="Arial" w:hAnsi="Arial"/>
          <w:sz w:val="16"/>
          <w:szCs w:val="16"/>
          <w:color w:val="auto"/>
        </w:rPr>
        <w:t>. Each Party shall maintain complete and accurate books and records,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relevant to, as applicable, costs or expenses to be reimbursed by TESARO, or payments to made to AnaptysBio, under this Agreement, which books and records shall be sufficient in detail to verify all payment amounts due to a Party hereunder. The Party requesting an audit (the “</w:t>
      </w:r>
      <w:r>
        <w:rPr>
          <w:rFonts w:ascii="Arial" w:cs="Arial" w:eastAsia="Arial" w:hAnsi="Arial"/>
          <w:sz w:val="16"/>
          <w:szCs w:val="16"/>
          <w:b w:val="1"/>
          <w:bCs w:val="1"/>
          <w:color w:val="auto"/>
        </w:rPr>
        <w:t>Auditing Party</w:t>
      </w:r>
      <w:r>
        <w:rPr>
          <w:rFonts w:ascii="Arial" w:cs="Arial" w:eastAsia="Arial" w:hAnsi="Arial"/>
          <w:sz w:val="16"/>
          <w:szCs w:val="16"/>
          <w:color w:val="auto"/>
        </w:rPr>
        <w:t>”) shall have the right, at its own expense and not more than once in any calendar year during the term of this Agreement, to have an independent, certified public accountant, selected by the Auditing Party, and under an obligation of confidence, audit the books and records of the other Party (the “</w:t>
      </w:r>
      <w:r>
        <w:rPr>
          <w:rFonts w:ascii="Arial" w:cs="Arial" w:eastAsia="Arial" w:hAnsi="Arial"/>
          <w:sz w:val="16"/>
          <w:szCs w:val="16"/>
          <w:b w:val="1"/>
          <w:bCs w:val="1"/>
          <w:color w:val="auto"/>
        </w:rPr>
        <w:t>Audited Party</w:t>
      </w:r>
      <w:r>
        <w:rPr>
          <w:rFonts w:ascii="Arial" w:cs="Arial" w:eastAsia="Arial" w:hAnsi="Arial"/>
          <w:sz w:val="16"/>
          <w:szCs w:val="16"/>
          <w:color w:val="auto"/>
        </w:rPr>
        <w:t>”) in the location(s) where such books and records are maintained upon reasonable notice (which shall be no less than fifteen (15) business days prior written notice) and during regular business hours, and for the sole purpose of verifying the basis and accuracy of payments required and made under this Agreement. The report and communication of such accountant with respect to such an audit shall be limited to a certificate stating whether any, as applicable, report made or reimbursement or other payment submitted during such period is accurate or inaccurate and, if a discrepancy is identified, shall also indicate the amount and if applicable, with respect to any report, the nature, of any discrepancy, and the correct information (with respect to the applicable period). Such accountant shall provide AnaptysBio and TESARO with a copy of each such report simultaneously. Should the audit lead to the discovery of a discrepancy:</w:t>
      </w:r>
    </w:p>
    <w:p>
      <w:pPr>
        <w:ind w:firstLine="8"/>
        <w:spacing w:after="0" w:line="267" w:lineRule="auto"/>
        <w:tabs>
          <w:tab w:leader="none" w:pos="215" w:val="left"/>
        </w:tabs>
        <w:numPr>
          <w:ilvl w:val="0"/>
          <w:numId w:val="535"/>
        </w:numPr>
        <w:rPr>
          <w:rFonts w:ascii="Arial" w:cs="Arial" w:eastAsia="Arial" w:hAnsi="Arial"/>
          <w:sz w:val="17"/>
          <w:szCs w:val="17"/>
          <w:color w:val="auto"/>
        </w:rPr>
      </w:pPr>
      <w:r>
        <w:rPr>
          <w:rFonts w:ascii="Arial" w:cs="Arial" w:eastAsia="Arial" w:hAnsi="Arial"/>
          <w:sz w:val="17"/>
          <w:szCs w:val="17"/>
          <w:color w:val="auto"/>
        </w:rPr>
        <w:t>to the Auditing Party’s detriment, the Audited Party shall pay to the Auditing Party the amount of the discrepancy within thirty (30) days of the Audited Party’s receipt of the report; or (ii) to the Audited Party’s detriment, the Audited Party may, as applicable, credit the amount of the discrepancy against future payments payable to the Auditing Party under this Agreement, and if there are no such payments payable, then the Auditing Party shall pay to the Audited Party the amount of the discrepancy within thirty (30) days of the Auditing Party’s receipt of the report. Additionally, in the event that the discrepancy is to the Auditing Party’s detriment and is greater than five percent (5%) of the amount due for such audited period, then the Audited Party shall pay or reimburse the reasonable cost charged by such accountant for such audit. Once the Auditing Party has conducted an audit permitted by this Section 7.4 in respect of any period, it may not re-inspect the Audited Party’s books and records in respect of such period, unless a subsequent audit of a separate reporting period uncovers fraud on the part of the Audited Party that is reasonably expected to have been occurring during the prior audited period. For clarity, however, if a discrepancy is identified by the accountant during the course of an audit and the Parties do not agree upon a resolution of such discrepancy, then the Auditing Party’s accountant may re-inspect the books and records to the extent reasonably relevant to resolving such discrepancy. Notwithstanding anything herein to the contrary, upon the expiration of three (3) years following the end of any calendar year, the right to audit, the books and records for such calendar year shall expire and such Party shall be released from any liability or accountability with respect to payments or FTE work performed as reflected in such books of such Party for such calendar year (including, for clarity, with respect to the calculation of royalties payable with respect to each such calendar year). The Parties shall no longer be required to retain such books and records for any calendar year after the expiration of the third (3rd) calendar year following such calendar year.</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619" w:name="page620"/>
    <w:bookmarkEnd w:id="619"/>
    <w:p>
      <w:pPr>
        <w:ind w:right="2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Blocked Currency</w:t>
      </w:r>
      <w:r>
        <w:rPr>
          <w:rFonts w:ascii="Arial" w:cs="Arial" w:eastAsia="Arial" w:hAnsi="Arial"/>
          <w:sz w:val="18"/>
          <w:szCs w:val="18"/>
          <w:color w:val="auto"/>
        </w:rPr>
        <w:t>. If at any time legal restrictions in the Territory prevent the prompt remittance of any payments with respect to sales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TESARO shall have the right and option to make such payments by depositing the amount thereof in local currency to AnaptysBio account in a bank or depository in the Territory.</w:t>
      </w:r>
    </w:p>
    <w:p>
      <w:pPr>
        <w:spacing w:after="0" w:line="17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7.6. Confidentiality</w:t>
      </w:r>
      <w:r>
        <w:rPr>
          <w:rFonts w:ascii="Arial" w:cs="Arial" w:eastAsia="Arial" w:hAnsi="Arial"/>
          <w:sz w:val="18"/>
          <w:szCs w:val="18"/>
          <w:color w:val="auto"/>
        </w:rPr>
        <w:t>. Each Party shall treat all financial information of the other Party that is subject to review under this Section 7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royalty reports) as such other Party’s Confidential Information.</w:t>
      </w:r>
    </w:p>
    <w:p>
      <w:pPr>
        <w:spacing w:after="0" w:line="189" w:lineRule="exact"/>
        <w:rPr>
          <w:sz w:val="20"/>
          <w:szCs w:val="20"/>
          <w:color w:val="auto"/>
        </w:rPr>
      </w:pPr>
    </w:p>
    <w:p>
      <w:pPr>
        <w:ind w:left="460" w:hanging="452"/>
        <w:spacing w:after="0"/>
        <w:tabs>
          <w:tab w:leader="none" w:pos="46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DILIGENCE; REVERSION</w:t>
      </w:r>
    </w:p>
    <w:p>
      <w:pPr>
        <w:spacing w:after="0" w:line="22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color w:val="auto"/>
        </w:rPr>
        <w:t>8.1. Products</w:t>
      </w:r>
      <w:r>
        <w:rPr>
          <w:rFonts w:ascii="Arial" w:cs="Arial" w:eastAsia="Arial" w:hAnsi="Arial"/>
          <w:sz w:val="16"/>
          <w:szCs w:val="16"/>
          <w:color w:val="auto"/>
        </w:rPr>
        <w:t>. TESARO shall use Commercially Reasonable Efforts to (a) fund the development of each Discovery Program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Discovery Plan and until each Discovery Program has reached the applicable key program decision point set forth in the applicable Discovery Plan, (b) advance at least one Development Antibody with respect to each Development Program, (c) research, test and develop Products, (d) obtain regulatory approval for preclinical, clinical and commercial use of at least one Product with respect to each Development Program, and (e) commercialize Products and attempt to obtain the optimum commercial return for each Product in all major markets throughout the world. [*]</w:t>
      </w:r>
    </w:p>
    <w:p>
      <w:pPr>
        <w:spacing w:after="0" w:line="154" w:lineRule="exact"/>
        <w:rPr>
          <w:sz w:val="20"/>
          <w:szCs w:val="20"/>
          <w:color w:val="auto"/>
        </w:rPr>
      </w:pPr>
    </w:p>
    <w:p>
      <w:pPr>
        <w:ind w:right="580" w:firstLine="456"/>
        <w:spacing w:after="0" w:line="258" w:lineRule="auto"/>
        <w:rPr>
          <w:sz w:val="20"/>
          <w:szCs w:val="20"/>
          <w:color w:val="auto"/>
        </w:rPr>
      </w:pPr>
      <w:r>
        <w:rPr>
          <w:rFonts w:ascii="Arial" w:cs="Arial" w:eastAsia="Arial" w:hAnsi="Arial"/>
          <w:sz w:val="18"/>
          <w:szCs w:val="18"/>
          <w:b w:val="1"/>
          <w:bCs w:val="1"/>
          <w:color w:val="auto"/>
        </w:rPr>
        <w:t>8.2. Reversion</w:t>
      </w:r>
      <w:r>
        <w:rPr>
          <w:rFonts w:ascii="Arial" w:cs="Arial" w:eastAsia="Arial" w:hAnsi="Arial"/>
          <w:sz w:val="18"/>
          <w:szCs w:val="18"/>
          <w:color w:val="auto"/>
        </w:rPr>
        <w:t>. If TESARO fails to satisfy its obligations under Section 8.1 with respect to a Discovery Program or Development Program, or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discontinues development of all Products within a Discovery Program or Development Program, then all rights to that Discovery Program and/or Development Program, including Development Antibody, Products, data, result, materials and Collaboration IP Rights resulting from such Discovery Program or Development Program shall revert to AnaptysBio in accordance with Sections 14.4(b), 14.4(d) or 14.4(e) without any further obligation to TESARO.</w:t>
      </w:r>
    </w:p>
    <w:p>
      <w:pPr>
        <w:spacing w:after="0" w:line="211" w:lineRule="exact"/>
        <w:rPr>
          <w:sz w:val="20"/>
          <w:szCs w:val="20"/>
          <w:color w:val="auto"/>
        </w:rPr>
      </w:pPr>
    </w:p>
    <w:p>
      <w:pPr>
        <w:ind w:left="460" w:hanging="452"/>
        <w:spacing w:after="0"/>
        <w:tabs>
          <w:tab w:leader="none" w:pos="46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Ownership of Inventions; Disclosure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921"/>
        <w:spacing w:after="0" w:line="290" w:lineRule="auto"/>
        <w:tabs>
          <w:tab w:leader="none" w:pos="1168" w:val="left"/>
        </w:tabs>
        <w:numPr>
          <w:ilvl w:val="1"/>
          <w:numId w:val="537"/>
        </w:numPr>
        <w:rPr>
          <w:rFonts w:ascii="Arial" w:cs="Arial" w:eastAsia="Arial" w:hAnsi="Arial"/>
          <w:sz w:val="16"/>
          <w:szCs w:val="16"/>
          <w:b w:val="1"/>
          <w:bCs w:val="1"/>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 Title to all inventions and other intellectual property made by employees of AnaptysBio in the course of performing,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Discovery Programs shall be owned by AnaptysBio; title to all inventions and other intellectual property made by employees of TESARO in the course of performing, or in connection with, the Discovery Programs or the further development of a Product shall be owned by TESARO; title to all inventions and other intellectual property made jointly by employees of TESARO and AnaptysBio in the course of performing, or in connection with, the Discovery Programs shall be owned jointly by TESARO and AnaptysBio. Inventorship of inventions and other intellectual property made pursuant to this Agreement shall be determined in accordance with the patent laws of the United States. Except as expressly provided in this Agreement, neither Party shall have any obligation to account to the other for profits, or to obtain any approval of the other Party to license or exploit patented jointly-owned subject matter, by reason of joint ownership thereof, and each Party hereby waives any right it may have under the laws of any jurisdiction to require any such consent or accounting. Notwithstanding the foregoing, AnaptysBio is and shall be the sole owner of the AnaptysBio Platform.</w:t>
      </w:r>
    </w:p>
    <w:p>
      <w:pPr>
        <w:spacing w:after="0" w:line="92"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20" w:name="page621"/>
    <w:bookmarkEnd w:id="620"/>
    <w:p>
      <w:pPr>
        <w:ind w:left="1180" w:hanging="259"/>
        <w:spacing w:after="0"/>
        <w:tabs>
          <w:tab w:leader="none" w:pos="1180" w:val="left"/>
        </w:tabs>
        <w:numPr>
          <w:ilvl w:val="0"/>
          <w:numId w:val="53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of Inventions</w:t>
      </w:r>
      <w:r>
        <w:rPr>
          <w:rFonts w:ascii="Arial" w:cs="Arial" w:eastAsia="Arial" w:hAnsi="Arial"/>
          <w:sz w:val="17"/>
          <w:szCs w:val="17"/>
          <w:color w:val="auto"/>
        </w:rPr>
        <w:t>. Each Party shall promptly disclose to the other any inventions made in connection with this Agreement.</w:t>
      </w:r>
    </w:p>
    <w:p>
      <w:pPr>
        <w:spacing w:after="0" w:line="23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9.2. Patent Prosecution</w:t>
      </w:r>
      <w:r>
        <w:rPr>
          <w:rFonts w:ascii="Arial" w:cs="Arial" w:eastAsia="Arial" w:hAnsi="Arial"/>
          <w:sz w:val="17"/>
          <w:szCs w:val="17"/>
          <w:color w:val="auto"/>
        </w:rPr>
        <w:t>. Prior to the IND clearance for a Product resulting from a Discovery Program, AnaptysBio shall be responsible, at TESARO’s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for (i) preparing, filing, prosecuting and maintaining Patent applications and Patents directed to Collaboration Patents claiming the manufacture, composition or use of such Product, and (ii) for conducting any interferences, re-examinations, reissues and oppositions relating thereto (“</w:t>
      </w:r>
      <w:r>
        <w:rPr>
          <w:rFonts w:ascii="Arial" w:cs="Arial" w:eastAsia="Arial" w:hAnsi="Arial"/>
          <w:sz w:val="17"/>
          <w:szCs w:val="17"/>
          <w:b w:val="1"/>
          <w:bCs w:val="1"/>
          <w:color w:val="auto"/>
        </w:rPr>
        <w:t>Prosecute and</w:t>
      </w:r>
      <w:r>
        <w:rPr>
          <w:rFonts w:ascii="Arial" w:cs="Arial" w:eastAsia="Arial" w:hAnsi="Arial"/>
          <w:sz w:val="17"/>
          <w:szCs w:val="17"/>
          <w:color w:val="auto"/>
        </w:rPr>
        <w:t xml:space="preserve"> </w:t>
      </w:r>
      <w:r>
        <w:rPr>
          <w:rFonts w:ascii="Arial" w:cs="Arial" w:eastAsia="Arial" w:hAnsi="Arial"/>
          <w:sz w:val="17"/>
          <w:szCs w:val="17"/>
          <w:b w:val="1"/>
          <w:bCs w:val="1"/>
          <w:color w:val="auto"/>
        </w:rPr>
        <w:t>Maintain</w:t>
      </w:r>
      <w:r>
        <w:rPr>
          <w:rFonts w:ascii="Arial" w:cs="Arial" w:eastAsia="Arial" w:hAnsi="Arial"/>
          <w:sz w:val="17"/>
          <w:szCs w:val="17"/>
          <w:color w:val="auto"/>
        </w:rPr>
        <w:t>”); provided, that TESARO’s financial obligations with respect to any such interference or opposition shall be subject to AnaptysBio obtaining</w:t>
      </w:r>
      <w:r>
        <w:rPr>
          <w:rFonts w:ascii="Arial" w:cs="Arial" w:eastAsia="Arial" w:hAnsi="Arial"/>
          <w:sz w:val="17"/>
          <w:szCs w:val="17"/>
          <w:b w:val="1"/>
          <w:bCs w:val="1"/>
          <w:color w:val="auto"/>
        </w:rPr>
        <w:t xml:space="preserve"> </w:t>
      </w:r>
      <w:r>
        <w:rPr>
          <w:rFonts w:ascii="Arial" w:cs="Arial" w:eastAsia="Arial" w:hAnsi="Arial"/>
          <w:sz w:val="17"/>
          <w:szCs w:val="17"/>
          <w:color w:val="auto"/>
        </w:rPr>
        <w:t>TESARO’s prior written consent with respect to any such action and the associated costs. After IND clearance for a Product resulting from a Discovery Program, TESARO shall be responsible at TESARO’s expense to Prosecute and Maintain the applicable Collaboration Patents. The Party that is tasked to Prosecute and Maintain shall keep the other Party informed with respect to the prosecution and issuance of the Collaboration Patents and provide prompt notice of all material matters related thereto (including upon such Party’s request), and the other Party shall reasonably cooperate with and assist the Party tasked to Prosecute and Maintain in connection with such activities, including without limitation by making scientists and scientific records reasonably available and the execution of all such documents and instruments and the performance of such acts as may be reasonably necessary in order to continue any filing, prosecution, maintenance or extension thereof.</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Enforcement and Defense</w:t>
      </w:r>
      <w:r>
        <w:rPr>
          <w:rFonts w:ascii="Arial" w:cs="Arial" w:eastAsia="Arial" w:hAnsi="Arial"/>
          <w:sz w:val="18"/>
          <w:szCs w:val="18"/>
          <w:color w:val="auto"/>
        </w:rPr>
        <w:t>.</w:t>
      </w:r>
    </w:p>
    <w:p>
      <w:pPr>
        <w:spacing w:after="0" w:line="229" w:lineRule="exact"/>
        <w:rPr>
          <w:sz w:val="20"/>
          <w:szCs w:val="20"/>
          <w:color w:val="auto"/>
        </w:rPr>
      </w:pPr>
    </w:p>
    <w:p>
      <w:pPr>
        <w:ind w:left="1180" w:hanging="259"/>
        <w:spacing w:after="0"/>
        <w:tabs>
          <w:tab w:leader="none" w:pos="1180" w:val="left"/>
        </w:tabs>
        <w:numPr>
          <w:ilvl w:val="0"/>
          <w:numId w:val="539"/>
        </w:numPr>
        <w:rPr>
          <w:rFonts w:ascii="Arial" w:cs="Arial" w:eastAsia="Arial" w:hAnsi="Arial"/>
          <w:sz w:val="16"/>
          <w:szCs w:val="16"/>
          <w:b w:val="1"/>
          <w:bCs w:val="1"/>
          <w:color w:val="auto"/>
        </w:rPr>
      </w:pPr>
      <w:r>
        <w:rPr>
          <w:rFonts w:ascii="Arial" w:cs="Arial" w:eastAsia="Arial" w:hAnsi="Arial"/>
          <w:sz w:val="16"/>
          <w:szCs w:val="16"/>
          <w:color w:val="auto"/>
        </w:rPr>
        <w:t>Each Party shall promptly notify the other of any knowledge it acquires of any potential infringement of the Collaboration Patents by a Third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firstLine="921"/>
        <w:spacing w:after="0" w:line="255" w:lineRule="auto"/>
        <w:tabs>
          <w:tab w:leader="none" w:pos="1178" w:val="left"/>
        </w:tabs>
        <w:numPr>
          <w:ilvl w:val="0"/>
          <w:numId w:val="540"/>
        </w:numPr>
        <w:rPr>
          <w:rFonts w:ascii="Arial" w:cs="Arial" w:eastAsia="Arial" w:hAnsi="Arial"/>
          <w:sz w:val="18"/>
          <w:szCs w:val="18"/>
          <w:b w:val="1"/>
          <w:bCs w:val="1"/>
          <w:color w:val="auto"/>
        </w:rPr>
      </w:pPr>
      <w:r>
        <w:rPr>
          <w:rFonts w:ascii="Arial" w:cs="Arial" w:eastAsia="Arial" w:hAnsi="Arial"/>
          <w:sz w:val="18"/>
          <w:szCs w:val="18"/>
          <w:color w:val="auto"/>
        </w:rPr>
        <w:t>If any Patent within the Collaboration Patents is infringed by a Third Party in any country in the Territory in connection with the manufacture, use and sale of a product the same as or substantially similar to a Product in the Field in such country, TESARO shall have the primary right, but not the obligation, to institute, prosecute, and control any action or proceeding with respect to such infringement of such Patent, by counsel of its own choice, and AnaptysBio shall have the right, at its own expense, to be represented in that action by counsel of its own choice. If TESARO fails to bring an action or proceeding within a period of one hundred twenty (120) days after a request by AnaptysBio to do so, AnaptysBio shall have the right to bring and control any such action by counsel of its own choice, and TESARO shall have the right to be represented in any such action by counsel of its own choice at its own expense.</w:t>
      </w:r>
    </w:p>
    <w:p>
      <w:pPr>
        <w:spacing w:after="0" w:line="189" w:lineRule="exact"/>
        <w:rPr>
          <w:rFonts w:ascii="Arial" w:cs="Arial" w:eastAsia="Arial" w:hAnsi="Arial"/>
          <w:sz w:val="18"/>
          <w:szCs w:val="18"/>
          <w:b w:val="1"/>
          <w:bCs w:val="1"/>
          <w:color w:val="auto"/>
        </w:rPr>
      </w:pPr>
    </w:p>
    <w:p>
      <w:pPr>
        <w:ind w:firstLine="921"/>
        <w:spacing w:after="0" w:line="273" w:lineRule="auto"/>
        <w:tabs>
          <w:tab w:leader="none" w:pos="1158" w:val="left"/>
        </w:tabs>
        <w:numPr>
          <w:ilvl w:val="0"/>
          <w:numId w:val="540"/>
        </w:numPr>
        <w:rPr>
          <w:rFonts w:ascii="Arial" w:cs="Arial" w:eastAsia="Arial" w:hAnsi="Arial"/>
          <w:sz w:val="17"/>
          <w:szCs w:val="17"/>
          <w:b w:val="1"/>
          <w:bCs w:val="1"/>
          <w:color w:val="auto"/>
        </w:rPr>
      </w:pPr>
      <w:r>
        <w:rPr>
          <w:rFonts w:ascii="Arial" w:cs="Arial" w:eastAsia="Arial" w:hAnsi="Arial"/>
          <w:sz w:val="17"/>
          <w:szCs w:val="17"/>
          <w:color w:val="auto"/>
        </w:rPr>
        <w:t>If one Party brings an action or proceeding in accordance with Section 9.3(b), the second Party agrees to be joined as a party plaintiff if necessary and to give the first Party reasonable assistance and authority to file and prosecute the suit. The costs and expenses of the Party bringing suit under this Section shall be borne by such Party, and any damages or other monetary awards recovered shall be shared as follows: The amount of such recovery actually received by the Party controlling such action shall first be applied to the out-of- pocket costs of such action, and then (i) if TESARO is the Party that brings such action or proceeding, then AnaptysBio shall be paid an amount equal to the royalties, if any, that would have been due upon sales of the infringing product as if such infringing sales had been Net Sales of a Product sold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9" w:right="239" w:bottom="1440" w:gutter="0" w:footer="0" w:header="0"/>
        </w:sectPr>
      </w:pPr>
    </w:p>
    <w:bookmarkStart w:id="621" w:name="page622"/>
    <w:bookmarkEnd w:id="621"/>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under the authority of TESARO, and the remaining portion of such recovery shall be paid to TESARO, or (ii) if AnaptysBio is the Party that brings such action or proceeding, then the remaining portion of such recovery shall be retained by AnaptysBio. A settlement or consent judgment or other voluntary final disposition of a suit under this Section 9.3 may be entered into without the consent of the Party not bringing the suit. Neither Party shall, however, have the right to enter into any settlement or consent to any claim to the effect that the patent protection offered under any part of the Collaboration Patents would be materially negatively affected, without the consent of the other Party, such consent not to be unreasonably withheld.</w:t>
      </w:r>
    </w:p>
    <w:p>
      <w:pPr>
        <w:spacing w:after="0" w:line="196" w:lineRule="exact"/>
        <w:rPr>
          <w:sz w:val="20"/>
          <w:szCs w:val="20"/>
          <w:color w:val="auto"/>
        </w:rPr>
      </w:pPr>
    </w:p>
    <w:p>
      <w:pPr>
        <w:ind w:left="460" w:hanging="452"/>
        <w:spacing w:after="0"/>
        <w:tabs>
          <w:tab w:leader="none" w:pos="460"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10.1. Confidential Information</w:t>
      </w:r>
      <w:r>
        <w:rPr>
          <w:rFonts w:ascii="Arial" w:cs="Arial" w:eastAsia="Arial" w:hAnsi="Arial"/>
          <w:sz w:val="17"/>
          <w:szCs w:val="17"/>
          <w:color w:val="auto"/>
        </w:rPr>
        <w:t>. Except as otherwise expressly provided herein, the Parties agree that, for the term of this Agreement and for ten</w:t>
      </w:r>
    </w:p>
    <w:p>
      <w:pPr>
        <w:spacing w:after="0" w:line="39" w:lineRule="exact"/>
        <w:rPr>
          <w:sz w:val="20"/>
          <w:szCs w:val="20"/>
          <w:color w:val="auto"/>
        </w:rPr>
      </w:pPr>
    </w:p>
    <w:p>
      <w:pPr>
        <w:ind w:firstLine="8"/>
        <w:spacing w:after="0" w:line="252" w:lineRule="auto"/>
        <w:tabs>
          <w:tab w:leader="none" w:pos="34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years thereafter, the receiving Party shall not, except as expressly provided in this Section 10, disclose to any Third Party any Confidential Information furnished to it by the disclosing Party hereto pursuant to this Agreement, or any results of the Discovery Programs (“</w:t>
      </w:r>
      <w:r>
        <w:rPr>
          <w:rFonts w:ascii="Arial" w:cs="Arial" w:eastAsia="Arial" w:hAnsi="Arial"/>
          <w:sz w:val="18"/>
          <w:szCs w:val="18"/>
          <w:b w:val="1"/>
          <w:bCs w:val="1"/>
          <w:color w:val="auto"/>
        </w:rPr>
        <w:t>Results</w:t>
      </w:r>
      <w:r>
        <w:rPr>
          <w:rFonts w:ascii="Arial" w:cs="Arial" w:eastAsia="Arial" w:hAnsi="Arial"/>
          <w:sz w:val="18"/>
          <w:szCs w:val="18"/>
          <w:color w:val="auto"/>
        </w:rPr>
        <w:t>”). For purposes of this Section 10,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information, samples or other materials, which if disclosed in tangible form is marked “confidential” or with other similar designation to indicate its confidential or proprietary nature, or, if disclosed orally, is indicated orally to be confidential or proprietary at the time of such disclosure and is confirmed in writing as confidential or proprietary within forty-five (45) days after such disclosure. Notwithstanding the foregoing, Confidential Information shall not include any information that can be established by the receiving Party by competent proof that such information:</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542"/>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other than under an obligation of confidentiality, at the time of disclosure;</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1"/>
          <w:numId w:val="542"/>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225" w:lineRule="exact"/>
        <w:rPr>
          <w:rFonts w:ascii="Arial" w:cs="Arial" w:eastAsia="Arial" w:hAnsi="Arial"/>
          <w:sz w:val="18"/>
          <w:szCs w:val="18"/>
          <w:b w:val="1"/>
          <w:bCs w:val="1"/>
          <w:color w:val="auto"/>
        </w:rPr>
      </w:pPr>
    </w:p>
    <w:p>
      <w:pPr>
        <w:ind w:right="160" w:firstLine="921"/>
        <w:spacing w:after="0" w:line="277" w:lineRule="auto"/>
        <w:tabs>
          <w:tab w:leader="none" w:pos="1158" w:val="left"/>
        </w:tabs>
        <w:numPr>
          <w:ilvl w:val="1"/>
          <w:numId w:val="542"/>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its disclosure and other than through any breach of this Agreement by the receiving Party;</w:t>
      </w:r>
    </w:p>
    <w:p>
      <w:pPr>
        <w:spacing w:after="0" w:line="170" w:lineRule="exact"/>
        <w:rPr>
          <w:rFonts w:ascii="Arial" w:cs="Arial" w:eastAsia="Arial" w:hAnsi="Arial"/>
          <w:sz w:val="18"/>
          <w:szCs w:val="18"/>
          <w:b w:val="1"/>
          <w:bCs w:val="1"/>
          <w:color w:val="auto"/>
        </w:rPr>
      </w:pPr>
    </w:p>
    <w:p>
      <w:pPr>
        <w:ind w:right="540" w:firstLine="921"/>
        <w:spacing w:after="0" w:line="277" w:lineRule="auto"/>
        <w:tabs>
          <w:tab w:leader="none" w:pos="1178" w:val="left"/>
        </w:tabs>
        <w:numPr>
          <w:ilvl w:val="1"/>
          <w:numId w:val="542"/>
        </w:numPr>
        <w:rPr>
          <w:rFonts w:ascii="Arial" w:cs="Arial" w:eastAsia="Arial" w:hAnsi="Arial"/>
          <w:sz w:val="18"/>
          <w:szCs w:val="18"/>
          <w:b w:val="1"/>
          <w:bCs w:val="1"/>
          <w:color w:val="auto"/>
        </w:rPr>
      </w:pPr>
      <w:r>
        <w:rPr>
          <w:rFonts w:ascii="Arial" w:cs="Arial" w:eastAsia="Arial" w:hAnsi="Arial"/>
          <w:sz w:val="18"/>
          <w:szCs w:val="18"/>
          <w:color w:val="auto"/>
        </w:rPr>
        <w:t>was independently developed by the receiving Party as demonstrated by documented evidence prepared contemporaneously with such independent development; or</w:t>
      </w:r>
    </w:p>
    <w:p>
      <w:pPr>
        <w:spacing w:after="0" w:line="170" w:lineRule="exact"/>
        <w:rPr>
          <w:rFonts w:ascii="Arial" w:cs="Arial" w:eastAsia="Arial" w:hAnsi="Arial"/>
          <w:sz w:val="18"/>
          <w:szCs w:val="18"/>
          <w:b w:val="1"/>
          <w:bCs w:val="1"/>
          <w:color w:val="auto"/>
        </w:rPr>
      </w:pPr>
    </w:p>
    <w:p>
      <w:pPr>
        <w:ind w:right="760" w:firstLine="921"/>
        <w:spacing w:after="0" w:line="277" w:lineRule="auto"/>
        <w:tabs>
          <w:tab w:leader="none" w:pos="1158" w:val="left"/>
        </w:tabs>
        <w:numPr>
          <w:ilvl w:val="1"/>
          <w:numId w:val="542"/>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66"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10.2. Permitted Use and Disclosures</w:t>
      </w:r>
      <w:r>
        <w:rPr>
          <w:rFonts w:ascii="Arial" w:cs="Arial" w:eastAsia="Arial" w:hAnsi="Arial"/>
          <w:sz w:val="18"/>
          <w:szCs w:val="18"/>
          <w:color w:val="auto"/>
        </w:rPr>
        <w:t>. Each Party hereto may use or disclose Confidential Information disclosed to it by the other Party or Results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such use or disclosure is reasonably necessary and permitted in the exercise of the rights granted hereunder in filing or prosecuting Patent applications, prosecuting or defending litigation, complying with applicable governmental laws, rules, regulations or court order or otherwise submitting information to tax or other governmental authorities, conducting clinical trials, or making a permitted sublicense or otherwise exercising license rights expressly granted by the other Party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22" w:name="page623"/>
    <w:bookmarkEnd w:id="62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it pursuant to the terms of this Agreement; provided, that if a Party is required to make any such disclosure, other than pursuant to a confidentiality agreement, it will give reasonable advance notice to the other Party of such disclosure and, save to the extent inappropriate in the case of Patent applications, will use its reasonable efforts to secure confidential treatment of such information in consultation with the other Party prior to its disclosure (whether through protective orders or otherwise) and disclose only the minimum necessary to comply with such requirements. Nothing in this Article 10 shall restrict TESARO from providing Development Antibodies (and associated related information) to academic and other collaborators to conduct pre-clinical and clinical studies to further the research, development and commercialization of the Development Antibodies.</w:t>
      </w:r>
    </w:p>
    <w:p>
      <w:pPr>
        <w:spacing w:after="0" w:line="201" w:lineRule="exact"/>
        <w:rPr>
          <w:sz w:val="20"/>
          <w:szCs w:val="20"/>
          <w:color w:val="auto"/>
        </w:rPr>
      </w:pPr>
    </w:p>
    <w:p>
      <w:pPr>
        <w:ind w:left="460" w:hanging="452"/>
        <w:spacing w:after="0"/>
        <w:tabs>
          <w:tab w:leader="none" w:pos="460"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11.1. Nondisclosure of Terms</w:t>
      </w:r>
      <w:r>
        <w:rPr>
          <w:rFonts w:ascii="Arial" w:cs="Arial" w:eastAsia="Arial" w:hAnsi="Arial"/>
          <w:sz w:val="16"/>
          <w:szCs w:val="16"/>
          <w:color w:val="auto"/>
        </w:rPr>
        <w:t>. Each of the Parties hereto agrees not to disclose the terms of this Agreement to any Third Party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of the other Party hereto, which consent shall not be unreasonably withheld, except to such Party’s attorneys, advisors, investors, potential investors and other similarly situated Third Parties on a need to know basis under circumstances that reasonably ensure the confidentiality thereof, or to the extent required by law. Notwithstanding the foregoing, the press release attached to the Supplemental Information Package as Exhibit B-1 shall be jointly released by both Parties promptly following the Effective Date, and the press release attached to the Supplemental Information Package as Exhibit B-2 shall be released by AnaptysBio promptly following the Effective Date. Furthermore, it is understood that either Party may be required to issue subsequent press releases or make disclosures required by law (pursuant to filings with the Securities and Exchange Commission or otherwise) relating to the terms of this Agreement or activities hereunder. The Parties agree to consult with each other reasonably and in good faith with respect to the text and timing of all such press releases or other disclosures required by law prior to the issuance thereof, provided that a Party may not unreasonably withhold or delay consent to such releases or disclosures, and that either Party may issue such press releases or make such disclosures as it determines, based on advice of counsel, are reasonably necessary to comply with laws or regulations or for appropriate stock market disclosure. Furthermore, AnaptysBio shall have the right to publicly announce, by press release or otherwise, the occurrence of each significant event under the terms of this Agreement, including the receipt of each milestone payment reference above, provided that AnaptysBio consults with TESARO reasonably and in good faith with respect to the text and timing of such public announcement prior to the issuance thereof, provided that no Confidential Information shall be disclosed without permission of TESARO.</w:t>
      </w:r>
    </w:p>
    <w:p>
      <w:pPr>
        <w:spacing w:after="0" w:line="1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11.2. Publications</w:t>
      </w:r>
      <w:r>
        <w:rPr>
          <w:rFonts w:ascii="Arial" w:cs="Arial" w:eastAsia="Arial" w:hAnsi="Arial"/>
          <w:sz w:val="18"/>
          <w:szCs w:val="18"/>
          <w:color w:val="auto"/>
        </w:rPr>
        <w:t>. With respect to any Discovery Program, each Party shall submit any proposed scientific publication to the other Party that relates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one or more Development Antibodies or Products, discloses the results of a Discovery Program or includes Confidential Information of the other Party at least thirty (30) days in advance to allow that Party to review such planned public disclosure. The reviewing Party will promptly review such proposed scientific publication and make any objections that it may have to the publication of such results or the Confidential Information of the reviewing Party contained therein. Should the reviewing Party make an objection to the publication of any such results or Confidential Information, then the Parties shall discuss the advantages and disadvantages of publishing such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5" w:right="239" w:bottom="1440" w:gutter="0" w:footer="0" w:header="0"/>
        </w:sectPr>
      </w:pPr>
    </w:p>
    <w:bookmarkStart w:id="623" w:name="page624"/>
    <w:bookmarkEnd w:id="62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 or Confidential Information. If the Parties are unable to agree on whether to publish the same, the respective Chief Executive Officers of AnaptysBio and TESARO (or, with respect to TESARO, the President) shall reasonably agree on the extent to which the publication of such results or Confidential Information shall be made. AnaptysBio acknowledges that TESARO may enter into agreements with academic and other collaborators to conduct studies with Development Antibodies, including in combination with other compounds, in all cases consistent with the license rights granted hereunder. Notwithstanding the provisions of this Section 11.2 to the contrary, TESARO shall be required only to request such collaborators comply with the provisions of this Section 11.2 with regard to their scientific publications, but TESARO shall not be in violation of this Section 11.2 as a result of the actions of such collaborators with respect thereto.</w:t>
      </w:r>
    </w:p>
    <w:p>
      <w:pPr>
        <w:spacing w:after="0" w:line="18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11.3. Blinded Data</w:t>
      </w:r>
      <w:r>
        <w:rPr>
          <w:rFonts w:ascii="Arial" w:cs="Arial" w:eastAsia="Arial" w:hAnsi="Arial"/>
          <w:sz w:val="18"/>
          <w:szCs w:val="18"/>
          <w:color w:val="auto"/>
        </w:rPr>
        <w:t>. For the purposes of promoting or otherwise highlighting the advantages of the AnaptysBio Platform, AnaptysBio may disclose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disclosed) to Third Parties, blinded data relating to each of the Discovery Programs at any time during or subsequent to the term of the Agreement, provided that (a) neither TESARO, the Targets or therapeutic area shall be identified, directly or indirectly, in connection therewith, (b) TESARO shall have an opportunity to review each such disclosure at least thirty (30) days prior to the release thereof, and (c) no such disclosure shall include any Confidential Information of TESARO.</w:t>
      </w:r>
    </w:p>
    <w:p>
      <w:pPr>
        <w:spacing w:after="0" w:line="184"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11.4. Permitted Disclosures</w:t>
      </w:r>
      <w:r>
        <w:rPr>
          <w:rFonts w:ascii="Arial" w:cs="Arial" w:eastAsia="Arial" w:hAnsi="Arial"/>
          <w:sz w:val="16"/>
          <w:szCs w:val="16"/>
          <w:color w:val="auto"/>
        </w:rPr>
        <w:t>. Notwithstanding anything to the contrary contained in this Agreement or any confidentiality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nothing herein or therein shall prevent a Party from disclosing the terms of this Agreement or such other information a Party reasonably determines, based on advice from its counsel, is necessary or desirable to disclose under applicable law, regulation or legal process (whether in connection with its ongoing disclosure obligations, in connection with a corporate activity or otherwise), including as required by the rules or regulations of the United States Securities and Exchange Commission or similar regulatory agency in a country other than the United States or of any stock exchange or NASDAQ, or in connection with a presentation or disclosure to investors or potential investors subject to customary and appropriate confidentiality restrictions.</w:t>
      </w:r>
    </w:p>
    <w:p>
      <w:pPr>
        <w:spacing w:after="0" w:line="183" w:lineRule="exact"/>
        <w:rPr>
          <w:sz w:val="20"/>
          <w:szCs w:val="20"/>
          <w:color w:val="auto"/>
        </w:rPr>
      </w:pPr>
    </w:p>
    <w:p>
      <w:pPr>
        <w:ind w:left="460" w:hanging="452"/>
        <w:spacing w:after="0"/>
        <w:tabs>
          <w:tab w:leader="none" w:pos="46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TESARO. TESARO represents and warrants that:</w:t>
      </w:r>
    </w:p>
    <w:p>
      <w:pPr>
        <w:spacing w:after="0" w:line="229" w:lineRule="exact"/>
        <w:rPr>
          <w:rFonts w:ascii="Arial" w:cs="Arial" w:eastAsia="Arial" w:hAnsi="Arial"/>
          <w:sz w:val="18"/>
          <w:szCs w:val="18"/>
          <w:b w:val="1"/>
          <w:bCs w:val="1"/>
          <w:color w:val="auto"/>
        </w:rPr>
      </w:pPr>
    </w:p>
    <w:p>
      <w:pPr>
        <w:ind w:right="140" w:firstLine="921"/>
        <w:spacing w:after="0" w:line="308" w:lineRule="auto"/>
        <w:tabs>
          <w:tab w:leader="none" w:pos="1168" w:val="left"/>
        </w:tabs>
        <w:numPr>
          <w:ilvl w:val="1"/>
          <w:numId w:val="544"/>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right="100" w:firstLine="921"/>
        <w:spacing w:after="0" w:line="277" w:lineRule="auto"/>
        <w:tabs>
          <w:tab w:leader="none" w:pos="1178" w:val="left"/>
        </w:tabs>
        <w:numPr>
          <w:ilvl w:val="1"/>
          <w:numId w:val="544"/>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624" w:name="page625"/>
    <w:bookmarkEnd w:id="624"/>
    <w:p>
      <w:pPr>
        <w:ind w:left="-100" w:right="160" w:firstLine="921"/>
        <w:spacing w:after="0" w:line="277" w:lineRule="auto"/>
        <w:tabs>
          <w:tab w:leader="none" w:pos="1058"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of its obligations hereunder do not conflict with, violate or breach or constitute a default or require any consent under, any agreement, instrument or understanding, or other contractual obligations of TESARO;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 and</w:t>
      </w:r>
    </w:p>
    <w:p>
      <w:pPr>
        <w:spacing w:after="0" w:line="181" w:lineRule="exact"/>
        <w:rPr>
          <w:rFonts w:ascii="Arial" w:cs="Arial" w:eastAsia="Arial" w:hAnsi="Arial"/>
          <w:sz w:val="18"/>
          <w:szCs w:val="18"/>
          <w:b w:val="1"/>
          <w:bCs w:val="1"/>
          <w:color w:val="auto"/>
        </w:rPr>
      </w:pPr>
    </w:p>
    <w:p>
      <w:pPr>
        <w:ind w:left="-100" w:right="160" w:firstLine="921"/>
        <w:spacing w:after="0" w:line="279" w:lineRule="auto"/>
        <w:tabs>
          <w:tab w:leader="none" w:pos="1058" w:val="left"/>
        </w:tabs>
        <w:numPr>
          <w:ilvl w:val="0"/>
          <w:numId w:val="545"/>
        </w:numPr>
        <w:rPr>
          <w:rFonts w:ascii="Arial" w:cs="Arial" w:eastAsia="Arial" w:hAnsi="Arial"/>
          <w:sz w:val="17"/>
          <w:szCs w:val="17"/>
          <w:b w:val="1"/>
          <w:bCs w:val="1"/>
          <w:color w:val="auto"/>
        </w:rPr>
      </w:pPr>
      <w:r>
        <w:rPr>
          <w:rFonts w:ascii="Arial" w:cs="Arial" w:eastAsia="Arial" w:hAnsi="Arial"/>
          <w:sz w:val="17"/>
          <w:szCs w:val="17"/>
          <w:color w:val="auto"/>
        </w:rPr>
        <w:t>TESARO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12.2. AnaptysBio</w:t>
      </w:r>
      <w:r>
        <w:rPr>
          <w:rFonts w:ascii="Arial" w:cs="Arial" w:eastAsia="Arial" w:hAnsi="Arial"/>
          <w:sz w:val="18"/>
          <w:szCs w:val="18"/>
          <w:color w:val="auto"/>
        </w:rPr>
        <w:t>. AnaptysBio represents and warrants that:</w:t>
      </w:r>
    </w:p>
    <w:p>
      <w:pPr>
        <w:spacing w:after="0" w:line="229" w:lineRule="exact"/>
        <w:rPr>
          <w:sz w:val="20"/>
          <w:szCs w:val="20"/>
          <w:color w:val="auto"/>
        </w:rPr>
      </w:pPr>
    </w:p>
    <w:p>
      <w:pPr>
        <w:ind w:left="-100" w:right="100" w:firstLine="921"/>
        <w:spacing w:after="0" w:line="308" w:lineRule="auto"/>
        <w:tabs>
          <w:tab w:leader="none" w:pos="1068" w:val="left"/>
        </w:tabs>
        <w:numPr>
          <w:ilvl w:val="0"/>
          <w:numId w:val="546"/>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left="-100" w:right="60" w:firstLine="921"/>
        <w:spacing w:after="0" w:line="277" w:lineRule="auto"/>
        <w:tabs>
          <w:tab w:leader="none" w:pos="1078" w:val="left"/>
        </w:tabs>
        <w:numPr>
          <w:ilvl w:val="0"/>
          <w:numId w:val="546"/>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70" w:lineRule="exact"/>
        <w:rPr>
          <w:rFonts w:ascii="Arial" w:cs="Arial" w:eastAsia="Arial" w:hAnsi="Arial"/>
          <w:sz w:val="18"/>
          <w:szCs w:val="18"/>
          <w:b w:val="1"/>
          <w:bCs w:val="1"/>
          <w:color w:val="auto"/>
        </w:rPr>
      </w:pPr>
    </w:p>
    <w:p>
      <w:pPr>
        <w:ind w:left="-100" w:right="160" w:firstLine="921"/>
        <w:spacing w:after="0" w:line="277" w:lineRule="auto"/>
        <w:tabs>
          <w:tab w:leader="none" w:pos="1058" w:val="left"/>
        </w:tabs>
        <w:numPr>
          <w:ilvl w:val="0"/>
          <w:numId w:val="546"/>
        </w:numPr>
        <w:rPr>
          <w:rFonts w:ascii="Arial" w:cs="Arial" w:eastAsia="Arial" w:hAnsi="Arial"/>
          <w:sz w:val="18"/>
          <w:szCs w:val="18"/>
          <w:b w:val="1"/>
          <w:bCs w:val="1"/>
          <w:color w:val="auto"/>
        </w:rPr>
      </w:pPr>
      <w:r>
        <w:rPr>
          <w:rFonts w:ascii="Arial" w:cs="Arial" w:eastAsia="Arial" w:hAnsi="Arial"/>
          <w:sz w:val="18"/>
          <w:szCs w:val="18"/>
          <w:color w:val="auto"/>
        </w:rPr>
        <w:t>the performance of its obligations hereunder do not conflict with, violate or breach or constitute a default or require any consent under, any agreement, instrument or understanding, or other contractual obligations of AnaptysBio;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546"/>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w:t>
      </w:r>
    </w:p>
    <w:p>
      <w:pPr>
        <w:spacing w:after="0" w:line="181" w:lineRule="exact"/>
        <w:rPr>
          <w:rFonts w:ascii="Arial" w:cs="Arial" w:eastAsia="Arial" w:hAnsi="Arial"/>
          <w:sz w:val="18"/>
          <w:szCs w:val="18"/>
          <w:b w:val="1"/>
          <w:bCs w:val="1"/>
          <w:color w:val="auto"/>
        </w:rPr>
      </w:pPr>
    </w:p>
    <w:p>
      <w:pPr>
        <w:ind w:left="1060" w:hanging="239"/>
        <w:spacing w:after="0"/>
        <w:tabs>
          <w:tab w:leader="none" w:pos="1060" w:val="left"/>
        </w:tabs>
        <w:numPr>
          <w:ilvl w:val="0"/>
          <w:numId w:val="546"/>
        </w:numPr>
        <w:rPr>
          <w:rFonts w:ascii="Arial" w:cs="Arial" w:eastAsia="Arial" w:hAnsi="Arial"/>
          <w:sz w:val="18"/>
          <w:szCs w:val="18"/>
          <w:b w:val="1"/>
          <w:bCs w:val="1"/>
          <w:color w:val="auto"/>
        </w:rPr>
      </w:pPr>
      <w:r>
        <w:rPr>
          <w:rFonts w:ascii="Arial" w:cs="Arial" w:eastAsia="Arial" w:hAnsi="Arial"/>
          <w:sz w:val="18"/>
          <w:szCs w:val="18"/>
          <w:color w:val="auto"/>
        </w:rPr>
        <w:t>AnaptysBio Controls the AnaptysBio Know-How and AnaptysBio Patents existing as of the Effective Date;</w:t>
      </w:r>
    </w:p>
    <w:p>
      <w:pPr>
        <w:spacing w:after="0" w:line="225" w:lineRule="exact"/>
        <w:rPr>
          <w:rFonts w:ascii="Arial" w:cs="Arial" w:eastAsia="Arial" w:hAnsi="Arial"/>
          <w:sz w:val="18"/>
          <w:szCs w:val="18"/>
          <w:b w:val="1"/>
          <w:bCs w:val="1"/>
          <w:color w:val="auto"/>
        </w:rPr>
      </w:pPr>
    </w:p>
    <w:p>
      <w:pPr>
        <w:ind w:left="-100" w:right="680" w:firstLine="921"/>
        <w:spacing w:after="0" w:line="277" w:lineRule="auto"/>
        <w:tabs>
          <w:tab w:leader="none" w:pos="1038" w:val="left"/>
        </w:tabs>
        <w:numPr>
          <w:ilvl w:val="0"/>
          <w:numId w:val="546"/>
        </w:numPr>
        <w:rPr>
          <w:rFonts w:ascii="Arial" w:cs="Arial" w:eastAsia="Arial" w:hAnsi="Arial"/>
          <w:sz w:val="18"/>
          <w:szCs w:val="18"/>
          <w:b w:val="1"/>
          <w:bCs w:val="1"/>
          <w:color w:val="auto"/>
        </w:rPr>
      </w:pPr>
      <w:r>
        <w:rPr>
          <w:rFonts w:ascii="Arial" w:cs="Arial" w:eastAsia="Arial" w:hAnsi="Arial"/>
          <w:sz w:val="18"/>
          <w:szCs w:val="18"/>
          <w:color w:val="auto"/>
        </w:rPr>
        <w:t>AnaptysBio has the right to grant all rights and licenses it purports to grant to TESARO with respect to the AnaptysBio Know-How, AnaptysBio Patents and AnaptysBio Platform under this Agreement;</w:t>
      </w:r>
    </w:p>
    <w:p>
      <w:pPr>
        <w:spacing w:after="0" w:line="170" w:lineRule="exact"/>
        <w:rPr>
          <w:rFonts w:ascii="Arial" w:cs="Arial" w:eastAsia="Arial" w:hAnsi="Arial"/>
          <w:sz w:val="18"/>
          <w:szCs w:val="18"/>
          <w:b w:val="1"/>
          <w:bCs w:val="1"/>
          <w:color w:val="auto"/>
        </w:rPr>
      </w:pPr>
    </w:p>
    <w:p>
      <w:pPr>
        <w:ind w:left="-100" w:right="220" w:firstLine="921"/>
        <w:spacing w:after="0" w:line="277" w:lineRule="auto"/>
        <w:tabs>
          <w:tab w:leader="none" w:pos="1068" w:val="left"/>
        </w:tabs>
        <w:numPr>
          <w:ilvl w:val="0"/>
          <w:numId w:val="546"/>
        </w:numPr>
        <w:rPr>
          <w:rFonts w:ascii="Arial" w:cs="Arial" w:eastAsia="Arial" w:hAnsi="Arial"/>
          <w:sz w:val="18"/>
          <w:szCs w:val="18"/>
          <w:b w:val="1"/>
          <w:bCs w:val="1"/>
          <w:color w:val="auto"/>
        </w:rPr>
      </w:pPr>
      <w:r>
        <w:rPr>
          <w:rFonts w:ascii="Arial" w:cs="Arial" w:eastAsia="Arial" w:hAnsi="Arial"/>
          <w:sz w:val="18"/>
          <w:szCs w:val="18"/>
          <w:color w:val="auto"/>
        </w:rPr>
        <w:t>AnaptysBio has no present knowledge that any settled, pending or threatened claim or lawsuit or legal proceeding of a Third Party against AnaptysBio or any other person alleging that the AnaptysBio Know-How, AnaptysBio Patents or AnaptysBio Platform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40" w:top="274" w:right="319" w:bottom="1440" w:gutter="0" w:footer="0" w:header="0"/>
        </w:sectPr>
      </w:pPr>
    </w:p>
    <w:bookmarkStart w:id="625" w:name="page626"/>
    <w:bookmarkEnd w:id="6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misappropriates or infringes, in part or in whole, the intellectual property or intellectual property rights of such Third Party;</w:t>
      </w:r>
    </w:p>
    <w:p>
      <w:pPr>
        <w:spacing w:after="0" w:line="225" w:lineRule="exact"/>
        <w:rPr>
          <w:sz w:val="20"/>
          <w:szCs w:val="20"/>
          <w:color w:val="auto"/>
        </w:rPr>
      </w:pPr>
    </w:p>
    <w:p>
      <w:pPr>
        <w:ind w:right="360" w:firstLine="921"/>
        <w:spacing w:after="0" w:line="342" w:lineRule="auto"/>
        <w:tabs>
          <w:tab w:leader="none" w:pos="1178" w:val="left"/>
        </w:tabs>
        <w:numPr>
          <w:ilvl w:val="0"/>
          <w:numId w:val="547"/>
        </w:numPr>
        <w:rPr>
          <w:rFonts w:ascii="Arial" w:cs="Arial" w:eastAsia="Arial" w:hAnsi="Arial"/>
          <w:sz w:val="16"/>
          <w:szCs w:val="16"/>
          <w:b w:val="1"/>
          <w:bCs w:val="1"/>
          <w:color w:val="auto"/>
        </w:rPr>
      </w:pPr>
      <w:r>
        <w:rPr>
          <w:rFonts w:ascii="Arial" w:cs="Arial" w:eastAsia="Arial" w:hAnsi="Arial"/>
          <w:sz w:val="16"/>
          <w:szCs w:val="16"/>
          <w:color w:val="auto"/>
        </w:rPr>
        <w:t>AnaptysBio has not granted any right or license to any Third Party relating to any of the AnaptysBio Know-How, AnaptysBio Patents or AnaptysBio Platform that would conflict or interfere with any of the rights or licenses granted or purported to be granted to TESARO hereunder;</w:t>
      </w:r>
    </w:p>
    <w:p>
      <w:pPr>
        <w:spacing w:after="0" w:line="123" w:lineRule="exact"/>
        <w:rPr>
          <w:rFonts w:ascii="Arial" w:cs="Arial" w:eastAsia="Arial" w:hAnsi="Arial"/>
          <w:sz w:val="16"/>
          <w:szCs w:val="16"/>
          <w:b w:val="1"/>
          <w:bCs w:val="1"/>
          <w:color w:val="auto"/>
        </w:rPr>
      </w:pPr>
    </w:p>
    <w:p>
      <w:pPr>
        <w:ind w:right="20" w:firstLine="921"/>
        <w:spacing w:after="0" w:line="302" w:lineRule="auto"/>
        <w:tabs>
          <w:tab w:leader="none" w:pos="1128" w:val="left"/>
        </w:tabs>
        <w:numPr>
          <w:ilvl w:val="0"/>
          <w:numId w:val="547"/>
        </w:numPr>
        <w:rPr>
          <w:rFonts w:ascii="Arial" w:cs="Arial" w:eastAsia="Arial" w:hAnsi="Arial"/>
          <w:sz w:val="16"/>
          <w:szCs w:val="16"/>
          <w:b w:val="1"/>
          <w:bCs w:val="1"/>
          <w:color w:val="auto"/>
        </w:rPr>
      </w:pPr>
      <w:r>
        <w:rPr>
          <w:rFonts w:ascii="Arial" w:cs="Arial" w:eastAsia="Arial" w:hAnsi="Arial"/>
          <w:sz w:val="16"/>
          <w:szCs w:val="16"/>
          <w:color w:val="auto"/>
        </w:rPr>
        <w:t>Schedule 12.2(i) attached hereto sets forth a complete and accurate list of the AnaptysBio Patents as of the Effective Date, indicating the owner or co-owners thereof if such AnaptysBio Patent is not solely owned by AnaptysBio. AnaptysBio has disclosed to TESARO all material information received by AnaptysBio as of the Effective Date concerning the institution of any interference, opposition, reexamination, reissue, revocation, nullification or any official proceeding involving any AnaptysBio Patent or Patent included in the AnaptysBio Platform anywhere in the Territory;</w:t>
      </w:r>
    </w:p>
    <w:p>
      <w:pPr>
        <w:spacing w:after="0" w:line="154" w:lineRule="exact"/>
        <w:rPr>
          <w:rFonts w:ascii="Arial" w:cs="Arial" w:eastAsia="Arial" w:hAnsi="Arial"/>
          <w:sz w:val="16"/>
          <w:szCs w:val="16"/>
          <w:b w:val="1"/>
          <w:bCs w:val="1"/>
          <w:color w:val="auto"/>
        </w:rPr>
      </w:pPr>
    </w:p>
    <w:p>
      <w:pPr>
        <w:ind w:right="360" w:firstLine="921"/>
        <w:spacing w:after="0" w:line="277" w:lineRule="auto"/>
        <w:tabs>
          <w:tab w:leader="none" w:pos="1138" w:val="left"/>
        </w:tabs>
        <w:numPr>
          <w:ilvl w:val="0"/>
          <w:numId w:val="547"/>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Exhibit C attached to the Supplemental Information Package sets forth a complete and accurate list of all Target Antagonists owned or Controlled by AnaptysBio as of the Effective Date;</w:t>
      </w:r>
    </w:p>
    <w:p>
      <w:pPr>
        <w:spacing w:after="0" w:line="170" w:lineRule="exact"/>
        <w:rPr>
          <w:rFonts w:ascii="Arial" w:cs="Arial" w:eastAsia="Arial" w:hAnsi="Arial"/>
          <w:sz w:val="18"/>
          <w:szCs w:val="18"/>
          <w:b w:val="1"/>
          <w:bCs w:val="1"/>
          <w:color w:val="auto"/>
        </w:rPr>
      </w:pPr>
    </w:p>
    <w:p>
      <w:pPr>
        <w:ind w:firstLine="921"/>
        <w:spacing w:after="0" w:line="264" w:lineRule="auto"/>
        <w:tabs>
          <w:tab w:leader="none" w:pos="1175" w:val="left"/>
        </w:tabs>
        <w:numPr>
          <w:ilvl w:val="0"/>
          <w:numId w:val="547"/>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TESARO will not be required to obtain a license or sublicense under any Third Party In-License for TESARO to research, develop, make, have made, use, sell, offer for sale, import and export Products for use in the Field and in the Territory pursuant to the rights and licenses granted to it under this Agreement;</w:t>
      </w:r>
    </w:p>
    <w:p>
      <w:pPr>
        <w:spacing w:after="0" w:line="181" w:lineRule="exact"/>
        <w:rPr>
          <w:rFonts w:ascii="Arial" w:cs="Arial" w:eastAsia="Arial" w:hAnsi="Arial"/>
          <w:sz w:val="18"/>
          <w:szCs w:val="18"/>
          <w:b w:val="1"/>
          <w:bCs w:val="1"/>
          <w:color w:val="auto"/>
        </w:rPr>
      </w:pPr>
    </w:p>
    <w:p>
      <w:pPr>
        <w:ind w:right="60" w:firstLine="921"/>
        <w:spacing w:after="0" w:line="279" w:lineRule="auto"/>
        <w:tabs>
          <w:tab w:leader="none" w:pos="1128" w:val="left"/>
        </w:tabs>
        <w:numPr>
          <w:ilvl w:val="0"/>
          <w:numId w:val="547"/>
        </w:numPr>
        <w:rPr>
          <w:rFonts w:ascii="Arial" w:cs="Arial" w:eastAsia="Arial" w:hAnsi="Arial"/>
          <w:sz w:val="17"/>
          <w:szCs w:val="17"/>
          <w:b w:val="1"/>
          <w:bCs w:val="1"/>
          <w:color w:val="auto"/>
        </w:rPr>
      </w:pPr>
      <w:r>
        <w:rPr>
          <w:rFonts w:ascii="Arial" w:cs="Arial" w:eastAsia="Arial" w:hAnsi="Arial"/>
          <w:sz w:val="17"/>
          <w:szCs w:val="17"/>
          <w:color w:val="auto"/>
        </w:rPr>
        <w:t>AnaptysBio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 and</w:t>
      </w:r>
    </w:p>
    <w:p>
      <w:pPr>
        <w:spacing w:after="0" w:line="171" w:lineRule="exact"/>
        <w:rPr>
          <w:rFonts w:ascii="Arial" w:cs="Arial" w:eastAsia="Arial" w:hAnsi="Arial"/>
          <w:sz w:val="17"/>
          <w:szCs w:val="17"/>
          <w:b w:val="1"/>
          <w:bCs w:val="1"/>
          <w:color w:val="auto"/>
        </w:rPr>
      </w:pPr>
    </w:p>
    <w:p>
      <w:pPr>
        <w:ind w:right="20" w:firstLine="921"/>
        <w:spacing w:after="0" w:line="255" w:lineRule="auto"/>
        <w:tabs>
          <w:tab w:leader="none" w:pos="1228" w:val="left"/>
        </w:tabs>
        <w:numPr>
          <w:ilvl w:val="0"/>
          <w:numId w:val="547"/>
        </w:numPr>
        <w:rPr>
          <w:rFonts w:ascii="Arial" w:cs="Arial" w:eastAsia="Arial" w:hAnsi="Arial"/>
          <w:sz w:val="18"/>
          <w:szCs w:val="18"/>
          <w:b w:val="1"/>
          <w:bCs w:val="1"/>
          <w:color w:val="auto"/>
        </w:rPr>
      </w:pPr>
      <w:r>
        <w:rPr>
          <w:rFonts w:ascii="Arial" w:cs="Arial" w:eastAsia="Arial" w:hAnsi="Arial"/>
          <w:sz w:val="18"/>
          <w:szCs w:val="18"/>
          <w:color w:val="auto"/>
        </w:rPr>
        <w:t>AnaptysBio acknowledges that, in entering into this Agreement, TESARO has relied upon information supplied by AnaptysBio and information which AnaptysBio has caused to be supplied to TESARO by AnaptysBio’s agents and/or representatives (all of such information being hereinafter referred to collectively as “</w:t>
      </w:r>
      <w:r>
        <w:rPr>
          <w:rFonts w:ascii="Arial" w:cs="Arial" w:eastAsia="Arial" w:hAnsi="Arial"/>
          <w:sz w:val="18"/>
          <w:szCs w:val="18"/>
          <w:b w:val="1"/>
          <w:bCs w:val="1"/>
          <w:color w:val="auto"/>
        </w:rPr>
        <w:t>Product Information</w:t>
      </w:r>
      <w:r>
        <w:rPr>
          <w:rFonts w:ascii="Arial" w:cs="Arial" w:eastAsia="Arial" w:hAnsi="Arial"/>
          <w:sz w:val="18"/>
          <w:szCs w:val="18"/>
          <w:color w:val="auto"/>
        </w:rPr>
        <w:t>”). To the knowledge of AnaptysBio as of the Effective Date, the Product Information is accurate in all material respects. AnaptysBio has not, as of the Effective Date, intentionally omitted to furnish TESARO with any material information known to AnaptysBio concerning the AnaptysBio IP Rights, AnaptysBio Platform or Development Antibodies, or the transactions contemplated by this Agreement, which would reasonably be considered to be material to TESARO’s decision to enter into this Agreement and to undertake the commitments and obligations set forth herein.</w:t>
      </w:r>
    </w:p>
    <w:p>
      <w:pPr>
        <w:spacing w:after="0" w:line="18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12.3. Disclaimer</w:t>
      </w:r>
      <w:r>
        <w:rPr>
          <w:rFonts w:ascii="Arial" w:cs="Arial" w:eastAsia="Arial" w:hAnsi="Arial"/>
          <w:sz w:val="18"/>
          <w:szCs w:val="18"/>
          <w:color w:val="auto"/>
        </w:rPr>
        <w:t>. TESARO and AnaptysBio specifically disclaim any guarantee that the Discovery Programs will be successful,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of the Parties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626" w:name="page627"/>
    <w:bookmarkEnd w:id="62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successfully develop Products will not constitute a breach of any representation or warranty or other obligation under this Agreement. EXCEPT AS OTHERWISE EXPRESSLY SET FORTH IN THIS AGREEMENT, ANAPTYSBIO AND TESARO MAKE NO REPRESENTATIONS AND EXTEND NO WARRANTIES OR CONDITIONS OF ANY KIND, EITHER EXPRESS OR IMPLIED, WITH RESPECT TO THE ANAPTYSBIO IP RIGHTS, INFORMATION DISCLOSED HEREUNDER OR PRODUCTS INCLUDING, BUT NOT LIMITED TO, WARRANTIES OF MERCHANTABILITY, FITNESS FOR A PARTICULAR PURPOSE, OR NONINFRINGEMENT OF THE INTELLECTUAL PROPERTY RIGHTS OF THIRD PARTIES.</w:t>
      </w:r>
    </w:p>
    <w:p>
      <w:pPr>
        <w:spacing w:after="0" w:line="196" w:lineRule="exact"/>
        <w:rPr>
          <w:sz w:val="20"/>
          <w:szCs w:val="20"/>
          <w:color w:val="auto"/>
        </w:rPr>
      </w:pPr>
    </w:p>
    <w:p>
      <w:pPr>
        <w:ind w:left="460" w:hanging="452"/>
        <w:spacing w:after="0"/>
        <w:tabs>
          <w:tab w:leader="none" w:pos="460"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13.1. TESARO</w:t>
      </w:r>
      <w:r>
        <w:rPr>
          <w:rFonts w:ascii="Arial" w:cs="Arial" w:eastAsia="Arial" w:hAnsi="Arial"/>
          <w:sz w:val="17"/>
          <w:szCs w:val="17"/>
          <w:color w:val="auto"/>
        </w:rPr>
        <w:t>. TESARO agrees to indemnify, defend and hold AnaptysBio and its Affiliates and their respective directors, officers,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their respective successors, heirs and assigns (the “</w:t>
      </w:r>
      <w:r>
        <w:rPr>
          <w:rFonts w:ascii="Arial" w:cs="Arial" w:eastAsia="Arial" w:hAnsi="Arial"/>
          <w:sz w:val="17"/>
          <w:szCs w:val="17"/>
          <w:b w:val="1"/>
          <w:bCs w:val="1"/>
          <w:color w:val="auto"/>
        </w:rPr>
        <w:t>AnaptysBio Indemnitees</w:t>
      </w:r>
      <w:r>
        <w:rPr>
          <w:rFonts w:ascii="Arial" w:cs="Arial" w:eastAsia="Arial" w:hAnsi="Arial"/>
          <w:sz w:val="17"/>
          <w:szCs w:val="17"/>
          <w:color w:val="auto"/>
        </w:rPr>
        <w:t>”) harmless from and against any losses, costs, claims, damages, liabilities or expense (including reasonable attorneys’ and professional fees and other expenses of litigation) (collectively, “</w:t>
      </w:r>
      <w:r>
        <w:rPr>
          <w:rFonts w:ascii="Arial" w:cs="Arial" w:eastAsia="Arial" w:hAnsi="Arial"/>
          <w:sz w:val="17"/>
          <w:szCs w:val="17"/>
          <w:b w:val="1"/>
          <w:bCs w:val="1"/>
          <w:color w:val="auto"/>
        </w:rPr>
        <w:t>Liabilities</w:t>
      </w:r>
      <w:r>
        <w:rPr>
          <w:rFonts w:ascii="Arial" w:cs="Arial" w:eastAsia="Arial" w:hAnsi="Arial"/>
          <w:sz w:val="17"/>
          <w:szCs w:val="17"/>
          <w:color w:val="auto"/>
        </w:rPr>
        <w:t>”) arising, directly or indirectly out of or in connection with Third Party claims, suits, actions, demands or judgments, relating to (i) any breach by TESARO of the representations and warranties made in this Agreement, or (ii) the development or commercialization of a Product, except, in each case, to the extent such Liabilities result from the gross negligence or intentional misconduct of AnaptysBio.</w:t>
      </w:r>
    </w:p>
    <w:p>
      <w:pPr>
        <w:spacing w:after="0" w:line="174"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b w:val="1"/>
          <w:bCs w:val="1"/>
          <w:color w:val="auto"/>
        </w:rPr>
        <w:t>13.2. AnaptysBio</w:t>
      </w:r>
      <w:r>
        <w:rPr>
          <w:rFonts w:ascii="Arial" w:cs="Arial" w:eastAsia="Arial" w:hAnsi="Arial"/>
          <w:sz w:val="16"/>
          <w:szCs w:val="16"/>
          <w:color w:val="auto"/>
        </w:rPr>
        <w:t>. AnaptysBio agrees to indemnify, defend and hold TESARO and its Affiliates and their respective directors, officers,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and their respective successors, heirs and assigns (the “</w:t>
      </w:r>
      <w:r>
        <w:rPr>
          <w:rFonts w:ascii="Arial" w:cs="Arial" w:eastAsia="Arial" w:hAnsi="Arial"/>
          <w:sz w:val="16"/>
          <w:szCs w:val="16"/>
          <w:b w:val="1"/>
          <w:bCs w:val="1"/>
          <w:color w:val="auto"/>
        </w:rPr>
        <w:t>TESARO Indemnitees</w:t>
      </w:r>
      <w:r>
        <w:rPr>
          <w:rFonts w:ascii="Arial" w:cs="Arial" w:eastAsia="Arial" w:hAnsi="Arial"/>
          <w:sz w:val="16"/>
          <w:szCs w:val="16"/>
          <w:color w:val="auto"/>
        </w:rPr>
        <w:t>”) harmless from and against any Liabilities arising, directly or indirectly out of or in connection with Third Party claims, suits, actions, demands or judgments, relating to any breach by AnaptysBio of its representations and warranties made in this Agreement, except to the extent such Liabilities result from the gross negligence or intentional misconduct of TESARO.</w:t>
      </w:r>
    </w:p>
    <w:p>
      <w:pPr>
        <w:spacing w:after="0" w:line="15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13.3. Indemnification Procedure</w:t>
      </w:r>
      <w:r>
        <w:rPr>
          <w:rFonts w:ascii="Arial" w:cs="Arial" w:eastAsia="Arial" w:hAnsi="Arial"/>
          <w:sz w:val="17"/>
          <w:szCs w:val="17"/>
          <w:color w:val="auto"/>
        </w:rPr>
        <w:t>. A Party that intends to claim indemnification (the “Indemnitee”) under this Section 13 shall promptly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(the “</w:t>
      </w:r>
      <w:r>
        <w:rPr>
          <w:rFonts w:ascii="Arial" w:cs="Arial" w:eastAsia="Arial" w:hAnsi="Arial"/>
          <w:sz w:val="17"/>
          <w:szCs w:val="17"/>
          <w:b w:val="1"/>
          <w:bCs w:val="1"/>
          <w:color w:val="auto"/>
        </w:rPr>
        <w:t>Indemnitor</w:t>
      </w:r>
      <w:r>
        <w:rPr>
          <w:rFonts w:ascii="Arial" w:cs="Arial" w:eastAsia="Arial" w:hAnsi="Arial"/>
          <w:sz w:val="17"/>
          <w:szCs w:val="17"/>
          <w:color w:val="auto"/>
        </w:rPr>
        <w:t>”) in writing of any claim, complaint, suit, proceeding or cause of action with respect to which the Indemnitee intends to claim such indemnification (for purposes of this Section 13.3, each a “</w:t>
      </w:r>
      <w:r>
        <w:rPr>
          <w:rFonts w:ascii="Arial" w:cs="Arial" w:eastAsia="Arial" w:hAnsi="Arial"/>
          <w:sz w:val="17"/>
          <w:szCs w:val="17"/>
          <w:b w:val="1"/>
          <w:bCs w:val="1"/>
          <w:color w:val="auto"/>
        </w:rPr>
        <w:t>Claim</w:t>
      </w:r>
      <w:r>
        <w:rPr>
          <w:rFonts w:ascii="Arial" w:cs="Arial" w:eastAsia="Arial" w:hAnsi="Arial"/>
          <w:sz w:val="17"/>
          <w:szCs w:val="17"/>
          <w:color w:val="auto"/>
        </w:rPr>
        <w:t>”), and the Indemnitor shall have sole control of the defense and/or settlement thereof; provided that the Indemnitee shall have the right to participate, at its own expense, with counsel of its own choosing in the defense and/or settlement of such Claim. The indemnification obligations of the Parties under this Section 13 shall not apply to amounts paid in settlement of any Claim if such settlement is effected without the consent of the Indemnitor, which consent shall not be withheld or delayed unreasonably. The failure to deliver written notice to the Indemnitor within a reasonable time after the commencement of any such Claim, if prejudicial to its ability to defend such action, shall relieve such Indemnitor of any liability to the Indemnitee under this Section 13, but the omission so to deliver written notice to the Indemnitor shall not relieve the Indemnitor of any liability to any Indemnitee otherwise than under this Section 13. The Indemnitee under this Section 13, and its employees, at the Indemnitor’s request and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627" w:name="page628"/>
    <w:bookmarkEnd w:id="627"/>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 shall provide full information and reasonable assistance to Indemnitor and its legal representatives with respect to such Claims covered by this indemnification.</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13.4. LIMITATION OF LIABILITY</w:t>
      </w:r>
      <w:r>
        <w:rPr>
          <w:rFonts w:ascii="Arial" w:cs="Arial" w:eastAsia="Arial" w:hAnsi="Arial"/>
          <w:sz w:val="18"/>
          <w:szCs w:val="18"/>
          <w:color w:val="auto"/>
        </w:rPr>
        <w:t>. EXCEPT FOR A BREACH OF ARTICLES 10 OR 11, OR FOR ACTS OF GROSS NEGLIGENCE OR</w:t>
      </w:r>
      <w:r>
        <w:rPr>
          <w:rFonts w:ascii="Arial" w:cs="Arial" w:eastAsia="Arial" w:hAnsi="Arial"/>
          <w:sz w:val="18"/>
          <w:szCs w:val="18"/>
          <w:b w:val="1"/>
          <w:bCs w:val="1"/>
          <w:color w:val="auto"/>
        </w:rPr>
        <w:t xml:space="preserve"> </w:t>
      </w:r>
      <w:r>
        <w:rPr>
          <w:rFonts w:ascii="Arial" w:cs="Arial" w:eastAsia="Arial" w:hAnsi="Arial"/>
          <w:sz w:val="18"/>
          <w:szCs w:val="18"/>
          <w:color w:val="auto"/>
        </w:rPr>
        <w:t>WRONGFUL INTENTIONAL ACTS OR OMISSIONS, NEITHER TESARO NOR ANAPTYSBIO, NOR ANY OF THEIR RESPECTIVE AFFILIATES OR SUBLICENSEES, SHALL BE LIABLE TO THE OTHER PARTY, ITS AFFILIATES OR ANY OF THEIR SUBLICENSEES FOR ANY INDIRECT, INCIDENTAL, CONSEQUENTIAL, SPECIAL, RELIANCE OR PUNITIVE DAMAGES OR LOST OR IMPUTED PROFITS,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 PROVIDED, THAT THIS LIMITATION WILL NOT LIMIT THE INDEMNIFICATION OBLIGATION OF A PARTY UNDER THE PROVISIONS OF ARTICLE 13 FOR SUCH DAMAGES CLAIMED BY A THIRD PARTY.</w:t>
      </w:r>
    </w:p>
    <w:p>
      <w:pPr>
        <w:spacing w:after="0" w:line="216" w:lineRule="exact"/>
        <w:rPr>
          <w:sz w:val="20"/>
          <w:szCs w:val="20"/>
          <w:color w:val="auto"/>
        </w:rPr>
      </w:pPr>
    </w:p>
    <w:p>
      <w:pPr>
        <w:ind w:left="460" w:hanging="452"/>
        <w:spacing w:after="0"/>
        <w:tabs>
          <w:tab w:leader="none" w:pos="46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14.1. Term</w:t>
      </w:r>
      <w:r>
        <w:rPr>
          <w:rFonts w:ascii="Arial" w:cs="Arial" w:eastAsia="Arial" w:hAnsi="Arial"/>
          <w:sz w:val="16"/>
          <w:szCs w:val="16"/>
          <w:color w:val="auto"/>
        </w:rPr>
        <w:t>. Unless earlier terminated, the Agreement will continue in full force and effect, on a Product-by-Product, Discovery Program-by-Discovery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Development Program-by-Development Program and country-by-country basis until the date no further payments are due under Section 6 above.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14.2. Termination for Breach</w:t>
      </w:r>
      <w:r>
        <w:rPr>
          <w:rFonts w:ascii="Arial" w:cs="Arial" w:eastAsia="Arial" w:hAnsi="Arial"/>
          <w:sz w:val="18"/>
          <w:szCs w:val="18"/>
          <w:color w:val="auto"/>
        </w:rPr>
        <w:t>. Either Party to this Agreement may terminate one or more Discovery Program(s), Development Program(s) and/or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the event the other Party hereto shall have materially breached or defaulted in any of its representations or warranties or the performance of any of its obligations hereunder, and such default shall have continued for sixty (60) days after written notice thereof was provided to the breaching Party by the non-breaching Party. Any termination shall become effective at the end of such sixty (60) day period unless the breaching Party (or any other Party on its behalf) has cured any such breach or default prior to the expiration of the sixty (60) day period; provided, however, in the case of a failure to pay any amount due hereunder, such default may be the basis of termination ten (10) business days following the date that notice of such default was provided to the breaching Party.</w:t>
      </w:r>
    </w:p>
    <w:p>
      <w:pPr>
        <w:spacing w:after="0" w:line="189"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14.3. Termination without cause by TESARO</w:t>
      </w:r>
      <w:r>
        <w:rPr>
          <w:rFonts w:ascii="Arial" w:cs="Arial" w:eastAsia="Arial" w:hAnsi="Arial"/>
          <w:sz w:val="16"/>
          <w:szCs w:val="16"/>
          <w:color w:val="auto"/>
        </w:rPr>
        <w:t>. TESARO may terminate this Agreement in its entirety or on a Discovery Program-by-Discovery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or Development Program-by-Development Program basis without cause upon ninety (90) days prior written notice to AnaptysBio.</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14.4. Effect of Breach or Termination</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82" w:lineRule="auto"/>
        <w:tabs>
          <w:tab w:leader="none" w:pos="1168"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Accrued Rights and Obligations</w:t>
      </w:r>
      <w:r>
        <w:rPr>
          <w:rFonts w:ascii="Arial" w:cs="Arial" w:eastAsia="Arial" w:hAnsi="Arial"/>
          <w:sz w:val="18"/>
          <w:szCs w:val="18"/>
          <w:color w:val="auto"/>
        </w:rPr>
        <w:t>. Termination of this Agreement, or any portion hereof, for any reason shall not release either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liability which, at the time of such termination, has already accrued to the other Party or which is attributable to a</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628" w:name="page629"/>
    <w:bookmarkEnd w:id="62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prior to such termination nor preclude either Party from pursuing any rights and remedies it may have hereunder or at law or in equity with respect to any breach of this Agreement.</w:t>
      </w:r>
    </w:p>
    <w:p>
      <w:pPr>
        <w:spacing w:after="0" w:line="170" w:lineRule="exact"/>
        <w:rPr>
          <w:sz w:val="20"/>
          <w:szCs w:val="20"/>
          <w:color w:val="auto"/>
        </w:rPr>
      </w:pPr>
    </w:p>
    <w:p>
      <w:pPr>
        <w:ind w:right="220" w:firstLine="921"/>
        <w:spacing w:after="0" w:line="276" w:lineRule="auto"/>
        <w:tabs>
          <w:tab w:leader="none" w:pos="1178" w:val="left"/>
        </w:tabs>
        <w:numPr>
          <w:ilvl w:val="0"/>
          <w:numId w:val="551"/>
        </w:numPr>
        <w:rPr>
          <w:rFonts w:ascii="Arial" w:cs="Arial" w:eastAsia="Arial" w:hAnsi="Arial"/>
          <w:sz w:val="17"/>
          <w:szCs w:val="17"/>
          <w:b w:val="1"/>
          <w:bCs w:val="1"/>
          <w:color w:val="auto"/>
        </w:rPr>
      </w:pPr>
      <w:r>
        <w:rPr>
          <w:rFonts w:ascii="Arial" w:cs="Arial" w:eastAsia="Arial" w:hAnsi="Arial"/>
          <w:sz w:val="17"/>
          <w:szCs w:val="17"/>
          <w:color w:val="auto"/>
        </w:rPr>
        <w:t>Return of Materials. Upon a termination of this Agreement, in its entirety, TESARO and AnaptysBio shall promptly return to the other all Confidential Information of the other Party, except one copy of which may be retained for archival purposes. Upon termination of this Agreement, a Discovery Program or a Development Program by TESARO pursuant to Section 14.3, or by AnaptysBio pursuant to Section 14.2, TESARO shall return to AnaptysBio copies of records received by TESARO pursuant to Section 2.9 or, if only a Discovery Program or a Development Program is terminated, then those records received by TESARO pursuant to Section 2.9, with respect to the terminated program.</w:t>
      </w:r>
    </w:p>
    <w:p>
      <w:pPr>
        <w:spacing w:after="0" w:line="172" w:lineRule="exact"/>
        <w:rPr>
          <w:rFonts w:ascii="Arial" w:cs="Arial" w:eastAsia="Arial" w:hAnsi="Arial"/>
          <w:sz w:val="17"/>
          <w:szCs w:val="17"/>
          <w:b w:val="1"/>
          <w:bCs w:val="1"/>
          <w:color w:val="auto"/>
        </w:rPr>
      </w:pPr>
    </w:p>
    <w:p>
      <w:pPr>
        <w:ind w:firstLine="921"/>
        <w:spacing w:after="0" w:line="264" w:lineRule="auto"/>
        <w:tabs>
          <w:tab w:leader="none" w:pos="1158" w:val="left"/>
        </w:tabs>
        <w:numPr>
          <w:ilvl w:val="0"/>
          <w:numId w:val="551"/>
        </w:numPr>
        <w:rPr>
          <w:rFonts w:ascii="Arial" w:cs="Arial" w:eastAsia="Arial" w:hAnsi="Arial"/>
          <w:sz w:val="18"/>
          <w:szCs w:val="18"/>
          <w:b w:val="1"/>
          <w:bCs w:val="1"/>
          <w:color w:val="auto"/>
        </w:rPr>
      </w:pPr>
      <w:r>
        <w:rPr>
          <w:rFonts w:ascii="Arial" w:cs="Arial" w:eastAsia="Arial" w:hAnsi="Arial"/>
          <w:sz w:val="18"/>
          <w:szCs w:val="18"/>
          <w:color w:val="auto"/>
        </w:rPr>
        <w:t>Effect of Termination of Agreement by TESARO Without Cause or by AnaptysBio for Breach by TESARO. If TESARO terminates this Agreement in its entirety without cause pursuant to Section 14.3 or if AnaptysBio terminates this Agreement in its entirety pursuant to Section 14.2 for breach by TESARO, then:</w:t>
      </w:r>
    </w:p>
    <w:p>
      <w:pPr>
        <w:spacing w:after="0" w:line="181" w:lineRule="exact"/>
        <w:rPr>
          <w:rFonts w:ascii="Arial" w:cs="Arial" w:eastAsia="Arial" w:hAnsi="Arial"/>
          <w:sz w:val="18"/>
          <w:szCs w:val="18"/>
          <w:b w:val="1"/>
          <w:bCs w:val="1"/>
          <w:color w:val="auto"/>
        </w:rPr>
      </w:pPr>
    </w:p>
    <w:p>
      <w:pPr>
        <w:ind w:right="60" w:firstLine="1492"/>
        <w:spacing w:after="0" w:line="259" w:lineRule="auto"/>
        <w:tabs>
          <w:tab w:leader="none" w:pos="1698" w:val="left"/>
        </w:tabs>
        <w:numPr>
          <w:ilvl w:val="1"/>
          <w:numId w:val="551"/>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shall concurrently terminate, and TESARO and its Affiliates and sublicensees shall immediately cease all manufacture, development and commercialization of Products; provided, that TESARO and its Affiliates, sublicensees and distributors shall be entitled, during the twelve (12) month period immediately following the effective date of termination, to finish any work-in-progress and to sell any Products remaining in inventory, in accordance with the terms of this Agreement;</w:t>
      </w:r>
    </w:p>
    <w:p>
      <w:pPr>
        <w:spacing w:after="0" w:line="186" w:lineRule="exact"/>
        <w:rPr>
          <w:rFonts w:ascii="Arial" w:cs="Arial" w:eastAsia="Arial" w:hAnsi="Arial"/>
          <w:sz w:val="18"/>
          <w:szCs w:val="18"/>
          <w:b w:val="1"/>
          <w:bCs w:val="1"/>
          <w:color w:val="auto"/>
        </w:rPr>
      </w:pPr>
    </w:p>
    <w:p>
      <w:pPr>
        <w:ind w:right="20" w:firstLine="1492"/>
        <w:spacing w:after="0" w:line="264" w:lineRule="auto"/>
        <w:tabs>
          <w:tab w:leader="none" w:pos="1748" w:val="left"/>
        </w:tabs>
        <w:numPr>
          <w:ilvl w:val="1"/>
          <w:numId w:val="551"/>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w:t>
      </w:r>
    </w:p>
    <w:p>
      <w:pPr>
        <w:spacing w:after="0" w:line="181" w:lineRule="exact"/>
        <w:rPr>
          <w:rFonts w:ascii="Arial" w:cs="Arial" w:eastAsia="Arial" w:hAnsi="Arial"/>
          <w:sz w:val="18"/>
          <w:szCs w:val="18"/>
          <w:b w:val="1"/>
          <w:bCs w:val="1"/>
          <w:color w:val="auto"/>
        </w:rPr>
      </w:pPr>
    </w:p>
    <w:p>
      <w:pPr>
        <w:ind w:firstLine="1492"/>
        <w:spacing w:after="0" w:line="312" w:lineRule="auto"/>
        <w:tabs>
          <w:tab w:leader="none" w:pos="1798" w:val="left"/>
        </w:tabs>
        <w:numPr>
          <w:ilvl w:val="1"/>
          <w:numId w:val="551"/>
        </w:numPr>
        <w:rPr>
          <w:rFonts w:ascii="Arial" w:cs="Arial" w:eastAsia="Arial" w:hAnsi="Arial"/>
          <w:sz w:val="16"/>
          <w:szCs w:val="16"/>
          <w:b w:val="1"/>
          <w:bCs w:val="1"/>
          <w:color w:val="auto"/>
        </w:rPr>
      </w:pPr>
      <w:r>
        <w:rPr>
          <w:rFonts w:ascii="Arial" w:cs="Arial" w:eastAsia="Arial" w:hAnsi="Arial"/>
          <w:sz w:val="16"/>
          <w:szCs w:val="16"/>
          <w:color w:val="auto"/>
        </w:rPr>
        <w:t>To the extent permitted by applicable regulatory authorities, TESARO shall and hereby does transfer to AnaptysBio all regulatory filings and regulatory approvals for the Products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46" w:lineRule="exact"/>
        <w:rPr>
          <w:rFonts w:ascii="Arial" w:cs="Arial" w:eastAsia="Arial" w:hAnsi="Arial"/>
          <w:sz w:val="16"/>
          <w:szCs w:val="16"/>
          <w:b w:val="1"/>
          <w:bCs w:val="1"/>
          <w:color w:val="auto"/>
        </w:rPr>
      </w:pPr>
    </w:p>
    <w:p>
      <w:pPr>
        <w:ind w:left="1800" w:hanging="308"/>
        <w:spacing w:after="0"/>
        <w:tabs>
          <w:tab w:leader="none" w:pos="1800" w:val="left"/>
        </w:tabs>
        <w:numPr>
          <w:ilvl w:val="1"/>
          <w:numId w:val="551"/>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and</w:t>
      </w:r>
    </w:p>
    <w:p>
      <w:pPr>
        <w:spacing w:after="0" w:line="225" w:lineRule="exact"/>
        <w:rPr>
          <w:rFonts w:ascii="Arial" w:cs="Arial" w:eastAsia="Arial" w:hAnsi="Arial"/>
          <w:sz w:val="18"/>
          <w:szCs w:val="18"/>
          <w:b w:val="1"/>
          <w:bCs w:val="1"/>
          <w:color w:val="auto"/>
        </w:rPr>
      </w:pPr>
    </w:p>
    <w:p>
      <w:pPr>
        <w:ind w:firstLine="1492"/>
        <w:spacing w:after="0" w:line="276" w:lineRule="auto"/>
        <w:tabs>
          <w:tab w:leader="none" w:pos="1738" w:val="left"/>
        </w:tabs>
        <w:numPr>
          <w:ilvl w:val="1"/>
          <w:numId w:val="551"/>
        </w:numPr>
        <w:rPr>
          <w:rFonts w:ascii="Arial" w:cs="Arial" w:eastAsia="Arial" w:hAnsi="Arial"/>
          <w:sz w:val="17"/>
          <w:szCs w:val="17"/>
          <w:b w:val="1"/>
          <w:bCs w:val="1"/>
          <w:color w:val="auto"/>
        </w:rPr>
      </w:pPr>
      <w:r>
        <w:rPr>
          <w:rFonts w:ascii="Arial" w:cs="Arial" w:eastAsia="Arial" w:hAnsi="Arial"/>
          <w:sz w:val="17"/>
          <w:szCs w:val="17"/>
          <w:color w:val="auto"/>
        </w:rPr>
        <w:t>Upon AnaptysBio’s request, TESARO shall continue all on-going development for the Products for a mutually agreed upon migration period after termination of this Agreement (“</w:t>
      </w:r>
      <w:r>
        <w:rPr>
          <w:rFonts w:ascii="Arial" w:cs="Arial" w:eastAsia="Arial" w:hAnsi="Arial"/>
          <w:sz w:val="17"/>
          <w:szCs w:val="17"/>
          <w:b w:val="1"/>
          <w:bCs w:val="1"/>
          <w:color w:val="auto"/>
        </w:rPr>
        <w:t>Migration Period</w:t>
      </w:r>
      <w:r>
        <w:rPr>
          <w:rFonts w:ascii="Arial" w:cs="Arial" w:eastAsia="Arial" w:hAnsi="Arial"/>
          <w:sz w:val="17"/>
          <w:szCs w:val="17"/>
          <w:color w:val="auto"/>
        </w:rPr>
        <w:t>”). During such Migration Period, TESARO shall provide such knowledge transfer and other training to AnaptysBio as reasonably necessary for AnaptysBio to continue such activities. In connection with such transfer, TESARO shall, subject to subsection (i) above: (A) transfer to AnaptysBio all quantities of Products manufactured by TESARO in TESARO’s control as of the effective date of termination, (B) assign to AnaptysBio any agreements with Third Parties with respect to the development or commercialization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3" w:right="259" w:bottom="1440" w:gutter="0" w:footer="0" w:header="0"/>
        </w:sectPr>
      </w:pPr>
    </w:p>
    <w:bookmarkStart w:id="629" w:name="page630"/>
    <w:bookmarkEnd w:id="62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(to the extent assignable) and (C) continue funding FTEs (equivalent to the number of FTEs being funded upon the date of notice of termination) for a mutually agreed period not to exceed the remaining portion of the then-current calendar quarter and one (1) full calendar quarter following the effective date of termination.</w:t>
      </w:r>
    </w:p>
    <w:p>
      <w:pPr>
        <w:spacing w:after="0" w:line="177" w:lineRule="exact"/>
        <w:rPr>
          <w:sz w:val="20"/>
          <w:szCs w:val="20"/>
          <w:color w:val="auto"/>
        </w:rPr>
      </w:pPr>
    </w:p>
    <w:p>
      <w:pPr>
        <w:ind w:right="540" w:firstLine="921"/>
        <w:spacing w:after="0" w:line="282" w:lineRule="auto"/>
        <w:tabs>
          <w:tab w:leader="none" w:pos="1178"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Discovery Program</w:t>
      </w:r>
      <w:r>
        <w:rPr>
          <w:rFonts w:ascii="Arial" w:cs="Arial" w:eastAsia="Arial" w:hAnsi="Arial"/>
          <w:sz w:val="18"/>
          <w:szCs w:val="18"/>
          <w:color w:val="auto"/>
        </w:rPr>
        <w:t>. If AnaptysBio terminates a Discovery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Discovery Program in accordance with Section 8.2, then:</w:t>
      </w:r>
    </w:p>
    <w:p>
      <w:pPr>
        <w:spacing w:after="0" w:line="165" w:lineRule="exact"/>
        <w:rPr>
          <w:rFonts w:ascii="Arial" w:cs="Arial" w:eastAsia="Arial" w:hAnsi="Arial"/>
          <w:sz w:val="18"/>
          <w:szCs w:val="18"/>
          <w:b w:val="1"/>
          <w:bCs w:val="1"/>
          <w:color w:val="auto"/>
        </w:rPr>
      </w:pPr>
    </w:p>
    <w:p>
      <w:pPr>
        <w:ind w:right="100" w:firstLine="1492"/>
        <w:spacing w:after="0" w:line="277" w:lineRule="auto"/>
        <w:tabs>
          <w:tab w:leader="none" w:pos="1698" w:val="left"/>
        </w:tabs>
        <w:numPr>
          <w:ilvl w:val="1"/>
          <w:numId w:val="552"/>
        </w:numPr>
        <w:rPr>
          <w:rFonts w:ascii="Arial" w:cs="Arial" w:eastAsia="Arial" w:hAnsi="Arial"/>
          <w:sz w:val="18"/>
          <w:szCs w:val="18"/>
          <w:b w:val="1"/>
          <w:bCs w:val="1"/>
          <w:color w:val="auto"/>
        </w:rPr>
      </w:pPr>
      <w:r>
        <w:rPr>
          <w:rFonts w:ascii="Arial" w:cs="Arial" w:eastAsia="Arial" w:hAnsi="Arial"/>
          <w:sz w:val="18"/>
          <w:szCs w:val="18"/>
          <w:color w:val="auto"/>
        </w:rPr>
        <w:t>AnaptysBio’s obligations to conduct further activities under the applicable Discovery Program shall terminate as of the effective date of such termination; and</w:t>
      </w:r>
    </w:p>
    <w:p>
      <w:pPr>
        <w:spacing w:after="0" w:line="170" w:lineRule="exact"/>
        <w:rPr>
          <w:rFonts w:ascii="Arial" w:cs="Arial" w:eastAsia="Arial" w:hAnsi="Arial"/>
          <w:sz w:val="18"/>
          <w:szCs w:val="18"/>
          <w:b w:val="1"/>
          <w:bCs w:val="1"/>
          <w:color w:val="auto"/>
        </w:rPr>
      </w:pPr>
    </w:p>
    <w:p>
      <w:pPr>
        <w:ind w:right="180" w:firstLine="1492"/>
        <w:spacing w:after="0" w:line="342" w:lineRule="auto"/>
        <w:tabs>
          <w:tab w:leader="none" w:pos="1748" w:val="left"/>
        </w:tabs>
        <w:numPr>
          <w:ilvl w:val="1"/>
          <w:numId w:val="552"/>
        </w:numPr>
        <w:rPr>
          <w:rFonts w:ascii="Arial" w:cs="Arial" w:eastAsia="Arial" w:hAnsi="Arial"/>
          <w:sz w:val="16"/>
          <w:szCs w:val="16"/>
          <w:b w:val="1"/>
          <w:bCs w:val="1"/>
          <w:color w:val="auto"/>
        </w:rPr>
      </w:pPr>
      <w:r>
        <w:rPr>
          <w:rFonts w:ascii="Arial" w:cs="Arial" w:eastAsia="Arial" w:hAnsi="Arial"/>
          <w:sz w:val="16"/>
          <w:szCs w:val="16"/>
          <w:color w:val="auto"/>
        </w:rPr>
        <w:t>all licenses and rights to TESARO under Section 5.1 for the Products resulting from such Discovery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right="20" w:firstLine="1492"/>
        <w:spacing w:after="0" w:line="264" w:lineRule="auto"/>
        <w:tabs>
          <w:tab w:leader="none" w:pos="1798" w:val="left"/>
        </w:tabs>
        <w:numPr>
          <w:ilvl w:val="1"/>
          <w:numId w:val="552"/>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Discovery Program;</w:t>
      </w:r>
    </w:p>
    <w:p>
      <w:pPr>
        <w:spacing w:after="0" w:line="181" w:lineRule="exact"/>
        <w:rPr>
          <w:rFonts w:ascii="Arial" w:cs="Arial" w:eastAsia="Arial" w:hAnsi="Arial"/>
          <w:sz w:val="18"/>
          <w:szCs w:val="18"/>
          <w:b w:val="1"/>
          <w:bCs w:val="1"/>
          <w:color w:val="auto"/>
        </w:rPr>
      </w:pPr>
    </w:p>
    <w:p>
      <w:pPr>
        <w:jc w:val="both"/>
        <w:ind w:right="220" w:firstLine="1492"/>
        <w:spacing w:after="0" w:line="259" w:lineRule="auto"/>
        <w:tabs>
          <w:tab w:leader="none" w:pos="1788" w:val="left"/>
        </w:tabs>
        <w:numPr>
          <w:ilvl w:val="1"/>
          <w:numId w:val="552"/>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Discovery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right="100" w:firstLine="1492"/>
        <w:spacing w:after="0" w:line="277" w:lineRule="auto"/>
        <w:tabs>
          <w:tab w:leader="none" w:pos="1738" w:val="left"/>
        </w:tabs>
        <w:numPr>
          <w:ilvl w:val="1"/>
          <w:numId w:val="552"/>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Discovery Program; and</w:t>
      </w:r>
    </w:p>
    <w:p>
      <w:pPr>
        <w:spacing w:after="0" w:line="170" w:lineRule="exact"/>
        <w:rPr>
          <w:rFonts w:ascii="Arial" w:cs="Arial" w:eastAsia="Arial" w:hAnsi="Arial"/>
          <w:sz w:val="18"/>
          <w:szCs w:val="18"/>
          <w:b w:val="1"/>
          <w:bCs w:val="1"/>
          <w:color w:val="auto"/>
        </w:rPr>
      </w:pPr>
    </w:p>
    <w:p>
      <w:pPr>
        <w:ind w:right="100" w:firstLine="1492"/>
        <w:spacing w:after="0" w:line="254" w:lineRule="auto"/>
        <w:tabs>
          <w:tab w:leader="none" w:pos="1788" w:val="left"/>
        </w:tabs>
        <w:numPr>
          <w:ilvl w:val="1"/>
          <w:numId w:val="552"/>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Discovery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generated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the remaining portion of the then current calendar quarter and one (1) full calendar quarter following the effective date of termination.</w:t>
      </w:r>
    </w:p>
    <w:p>
      <w:pPr>
        <w:spacing w:after="0" w:line="188" w:lineRule="exact"/>
        <w:rPr>
          <w:rFonts w:ascii="Arial" w:cs="Arial" w:eastAsia="Arial" w:hAnsi="Arial"/>
          <w:sz w:val="18"/>
          <w:szCs w:val="18"/>
          <w:b w:val="1"/>
          <w:bCs w:val="1"/>
          <w:color w:val="auto"/>
        </w:rPr>
      </w:pPr>
    </w:p>
    <w:p>
      <w:pPr>
        <w:ind w:right="80" w:firstLine="921"/>
        <w:spacing w:after="0" w:line="282" w:lineRule="auto"/>
        <w:tabs>
          <w:tab w:leader="none" w:pos="1158"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Development Program</w:t>
      </w:r>
      <w:r>
        <w:rPr>
          <w:rFonts w:ascii="Arial" w:cs="Arial" w:eastAsia="Arial" w:hAnsi="Arial"/>
          <w:sz w:val="18"/>
          <w:szCs w:val="18"/>
          <w:color w:val="auto"/>
        </w:rPr>
        <w:t>. If AnaptysBio terminates a Development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Development Program in accordance with Section 8.2, then:</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5" w:right="259" w:bottom="1440" w:gutter="0" w:footer="0" w:header="0"/>
        </w:sectPr>
      </w:pPr>
    </w:p>
    <w:bookmarkStart w:id="630" w:name="page631"/>
    <w:bookmarkEnd w:id="630"/>
    <w:p>
      <w:pPr>
        <w:jc w:val="both"/>
        <w:ind w:left="-520" w:right="180" w:firstLine="1492"/>
        <w:spacing w:after="0" w:line="342" w:lineRule="auto"/>
        <w:tabs>
          <w:tab w:leader="none" w:pos="1178" w:val="left"/>
        </w:tabs>
        <w:numPr>
          <w:ilvl w:val="1"/>
          <w:numId w:val="55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licenses and rights to TESARO under Section 5.1 for the Products resulting from such Development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left="-520" w:right="20" w:firstLine="1492"/>
        <w:spacing w:after="0" w:line="264" w:lineRule="auto"/>
        <w:tabs>
          <w:tab w:leader="none" w:pos="1228" w:val="left"/>
        </w:tabs>
        <w:numPr>
          <w:ilvl w:val="1"/>
          <w:numId w:val="553"/>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Development Program;</w:t>
      </w:r>
    </w:p>
    <w:p>
      <w:pPr>
        <w:spacing w:after="0" w:line="181" w:lineRule="exact"/>
        <w:rPr>
          <w:rFonts w:ascii="Arial" w:cs="Arial" w:eastAsia="Arial" w:hAnsi="Arial"/>
          <w:sz w:val="18"/>
          <w:szCs w:val="18"/>
          <w:b w:val="1"/>
          <w:bCs w:val="1"/>
          <w:color w:val="auto"/>
        </w:rPr>
      </w:pPr>
    </w:p>
    <w:p>
      <w:pPr>
        <w:ind w:left="-520" w:firstLine="1492"/>
        <w:spacing w:after="0" w:line="259" w:lineRule="auto"/>
        <w:tabs>
          <w:tab w:leader="none" w:pos="1278" w:val="left"/>
        </w:tabs>
        <w:numPr>
          <w:ilvl w:val="1"/>
          <w:numId w:val="553"/>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Development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520" w:right="40" w:firstLine="1492"/>
        <w:spacing w:after="0" w:line="277" w:lineRule="auto"/>
        <w:tabs>
          <w:tab w:leader="none" w:pos="1268" w:val="left"/>
        </w:tabs>
        <w:numPr>
          <w:ilvl w:val="1"/>
          <w:numId w:val="553"/>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Development Program; and</w:t>
      </w:r>
    </w:p>
    <w:p>
      <w:pPr>
        <w:spacing w:after="0" w:line="170" w:lineRule="exact"/>
        <w:rPr>
          <w:rFonts w:ascii="Arial" w:cs="Arial" w:eastAsia="Arial" w:hAnsi="Arial"/>
          <w:sz w:val="18"/>
          <w:szCs w:val="18"/>
          <w:b w:val="1"/>
          <w:bCs w:val="1"/>
          <w:color w:val="auto"/>
        </w:rPr>
      </w:pPr>
    </w:p>
    <w:p>
      <w:pPr>
        <w:ind w:left="-520" w:firstLine="1492"/>
        <w:spacing w:after="0" w:line="254" w:lineRule="auto"/>
        <w:tabs>
          <w:tab w:leader="none" w:pos="1218" w:val="left"/>
        </w:tabs>
        <w:numPr>
          <w:ilvl w:val="1"/>
          <w:numId w:val="553"/>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Development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manufactured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the remaining portion of the then-current calendar quarter and one (1) full calendar quarter following the effective date of termination.</w:t>
      </w:r>
    </w:p>
    <w:p>
      <w:pPr>
        <w:spacing w:after="0" w:line="188" w:lineRule="exact"/>
        <w:rPr>
          <w:rFonts w:ascii="Arial" w:cs="Arial" w:eastAsia="Arial" w:hAnsi="Arial"/>
          <w:sz w:val="18"/>
          <w:szCs w:val="18"/>
          <w:b w:val="1"/>
          <w:bCs w:val="1"/>
          <w:color w:val="auto"/>
        </w:rPr>
      </w:pPr>
    </w:p>
    <w:p>
      <w:pPr>
        <w:ind w:left="-520" w:right="680" w:firstLine="921"/>
        <w:spacing w:after="0" w:line="282" w:lineRule="auto"/>
        <w:tabs>
          <w:tab w:leader="none" w:pos="618" w:val="left"/>
        </w:tabs>
        <w:numPr>
          <w:ilvl w:val="0"/>
          <w:numId w:val="55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by TESARO With Cause or by TESARO for Breach by AnaptysBio</w:t>
      </w:r>
      <w:r>
        <w:rPr>
          <w:rFonts w:ascii="Arial" w:cs="Arial" w:eastAsia="Arial" w:hAnsi="Arial"/>
          <w:sz w:val="18"/>
          <w:szCs w:val="18"/>
          <w:color w:val="auto"/>
        </w:rPr>
        <w:t>. If TESARO terminates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or this Agreement pursuant to Section 14.2 for breach by AnaptysBio, then:</w:t>
      </w:r>
    </w:p>
    <w:p>
      <w:pPr>
        <w:spacing w:after="0" w:line="165" w:lineRule="exact"/>
        <w:rPr>
          <w:rFonts w:ascii="Arial" w:cs="Arial" w:eastAsia="Arial" w:hAnsi="Arial"/>
          <w:sz w:val="18"/>
          <w:szCs w:val="18"/>
          <w:b w:val="1"/>
          <w:bCs w:val="1"/>
          <w:color w:val="auto"/>
        </w:rPr>
      </w:pPr>
    </w:p>
    <w:p>
      <w:pPr>
        <w:ind w:left="-520" w:right="200" w:firstLine="1492"/>
        <w:spacing w:after="0" w:line="257" w:lineRule="auto"/>
        <w:tabs>
          <w:tab w:leader="none" w:pos="1178" w:val="left"/>
        </w:tabs>
        <w:numPr>
          <w:ilvl w:val="1"/>
          <w:numId w:val="554"/>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with respect to the applicable Discovery Program(s), Development Program(s) and Products shall automatically become perpetual and irrevocable; provided, that the payment obligations under Sections 6.3 and 6.4 shall continue; provided, however, that if TESARO terminated this Agreement pursuant to AnaptysBio’s uncured material breach of Article 5, then without limiting any other rights or remedies available to TESARO, TESARO shall continue to make payments to AnaptysBio under Sections 6.3 and 6.4 but at fifty percent (50%) of the amounts set forth therein when and if they become due;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760" w:top="274" w:right="259" w:bottom="1440" w:gutter="0" w:footer="0" w:header="0"/>
        </w:sectPr>
      </w:pPr>
    </w:p>
    <w:bookmarkStart w:id="631" w:name="page632"/>
    <w:bookmarkEnd w:id="631"/>
    <w:p>
      <w:pPr>
        <w:ind w:right="220" w:firstLine="1492"/>
        <w:spacing w:after="0" w:line="277" w:lineRule="auto"/>
        <w:tabs>
          <w:tab w:leader="none" w:pos="1748" w:val="left"/>
        </w:tabs>
        <w:numPr>
          <w:ilvl w:val="0"/>
          <w:numId w:val="5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and its Affiliates and sublicensees shall immediately cease all research, development or other activities with respect to applicable Development Antibodies and Products resulting from such Discovery Program;</w:t>
      </w:r>
    </w:p>
    <w:p>
      <w:pPr>
        <w:spacing w:after="0" w:line="170" w:lineRule="exact"/>
        <w:rPr>
          <w:rFonts w:ascii="Arial" w:cs="Arial" w:eastAsia="Arial" w:hAnsi="Arial"/>
          <w:sz w:val="18"/>
          <w:szCs w:val="18"/>
          <w:b w:val="1"/>
          <w:bCs w:val="1"/>
          <w:color w:val="auto"/>
        </w:rPr>
      </w:pPr>
    </w:p>
    <w:p>
      <w:pPr>
        <w:jc w:val="both"/>
        <w:ind w:right="20" w:firstLine="1492"/>
        <w:spacing w:after="0" w:line="259" w:lineRule="auto"/>
        <w:tabs>
          <w:tab w:leader="none" w:pos="1798" w:val="left"/>
        </w:tabs>
        <w:numPr>
          <w:ilvl w:val="0"/>
          <w:numId w:val="555"/>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AnaptysBio shall and hereby does transfer to TESARO all regulatory filings and regulatory approvals for the applicable Products resulting from such Discovery Program held by AnaptysBio, its Affiliates or sublicensees, or if the foregoing transfer is not permitted by the applicable regulatory authority, AnaptysBio shall, and hereby does, permit TESARO to cross- 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1800" w:hanging="308"/>
        <w:spacing w:after="0"/>
        <w:tabs>
          <w:tab w:leader="none" w:pos="1800" w:val="left"/>
        </w:tabs>
        <w:numPr>
          <w:ilvl w:val="0"/>
          <w:numId w:val="555"/>
        </w:numPr>
        <w:rPr>
          <w:rFonts w:ascii="Arial" w:cs="Arial" w:eastAsia="Arial" w:hAnsi="Arial"/>
          <w:sz w:val="17"/>
          <w:szCs w:val="17"/>
          <w:b w:val="1"/>
          <w:bCs w:val="1"/>
          <w:color w:val="auto"/>
        </w:rPr>
      </w:pPr>
      <w:r>
        <w:rPr>
          <w:rFonts w:ascii="Arial" w:cs="Arial" w:eastAsia="Arial" w:hAnsi="Arial"/>
          <w:sz w:val="17"/>
          <w:szCs w:val="17"/>
          <w:color w:val="auto"/>
        </w:rPr>
        <w:t>TESARO shall have the sole right to Prosecute and Maintain, and to solely enforce, all Collaboration IP Rights specific to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Discovery Program; and</w:t>
      </w:r>
    </w:p>
    <w:p>
      <w:pPr>
        <w:spacing w:after="0" w:line="210" w:lineRule="exact"/>
        <w:rPr>
          <w:rFonts w:ascii="Arial" w:cs="Arial" w:eastAsia="Arial" w:hAnsi="Arial"/>
          <w:sz w:val="17"/>
          <w:szCs w:val="17"/>
          <w:b w:val="1"/>
          <w:bCs w:val="1"/>
          <w:color w:val="auto"/>
        </w:rPr>
      </w:pPr>
    </w:p>
    <w:p>
      <w:pPr>
        <w:ind w:right="100" w:firstLine="1492"/>
        <w:spacing w:after="0" w:line="293" w:lineRule="auto"/>
        <w:tabs>
          <w:tab w:leader="none" w:pos="1738" w:val="left"/>
        </w:tabs>
        <w:numPr>
          <w:ilvl w:val="0"/>
          <w:numId w:val="555"/>
        </w:numPr>
        <w:rPr>
          <w:rFonts w:ascii="Arial" w:cs="Arial" w:eastAsia="Arial" w:hAnsi="Arial"/>
          <w:sz w:val="16"/>
          <w:szCs w:val="16"/>
          <w:b w:val="1"/>
          <w:bCs w:val="1"/>
          <w:color w:val="auto"/>
        </w:rPr>
      </w:pPr>
      <w:r>
        <w:rPr>
          <w:rFonts w:ascii="Arial" w:cs="Arial" w:eastAsia="Arial" w:hAnsi="Arial"/>
          <w:sz w:val="16"/>
          <w:szCs w:val="16"/>
          <w:color w:val="auto"/>
        </w:rPr>
        <w:t>Upon TESARO’s request, AnaptysBio shall continue all on-going development under such Discovery Program and for applicable Products for a mutually agreed upon Migration Period after termination of this Agreement. During such Migration Period, AnaptysBio shall provide such knowledge transfer and other training to TESARO or its designees as reasonably necessary for TESARO to continue such activities. In connection with such transfer, AnaptysBio shall transfer to TESARO all quantities of applicable Development Antibodies and Products manufactured by or on behalf of AnaptysBio and in the possession or control of AnaptysBio or its affiliates or contractors as of the effective date of termination, and assign to TESARO any agreements with Third Parties with respect to the research, development or commercialization of applicable Development Antibodies or Products.</w:t>
      </w:r>
    </w:p>
    <w:p>
      <w:pPr>
        <w:spacing w:after="0" w:line="161"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14.5. Expiration</w:t>
      </w:r>
      <w:r>
        <w:rPr>
          <w:rFonts w:ascii="Arial" w:cs="Arial" w:eastAsia="Arial" w:hAnsi="Arial"/>
          <w:sz w:val="18"/>
          <w:szCs w:val="18"/>
          <w:color w:val="auto"/>
        </w:rPr>
        <w:t>. Upon the expiration of the last to expire Royalty Term for Products resulting from a Discovery Program and Development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all licenses and rights to TESARO under Section 5.1 with respect to such Discovery Program and Development Program and Products shall automatically become fully paid up, perpetual and irrevocable.</w:t>
      </w:r>
    </w:p>
    <w:p>
      <w:pPr>
        <w:spacing w:after="0" w:line="176"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14.6. Survival Sections</w:t>
      </w:r>
      <w:r>
        <w:rPr>
          <w:rFonts w:ascii="Arial" w:cs="Arial" w:eastAsia="Arial" w:hAnsi="Arial"/>
          <w:sz w:val="18"/>
          <w:szCs w:val="18"/>
          <w:color w:val="auto"/>
        </w:rPr>
        <w:t>. Sections 7, 9, 10, 13, 14.4, 14.5, 14.6, 14.7 and 15 shall survive the expiration or termination of this Agreement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14.7. Termination Not Sole Remedy</w:t>
      </w:r>
      <w:r>
        <w:rPr>
          <w:rFonts w:ascii="Arial" w:cs="Arial" w:eastAsia="Arial" w:hAnsi="Arial"/>
          <w:sz w:val="18"/>
          <w:szCs w:val="18"/>
          <w:color w:val="auto"/>
        </w:rPr>
        <w:t>. Termination is not the sole remedy under this Agreement and, whether or not termination is effected,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will remain available except as agreed to otherwise herein.</w:t>
      </w:r>
    </w:p>
    <w:p>
      <w:pPr>
        <w:spacing w:after="0" w:line="189" w:lineRule="exact"/>
        <w:rPr>
          <w:sz w:val="20"/>
          <w:szCs w:val="20"/>
          <w:color w:val="auto"/>
        </w:rPr>
      </w:pPr>
    </w:p>
    <w:p>
      <w:pPr>
        <w:ind w:left="460" w:hanging="452"/>
        <w:spacing w:after="0"/>
        <w:tabs>
          <w:tab w:leader="none" w:pos="460"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15.1. Governing Laws</w:t>
      </w:r>
      <w:r>
        <w:rPr>
          <w:rFonts w:ascii="Arial" w:cs="Arial" w:eastAsia="Arial" w:hAnsi="Arial"/>
          <w:sz w:val="18"/>
          <w:szCs w:val="18"/>
          <w:color w:val="auto"/>
        </w:rPr>
        <w:t>. This Agreement and any dispute arising from the construction, performance or breach hereof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reference to conflicts of laws principles thereof that would result in the application of any other law.</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15.2. Waiver</w:t>
      </w:r>
      <w:r>
        <w:rPr>
          <w:rFonts w:ascii="Arial" w:cs="Arial" w:eastAsia="Arial" w:hAnsi="Arial"/>
          <w:sz w:val="18"/>
          <w:szCs w:val="18"/>
          <w:color w:val="auto"/>
        </w:rPr>
        <w:t>. It is agreed that no waiver by either Party hereto of any breach or default of any of the covenants or agreements herein set forth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 waiver as to any subsequent and/or similar breach or default.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3" w:right="259" w:bottom="1440" w:gutter="0" w:footer="0" w:header="0"/>
        </w:sectPr>
      </w:pPr>
    </w:p>
    <w:bookmarkStart w:id="632" w:name="page633"/>
    <w:bookmarkEnd w:id="632"/>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 Assignment</w:t>
      </w:r>
      <w:r>
        <w:rPr>
          <w:rFonts w:ascii="Arial" w:cs="Arial" w:eastAsia="Arial" w:hAnsi="Arial"/>
          <w:sz w:val="18"/>
          <w:szCs w:val="18"/>
          <w:color w:val="auto"/>
        </w:rPr>
        <w:t>. This Agreement shall not be assignable by either Party to any Third Party hereto without the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any attempted assignment shall be null and void. Notwithstanding the foregoing, either Party may assign this Agreement, without such consent, to an entity that acquires all or substantially all of the business or assets of such Party to which this Agreement pertains, whether by merger, reorganization, acquisition, sale, or otherwise. This Agreement shall be binding upon and accrue to the benefit any permitted assignee, and any such assignee shall agree to perform the obligations of the assignor.</w:t>
      </w:r>
    </w:p>
    <w:p>
      <w:pPr>
        <w:spacing w:after="0" w:line="184"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b w:val="1"/>
          <w:bCs w:val="1"/>
          <w:color w:val="auto"/>
        </w:rPr>
        <w:t>15.4. Independent Contractors</w:t>
      </w:r>
      <w:r>
        <w:rPr>
          <w:rFonts w:ascii="Arial" w:cs="Arial" w:eastAsia="Arial" w:hAnsi="Arial"/>
          <w:sz w:val="16"/>
          <w:szCs w:val="16"/>
          <w:color w:val="auto"/>
        </w:rPr>
        <w:t>. The relationship of the Parties hereto is that of independent contractors. The Parties hereto are not deemed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partners or joint venturers of the others for any purpose as a result of this Agreement or the transactions contemplated thereby.</w:t>
      </w:r>
    </w:p>
    <w:p>
      <w:pPr>
        <w:spacing w:after="0" w:line="11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15.5. Compliance with Laws</w:t>
      </w:r>
      <w:r>
        <w:rPr>
          <w:rFonts w:ascii="Arial" w:cs="Arial" w:eastAsia="Arial" w:hAnsi="Arial"/>
          <w:sz w:val="18"/>
          <w:szCs w:val="18"/>
          <w:color w:val="auto"/>
        </w:rPr>
        <w:t>. In exercising their rights under this license, the Parties shall fully comply in all material respects with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and all applicable laws, regulations, rules and orders of any governmental body having jurisdiction over the exercise of rights under this license including, without limitation, those applicable to the discovery, development, manufacture, distribution, import and export and sale of Products pursuant to this Agreement.</w:t>
      </w:r>
    </w:p>
    <w:p>
      <w:pPr>
        <w:spacing w:after="0" w:line="18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15.6. Notices</w:t>
      </w:r>
      <w:r>
        <w:rPr>
          <w:rFonts w:ascii="Arial" w:cs="Arial" w:eastAsia="Arial" w:hAnsi="Arial"/>
          <w:sz w:val="18"/>
          <w:szCs w:val="18"/>
          <w:color w:val="auto"/>
        </w:rPr>
        <w:t>. All notices, requests and other communications hereunder shall be in writing and shall be personally delivered or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return receipt requested, postage prepaid, in each case to the respective address specified below, or such other address as may be specified in writing to the other Parties hereto and shall be deemed to have been given upon receipt:</w:t>
      </w:r>
    </w:p>
    <w:p>
      <w:pPr>
        <w:spacing w:after="0" w:line="207"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TESARO:</w:t>
      </w:r>
      <w:r>
        <w:rPr>
          <w:sz w:val="20"/>
          <w:szCs w:val="20"/>
          <w:color w:val="auto"/>
        </w:rPr>
        <w:tab/>
      </w:r>
      <w:r>
        <w:rPr>
          <w:rFonts w:ascii="Arial" w:cs="Arial" w:eastAsia="Arial" w:hAnsi="Arial"/>
          <w:sz w:val="16"/>
          <w:szCs w:val="16"/>
          <w:color w:val="auto"/>
        </w:rPr>
        <w:t>TESARO,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Winter Street, Suite 3300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Waltham, Massachusetts 02541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Leon O. Moulder, Jr.,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339-230-3961</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380"/>
          </w:cols>
          <w:pgMar w:left="240" w:top="27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TESARO Development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Corporate Secretary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International Drive, Suite 2000</w:t>
      </w:r>
    </w:p>
    <w:p>
      <w:pPr>
        <w:spacing w:after="0" w:line="16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2700" w:space="640"/>
            <w:col w:w="8040"/>
          </w:cols>
          <w:pgMar w:left="240" w:top="271" w:right="279" w:bottom="1440" w:gutter="0" w:footer="0" w:header="0"/>
          <w:type w:val="continuous"/>
        </w:sectPr>
      </w:pPr>
    </w:p>
    <w:bookmarkStart w:id="633" w:name="page634"/>
    <w:bookmarkEnd w:id="633"/>
    <w:p>
      <w:pPr>
        <w:ind w:lef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Baltimore, MD 21202</w:t>
      </w:r>
    </w:p>
    <w:p>
      <w:pPr>
        <w:spacing w:after="0" w:line="23"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Asher M. Rubin</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410-659 2701</w:t>
      </w:r>
    </w:p>
    <w:p>
      <w:pPr>
        <w:spacing w:after="0" w:line="211"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AnaptysBio:</w:t>
      </w:r>
      <w:r>
        <w:rPr>
          <w:sz w:val="20"/>
          <w:szCs w:val="20"/>
          <w:color w:val="auto"/>
        </w:rPr>
        <w:tab/>
      </w:r>
      <w:r>
        <w:rPr>
          <w:rFonts w:ascii="Arial" w:cs="Arial" w:eastAsia="Arial" w:hAnsi="Arial"/>
          <w:sz w:val="16"/>
          <w:szCs w:val="16"/>
          <w:color w:val="auto"/>
        </w:rPr>
        <w:t>AnaptysBio,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6"/>
          <w:szCs w:val="16"/>
          <w:color w:val="auto"/>
        </w:rPr>
        <w:t>Attention:</w:t>
        <w:tab/>
        <w:t>Hamza Suria, Chief Executive Officer</w:t>
      </w:r>
    </w:p>
    <w:p>
      <w:pPr>
        <w:spacing w:after="0" w:line="32"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858-366-9055</w:t>
      </w:r>
    </w:p>
    <w:p>
      <w:pPr>
        <w:sectPr>
          <w:pgSz w:w="11900" w:h="16838" w:orient="portrait"/>
          <w:cols w:equalWidth="0" w:num="1">
            <w:col w:w="11360"/>
          </w:cols>
          <w:pgMar w:left="240" w:top="274" w:right="299" w:bottom="1440" w:gutter="0" w:footer="0" w:header="0"/>
        </w:sectPr>
      </w:pPr>
    </w:p>
    <w:p>
      <w:pPr>
        <w:spacing w:after="0" w:line="211"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1191 Second Avenue, 10th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Effie Toshav</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Facsimile:</w:t>
        <w:tab/>
        <w:t>206-389-4511</w:t>
      </w:r>
    </w:p>
    <w:p>
      <w:pPr>
        <w:spacing w:after="0" w:line="200" w:lineRule="exact"/>
        <w:rPr>
          <w:sz w:val="20"/>
          <w:szCs w:val="20"/>
          <w:color w:val="auto"/>
        </w:rPr>
      </w:pPr>
    </w:p>
    <w:p>
      <w:pPr>
        <w:sectPr>
          <w:pgSz w:w="11900" w:h="16838" w:orient="portrait"/>
          <w:cols w:equalWidth="0" w:num="2">
            <w:col w:w="2700" w:space="640"/>
            <w:col w:w="8020"/>
          </w:cols>
          <w:pgMar w:left="240" w:top="274" w:right="299" w:bottom="1440" w:gutter="0" w:footer="0" w:header="0"/>
          <w:type w:val="continuous"/>
        </w:sectPr>
      </w:pPr>
    </w:p>
    <w:p>
      <w:pPr>
        <w:spacing w:after="0" w:line="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15.7. Severability</w:t>
      </w:r>
      <w:r>
        <w:rPr>
          <w:rFonts w:ascii="Arial" w:cs="Arial" w:eastAsia="Arial" w:hAnsi="Arial"/>
          <w:sz w:val="17"/>
          <w:szCs w:val="17"/>
          <w:color w:val="auto"/>
        </w:rPr>
        <w:t>. Each Party hereby agrees that it does not intend to violate any public policy, statutory or common laws, rules, regulations, treaty or</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 of any government agency or executive body thereof of any country or community or association of countries. Should one or more provisions of this Agreement be or become invalid, the Parties hereto shall substitute, by mutual consent, valid provisions for such invalid provisions which valid provisions in their economic effect are sufficiently similar to the invalid provisions that it can be reasonably assumed that the Parties would have entered into this Agreement with such valid provisions. In the event a Party seeks to avoid a material provision of this Agreement upon an assertion that such provision is invalid, illegal or otherwise unenforceable, the other Party shall have the right to terminate this Agreement upon sixty (60) days prior written notice to the asserting Party, unless such assertion is eliminated and cured within such sixty (60) day period. Such a termination shall be deemed a termination by such Party for breach pursuant to Section 14.2.</w:t>
      </w:r>
    </w:p>
    <w:p>
      <w:pPr>
        <w:spacing w:after="0" w:line="1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15.8. Force Majeure</w:t>
      </w:r>
      <w:r>
        <w:rPr>
          <w:rFonts w:ascii="Arial" w:cs="Arial" w:eastAsia="Arial" w:hAnsi="Arial"/>
          <w:sz w:val="16"/>
          <w:szCs w:val="16"/>
          <w:color w:val="auto"/>
        </w:rPr>
        <w:t>. Neither Party shall lose any rights hereunder or be liable to the other Party for damages or losses (except for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on account of failure of performance by the defaulting Party if the failure is occasioned by war, strike, fire, Act of God, earthquake, flood, lockout, embargo, governmental acts or orders or restrictions, failure of suppliers, or any other reason where failure to perform is beyond the reasonable control and not caused by the negligence, intentional conduct or misconduct of the non-performing Party and such Party has exerted all reasonable efforts to avoid or remedy such force majeure; provided, however, that in no event shall a Party be required to settle any labor dispute or disturbance.</w:t>
      </w:r>
    </w:p>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15.9. Complete Agreement</w:t>
      </w:r>
      <w:r>
        <w:rPr>
          <w:rFonts w:ascii="Arial" w:cs="Arial" w:eastAsia="Arial" w:hAnsi="Arial"/>
          <w:sz w:val="16"/>
          <w:szCs w:val="16"/>
          <w:color w:val="auto"/>
        </w:rPr>
        <w:t>. This Agreement and the Supplemental Information Package, constitute the entire agreement, both written and oral,</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with respect to the subject matter hereof, and all prior agreements respecting the subject matter hereof, either written or oral, express or implied, shall be abrogated, canceled, and are null and void and of no effect. No amendment or change hereof or addition hereto shall be effective or binding on either of the Parties hereto unless reduced to writing and executed by the respective duly authorized representatives of AnaptysBio and TESARO. TESARO, Inc., and TESARO Development, Ltd shall be jointly and severally liable for all obligations of TESARO under this Agreement.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type w:val="continuous"/>
        </w:sectPr>
      </w:pPr>
    </w:p>
    <w:bookmarkStart w:id="634" w:name="page635"/>
    <w:bookmarkEnd w:id="634"/>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15.10. Headings</w:t>
      </w:r>
      <w:r>
        <w:rPr>
          <w:rFonts w:ascii="Arial" w:cs="Arial" w:eastAsia="Arial" w:hAnsi="Arial"/>
          <w:sz w:val="18"/>
          <w:szCs w:val="18"/>
          <w:color w:val="auto"/>
        </w:rPr>
        <w:t>. The captions to the several Sections hereof are not a part of this Agreement, but are included merely for convenience of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its meaning or interpretation.</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15.11. Counterparts</w:t>
      </w:r>
      <w:r>
        <w:rPr>
          <w:rFonts w:ascii="Arial" w:cs="Arial" w:eastAsia="Arial" w:hAnsi="Arial"/>
          <w:sz w:val="18"/>
          <w:szCs w:val="18"/>
          <w:color w:val="auto"/>
        </w:rPr>
        <w:t>. This Agreement may be executed in counterparts, each of which shall be deemed to be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one and the same agreement.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635" w:name="page636"/>
    <w:bookmarkEnd w:id="635"/>
    <w:p>
      <w:pPr>
        <w:ind w:right="7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Collaboration and Exclusive License Agreement to be duly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and delivered in duplicate originals effective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Collaboration and Exclusive License Agreement</w:t>
      </w:r>
    </w:p>
    <w:p>
      <w:pPr>
        <w:sectPr>
          <w:pgSz w:w="11900" w:h="16838" w:orient="portrait"/>
          <w:cols w:equalWidth="0" w:num="1">
            <w:col w:w="11420"/>
          </w:cols>
          <w:pgMar w:left="240" w:top="270" w:right="239" w:bottom="1440" w:gutter="0" w:footer="0" w:header="0"/>
        </w:sectPr>
      </w:pPr>
    </w:p>
    <w:bookmarkStart w:id="636" w:name="page637"/>
    <w:bookmarkEnd w:id="6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12.2(i)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AnaptysBio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37" w:name="page638"/>
    <w:bookmarkEnd w:id="6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COLLABORATION AND EXCLUSIVE LICENSE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No. 1 to the Collaboration and Exclusive License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effective as of November </w:t>
      </w:r>
      <w:r>
        <w:rPr>
          <w:rFonts w:ascii="Arial" w:cs="Arial" w:eastAsia="Arial" w:hAnsi="Arial"/>
          <w:sz w:val="17"/>
          <w:szCs w:val="17"/>
          <w:u w:val="single" w:color="auto"/>
          <w:color w:val="auto"/>
        </w:rPr>
        <w:t>28</w:t>
      </w:r>
      <w:r>
        <w:rPr>
          <w:rFonts w:ascii="Arial" w:cs="Arial" w:eastAsia="Arial" w:hAnsi="Arial"/>
          <w:sz w:val="17"/>
          <w:szCs w:val="17"/>
          <w:color w:val="auto"/>
        </w:rPr>
        <w:t>, 2014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Date</w:t>
      </w:r>
      <w:r>
        <w:rPr>
          <w:rFonts w:ascii="Arial" w:cs="Arial" w:eastAsia="Arial" w:hAnsi="Arial"/>
          <w:sz w:val="17"/>
          <w:szCs w:val="17"/>
          <w:color w:val="auto"/>
        </w:rPr>
        <w:t xml:space="preserve">”), is entered into is made by and between (i) </w:t>
      </w:r>
      <w:r>
        <w:rPr>
          <w:rFonts w:ascii="Arial" w:cs="Arial" w:eastAsia="Arial" w:hAnsi="Arial"/>
          <w:sz w:val="17"/>
          <w:szCs w:val="17"/>
          <w:b w:val="1"/>
          <w:bCs w:val="1"/>
          <w:color w:val="auto"/>
        </w:rPr>
        <w:t>AnaptysBio, Inc.</w:t>
      </w:r>
      <w:r>
        <w:rPr>
          <w:rFonts w:ascii="Arial" w:cs="Arial" w:eastAsia="Arial" w:hAnsi="Arial"/>
          <w:sz w:val="17"/>
          <w:szCs w:val="17"/>
          <w:color w:val="auto"/>
        </w:rPr>
        <w:t>, a Delaware corporation, having a place of business at 10421 Pacific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Center Court, Suite 200, San Diego, California 92121 (“</w:t>
      </w:r>
      <w:r>
        <w:rPr>
          <w:rFonts w:ascii="Arial" w:cs="Arial" w:eastAsia="Arial" w:hAnsi="Arial"/>
          <w:sz w:val="16"/>
          <w:szCs w:val="16"/>
          <w:b w:val="1"/>
          <w:bCs w:val="1"/>
          <w:color w:val="auto"/>
        </w:rPr>
        <w:t>AnaptysBio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TESARO, Inc.</w:t>
      </w:r>
      <w:r>
        <w:rPr>
          <w:rFonts w:ascii="Arial" w:cs="Arial" w:eastAsia="Arial" w:hAnsi="Arial"/>
          <w:sz w:val="16"/>
          <w:szCs w:val="16"/>
          <w:color w:val="auto"/>
        </w:rPr>
        <w:t>, a Delaware corporation, having a place of business at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Winter Street, Suite 3300, Waltham, Massachusetts 02541 (“</w:t>
      </w:r>
      <w:r>
        <w:rPr>
          <w:rFonts w:ascii="Arial" w:cs="Arial" w:eastAsia="Arial" w:hAnsi="Arial"/>
          <w:sz w:val="16"/>
          <w:szCs w:val="16"/>
          <w:b w:val="1"/>
          <w:bCs w:val="1"/>
          <w:color w:val="auto"/>
        </w:rPr>
        <w:t>TESARO US</w:t>
      </w:r>
      <w:r>
        <w:rPr>
          <w:rFonts w:ascii="Arial" w:cs="Arial" w:eastAsia="Arial" w:hAnsi="Arial"/>
          <w:sz w:val="16"/>
          <w:szCs w:val="16"/>
          <w:color w:val="auto"/>
        </w:rPr>
        <w:t xml:space="preserve">”) and </w:t>
      </w:r>
      <w:r>
        <w:rPr>
          <w:rFonts w:ascii="Arial" w:cs="Arial" w:eastAsia="Arial" w:hAnsi="Arial"/>
          <w:sz w:val="16"/>
          <w:szCs w:val="16"/>
          <w:b w:val="1"/>
          <w:bCs w:val="1"/>
          <w:color w:val="auto"/>
        </w:rPr>
        <w:t>TESARO Development, Ltd.</w:t>
      </w:r>
      <w:r>
        <w:rPr>
          <w:rFonts w:ascii="Arial" w:cs="Arial" w:eastAsia="Arial" w:hAnsi="Arial"/>
          <w:sz w:val="16"/>
          <w:szCs w:val="16"/>
          <w:color w:val="auto"/>
        </w:rPr>
        <w:t>, a Bermuda corporation, having its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at Clarendon House, 2 Church Street, Hamilton HM 11, Bermuda (together with TESARO US, “</w:t>
      </w:r>
      <w:r>
        <w:rPr>
          <w:rFonts w:ascii="Arial" w:cs="Arial" w:eastAsia="Arial" w:hAnsi="Arial"/>
          <w:sz w:val="18"/>
          <w:szCs w:val="18"/>
          <w:b w:val="1"/>
          <w:bCs w:val="1"/>
          <w:color w:val="auto"/>
        </w:rPr>
        <w:t>TESARO</w:t>
      </w:r>
      <w:r>
        <w:rPr>
          <w:rFonts w:ascii="Arial" w:cs="Arial" w:eastAsia="Arial" w:hAnsi="Arial"/>
          <w:sz w:val="18"/>
          <w:szCs w:val="18"/>
          <w:color w:val="auto"/>
        </w:rPr>
        <w:t>”).</w:t>
      </w:r>
    </w:p>
    <w:p>
      <w:pPr>
        <w:spacing w:after="0" w:line="21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WHEREAS, the parties previously entered into that certain Collaboration and Exclusive License Agreement dated as of March 10, 2014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in certain respects on the terms and conditions set forth herein.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NOW THEREFORE, capitalized terms not defined in this Amendment shall have the meaning ascribed in the Agreement, and the parties hereby agree as follows:</w:t>
      </w:r>
    </w:p>
    <w:p>
      <w:pPr>
        <w:spacing w:after="0" w:line="170" w:lineRule="exact"/>
        <w:rPr>
          <w:sz w:val="20"/>
          <w:szCs w:val="20"/>
          <w:color w:val="auto"/>
        </w:rPr>
      </w:pPr>
    </w:p>
    <w:p>
      <w:pPr>
        <w:ind w:right="220" w:firstLine="464"/>
        <w:spacing w:after="0" w:line="277" w:lineRule="auto"/>
        <w:tabs>
          <w:tab w:leader="none" w:pos="636" w:val="left"/>
        </w:tabs>
        <w:numPr>
          <w:ilvl w:val="0"/>
          <w:numId w:val="557"/>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License Fee</w:t>
      </w:r>
      <w:r>
        <w:rPr>
          <w:rFonts w:ascii="Arial" w:cs="Arial" w:eastAsia="Arial" w:hAnsi="Arial"/>
          <w:sz w:val="18"/>
          <w:szCs w:val="18"/>
          <w:color w:val="auto"/>
        </w:rPr>
        <w:t>. Within ten (10) business days following the Amendment Date, TESARO shall pay to AnaptysBio a non-creditable, non-refundable license fee of two million dollars (USD $2,000,000.00).</w:t>
      </w:r>
    </w:p>
    <w:p>
      <w:pPr>
        <w:spacing w:after="0" w:line="170" w:lineRule="exact"/>
        <w:rPr>
          <w:rFonts w:ascii="Arial" w:cs="Arial" w:eastAsia="Arial" w:hAnsi="Arial"/>
          <w:sz w:val="18"/>
          <w:szCs w:val="18"/>
          <w:b w:val="1"/>
          <w:bCs w:val="1"/>
          <w:color w:val="auto"/>
        </w:rPr>
      </w:pPr>
    </w:p>
    <w:p>
      <w:pPr>
        <w:ind w:left="640" w:hanging="176"/>
        <w:spacing w:after="0"/>
        <w:tabs>
          <w:tab w:leader="none" w:pos="640" w:val="left"/>
        </w:tabs>
        <w:numPr>
          <w:ilvl w:val="0"/>
          <w:numId w:val="557"/>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following Sections of the Agreement are hereby amended and replaced in their entirety as follows: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Section 1 of the Agreement is amended to add the following new definitions:</w:t>
      </w:r>
    </w:p>
    <w:p>
      <w:pPr>
        <w:spacing w:after="0" w:line="225" w:lineRule="exact"/>
        <w:rPr>
          <w:sz w:val="20"/>
          <w:szCs w:val="20"/>
          <w:color w:val="auto"/>
        </w:rPr>
      </w:pPr>
    </w:p>
    <w:p>
      <w:pPr>
        <w:ind w:left="1740" w:hanging="248"/>
        <w:spacing w:after="0"/>
        <w:tabs>
          <w:tab w:leader="none" w:pos="1740" w:val="left"/>
        </w:tabs>
        <w:numPr>
          <w:ilvl w:val="0"/>
          <w:numId w:val="558"/>
        </w:numPr>
        <w:rPr>
          <w:rFonts w:ascii="Arial" w:cs="Arial" w:eastAsia="Arial" w:hAnsi="Arial"/>
          <w:sz w:val="18"/>
          <w:szCs w:val="18"/>
          <w:b w:val="1"/>
          <w:bCs w:val="1"/>
          <w:color w:val="auto"/>
        </w:rPr>
      </w:pPr>
      <w:r>
        <w:rPr>
          <w:rFonts w:ascii="Arial" w:cs="Arial" w:eastAsia="Arial" w:hAnsi="Arial"/>
          <w:sz w:val="18"/>
          <w:szCs w:val="18"/>
          <w:color w:val="auto"/>
        </w:rPr>
        <w:t>1.51 “</w:t>
      </w:r>
      <w:r>
        <w:rPr>
          <w:rFonts w:ascii="Arial" w:cs="Arial" w:eastAsia="Arial" w:hAnsi="Arial"/>
          <w:sz w:val="18"/>
          <w:szCs w:val="18"/>
          <w:b w:val="1"/>
          <w:bCs w:val="1"/>
          <w:color w:val="auto"/>
        </w:rPr>
        <w:t>[*]</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right="200" w:firstLine="1492"/>
        <w:spacing w:after="0" w:line="282" w:lineRule="auto"/>
        <w:tabs>
          <w:tab w:leader="none" w:pos="1748" w:val="left"/>
        </w:tabs>
        <w:numPr>
          <w:ilvl w:val="0"/>
          <w:numId w:val="558"/>
        </w:numPr>
        <w:rPr>
          <w:rFonts w:ascii="Arial" w:cs="Arial" w:eastAsia="Arial" w:hAnsi="Arial"/>
          <w:sz w:val="18"/>
          <w:szCs w:val="18"/>
          <w:b w:val="1"/>
          <w:bCs w:val="1"/>
          <w:color w:val="auto"/>
        </w:rPr>
      </w:pPr>
      <w:r>
        <w:rPr>
          <w:rFonts w:ascii="Arial" w:cs="Arial" w:eastAsia="Arial" w:hAnsi="Arial"/>
          <w:sz w:val="18"/>
          <w:szCs w:val="18"/>
          <w:color w:val="auto"/>
        </w:rPr>
        <w:t>1.52 “</w:t>
      </w:r>
      <w:r>
        <w:rPr>
          <w:rFonts w:ascii="Arial" w:cs="Arial" w:eastAsia="Arial" w:hAnsi="Arial"/>
          <w:sz w:val="18"/>
          <w:szCs w:val="18"/>
          <w:b w:val="1"/>
          <w:bCs w:val="1"/>
          <w:color w:val="auto"/>
        </w:rPr>
        <w:t>[*]</w:t>
      </w:r>
      <w:r>
        <w:rPr>
          <w:rFonts w:ascii="Arial" w:cs="Arial" w:eastAsia="Arial" w:hAnsi="Arial"/>
          <w:sz w:val="18"/>
          <w:szCs w:val="18"/>
          <w:color w:val="auto"/>
        </w:rPr>
        <w:t>” shall mean both [*] and shall be used with respect to a Development Antibody that is specifically designed to cross-react and antagonize both [*].</w:t>
      </w:r>
    </w:p>
    <w:p>
      <w:pPr>
        <w:spacing w:after="0" w:line="161" w:lineRule="exact"/>
        <w:rPr>
          <w:rFonts w:ascii="Arial" w:cs="Arial" w:eastAsia="Arial" w:hAnsi="Arial"/>
          <w:sz w:val="18"/>
          <w:szCs w:val="18"/>
          <w:b w:val="1"/>
          <w:bCs w:val="1"/>
          <w:color w:val="auto"/>
        </w:rPr>
      </w:pPr>
    </w:p>
    <w:p>
      <w:pPr>
        <w:ind w:right="620" w:firstLine="1492"/>
        <w:spacing w:after="0" w:line="282" w:lineRule="auto"/>
        <w:tabs>
          <w:tab w:leader="none" w:pos="1728" w:val="left"/>
        </w:tabs>
        <w:numPr>
          <w:ilvl w:val="0"/>
          <w:numId w:val="558"/>
        </w:numPr>
        <w:rPr>
          <w:rFonts w:ascii="Arial" w:cs="Arial" w:eastAsia="Arial" w:hAnsi="Arial"/>
          <w:sz w:val="18"/>
          <w:szCs w:val="18"/>
          <w:b w:val="1"/>
          <w:bCs w:val="1"/>
          <w:color w:val="auto"/>
        </w:rPr>
      </w:pPr>
      <w:r>
        <w:rPr>
          <w:rFonts w:ascii="Arial" w:cs="Arial" w:eastAsia="Arial" w:hAnsi="Arial"/>
          <w:sz w:val="18"/>
          <w:szCs w:val="18"/>
          <w:color w:val="auto"/>
        </w:rPr>
        <w:t>1.53 “</w:t>
      </w:r>
      <w:r>
        <w:rPr>
          <w:rFonts w:ascii="Arial" w:cs="Arial" w:eastAsia="Arial" w:hAnsi="Arial"/>
          <w:sz w:val="18"/>
          <w:szCs w:val="18"/>
          <w:b w:val="1"/>
          <w:bCs w:val="1"/>
          <w:color w:val="auto"/>
        </w:rPr>
        <w:t>[*] Development Program</w:t>
      </w:r>
      <w:r>
        <w:rPr>
          <w:rFonts w:ascii="Arial" w:cs="Arial" w:eastAsia="Arial" w:hAnsi="Arial"/>
          <w:sz w:val="18"/>
          <w:szCs w:val="18"/>
          <w:color w:val="auto"/>
        </w:rPr>
        <w:t>” shall mean the development program to be conducted in accordance with Section 3 for the development of Development Antibodies generated under the [*] Discovery Program.</w:t>
      </w:r>
    </w:p>
    <w:p>
      <w:pPr>
        <w:spacing w:after="0" w:line="161" w:lineRule="exact"/>
        <w:rPr>
          <w:rFonts w:ascii="Arial" w:cs="Arial" w:eastAsia="Arial" w:hAnsi="Arial"/>
          <w:sz w:val="18"/>
          <w:szCs w:val="18"/>
          <w:b w:val="1"/>
          <w:bCs w:val="1"/>
          <w:color w:val="auto"/>
        </w:rPr>
      </w:pPr>
    </w:p>
    <w:p>
      <w:pPr>
        <w:ind w:right="120" w:firstLine="1492"/>
        <w:spacing w:after="0" w:line="282" w:lineRule="auto"/>
        <w:tabs>
          <w:tab w:leader="none" w:pos="1748" w:val="left"/>
        </w:tabs>
        <w:numPr>
          <w:ilvl w:val="0"/>
          <w:numId w:val="558"/>
        </w:numPr>
        <w:rPr>
          <w:rFonts w:ascii="Arial" w:cs="Arial" w:eastAsia="Arial" w:hAnsi="Arial"/>
          <w:sz w:val="18"/>
          <w:szCs w:val="18"/>
          <w:b w:val="1"/>
          <w:bCs w:val="1"/>
          <w:color w:val="auto"/>
        </w:rPr>
      </w:pPr>
      <w:r>
        <w:rPr>
          <w:rFonts w:ascii="Arial" w:cs="Arial" w:eastAsia="Arial" w:hAnsi="Arial"/>
          <w:sz w:val="18"/>
          <w:szCs w:val="18"/>
          <w:color w:val="auto"/>
        </w:rPr>
        <w:t>1.54 “</w:t>
      </w:r>
      <w:r>
        <w:rPr>
          <w:rFonts w:ascii="Arial" w:cs="Arial" w:eastAsia="Arial" w:hAnsi="Arial"/>
          <w:sz w:val="18"/>
          <w:szCs w:val="18"/>
          <w:b w:val="1"/>
          <w:bCs w:val="1"/>
          <w:color w:val="auto"/>
        </w:rPr>
        <w:t>[*] Discovery Program</w:t>
      </w:r>
      <w:r>
        <w:rPr>
          <w:rFonts w:ascii="Arial" w:cs="Arial" w:eastAsia="Arial" w:hAnsi="Arial"/>
          <w:sz w:val="18"/>
          <w:szCs w:val="18"/>
          <w:color w:val="auto"/>
        </w:rPr>
        <w:t>” shall mean the discovery program to be conducted in accordance with Section 2 for the development of antibodies directed to antagonize both [*].</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Section 1.14, the definition of “Development Programs”, is amended to add the [*] Development Program.</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38" w:name="page639"/>
    <w:bookmarkEnd w:id="63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8"/>
          <w:szCs w:val="18"/>
          <w:color w:val="auto"/>
        </w:rPr>
        <w:t>Section 1.15, the definition of “Discovery Plan”, is amended to add Exhibit A-4 to the Supplemental Information Package.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Section 1.16, the definition of “Discovery Programs”, is amended to add the [*] Discovery Program.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Section 1.41, the definition of “Target(s)”, is amended to include [*].</w:t>
      </w:r>
    </w:p>
    <w:p>
      <w:pPr>
        <w:spacing w:after="0" w:line="225" w:lineRule="exact"/>
        <w:rPr>
          <w:sz w:val="20"/>
          <w:szCs w:val="20"/>
          <w:color w:val="auto"/>
        </w:rPr>
      </w:pPr>
    </w:p>
    <w:p>
      <w:pPr>
        <w:ind w:right="420" w:firstLine="913"/>
        <w:spacing w:after="0" w:line="313"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color w:val="auto"/>
        </w:rPr>
        <w:t>Section 2.4 is hereby amended by adding the following new sentence immediately following the end of Section 2.4: “Exhibit A-4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Information Package is hereby added as an additional Discovery Program to be carried out in accordance with this Agreement.”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Section 5.3(a) of the Agreement is hereby amended by adding the following new sentence immediately following the end of Section 5.3(a):</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40" w:hanging="176"/>
        <w:spacing w:after="0"/>
        <w:tabs>
          <w:tab w:leader="none" w:pos="640" w:val="left"/>
        </w:tabs>
        <w:numPr>
          <w:ilvl w:val="0"/>
          <w:numId w:val="559"/>
        </w:numPr>
        <w:rPr>
          <w:rFonts w:ascii="Arial" w:cs="Arial" w:eastAsia="Arial" w:hAnsi="Arial"/>
          <w:sz w:val="18"/>
          <w:szCs w:val="18"/>
          <w:b w:val="1"/>
          <w:bCs w:val="1"/>
          <w:color w:val="auto"/>
        </w:rPr>
      </w:pPr>
      <w:r>
        <w:rPr>
          <w:rFonts w:ascii="Arial" w:cs="Arial" w:eastAsia="Arial" w:hAnsi="Arial"/>
          <w:sz w:val="18"/>
          <w:szCs w:val="18"/>
          <w:color w:val="auto"/>
        </w:rPr>
        <w:t>TESARO shall pay AnaptysBio each of the milestone payments set forth in Section 6.3 of the License Agreement [*].</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559"/>
        </w:numPr>
        <w:rPr>
          <w:rFonts w:ascii="Arial" w:cs="Arial" w:eastAsia="Arial" w:hAnsi="Arial"/>
          <w:sz w:val="16"/>
          <w:szCs w:val="16"/>
          <w:b w:val="1"/>
          <w:bCs w:val="1"/>
          <w:color w:val="auto"/>
        </w:rPr>
      </w:pPr>
      <w:r>
        <w:rPr>
          <w:rFonts w:ascii="Arial" w:cs="Arial" w:eastAsia="Arial" w:hAnsi="Arial"/>
          <w:sz w:val="16"/>
          <w:szCs w:val="16"/>
          <w:u w:val="single" w:color="auto"/>
          <w:color w:val="auto"/>
        </w:rPr>
        <w:t>Discovery Plan</w:t>
      </w:r>
      <w:r>
        <w:rPr>
          <w:rFonts w:ascii="Arial" w:cs="Arial" w:eastAsia="Arial" w:hAnsi="Arial"/>
          <w:sz w:val="16"/>
          <w:szCs w:val="16"/>
          <w:color w:val="auto"/>
        </w:rPr>
        <w:t>. The Discovery Plan for the [*] Discovery Program shall be added to the Supplemental Information Package as Exhibit A-4, thereto.</w:t>
      </w:r>
    </w:p>
    <w:p>
      <w:pPr>
        <w:spacing w:after="0" w:line="248" w:lineRule="exact"/>
        <w:rPr>
          <w:rFonts w:ascii="Arial" w:cs="Arial" w:eastAsia="Arial" w:hAnsi="Arial"/>
          <w:sz w:val="16"/>
          <w:szCs w:val="16"/>
          <w:b w:val="1"/>
          <w:bCs w:val="1"/>
          <w:color w:val="auto"/>
        </w:rPr>
      </w:pPr>
    </w:p>
    <w:p>
      <w:pPr>
        <w:ind w:right="240" w:firstLine="464"/>
        <w:spacing w:after="0" w:line="277" w:lineRule="auto"/>
        <w:tabs>
          <w:tab w:leader="none" w:pos="636" w:val="left"/>
        </w:tabs>
        <w:numPr>
          <w:ilvl w:val="0"/>
          <w:numId w:val="559"/>
        </w:numPr>
        <w:rPr>
          <w:rFonts w:ascii="Arial" w:cs="Arial" w:eastAsia="Arial" w:hAnsi="Arial"/>
          <w:sz w:val="18"/>
          <w:szCs w:val="18"/>
          <w:b w:val="1"/>
          <w:bCs w:val="1"/>
          <w:color w:val="auto"/>
        </w:rPr>
      </w:pPr>
      <w:r>
        <w:rPr>
          <w:rFonts w:ascii="Arial" w:cs="Arial" w:eastAsia="Arial" w:hAnsi="Arial"/>
          <w:sz w:val="18"/>
          <w:szCs w:val="18"/>
          <w:u w:val="single" w:color="auto"/>
          <w:color w:val="auto"/>
        </w:rPr>
        <w:t>Press Release</w:t>
      </w:r>
      <w:r>
        <w:rPr>
          <w:rFonts w:ascii="Arial" w:cs="Arial" w:eastAsia="Arial" w:hAnsi="Arial"/>
          <w:sz w:val="18"/>
          <w:szCs w:val="18"/>
          <w:color w:val="auto"/>
        </w:rPr>
        <w:t>. Disclosure of the terms of this Amendment are subject to Section 11.1 of the Agreement, provided that the press release attached to this Amendment as Appendix A shall be jointly released by both Parties promptly following the Amendment Date.</w:t>
      </w:r>
    </w:p>
    <w:p>
      <w:pPr>
        <w:spacing w:after="0" w:line="170" w:lineRule="exact"/>
        <w:rPr>
          <w:rFonts w:ascii="Arial" w:cs="Arial" w:eastAsia="Arial" w:hAnsi="Arial"/>
          <w:sz w:val="18"/>
          <w:szCs w:val="18"/>
          <w:b w:val="1"/>
          <w:bCs w:val="1"/>
          <w:color w:val="auto"/>
        </w:rPr>
      </w:pPr>
    </w:p>
    <w:p>
      <w:pPr>
        <w:ind w:right="120" w:firstLine="464"/>
        <w:spacing w:after="0" w:line="264" w:lineRule="auto"/>
        <w:tabs>
          <w:tab w:leader="none" w:pos="636" w:val="left"/>
        </w:tabs>
        <w:numPr>
          <w:ilvl w:val="0"/>
          <w:numId w:val="559"/>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39" w:name="page640"/>
    <w:bookmarkEnd w:id="639"/>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Amendment to be executed by their respective duly authorized representatives effective as of the Amendment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40" w:name="page641"/>
    <w:bookmarkEnd w:id="64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Press Release</w:t>
      </w:r>
    </w:p>
    <w:p>
      <w:pPr>
        <w:sectPr>
          <w:pgSz w:w="11900" w:h="16838" w:orient="portrait"/>
          <w:cols w:equalWidth="0" w:num="1">
            <w:col w:w="9019"/>
          </w:cols>
          <w:pgMar w:left="1440" w:top="271" w:right="1440" w:bottom="1440" w:gutter="0" w:footer="0" w:header="0"/>
        </w:sectPr>
      </w:pPr>
    </w:p>
    <w:bookmarkStart w:id="641" w:name="page642"/>
    <w:bookmarkEnd w:id="6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RELEASE ON DECEMBER 2, 2014 AT 5:15 AM ET</w:t>
      </w:r>
    </w:p>
    <w:p>
      <w:pPr>
        <w:spacing w:after="0" w:line="225" w:lineRule="exact"/>
        <w:rPr>
          <w:sz w:val="20"/>
          <w:szCs w:val="20"/>
          <w:color w:val="auto"/>
        </w:rPr>
      </w:pPr>
    </w:p>
    <w:p>
      <w:pPr>
        <w:jc w:val="center"/>
        <w:ind w:left="260" w:right="300"/>
        <w:spacing w:after="0" w:line="282" w:lineRule="auto"/>
        <w:rPr>
          <w:sz w:val="20"/>
          <w:szCs w:val="20"/>
          <w:color w:val="auto"/>
        </w:rPr>
      </w:pPr>
      <w:r>
        <w:rPr>
          <w:rFonts w:ascii="Arial" w:cs="Arial" w:eastAsia="Arial" w:hAnsi="Arial"/>
          <w:sz w:val="18"/>
          <w:szCs w:val="18"/>
          <w:b w:val="1"/>
          <w:bCs w:val="1"/>
          <w:color w:val="auto"/>
        </w:rPr>
        <w:t>TESARO AND ANAPTYSBIO EXPAND IMMUNO-ONCOLOGY COLLABORATION TO INCLUDE NOVEL BISPECIFIC ANTIBODY CANDIDATE</w:t>
      </w:r>
    </w:p>
    <w:p>
      <w:pPr>
        <w:spacing w:after="0" w:line="162" w:lineRule="exact"/>
        <w:rPr>
          <w:sz w:val="20"/>
          <w:szCs w:val="20"/>
          <w:color w:val="auto"/>
        </w:rPr>
      </w:pPr>
    </w:p>
    <w:p>
      <w:pPr>
        <w:ind w:right="4520"/>
        <w:spacing w:after="0" w:line="282" w:lineRule="auto"/>
        <w:rPr>
          <w:sz w:val="20"/>
          <w:szCs w:val="20"/>
          <w:color w:val="auto"/>
        </w:rPr>
      </w:pPr>
      <w:r>
        <w:rPr>
          <w:rFonts w:ascii="Arial" w:cs="Arial" w:eastAsia="Arial" w:hAnsi="Arial"/>
          <w:sz w:val="18"/>
          <w:szCs w:val="18"/>
          <w:b w:val="1"/>
          <w:bCs w:val="1"/>
          <w:color w:val="auto"/>
        </w:rPr>
        <w:t>—Candidate Will Target Two Undisclosed Immune Checkpoints —Anti-TIM-3 Antibody Data to be Presented Today at the AACR Conference in Orlando</w:t>
      </w:r>
    </w:p>
    <w:p>
      <w:pPr>
        <w:spacing w:after="0" w:line="16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WALTHAM, MA, and SAN DIEGO, CA – December 2, 2014 – TESARO, Inc. (NASDAQ: TSRO), an oncology-focused biopharmaceutical company, and AnaptysBio, Inc., a privately-held therapeutic antibody company, today announced an expansion of their immuno-oncology collaboration and exclusive license agreement to include development of a novel bispecific antibody candidate designed to target two undisclosed immune checkpoints.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AnaptysBio and TESARO first initiated their collaboration in March of 2014, and have together focused on the development of monospecific antibody drug candidates targeting TIM-3, LAG-3 and PD-1 and dual reactive antibody drug candidates targeting PD-1/TIM-3 and PD-1/LAG-3. Since the beginning of this partnership, Investigational New Drug (IND) enabling preclinical studies of TSR-042 (anti-PD-1 antibody candidate) have been initiated, and additional clinical candidates have been identified, including lead candidates targeting TIM-3 and LAG-3.</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“Through our collaboration with AnaptysBio, we are employing a variety of approaches, including monospecific, bispecific and dual specific antibodies, to address some of the most validated and promising immune checkpoint targets,” said Mary Lynne Hedley, president and COO of TESARO. “We are committed to advancing the science of immuno-oncology in order to potentially transform the care of patients with cancer. Our team looks forward to continued collaboration with AnaptysBio on these programs and to the presentation of data describing our anti-TIM-3 antibody candidate at the AACR conference later today in Orlando.”</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“AnaptysBio continues to focus on the development of therapeutic antibodies for unmet medical needs in immuno-oncology, inflammation and fibrosis. Our strategic advantage is the ability to rapidly discover and develop therapeutic antibodies against emerging biological targets using the natural somatic hypermutation mechanism encoded within the human immune system,” said Hamza Suria, president and CEO of AnaptysBio. “We are pleased to expand our collaboration with TESARO, and look forward to advancing multiple immuno-oncology antibodies into the clinic.”</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this expansion, TESARO will pay AnaptysBio an undisclosed upfront fee and will provide funding for all costs incurred by AnaptysBio related to the development of a clinical antibody candidate. For each program within the collaboration, AnaptysBio is eligible to receive milestone payments if certain research and development events are achieved and additional payments for achievement of certain U.S. and ex-U.S. regulatory submissions and approvals in multiple indications. AnaptysBio will also be eligible to receive royalties related to worldwide net sales of products developed under the collaboration, and may earn certain commercial milestone payments if specified levels of annual worldwide net sales are attained. AnaptysBio and TESARO will together complete preclinical development of the antibody candidates, 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TESARO being solely responsible for all clinical development, manufacturing, regulatory and commercial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AACR Poster Presentation Details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AACR Conference: Tumor Immunology and Immunotherapy: A New Chapter (Orlando) Tuesday, December 2, 2014, 1:15 PM to 3:30 PM, Poster Session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Abstract title: </w:t>
      </w:r>
      <w:r>
        <w:rPr>
          <w:rFonts w:ascii="Arial" w:cs="Arial" w:eastAsia="Arial" w:hAnsi="Arial"/>
          <w:sz w:val="18"/>
          <w:szCs w:val="18"/>
          <w:i w:val="1"/>
          <w:iCs w:val="1"/>
          <w:color w:val="auto"/>
        </w:rPr>
        <w:t>Identification and characterization of a potent anti-human TIM-3 antagonist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poster will be available following its presentation at: </w:t>
      </w:r>
      <w:r>
        <w:rPr>
          <w:rFonts w:ascii="Arial" w:cs="Arial" w:eastAsia="Arial" w:hAnsi="Arial"/>
          <w:sz w:val="18"/>
          <w:szCs w:val="18"/>
          <w:u w:val="single" w:color="auto"/>
          <w:color w:val="auto"/>
        </w:rPr>
        <w:t>http://www.tesarobio.com/documents/AACRDec2014.pdf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AnaptysBio</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AnaptysBio is a privately-held antibody development company advancing first-in-class programs in immuno-oncology, inflammation and fibrosis. AnaptysBio’s proprietary SHM-XEL™ platform, which couples fully human antibody libraries with in vitro somatic hypermutation in mammalian cells to generate high affinity antibodies. replicates key features of the human immune system and overcomes limitations of prior antibody technologies. Multiple antibodies emanating from the AnaptysBio pipeline are currently undergoing IND-enabling studies with potentially transformative clinical read-outs during the 2016-2017 timeframe. For more information, visit </w:t>
      </w:r>
      <w:r>
        <w:rPr>
          <w:rFonts w:ascii="Arial" w:cs="Arial" w:eastAsia="Arial" w:hAnsi="Arial"/>
          <w:sz w:val="18"/>
          <w:szCs w:val="18"/>
          <w:u w:val="single" w:color="auto"/>
          <w:color w:val="auto"/>
        </w:rPr>
        <w:t>www.anaptysbio.com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TESARO</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 xml:space="preserve">TESARO is an oncology-focused biopharmaceutical company dedicated to improving the lives of cancer patients by acquiring, developing and commercializing safer and more effective therapeutics. For more information, visit </w:t>
      </w:r>
      <w:r>
        <w:rPr>
          <w:rFonts w:ascii="Arial" w:cs="Arial" w:eastAsia="Arial" w:hAnsi="Arial"/>
          <w:sz w:val="18"/>
          <w:szCs w:val="18"/>
          <w:u w:val="single" w:color="auto"/>
          <w:color w:val="auto"/>
        </w:rPr>
        <w:t>www.tesarobio.com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Jennifer Davis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+1.781.325.1116 or </w:t>
      </w:r>
      <w:r>
        <w:rPr>
          <w:rFonts w:ascii="Arial" w:cs="Arial" w:eastAsia="Arial" w:hAnsi="Arial"/>
          <w:sz w:val="18"/>
          <w:szCs w:val="18"/>
          <w:u w:val="single" w:color="auto"/>
          <w:color w:val="auto"/>
        </w:rPr>
        <w:t>jdavis@tesarobio.com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+1.206.769.9219 or </w:t>
      </w:r>
      <w:r>
        <w:rPr>
          <w:rFonts w:ascii="Arial" w:cs="Arial" w:eastAsia="Arial" w:hAnsi="Arial"/>
          <w:sz w:val="18"/>
          <w:szCs w:val="18"/>
          <w:u w:val="single" w:color="auto"/>
          <w:color w:val="auto"/>
        </w:rPr>
        <w:t>julie@rathbuncomm.com</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To the extent that statements contained in this press release are not descriptions of historical facts regarding TESARO, they are forward-looking statements reflecting the current beliefs and expectations of management made pursuant to the safe harbor provisions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Examples of forward looking statements contained in this press release include, among others, statements regarding our expectations regarding the timing of both the selection of clinical candidates from the programs and the commencement of clinical testing, our development plans for any antibody therapeutic candidates individually and in combination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5" w:right="279" w:bottom="1440" w:gutter="0" w:footer="0" w:header="0"/>
        </w:sectPr>
      </w:pPr>
    </w:p>
    <w:bookmarkStart w:id="643" w:name="page644"/>
    <w:bookmarkEnd w:id="643"/>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products and product candidates, and our ability to form partnerships in the future in support of our overall oncology strategy. Forward-looking statements in this release involve substantial risks and uncertainties that could cause our research and pre-clinical development programs, clinical development programs, future results, performance or achievements to differ significantly from those expressed or implied by the forward-looking statements. Such risks and uncertainties include, among others. the uncertainties inherent in the research and development of therapeutic antibodies, including the selection, pre-clinical testing and manufacturing of antibodies, initiation of future clinical trials, availability of data from ongoing clinical trials, expectations for regulatory approvals, and other matters that could affect the availability or commercial potential of our drug candidates. TESARO undertakes no obligation to update or revise any forward-looking statements. For a further description of the risks and uncertainties that could cause actual results to differ from those expressed in these forward-looking statements, as well as risks relating to the business of the Company in general, see TESARO’s Annual Report on Form 10-K for the year ended December 31, 2013, and Quarterly Report on Form 10-Q for the quarter ended September 30, 2014.</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44" w:name="page645"/>
    <w:bookmarkEnd w:id="644"/>
    <w:p>
      <w:pPr>
        <w:ind w:left="10200"/>
        <w:spacing w:after="0"/>
        <w:rPr>
          <w:sz w:val="20"/>
          <w:szCs w:val="20"/>
          <w:color w:val="auto"/>
        </w:rPr>
      </w:pPr>
      <w:r>
        <w:rPr>
          <w:rFonts w:ascii="Arial" w:cs="Arial" w:eastAsia="Arial" w:hAnsi="Arial"/>
          <w:sz w:val="18"/>
          <w:szCs w:val="18"/>
          <w:b w:val="1"/>
          <w:bCs w:val="1"/>
          <w:color w:val="auto"/>
        </w:rPr>
        <w:t>EXHIBIT 10.12</w:t>
      </w:r>
    </w:p>
    <w:p>
      <w:pPr>
        <w:spacing w:after="0" w:line="25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  Certain confidential information contained in this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 1933, as amended.</w:t>
      </w:r>
    </w:p>
    <w:p>
      <w:pPr>
        <w:spacing w:after="0" w:line="207"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MEDICAL RESEARCH COUNCIL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(MRC)</w:t>
      </w:r>
    </w:p>
    <w:p>
      <w:pPr>
        <w:spacing w:after="0" w:line="211"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This Exclusive License Agreement (“Agreement”), is entered into as of the 30th day of August 2006 (hereinafter called “Effective Date”), by and between the MEDICAL RESEARCH COUNCIL (“MRC”), a UK government funded non-departmental body with principal offices at, 20 Park Crescent, London, W1B 1AL, United Kingdom and ANAPTYS BIOSCIENCES, INCORPORATED (“ANAPTYS”), a corporation organized under the laws of Delaware and having a principal place of business at 10931 North Torrey Pines Road, Suite 101, La Jolla, California 92037, United States of America.</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MRC is the owner of certain Patent Rights (as defined below);</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WHEREAS, the MRC is willing to grant a royalty bearing, exclusive license to the Patent Rights to ANAPTYS on the terms and subject to the conditions set forth herein;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ANAPTYS desires to obtain said exclusive license under the Patent Rights.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NOW, THEREFORE, for and in consideration of the premises and other good and valuable consideration, the receipt and sufficiency of which are hereby acknowledged, the Parties hereto hereby expressly agree as set forth below.</w:t>
      </w:r>
    </w:p>
    <w:p>
      <w:pPr>
        <w:sectPr>
          <w:pgSz w:w="11900" w:h="16838" w:orient="portrait"/>
          <w:cols w:equalWidth="0" w:num="1">
            <w:col w:w="11420"/>
          </w:cols>
          <w:pgMar w:left="240" w:top="121" w:right="239" w:bottom="1440" w:gutter="0" w:footer="0" w:header="0"/>
        </w:sectPr>
      </w:pPr>
    </w:p>
    <w:bookmarkStart w:id="645" w:name="page646"/>
    <w:bookmarkEnd w:id="6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252" w:lineRule="exact"/>
        <w:rPr>
          <w:sz w:val="20"/>
          <w:szCs w:val="20"/>
          <w:color w:val="auto"/>
        </w:rPr>
      </w:pPr>
    </w:p>
    <w:p>
      <w:pPr>
        <w:ind w:left="460" w:hanging="452"/>
        <w:spacing w:after="0"/>
        <w:tabs>
          <w:tab w:leader="none" w:pos="460"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Affiliates</w:t>
      </w:r>
      <w:r>
        <w:rPr>
          <w:rFonts w:ascii="Arial" w:cs="Arial" w:eastAsia="Arial" w:hAnsi="Arial"/>
          <w:sz w:val="18"/>
          <w:szCs w:val="18"/>
          <w:color w:val="auto"/>
        </w:rPr>
        <w:t>” means any corporation, partnership, joint venture or other entity of which more than fifty percent (50%) of the voting stock or other equity ownership thereof is owned or controlled by, or under common control with ANAPTYS, or which owns or controls more than fifty percent (50%) of the voting stock or other equity ownership of ANAPTYS.</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confidential information of a Party relating to any use, process, method, compound, research project, work in process, future development, scientific, engineering, manufacturing, marketing, business plan, financial or personnel matter relating to the disclosing Party, its present or future products, sales, suppliers, customers, employees, investors or business, whether in oral, written, graphic or electronic form, which is marked confidential or designated by the disclosing party as being confidential prior to disclosure or which is marked confidential and provided to the other Party within thirty (30) days of such oral disclosure.</w:t>
      </w:r>
    </w:p>
    <w:p>
      <w:pPr>
        <w:spacing w:after="0" w:line="184"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Control</w:t>
      </w:r>
      <w:r>
        <w:rPr>
          <w:rFonts w:ascii="Arial" w:cs="Arial" w:eastAsia="Arial" w:hAnsi="Arial"/>
          <w:sz w:val="18"/>
          <w:szCs w:val="18"/>
          <w:color w:val="auto"/>
        </w:rPr>
        <w:t>” means possession of the ability to grant a license or sublicense as provided for herein without violating the terms of any agreement or other arrangement with any third party.</w:t>
      </w:r>
    </w:p>
    <w:p>
      <w:pPr>
        <w:spacing w:after="0" w:line="162"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color w:val="auto"/>
        </w:rPr>
        <w:t>1.4 “</w:t>
      </w:r>
      <w:r>
        <w:rPr>
          <w:rFonts w:ascii="Arial" w:cs="Arial" w:eastAsia="Arial" w:hAnsi="Arial"/>
          <w:sz w:val="17"/>
          <w:szCs w:val="17"/>
          <w:b w:val="1"/>
          <w:bCs w:val="1"/>
          <w:color w:val="auto"/>
        </w:rPr>
        <w:t>Covered</w:t>
      </w:r>
      <w:r>
        <w:rPr>
          <w:rFonts w:ascii="Arial" w:cs="Arial" w:eastAsia="Arial" w:hAnsi="Arial"/>
          <w:sz w:val="17"/>
          <w:szCs w:val="17"/>
          <w:color w:val="auto"/>
        </w:rPr>
        <w:t>”, “</w:t>
      </w:r>
      <w:r>
        <w:rPr>
          <w:rFonts w:ascii="Arial" w:cs="Arial" w:eastAsia="Arial" w:hAnsi="Arial"/>
          <w:sz w:val="17"/>
          <w:szCs w:val="17"/>
          <w:b w:val="1"/>
          <w:bCs w:val="1"/>
          <w:color w:val="auto"/>
        </w:rPr>
        <w:t>Cover</w:t>
      </w:r>
      <w:r>
        <w:rPr>
          <w:rFonts w:ascii="Arial" w:cs="Arial" w:eastAsia="Arial" w:hAnsi="Arial"/>
          <w:sz w:val="17"/>
          <w:szCs w:val="17"/>
          <w:color w:val="auto"/>
        </w:rPr>
        <w:t>” or “</w:t>
      </w:r>
      <w:r>
        <w:rPr>
          <w:rFonts w:ascii="Arial" w:cs="Arial" w:eastAsia="Arial" w:hAnsi="Arial"/>
          <w:sz w:val="17"/>
          <w:szCs w:val="17"/>
          <w:b w:val="1"/>
          <w:bCs w:val="1"/>
          <w:color w:val="auto"/>
        </w:rPr>
        <w:t>Covering</w:t>
      </w:r>
      <w:r>
        <w:rPr>
          <w:rFonts w:ascii="Arial" w:cs="Arial" w:eastAsia="Arial" w:hAnsi="Arial"/>
          <w:sz w:val="17"/>
          <w:szCs w:val="17"/>
          <w:color w:val="auto"/>
        </w:rPr>
        <w:t>” means with respect to Patent Rights, that the making, using, importation, offer for sale, or sale, or the conducting of an activity, in the absence of a license under such Patent Rights would infringe at least one claim of such Patent Rights.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Developing Countries</w:t>
      </w:r>
      <w:r>
        <w:rPr>
          <w:rFonts w:ascii="Arial" w:cs="Arial" w:eastAsia="Arial" w:hAnsi="Arial"/>
          <w:sz w:val="16"/>
          <w:szCs w:val="16"/>
          <w:color w:val="auto"/>
        </w:rPr>
        <w:t>” shall mean those countries as may be defined from time to time as low income or low middle income by the World Bank</w:t>
      </w:r>
    </w:p>
    <w:p>
      <w:pPr>
        <w:spacing w:after="0" w:line="50" w:lineRule="exact"/>
        <w:rPr>
          <w:sz w:val="20"/>
          <w:szCs w:val="20"/>
          <w:color w:val="auto"/>
        </w:rPr>
      </w:pPr>
    </w:p>
    <w:p>
      <w:pPr>
        <w:ind w:left="460" w:right="2740" w:hanging="456"/>
        <w:spacing w:after="0" w:line="551" w:lineRule="auto"/>
        <w:rPr>
          <w:sz w:val="20"/>
          <w:szCs w:val="20"/>
          <w:color w:val="auto"/>
        </w:rPr>
      </w:pPr>
      <w:r>
        <w:rPr>
          <w:rFonts w:ascii="Arial" w:cs="Arial" w:eastAsia="Arial" w:hAnsi="Arial"/>
          <w:sz w:val="16"/>
          <w:szCs w:val="16"/>
          <w:color w:val="auto"/>
        </w:rPr>
        <w:t xml:space="preserve">– see </w:t>
      </w:r>
      <w:r>
        <w:rPr>
          <w:rFonts w:ascii="Arial" w:cs="Arial" w:eastAsia="Arial" w:hAnsi="Arial"/>
          <w:sz w:val="16"/>
          <w:szCs w:val="16"/>
          <w:u w:val="single" w:color="auto"/>
          <w:color w:val="auto"/>
        </w:rPr>
        <w:t>www.worldbank.org/data/countryclass/class groups.htm</w:t>
      </w:r>
      <w:r>
        <w:rPr>
          <w:rFonts w:ascii="Arial" w:cs="Arial" w:eastAsia="Arial" w:hAnsi="Arial"/>
          <w:sz w:val="16"/>
          <w:szCs w:val="16"/>
          <w:color w:val="auto"/>
        </w:rPr>
        <w:t xml:space="preserve"> at the time of the case by case analysis under Section 2.4. 1.6 “</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equivalent agency thereto.</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w:t>
      </w:r>
    </w:p>
    <w:p>
      <w:pPr>
        <w:spacing w:after="0" w:line="225"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Product, the first sale of such Product by ANAPTYS, its Affiliates or Sublicenses to customers who are not Affiliates in any country after all applicable marketing and pricing approvals (if any) have been granted by the applicable governing health authority of such country.</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First Commercial Service Activity</w:t>
      </w:r>
      <w:r>
        <w:rPr>
          <w:rFonts w:ascii="Arial" w:cs="Arial" w:eastAsia="Arial" w:hAnsi="Arial"/>
          <w:sz w:val="18"/>
          <w:szCs w:val="18"/>
          <w:color w:val="auto"/>
        </w:rPr>
        <w:t>” means, with respect to any Licensed Method, the date first payment is received by ANAPTYS, its Affiliates or Sublicensees for completion of services provided to customers using Licensed Methods.</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or equivalent application filed to commence human clinical testing of a Licensed Product with the FDA or its foreign equivalent.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1" w:right="279" w:bottom="1440" w:gutter="0" w:footer="0" w:header="0"/>
        </w:sectPr>
      </w:pPr>
    </w:p>
    <w:bookmarkStart w:id="646" w:name="page647"/>
    <w:bookmarkEnd w:id="646"/>
    <w:p>
      <w:pPr>
        <w:ind w:right="14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 “</w:t>
      </w:r>
      <w:r>
        <w:rPr>
          <w:rFonts w:ascii="Arial" w:cs="Arial" w:eastAsia="Arial" w:hAnsi="Arial"/>
          <w:sz w:val="18"/>
          <w:szCs w:val="18"/>
          <w:b w:val="1"/>
          <w:bCs w:val="1"/>
          <w:color w:val="auto"/>
        </w:rPr>
        <w:t>Licensed Product(s)</w:t>
      </w:r>
      <w:r>
        <w:rPr>
          <w:rFonts w:ascii="Arial" w:cs="Arial" w:eastAsia="Arial" w:hAnsi="Arial"/>
          <w:sz w:val="18"/>
          <w:szCs w:val="18"/>
          <w:color w:val="auto"/>
        </w:rPr>
        <w:t>” means a composition, product or device, the manufacture, use, sale, offer for sale or import of which, but for the License, would infringe any Patent Rights in any country were they issued at the time of such manufacture, use, sale, offer for sale or import in that country or a product that is identified and / or developed through the use of methods Covered by Licensed Methods.</w:t>
      </w:r>
    </w:p>
    <w:p>
      <w:pPr>
        <w:spacing w:after="0" w:line="176" w:lineRule="exact"/>
        <w:rPr>
          <w:sz w:val="20"/>
          <w:szCs w:val="20"/>
          <w:color w:val="auto"/>
        </w:rPr>
      </w:pPr>
    </w:p>
    <w:p>
      <w:pPr>
        <w:ind w:right="260" w:firstLine="456"/>
        <w:spacing w:after="0" w:line="313"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color w:val="auto"/>
        </w:rPr>
        <w:t>Licensed Method(s)</w:t>
      </w:r>
      <w:r>
        <w:rPr>
          <w:rFonts w:ascii="Arial" w:cs="Arial" w:eastAsia="Arial" w:hAnsi="Arial"/>
          <w:sz w:val="17"/>
          <w:szCs w:val="17"/>
          <w:color w:val="auto"/>
        </w:rPr>
        <w:t>” means any process, art or method the use or practice of which, but for the License, would infringe, induce to infringe or contribute to infringement of, any Patent Rights in any country were they issued at the time of the infringing activity in that country.</w:t>
      </w:r>
    </w:p>
    <w:p>
      <w:pPr>
        <w:spacing w:after="0" w:line="138" w:lineRule="exact"/>
        <w:rPr>
          <w:sz w:val="20"/>
          <w:szCs w:val="20"/>
          <w:color w:val="auto"/>
        </w:rPr>
      </w:pPr>
    </w:p>
    <w:p>
      <w:pPr>
        <w:ind w:right="740" w:firstLine="456"/>
        <w:spacing w:after="0" w:line="34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Materials</w:t>
      </w:r>
      <w:r>
        <w:rPr>
          <w:rFonts w:ascii="Arial" w:cs="Arial" w:eastAsia="Arial" w:hAnsi="Arial"/>
          <w:sz w:val="16"/>
          <w:szCs w:val="16"/>
          <w:color w:val="auto"/>
        </w:rPr>
        <w:t>” means relevant cell lines and other materials relating to or necessary to enable ANAPTYS to use the Licensed Products and implement the Licensed Methods at their facilities as specified in Exhibit C attached hereto and to which MRC has the right to transfer.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MRC Specific Method[s]</w:t>
      </w:r>
      <w:r>
        <w:rPr>
          <w:rFonts w:ascii="Arial" w:cs="Arial" w:eastAsia="Arial" w:hAnsi="Arial"/>
          <w:sz w:val="18"/>
          <w:szCs w:val="18"/>
          <w:color w:val="auto"/>
        </w:rPr>
        <w:t>” means [*].</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Biological License Application, or Product License Application, as appropriate, filed pursuant to the requirements of the FDA or its foreign equivalent.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Licensed Product, [*]</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Licensed Method,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Parties</w:t>
      </w:r>
      <w:r>
        <w:rPr>
          <w:rFonts w:ascii="Arial" w:cs="Arial" w:eastAsia="Arial" w:hAnsi="Arial"/>
          <w:sz w:val="18"/>
          <w:szCs w:val="18"/>
          <w:color w:val="auto"/>
        </w:rPr>
        <w:t>” means ANAPTYS and the MRC, each of which, individually, is a “Party.”</w:t>
      </w:r>
    </w:p>
    <w:p>
      <w:pPr>
        <w:spacing w:after="0" w:line="225" w:lineRule="exact"/>
        <w:rPr>
          <w:sz w:val="20"/>
          <w:szCs w:val="20"/>
          <w:color w:val="auto"/>
        </w:rPr>
      </w:pPr>
    </w:p>
    <w:p>
      <w:pPr>
        <w:ind w:right="600" w:firstLine="456"/>
        <w:spacing w:after="0" w:line="289"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Patent Rights</w:t>
      </w:r>
      <w:r>
        <w:rPr>
          <w:rFonts w:ascii="Arial" w:cs="Arial" w:eastAsia="Arial" w:hAnsi="Arial"/>
          <w:sz w:val="17"/>
          <w:szCs w:val="17"/>
          <w:color w:val="auto"/>
        </w:rPr>
        <w:t>” means: (a) the patent applications listed in Exhibit A attached hereto, (b) any corresponding foreign patents and patent applications, (c) any provisionals, substitutions, divisionals, reissues, continuations, continuations-in-part (but only to the extent the claims thereof are enabled by disclosure of the parent application), and (d) any patents issuing from any of the foregoing patent applications.</w:t>
      </w:r>
    </w:p>
    <w:p>
      <w:pPr>
        <w:spacing w:after="0" w:line="158"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 particular indication or indications in patients with the disease or indication under study, or that would otherwise satisfy requirements of 21 CFR 312.21(b), or its foreign equivalent.</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that portion of the clinical development program which provides for the continued trials of a Licensed Product on sufficient numbers of patients to establish its safety and efficacy for the desired claims and indications, as more specifically defined by the rules of the FDA or its equivalent and corresponding rules and regulations in other countries and jurisdictions, and the results of which are intended to be used as the basis for the filing of an NDA or equivalent application to obtain approval to market Licensed Products. For the purposes of this Agreement, “initiation of Phase 3 Trial” for a</w:t>
      </w:r>
    </w:p>
    <w:p>
      <w:pPr>
        <w:spacing w:after="0" w:line="116" w:lineRule="exact"/>
        <w:rPr>
          <w:sz w:val="20"/>
          <w:szCs w:val="20"/>
          <w:color w:val="auto"/>
        </w:rPr>
      </w:pPr>
    </w:p>
    <w:p>
      <w:pPr>
        <w:ind w:left="586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47" w:name="page648"/>
    <w:bookmarkEnd w:id="6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Licensed Product means the first dosing of such Licensed Product in a human patient in a Phase 3 Trial.</w:t>
      </w:r>
    </w:p>
    <w:p>
      <w:pPr>
        <w:spacing w:after="0" w:line="221"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licensed by licensee to make, or sell any Licensed Product or use any Licensed Methods in accordance with the terms of this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of the world where Patent Rights exist.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other than ANAPTYS and MRC and their respective Affiliates.</w:t>
      </w:r>
    </w:p>
    <w:p>
      <w:pPr>
        <w:spacing w:after="0" w:line="252" w:lineRule="exact"/>
        <w:rPr>
          <w:sz w:val="20"/>
          <w:szCs w:val="20"/>
          <w:color w:val="auto"/>
        </w:rPr>
      </w:pPr>
    </w:p>
    <w:p>
      <w:pPr>
        <w:ind w:left="460" w:hanging="452"/>
        <w:spacing w:after="0"/>
        <w:tabs>
          <w:tab w:leader="none" w:pos="460"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GRANT</w:t>
      </w:r>
    </w:p>
    <w:p>
      <w:pPr>
        <w:spacing w:after="0" w:line="225"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License.</w:t>
      </w:r>
      <w:r>
        <w:rPr>
          <w:rFonts w:ascii="Arial" w:cs="Arial" w:eastAsia="Arial" w:hAnsi="Arial"/>
          <w:sz w:val="16"/>
          <w:szCs w:val="16"/>
          <w:color w:val="auto"/>
        </w:rPr>
        <w:t xml:space="preserve"> MRC hereby grants ANAPTYS an exclusive, royalty-bearing license, including the right to grant sublicenses, under the Patent Rights to make, have made, use, sell, have sold, offer for sale and import Licensed Products and to practice Licensed Methods in the Territory (the “License”).</w:t>
      </w:r>
    </w:p>
    <w:p>
      <w:pPr>
        <w:spacing w:after="0" w:line="11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Technology Transfer.</w:t>
      </w:r>
      <w:r>
        <w:rPr>
          <w:rFonts w:ascii="Arial" w:cs="Arial" w:eastAsia="Arial" w:hAnsi="Arial"/>
          <w:sz w:val="18"/>
          <w:szCs w:val="18"/>
          <w:color w:val="auto"/>
        </w:rPr>
        <w:t xml:space="preserve"> Within fifteen (15) calendar days after the Effective Date, MRC will transfer sufficient quantities of relevant cell lines and other Materials listed on Exhibit C (attached hereto) relating to or necessary to enable Anaptys to use the Licensed Products and implement the Licensed Methods at their facilities.</w:t>
      </w:r>
    </w:p>
    <w:p>
      <w:pPr>
        <w:spacing w:after="0" w:line="176"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Retention of Rights.</w:t>
      </w:r>
      <w:r>
        <w:rPr>
          <w:rFonts w:ascii="Arial" w:cs="Arial" w:eastAsia="Arial" w:hAnsi="Arial"/>
          <w:sz w:val="18"/>
          <w:szCs w:val="18"/>
          <w:color w:val="auto"/>
        </w:rPr>
        <w:t xml:space="preserve"> MRC retains the right under the Patent Rights to use the Licensed Methods solely for academic research including with academic collaborators. Provided however, that the any such use is:</w:t>
      </w:r>
    </w:p>
    <w:p>
      <w:pPr>
        <w:spacing w:after="0" w:line="166" w:lineRule="exact"/>
        <w:rPr>
          <w:sz w:val="20"/>
          <w:szCs w:val="20"/>
          <w:color w:val="auto"/>
        </w:rPr>
      </w:pPr>
    </w:p>
    <w:p>
      <w:pPr>
        <w:ind w:left="1160" w:hanging="239"/>
        <w:spacing w:after="0"/>
        <w:tabs>
          <w:tab w:leader="none" w:pos="116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not supported by a commercial entity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not in support of any commercial activity and</w:t>
      </w:r>
    </w:p>
    <w:p>
      <w:pPr>
        <w:spacing w:after="0" w:line="225" w:lineRule="exact"/>
        <w:rPr>
          <w:rFonts w:ascii="Arial" w:cs="Arial" w:eastAsia="Arial" w:hAnsi="Arial"/>
          <w:sz w:val="18"/>
          <w:szCs w:val="18"/>
          <w:color w:val="auto"/>
        </w:rPr>
      </w:pPr>
    </w:p>
    <w:p>
      <w:pPr>
        <w:ind w:firstLine="921"/>
        <w:spacing w:after="0" w:line="289" w:lineRule="auto"/>
        <w:tabs>
          <w:tab w:leader="none" w:pos="1158" w:val="left"/>
        </w:tabs>
        <w:numPr>
          <w:ilvl w:val="0"/>
          <w:numId w:val="563"/>
        </w:numPr>
        <w:rPr>
          <w:rFonts w:ascii="Arial" w:cs="Arial" w:eastAsia="Arial" w:hAnsi="Arial"/>
          <w:sz w:val="16"/>
          <w:szCs w:val="16"/>
          <w:color w:val="auto"/>
        </w:rPr>
      </w:pPr>
      <w:r>
        <w:rPr>
          <w:rFonts w:ascii="Arial" w:cs="Arial" w:eastAsia="Arial" w:hAnsi="Arial"/>
          <w:sz w:val="16"/>
          <w:szCs w:val="16"/>
          <w:color w:val="auto"/>
        </w:rPr>
        <w:t>MRC or its academic collaborators shall disclose to ANAPTYS’ all protein products directly generated using the Licensed Methods. MRC, and where appropriate its academic collaborators (if any), and ANAPTYS shall jointly determine whether or not to commercialize each such identified protein product on a case-by-case basis. Notwithstanding such decision, ANAPTYS shall have the first right of refusal to negotiate an exclusive license to commercialize the identified protein products. ANAPTYS shall have one hundred and eighty (180) days after the disclosure of each identified protein product to ANAPTYS to exercise its option and to begin good faith negotiations. If ANAPTYS does not notify MRC, in writing, of its intention to enter into such discussions before such one hundred and eighty (180) day period has expired, MRC and/or its academic collaborators may proceed to commercialize the corresponding identified protein product. To avoid doubt, apart from any delay that may be reasonably required to obtain appropriate intellectual property protection with respect to the results arising from the research conducted under this Section 2.3, any decision to commercialize and/or license an identified protein product shall not prevent or delay the timely publication of such results by the MRC and/or their academic collaborators.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48" w:name="page649"/>
    <w:bookmarkEnd w:id="648"/>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6"/>
          <w:szCs w:val="16"/>
          <w:b w:val="1"/>
          <w:bCs w:val="1"/>
          <w:color w:val="auto"/>
        </w:rPr>
        <w:t>Limited use of antibodies for HIV Project by Global HIV Vaccine Enterprise.</w:t>
      </w:r>
      <w:r>
        <w:rPr>
          <w:rFonts w:ascii="Arial" w:cs="Arial" w:eastAsia="Arial" w:hAnsi="Arial"/>
          <w:sz w:val="16"/>
          <w:szCs w:val="16"/>
          <w:color w:val="auto"/>
        </w:rPr>
        <w:t xml:space="preserve"> Notwithstanding the above, ANAPTYS hereby agrees that, in support of and pursuant to MRC’s participation in the collaborative HIV project funded by the Bill and Melinda Gates Foundation, and subject to prior notification to ANAPTYS by the MRC, the MRC may grant certain and limited rights solely to the use of the Licensed Methods for future development of HIV antigen-based vaccines. Unless otherwise agreed to by the Parties, these rights will be strictly limited to the use of antibodies generated by MRC or other members of said HIV project consortium, to identify HIV epitopes which will then be used to develop and/or use, but not be incorporated into, as said HIV vaccines. For clarification, any rights granted hereunder or in any subsequent agreement contemplated below will not extend to any other use of the antibodies generated through this program, including but not limited to use as a vaccine or use as a therapeutic or prophylactic agent. ANAPTYS recognises that the Bill and Melinda Gates Foundation is providing said funding in furtherance of their charitable objective to ensure access to affordable health solutions resulting from said project for the benefit of people most in need within Developing Countries. Therefore, in recognition of such charitable objective, ANAPTYS agrees that the rights to such anti-HIV antibodies, solely for the limited purpose of identifying epitopes for HIV vaccines and as reasonably needed to use such epitope(s) as vaccine(s), will be granted free of consideration where such vaccines are for use in people most in need within Developing Countries. If necessary to ensure development of vaccines for such use in Developing Countries, with ANAPTYS’ prior written consent on a case-by-case basis, such rights may be extended on royalty free or minimal royalty basis where it is necessary for such vaccines to be made in other than Developing Countries for eventual use in Developing Countries. To avoid doubt, ANAPTYS shall be free to set other terms and conditions in respect of such rights, provided such terms and conditions are consistent with achieving said charitable objective. Any request made to the MRC to use such HIV antibodies for the development and/or use of said HIV vaccines outside of said HIV Project shall be referred to ANAPTYS. To avoid doubt, the MRC shall not be involved in negotiations between ANAPTYS and any third party wishing to use such anti-HIV antibodies for any purpose related to, but outside of, the collaborative HIV project. Notwithstanding the above, no rights are extended or reserved for the use of any antibodies, as quid pro quo or otherwise, for any developer to make vaccines available without ANAPTYS’ prior written approval on a case-by-case basis.</w:t>
      </w:r>
    </w:p>
    <w:p>
      <w:pPr>
        <w:spacing w:after="0" w:line="200" w:lineRule="exact"/>
        <w:rPr>
          <w:sz w:val="20"/>
          <w:szCs w:val="20"/>
          <w:color w:val="auto"/>
        </w:rPr>
      </w:pPr>
    </w:p>
    <w:p>
      <w:pPr>
        <w:spacing w:after="0" w:line="216" w:lineRule="exact"/>
        <w:rPr>
          <w:sz w:val="20"/>
          <w:szCs w:val="20"/>
          <w:color w:val="auto"/>
        </w:rPr>
      </w:pPr>
    </w:p>
    <w:p>
      <w:pPr>
        <w:ind w:left="460" w:hanging="452"/>
        <w:spacing w:after="0"/>
        <w:tabs>
          <w:tab w:leader="none" w:pos="46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EFFORTS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Diligence.</w:t>
      </w:r>
      <w:r>
        <w:rPr>
          <w:rFonts w:ascii="Arial" w:cs="Arial" w:eastAsia="Arial" w:hAnsi="Arial"/>
          <w:sz w:val="17"/>
          <w:szCs w:val="17"/>
          <w:color w:val="auto"/>
        </w:rPr>
        <w:t xml:space="preserve"> ANAPTYS will work to identify, research and/or develop Licensed Methods and Licensed Products for purposes of commercializing such products and methods at least as diligently as ANAPTYS researches and/or develops its products and methods of similar probability of technical success, market / commercial potential and stages of development. Failure by the ANAPTYS to meets its diligence obligation above due to reasons beyond ANAPTYS’ control, (including, without limitation, force majeure and/or lack of technical success of Licensed Products, or Licensed Methods if applicable) will not constitute lack of due diligence for purposes of this Agreement (“Commercially Reasonable Efforts”).</w:t>
      </w:r>
    </w:p>
    <w:p>
      <w:pPr>
        <w:spacing w:after="0" w:line="16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Within sixty (60) days following the first anniversary of the Effective Date, ANAPTYS will provide MRC with annual progress reports which will include a budget and a summary plan for the development of Licensed Products and/or Licensed Methods.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49" w:name="page650"/>
    <w:bookmarkEnd w:id="6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8"/>
          <w:szCs w:val="18"/>
          <w:b w:val="1"/>
          <w:bCs w:val="1"/>
          <w:color w:val="auto"/>
        </w:rPr>
        <w:t>Milestones.</w:t>
      </w:r>
      <w:r>
        <w:rPr>
          <w:rFonts w:ascii="Arial" w:cs="Arial" w:eastAsia="Arial" w:hAnsi="Arial"/>
          <w:sz w:val="18"/>
          <w:szCs w:val="18"/>
          <w:color w:val="auto"/>
        </w:rPr>
        <w:t xml:space="preserve"> ANAPTYS will obtain financing of at least $[*] by [*]. ANAPTYS will enter into at least [*] with another entity by [*].</w:t>
      </w:r>
    </w:p>
    <w:p>
      <w:pPr>
        <w:spacing w:after="0" w:line="252" w:lineRule="exact"/>
        <w:rPr>
          <w:sz w:val="20"/>
          <w:szCs w:val="20"/>
          <w:color w:val="auto"/>
        </w:rPr>
      </w:pPr>
    </w:p>
    <w:p>
      <w:pPr>
        <w:ind w:left="460" w:hanging="452"/>
        <w:spacing w:after="0"/>
        <w:tabs>
          <w:tab w:leader="none" w:pos="46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REPORTS</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License Issue Fee.</w:t>
      </w:r>
      <w:r>
        <w:rPr>
          <w:rFonts w:ascii="Arial" w:cs="Arial" w:eastAsia="Arial" w:hAnsi="Arial"/>
          <w:sz w:val="18"/>
          <w:szCs w:val="18"/>
          <w:color w:val="auto"/>
        </w:rPr>
        <w:t xml:space="preserve"> Within [*] days following the Effective Date, ANAPTYS will issue to MRC [*] shares of common ANAPTYS stock, and will pay to MRC $[*] as a one time License Issue Fee.</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License Maintenance Fee.</w:t>
      </w:r>
      <w:r>
        <w:rPr>
          <w:rFonts w:ascii="Arial" w:cs="Arial" w:eastAsia="Arial" w:hAnsi="Arial"/>
          <w:sz w:val="18"/>
          <w:szCs w:val="18"/>
          <w:color w:val="auto"/>
        </w:rPr>
        <w:t xml:space="preserve"> Following the [*] anniversary of the Effective Date and thereafter on the anniversary of the Effective Date and until the First Commercial Sale of Licensed Products, ANAPTYS will pay MRC an annual License Maintenance fee of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Royalties.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ANAPTYS will pay MRC royalties as follows:</w:t>
      </w:r>
    </w:p>
    <w:p>
      <w:pPr>
        <w:spacing w:after="0" w:line="221" w:lineRule="exact"/>
        <w:rPr>
          <w:sz w:val="20"/>
          <w:szCs w:val="20"/>
          <w:color w:val="auto"/>
        </w:rPr>
      </w:pPr>
    </w:p>
    <w:p>
      <w:pPr>
        <w:ind w:left="1940" w:right="8320" w:hanging="448"/>
        <w:spacing w:after="0" w:line="501" w:lineRule="auto"/>
        <w:tabs>
          <w:tab w:leader="none" w:pos="1698" w:val="left"/>
        </w:tabs>
        <w:numPr>
          <w:ilvl w:val="0"/>
          <w:numId w:val="566"/>
        </w:numPr>
        <w:rPr>
          <w:rFonts w:ascii="Arial" w:cs="Arial" w:eastAsia="Arial" w:hAnsi="Arial"/>
          <w:sz w:val="18"/>
          <w:szCs w:val="18"/>
          <w:color w:val="auto"/>
        </w:rPr>
      </w:pPr>
      <w:r>
        <w:rPr>
          <w:rFonts w:ascii="Arial" w:cs="Arial" w:eastAsia="Arial" w:hAnsi="Arial"/>
          <w:sz w:val="18"/>
          <w:szCs w:val="18"/>
          <w:b w:val="1"/>
          <w:bCs w:val="1"/>
          <w:color w:val="auto"/>
        </w:rPr>
        <w:t xml:space="preserve">Licensed Methods </w:t>
      </w:r>
      <w:r>
        <w:rPr>
          <w:rFonts w:ascii="Arial" w:cs="Arial" w:eastAsia="Arial" w:hAnsi="Arial"/>
          <w:sz w:val="18"/>
          <w:szCs w:val="18"/>
          <w:color w:val="auto"/>
        </w:rPr>
        <w:t>[*]</w:t>
      </w:r>
    </w:p>
    <w:p>
      <w:pPr>
        <w:ind w:left="1940" w:right="4060" w:hanging="448"/>
        <w:spacing w:after="0" w:line="501" w:lineRule="auto"/>
        <w:tabs>
          <w:tab w:leader="none" w:pos="1748" w:val="left"/>
        </w:tabs>
        <w:numPr>
          <w:ilvl w:val="0"/>
          <w:numId w:val="566"/>
        </w:numPr>
        <w:rPr>
          <w:rFonts w:ascii="Arial" w:cs="Arial" w:eastAsia="Arial" w:hAnsi="Arial"/>
          <w:sz w:val="18"/>
          <w:szCs w:val="18"/>
          <w:color w:val="auto"/>
        </w:rPr>
      </w:pPr>
      <w:r>
        <w:rPr>
          <w:rFonts w:ascii="Arial" w:cs="Arial" w:eastAsia="Arial" w:hAnsi="Arial"/>
          <w:sz w:val="18"/>
          <w:szCs w:val="18"/>
          <w:b w:val="1"/>
          <w:bCs w:val="1"/>
          <w:color w:val="auto"/>
        </w:rPr>
        <w:t xml:space="preserve">Licensed Products </w:t>
      </w:r>
      <w:r>
        <w:rPr>
          <w:rFonts w:ascii="Arial" w:cs="Arial" w:eastAsia="Arial" w:hAnsi="Arial"/>
          <w:sz w:val="18"/>
          <w:szCs w:val="18"/>
          <w:color w:val="auto"/>
        </w:rPr>
        <w:t>for therapeutic or prophylactic uses in humans or animals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ind w:left="1800" w:hanging="308"/>
        <w:spacing w:after="0"/>
        <w:tabs>
          <w:tab w:leader="none" w:pos="1800" w:val="left"/>
        </w:tabs>
        <w:numPr>
          <w:ilvl w:val="0"/>
          <w:numId w:val="566"/>
        </w:numPr>
        <w:rPr>
          <w:rFonts w:ascii="Arial" w:cs="Arial" w:eastAsia="Arial" w:hAnsi="Arial"/>
          <w:sz w:val="18"/>
          <w:szCs w:val="18"/>
          <w:color w:val="auto"/>
        </w:rPr>
      </w:pPr>
      <w:r>
        <w:rPr>
          <w:rFonts w:ascii="Arial" w:cs="Arial" w:eastAsia="Arial" w:hAnsi="Arial"/>
          <w:sz w:val="18"/>
          <w:szCs w:val="18"/>
          <w:b w:val="1"/>
          <w:bCs w:val="1"/>
          <w:color w:val="auto"/>
        </w:rPr>
        <w:t xml:space="preserve">Licensed Products </w:t>
      </w:r>
      <w:r>
        <w:rPr>
          <w:rFonts w:ascii="Arial" w:cs="Arial" w:eastAsia="Arial" w:hAnsi="Arial"/>
          <w:sz w:val="18"/>
          <w:szCs w:val="18"/>
          <w:color w:val="auto"/>
        </w:rPr>
        <w:t>for non-therapeutic uses:</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80" w:hanging="259"/>
        <w:spacing w:after="0"/>
        <w:tabs>
          <w:tab w:leader="none" w:pos="11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All royalties payable under this Section 4.3 shall be subject to the following conditions:</w:t>
      </w:r>
    </w:p>
    <w:p>
      <w:pPr>
        <w:spacing w:after="0" w:line="225" w:lineRule="exact"/>
        <w:rPr>
          <w:rFonts w:ascii="Arial" w:cs="Arial" w:eastAsia="Arial" w:hAnsi="Arial"/>
          <w:sz w:val="18"/>
          <w:szCs w:val="18"/>
          <w:color w:val="auto"/>
        </w:rPr>
      </w:pPr>
    </w:p>
    <w:p>
      <w:pPr>
        <w:jc w:val="both"/>
        <w:ind w:right="20" w:firstLine="1492"/>
        <w:spacing w:after="0" w:line="264" w:lineRule="auto"/>
        <w:tabs>
          <w:tab w:leader="none" w:pos="1698" w:val="left"/>
        </w:tabs>
        <w:numPr>
          <w:ilvl w:val="1"/>
          <w:numId w:val="567"/>
        </w:numPr>
        <w:rPr>
          <w:rFonts w:ascii="Arial" w:cs="Arial" w:eastAsia="Arial" w:hAnsi="Arial"/>
          <w:sz w:val="18"/>
          <w:szCs w:val="18"/>
          <w:color w:val="auto"/>
        </w:rPr>
      </w:pPr>
      <w:r>
        <w:rPr>
          <w:rFonts w:ascii="Arial" w:cs="Arial" w:eastAsia="Arial" w:hAnsi="Arial"/>
          <w:sz w:val="18"/>
          <w:szCs w:val="18"/>
          <w:color w:val="auto"/>
        </w:rPr>
        <w:t>No multiple royalties shall be owed because the use or sale of any Licensed Product or Licensed Methods is covered by more than one valid and unexpired claim contained in the Patent Rights. For clarification, royalties shall only be owed either for a Licensed Product or Licensed Method and solely based upon one of the following sections: 4.3(a)(i) or 4.3(a)(ii) or 4.3(a)(iii) above.</w:t>
      </w:r>
    </w:p>
    <w:p>
      <w:pPr>
        <w:spacing w:after="0" w:line="181" w:lineRule="exact"/>
        <w:rPr>
          <w:rFonts w:ascii="Arial" w:cs="Arial" w:eastAsia="Arial" w:hAnsi="Arial"/>
          <w:sz w:val="18"/>
          <w:szCs w:val="18"/>
          <w:color w:val="auto"/>
        </w:rPr>
      </w:pPr>
    </w:p>
    <w:p>
      <w:pPr>
        <w:ind w:right="60" w:firstLine="1492"/>
        <w:spacing w:after="0" w:line="257" w:lineRule="auto"/>
        <w:tabs>
          <w:tab w:leader="none" w:pos="1748" w:val="left"/>
        </w:tabs>
        <w:numPr>
          <w:ilvl w:val="1"/>
          <w:numId w:val="567"/>
        </w:numPr>
        <w:rPr>
          <w:rFonts w:ascii="Arial" w:cs="Arial" w:eastAsia="Arial" w:hAnsi="Arial"/>
          <w:sz w:val="18"/>
          <w:szCs w:val="18"/>
          <w:color w:val="auto"/>
        </w:rPr>
      </w:pPr>
      <w:r>
        <w:rPr>
          <w:rFonts w:ascii="Arial" w:cs="Arial" w:eastAsia="Arial" w:hAnsi="Arial"/>
          <w:sz w:val="18"/>
          <w:szCs w:val="18"/>
          <w:color w:val="auto"/>
        </w:rPr>
        <w:t>If ANAPTYS, its affiliate or its Sublicensee is required to obtain a license or patent rights from one or more independent third parties in order to make, have made, use, have used, sell, have sold, offer for sale, import or have imported Licensed Products or Licensed Methods without infringement of such patents, and if the total royalty burden (including royalties payable to MRC) for such Licensed Products or Licensed Methods exceeds, [*], then the royalty rate applicable to Net Sales of such Licensed Product or Licensed Method by ANAPTYS, its affiliates and its Sublicensees payable to MRC shall be adjusted as follows:</w:t>
      </w:r>
    </w:p>
    <w:p>
      <w:pPr>
        <w:spacing w:after="0" w:line="117"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50" w:name="page651"/>
    <w:bookmarkEnd w:id="650"/>
    <w:p>
      <w:pPr>
        <w:ind w:right="340" w:firstLine="1948"/>
        <w:spacing w:after="0" w:line="277" w:lineRule="auto"/>
        <w:tabs>
          <w:tab w:leader="none" w:pos="2195" w:val="left"/>
        </w:tabs>
        <w:numPr>
          <w:ilvl w:val="0"/>
          <w:numId w:val="5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Licensed Products for therapeutic or prophylactic uses in humans or animals, the royalty rate applicable to Net Sales of such Licensed Product shall be adjusted to the rate determined by [*].</w:t>
      </w:r>
    </w:p>
    <w:p>
      <w:pPr>
        <w:spacing w:after="0" w:line="170" w:lineRule="exact"/>
        <w:rPr>
          <w:rFonts w:ascii="Arial" w:cs="Arial" w:eastAsia="Arial" w:hAnsi="Arial"/>
          <w:sz w:val="18"/>
          <w:szCs w:val="18"/>
          <w:color w:val="auto"/>
        </w:rPr>
      </w:pPr>
    </w:p>
    <w:p>
      <w:pPr>
        <w:ind w:right="460" w:firstLine="1948"/>
        <w:spacing w:after="0" w:line="277" w:lineRule="auto"/>
        <w:tabs>
          <w:tab w:leader="none" w:pos="219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For Licensed Products for non-therapeutic uses, the royalty rate applicable to Net Sales of such Licensed Product shall be adjusted to the rate determined by [*].</w:t>
      </w:r>
    </w:p>
    <w:p>
      <w:pPr>
        <w:spacing w:after="0" w:line="170" w:lineRule="exact"/>
        <w:rPr>
          <w:rFonts w:ascii="Arial" w:cs="Arial" w:eastAsia="Arial" w:hAnsi="Arial"/>
          <w:sz w:val="18"/>
          <w:szCs w:val="18"/>
          <w:color w:val="auto"/>
        </w:rPr>
      </w:pPr>
    </w:p>
    <w:p>
      <w:pPr>
        <w:ind w:right="300" w:firstLine="1948"/>
        <w:spacing w:after="0" w:line="277" w:lineRule="auto"/>
        <w:tabs>
          <w:tab w:leader="none" w:pos="219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For Licensed Methods, the royalty rate applicable to Net Sales of such Licensed Method for the first [*] years following the First Commercial Service Activity shall be adjusted to the rate determined by [*].</w:t>
      </w:r>
    </w:p>
    <w:p>
      <w:pPr>
        <w:spacing w:after="0" w:line="170" w:lineRule="exact"/>
        <w:rPr>
          <w:rFonts w:ascii="Arial" w:cs="Arial" w:eastAsia="Arial" w:hAnsi="Arial"/>
          <w:sz w:val="18"/>
          <w:szCs w:val="18"/>
          <w:color w:val="auto"/>
        </w:rPr>
      </w:pPr>
    </w:p>
    <w:p>
      <w:pPr>
        <w:ind w:right="260" w:firstLine="1948"/>
        <w:spacing w:after="0" w:line="277" w:lineRule="auto"/>
        <w:tabs>
          <w:tab w:leader="none" w:pos="219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For Licensed Methods, the royalty rate applicable to Net Sales of such Licensed Method after the end of the [*] year of First Commercial Service Activity as below shall be adjusted to the rate determined by [*];</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provided that (i) in the case of any royalty due on services using Licensed Methods [*], and (ii) any royalty due on services using Licensed Methods, [*]. In no event, however, shall the royalty rate payable to MRC for any Licensed Product, or Licensed Method be reduced by greater than [*]% of the royalty rate otherwise due to the MRC under this provision.</w:t>
      </w:r>
    </w:p>
    <w:p>
      <w:pPr>
        <w:spacing w:after="0" w:line="181" w:lineRule="exact"/>
        <w:rPr>
          <w:sz w:val="20"/>
          <w:szCs w:val="20"/>
          <w:color w:val="auto"/>
        </w:rPr>
      </w:pPr>
    </w:p>
    <w:p>
      <w:pPr>
        <w:ind w:firstLine="1492"/>
        <w:spacing w:after="0" w:line="257" w:lineRule="auto"/>
        <w:tabs>
          <w:tab w:leader="none" w:pos="1798" w:val="left"/>
        </w:tabs>
        <w:numPr>
          <w:ilvl w:val="0"/>
          <w:numId w:val="569"/>
        </w:numPr>
        <w:rPr>
          <w:rFonts w:ascii="Arial" w:cs="Arial" w:eastAsia="Arial" w:hAnsi="Arial"/>
          <w:sz w:val="18"/>
          <w:szCs w:val="18"/>
          <w:color w:val="auto"/>
        </w:rPr>
      </w:pPr>
      <w:r>
        <w:rPr>
          <w:rFonts w:ascii="Arial" w:cs="Arial" w:eastAsia="Arial" w:hAnsi="Arial"/>
          <w:sz w:val="18"/>
          <w:szCs w:val="18"/>
          <w:color w:val="auto"/>
        </w:rPr>
        <w:t>In the case of any combination product, Net Sales for such Combination Product shall be calculated by multiplying actual Net Sales of such combination product by the fraction A/(A+B) where A is the invoice price of the Licensed Product if sold separately, and B is the total invoice price of the other active ingredient or ingredients in the combination product, if sold separately. If neither the Licensed Product nor the other active ingredient(s) are sold separately, the Parties shall determine Net Sales for such combination product by mutual agreement based on the relative contribution of the Licensed Product and each other active ingredient to the combination product.</w:t>
      </w:r>
    </w:p>
    <w:p>
      <w:pPr>
        <w:spacing w:after="0" w:line="188" w:lineRule="exact"/>
        <w:rPr>
          <w:rFonts w:ascii="Arial" w:cs="Arial" w:eastAsia="Arial" w:hAnsi="Arial"/>
          <w:sz w:val="18"/>
          <w:szCs w:val="18"/>
          <w:color w:val="auto"/>
        </w:rPr>
      </w:pPr>
    </w:p>
    <w:p>
      <w:pPr>
        <w:ind w:right="280" w:firstLine="1492"/>
        <w:spacing w:after="0" w:line="302" w:lineRule="auto"/>
        <w:tabs>
          <w:tab w:leader="none" w:pos="1788" w:val="left"/>
        </w:tabs>
        <w:numPr>
          <w:ilvl w:val="0"/>
          <w:numId w:val="569"/>
        </w:numPr>
        <w:rPr>
          <w:rFonts w:ascii="Arial" w:cs="Arial" w:eastAsia="Arial" w:hAnsi="Arial"/>
          <w:sz w:val="16"/>
          <w:szCs w:val="16"/>
          <w:color w:val="auto"/>
        </w:rPr>
      </w:pPr>
      <w:r>
        <w:rPr>
          <w:rFonts w:ascii="Arial" w:cs="Arial" w:eastAsia="Arial" w:hAnsi="Arial"/>
          <w:sz w:val="16"/>
          <w:szCs w:val="16"/>
          <w:color w:val="auto"/>
        </w:rPr>
        <w:t>In the event that any patent or claim thereof included within the Patent Rights is held invalid in a final decision by a court of competent jurisdiction and last resort and from which no appeal has or can be taken, or has been pending for more than [*] years without issuance, then all obligation to pay royalties based on that patent or claim or any claim patentably indistinct there from will cease as of the date of final decision or [*] year anniversary. ANAPTYS will not, however, be relieved from paying any royalties that accrued before such final decision or anniversary.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Minimum Annual Royalties</w:t>
      </w:r>
    </w:p>
    <w:p>
      <w:pPr>
        <w:spacing w:after="0" w:line="229" w:lineRule="exact"/>
        <w:rPr>
          <w:sz w:val="20"/>
          <w:szCs w:val="20"/>
          <w:color w:val="auto"/>
        </w:rPr>
      </w:pPr>
    </w:p>
    <w:p>
      <w:pPr>
        <w:ind w:left="1160" w:hanging="239"/>
        <w:spacing w:after="0"/>
        <w:tabs>
          <w:tab w:leader="none" w:pos="116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On the [*] anniversary of the First Commercial Sale of Licensed Products, and annually thereafter, ANAPTYS shall pay $[*] to the MRC.</w:t>
      </w:r>
    </w:p>
    <w:p>
      <w:pPr>
        <w:spacing w:after="0" w:line="236" w:lineRule="exact"/>
        <w:rPr>
          <w:rFonts w:ascii="Arial" w:cs="Arial" w:eastAsia="Arial" w:hAnsi="Arial"/>
          <w:sz w:val="17"/>
          <w:szCs w:val="17"/>
          <w:color w:val="auto"/>
        </w:rPr>
      </w:pPr>
    </w:p>
    <w:p>
      <w:pPr>
        <w:ind w:right="220" w:firstLine="921"/>
        <w:spacing w:after="0" w:line="264" w:lineRule="auto"/>
        <w:tabs>
          <w:tab w:leader="none" w:pos="116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All minimum annual royalty payments shall be creditable against future royalties due to MRC as follows: where actual royalty owed is less than $[*], then the difference ($[*] minus the actual amount owed) may be credited against any future royalty payments owed in excess of the minimum royalty in any one year for a period of [*] years. That is, such amount</w:t>
      </w:r>
    </w:p>
    <w:p>
      <w:pPr>
        <w:spacing w:after="0" w:line="110"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51" w:name="page652"/>
    <w:bookmarkEnd w:id="651"/>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not be credited against minimum royalty payments such that the minimum royalty payment of $[*] will be payable for any year actual royalties are less than $[*].</w:t>
      </w:r>
    </w:p>
    <w:p>
      <w:pPr>
        <w:spacing w:after="0" w:line="16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Milestone Payments.</w:t>
      </w:r>
      <w:r>
        <w:rPr>
          <w:rFonts w:ascii="Arial" w:cs="Arial" w:eastAsia="Arial" w:hAnsi="Arial"/>
          <w:sz w:val="18"/>
          <w:szCs w:val="18"/>
          <w:color w:val="auto"/>
        </w:rPr>
        <w:t xml:space="preserve"> ANAPTYS will pay to MRC the following milestone payments on Licensed Products upon achievement of the milestones by the ANAPTYS, its affiliates, or their respective Sublicensees. Each of the milestone payments below shall be payable one time per Licensed Product that achieves any such milestone.</w:t>
      </w:r>
    </w:p>
    <w:p>
      <w:pPr>
        <w:spacing w:after="0" w:line="180" w:lineRule="exact"/>
        <w:rPr>
          <w:sz w:val="20"/>
          <w:szCs w:val="20"/>
          <w:color w:val="auto"/>
        </w:rPr>
      </w:pPr>
    </w:p>
    <w:p>
      <w:pPr>
        <w:ind w:left="1160" w:hanging="239"/>
        <w:spacing w:after="0"/>
        <w:tabs>
          <w:tab w:leader="none" w:pos="116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Sublicense Fee.</w:t>
      </w:r>
      <w:r>
        <w:rPr>
          <w:rFonts w:ascii="Arial" w:cs="Arial" w:eastAsia="Arial" w:hAnsi="Arial"/>
          <w:sz w:val="18"/>
          <w:szCs w:val="18"/>
          <w:color w:val="auto"/>
        </w:rPr>
        <w:t xml:space="preserve"> ANAPTYS will initially pay to MRC a sub-licensing fee of $[*] upon execution of a sub-license to another party of the Patent Rights under this Agreement for any sub-license executed prior to [*]. Subsequent to [*] the sub-licensing fee payable upon execution of a sub-license to another party of the Patent Rights under this Agreement will be $[*].</w:t>
      </w:r>
    </w:p>
    <w:p>
      <w:pPr>
        <w:spacing w:after="0" w:line="203" w:lineRule="exact"/>
        <w:rPr>
          <w:sz w:val="20"/>
          <w:szCs w:val="20"/>
          <w:color w:val="auto"/>
        </w:rPr>
      </w:pPr>
    </w:p>
    <w:p>
      <w:pPr>
        <w:ind w:left="460" w:hanging="452"/>
        <w:spacing w:after="0"/>
        <w:tabs>
          <w:tab w:leader="none" w:pos="460"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5.1 Payment of the royalties and other payments specified in Section 4, will be made by ANAPTYS to the MRC within [*] days after [*] of each year during the term of this Agreement (“Payment Period”) covering the quantity of Licensed Products sold by ANAPTYS, its Affiliates and/or Sublicensees, as appropriate, during the preceding Payment Period or Licensed Methods. After termination or expiration of this Agreement, a final payment will be made by ANAPTYS covering the whole or partial Payment Period. Each annual payment will be accompanied by a written statement of Net Sales of Licensed Products by ANAPTYS, its Affiliates and/or Sublicensees, as appropriate. Such written statements will be duly signed by an authorized officer of ANAPTYS on behalf of ANAPTYS and will show the Net Sales of Licensed Products by ANAPTYS, its Affiliates and/or Sublicensees, as appropriate, during such Payment Period and the amount of royalties payable under this Agreement based thereon.</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5.2 Such amount shall be determined from the books and records of ANAPTYS, maintained in accordance with U.S. Generally Accepted Accounting Principles. ANAPTYS shall be entitled to deduct the amount of any withholding taxes, value-added taxes or other taxes, levies or charges with respect to such amounts, other than United States taxes, payable by ANAPTYS, or any taxes required to be withheld by ANAPTYS, to the extent ANAPTYS pays to the appropriate governmental authority on behalf of MRC such taxes, levies or charges. ANAPTYS shall use reasonable efforts to minimize any such taxes, levies or charges required to be withheld on behalf of MRC by ANAPTYS. ANAPTYS promptly shall deliver to MRC proof</w:t>
      </w:r>
    </w:p>
    <w:p>
      <w:pPr>
        <w:spacing w:after="0" w:line="101"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652" w:name="page653"/>
    <w:bookmarkEnd w:id="652"/>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payment of all such taxes, levies and other charges, together with copies of all communications from or with such governmental authority with respect thereto.</w:t>
      </w:r>
    </w:p>
    <w:p>
      <w:pPr>
        <w:spacing w:after="0" w:line="16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Form of Payment.</w:t>
      </w:r>
      <w:r>
        <w:rPr>
          <w:rFonts w:ascii="Arial" w:cs="Arial" w:eastAsia="Arial" w:hAnsi="Arial"/>
          <w:sz w:val="18"/>
          <w:szCs w:val="18"/>
          <w:color w:val="auto"/>
        </w:rPr>
        <w:t xml:space="preserve"> All payments due hereunder are expressed in and will be paid by wire transfer or check payable in United States Dollars, without deduction of exchange, collection or other charges, to the MRC, or to the account of the MRC at such other bank as the MRC may from time to time designate by written notice to ANAPTYS.</w:t>
      </w:r>
    </w:p>
    <w:p>
      <w:pPr>
        <w:spacing w:after="0" w:line="176" w:lineRule="exact"/>
        <w:rPr>
          <w:sz w:val="20"/>
          <w:szCs w:val="20"/>
          <w:color w:val="auto"/>
        </w:rPr>
      </w:pPr>
    </w:p>
    <w:p>
      <w:pPr>
        <w:jc w:val="both"/>
        <w:ind w:right="500" w:firstLine="456"/>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Exchange Rate.</w:t>
      </w:r>
      <w:r>
        <w:rPr>
          <w:rFonts w:ascii="Arial" w:cs="Arial" w:eastAsia="Arial" w:hAnsi="Arial"/>
          <w:sz w:val="18"/>
          <w:szCs w:val="18"/>
          <w:color w:val="auto"/>
        </w:rPr>
        <w:t xml:space="preserve"> With respect to each quarter, for countries other than the United States, whenever conversion of payments from any foreign currency is required, such conversion will be made at the rate of exchange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of the applicable calendar year.</w:t>
      </w:r>
    </w:p>
    <w:p>
      <w:pPr>
        <w:spacing w:after="0" w:line="17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Records and Inspection.</w:t>
      </w:r>
      <w:r>
        <w:rPr>
          <w:rFonts w:ascii="Arial" w:cs="Arial" w:eastAsia="Arial" w:hAnsi="Arial"/>
          <w:sz w:val="17"/>
          <w:szCs w:val="17"/>
          <w:color w:val="auto"/>
        </w:rPr>
        <w:t xml:space="preserve"> ANAPTYS will maintain or cause to be maintained a true and correct set of records pertaining to the Net Sales of Licensed Products and Licensed Methods by ANAPTYS. During the term of this Agreement and for a period of [*] years thereafter, ANAPTYS agrees to permit an independent certified public accountant selected and paid by the MRC and reasonably accepted to ANAPTYS to have reasonable access during ordinary business hours to such records as are maintained by ANAPTYS as may be necessary, in the opinion of such accountant, to determine the correctness of any report and/or payment made under this Agreement. Such audits may be exercised no more than once in any [*] month period upon at least [*] days prior written notice to ANAPTYS. Should an audit show that payments are [*] percent ([*]%) or more below that reported then ANAPTYS shall reimburse MRC for reasonable direct costs of the audit reimbursed to the auditor.</w:t>
      </w:r>
    </w:p>
    <w:p>
      <w:pPr>
        <w:spacing w:after="0" w:line="199" w:lineRule="exact"/>
        <w:rPr>
          <w:sz w:val="20"/>
          <w:szCs w:val="20"/>
          <w:color w:val="auto"/>
        </w:rPr>
      </w:pPr>
    </w:p>
    <w:p>
      <w:pPr>
        <w:ind w:left="460" w:hanging="452"/>
        <w:spacing w:after="0"/>
        <w:tabs>
          <w:tab w:leader="none" w:pos="46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Prior Patent Costs.</w:t>
      </w:r>
      <w:r>
        <w:rPr>
          <w:rFonts w:ascii="Arial" w:cs="Arial" w:eastAsia="Arial" w:hAnsi="Arial"/>
          <w:sz w:val="16"/>
          <w:szCs w:val="16"/>
          <w:color w:val="auto"/>
        </w:rPr>
        <w:t xml:space="preserve"> ANAPTYS will reimburse MRC for all past patent costs (prior to the Effective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reimbursement for costs incurred prior to the Effective Date shall be payable in installments of $[*] a year, the first payment being due within [*] days of signing, and the subsequent payments being made on each anniversary of the Effective Date over the first [*] years of the license granted under this Agreement, with any outstanding balance paid on the [*] anniversary of the Effective Date. ANAPTYS will also pay all future patent costs incurred from and after the Effective Date for the prosecution and maintenance of the Patent Rights (to the extent such costs have not been previously reimbursed).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Patent Prosecution.</w:t>
      </w:r>
    </w:p>
    <w:p>
      <w:pPr>
        <w:spacing w:after="0" w:line="229" w:lineRule="exact"/>
        <w:rPr>
          <w:sz w:val="20"/>
          <w:szCs w:val="20"/>
          <w:color w:val="auto"/>
        </w:rPr>
      </w:pPr>
    </w:p>
    <w:p>
      <w:pPr>
        <w:ind w:right="40" w:firstLine="921"/>
        <w:spacing w:after="0" w:line="255" w:lineRule="auto"/>
        <w:tabs>
          <w:tab w:leader="none" w:pos="1158"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Within a reasonably practical time following the Effective Date, but in no event not longer than sixty (60) days after such date (“Prosecution Transfer Period”), ANAPTYS shall at its own expense be solely responsible for maintaining and prosecuting the Patent Rights including for the avoidance of doubt all annuity and renewal fees and for the conduct of any claims or proceedings relating to the Patent Rights including any interference, opposition, infringement or revocation proceedings. ANAPTYS shall have sole responsibility for the appointment or otherwise of a patent agent and in deciding upon the scope and geographical extent to which any patent may be filed after written agreement from MRC. During the Prosecution Transfer Period, MRC will be solely responsible for (i) making all payments and</w:t>
      </w:r>
    </w:p>
    <w:p>
      <w:pPr>
        <w:spacing w:after="0" w:line="122"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5" w:right="239" w:bottom="1440" w:gutter="0" w:footer="0" w:header="0"/>
        </w:sectPr>
      </w:pPr>
    </w:p>
    <w:bookmarkStart w:id="653" w:name="page654"/>
    <w:bookmarkEnd w:id="65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maintaining all prosecution such that there are no losses of Patent Rights, (ii) timely transfer all files related to the Patent Rights, and (iii) timely file all documents necessary to affect the transfer to ANAPTYS and enable ANAPTYS to assume its responsibilities under this Section 6.2. For avoidance of doubt, ANAPTYS will pay all costs incurred by MRC during the Prosecution Transfer Period for the prosecution and maintenance of the Patent Rights (to the extent such costs have not been previously reimbursed).</w:t>
      </w:r>
    </w:p>
    <w:p>
      <w:pPr>
        <w:spacing w:after="0" w:line="187" w:lineRule="exact"/>
        <w:rPr>
          <w:sz w:val="20"/>
          <w:szCs w:val="20"/>
          <w:color w:val="auto"/>
        </w:rPr>
      </w:pPr>
    </w:p>
    <w:p>
      <w:pPr>
        <w:ind w:right="80" w:firstLine="921"/>
        <w:spacing w:after="0" w:line="279" w:lineRule="auto"/>
        <w:tabs>
          <w:tab w:leader="none" w:pos="1168" w:val="left"/>
        </w:tabs>
        <w:numPr>
          <w:ilvl w:val="1"/>
          <w:numId w:val="575"/>
        </w:numPr>
        <w:rPr>
          <w:rFonts w:ascii="Arial" w:cs="Arial" w:eastAsia="Arial" w:hAnsi="Arial"/>
          <w:sz w:val="17"/>
          <w:szCs w:val="17"/>
          <w:color w:val="auto"/>
        </w:rPr>
      </w:pPr>
      <w:r>
        <w:rPr>
          <w:rFonts w:ascii="Arial" w:cs="Arial" w:eastAsia="Arial" w:hAnsi="Arial"/>
          <w:sz w:val="17"/>
          <w:szCs w:val="17"/>
          <w:color w:val="auto"/>
        </w:rPr>
        <w:t>Should ANAPTYS decide that it does not wish to prosecute, maintain or defend the Patent Rights or any part thereof it shall give MRC not less than sixty (60) days notice of that decision before any critical time period and thereafter MRC may in its sole discretion and at its own costs and expense prosecute, maintain or defend the Patent Rights or any part thereof. If MRC so decides to prosecute, maintain or defend the Patent Rights or any part thereof ANAPTYS shall promptly arrange for its patent attorneys to transfer to MRC all relevant papers, files and other documents.</w:t>
      </w:r>
    </w:p>
    <w:p>
      <w:pPr>
        <w:spacing w:after="0" w:line="171" w:lineRule="exact"/>
        <w:rPr>
          <w:rFonts w:ascii="Arial" w:cs="Arial" w:eastAsia="Arial" w:hAnsi="Arial"/>
          <w:sz w:val="17"/>
          <w:szCs w:val="17"/>
          <w:color w:val="auto"/>
        </w:rPr>
      </w:pPr>
    </w:p>
    <w:p>
      <w:pPr>
        <w:ind w:right="20" w:firstLine="921"/>
        <w:spacing w:after="0" w:line="291" w:lineRule="auto"/>
        <w:tabs>
          <w:tab w:leader="none" w:pos="1158" w:val="left"/>
        </w:tabs>
        <w:numPr>
          <w:ilvl w:val="1"/>
          <w:numId w:val="575"/>
        </w:numPr>
        <w:rPr>
          <w:rFonts w:ascii="Arial" w:cs="Arial" w:eastAsia="Arial" w:hAnsi="Arial"/>
          <w:sz w:val="16"/>
          <w:szCs w:val="16"/>
          <w:color w:val="auto"/>
        </w:rPr>
      </w:pPr>
      <w:r>
        <w:rPr>
          <w:rFonts w:ascii="Arial" w:cs="Arial" w:eastAsia="Arial" w:hAnsi="Arial"/>
          <w:sz w:val="16"/>
          <w:szCs w:val="16"/>
          <w:color w:val="auto"/>
        </w:rPr>
        <w:t>ANAPTYS agrees to keep MRC informed on major or key prosecution issues of the Patent Rights and arrange for MRC to be sent copies of any patent correspondence upon request of MRC. Any action relating to the prosecution of the continuing applications must be notified to MRC at least thirty</w:t>
      </w:r>
    </w:p>
    <w:p>
      <w:pPr>
        <w:ind w:right="40" w:firstLine="8"/>
        <w:spacing w:after="0" w:line="255" w:lineRule="auto"/>
        <w:tabs>
          <w:tab w:leader="none" w:pos="345" w:val="left"/>
        </w:tabs>
        <w:numPr>
          <w:ilvl w:val="0"/>
          <w:numId w:val="576"/>
        </w:numPr>
        <w:rPr>
          <w:rFonts w:ascii="Arial" w:cs="Arial" w:eastAsia="Arial" w:hAnsi="Arial"/>
          <w:sz w:val="18"/>
          <w:szCs w:val="18"/>
          <w:color w:val="auto"/>
        </w:rPr>
      </w:pPr>
      <w:r>
        <w:rPr>
          <w:rFonts w:ascii="Arial" w:cs="Arial" w:eastAsia="Arial" w:hAnsi="Arial"/>
          <w:sz w:val="18"/>
          <w:szCs w:val="18"/>
          <w:color w:val="auto"/>
        </w:rPr>
        <w:t>days (or the maximum possible if at least thirty 30 days notice are not available to ANAPTYS) prior to any submission to any patent office for MRC’s review. In the event that MRC has a concern regarding the submission, the Parties will discuss to mutually resolve any potential conflict or material impact to the parent patent applications in the Patent Rights.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Patent Enforcement.</w:t>
      </w:r>
    </w:p>
    <w:p>
      <w:pPr>
        <w:spacing w:after="0" w:line="229" w:lineRule="exact"/>
        <w:rPr>
          <w:sz w:val="20"/>
          <w:szCs w:val="20"/>
          <w:color w:val="auto"/>
        </w:rPr>
      </w:pPr>
    </w:p>
    <w:p>
      <w:pPr>
        <w:ind w:firstLine="921"/>
        <w:spacing w:after="0" w:line="254" w:lineRule="auto"/>
        <w:tabs>
          <w:tab w:leader="none" w:pos="1158" w:val="left"/>
        </w:tabs>
        <w:numPr>
          <w:ilvl w:val="0"/>
          <w:numId w:val="577"/>
        </w:numPr>
        <w:rPr>
          <w:rFonts w:ascii="Arial" w:cs="Arial" w:eastAsia="Arial" w:hAnsi="Arial"/>
          <w:sz w:val="18"/>
          <w:szCs w:val="18"/>
          <w:color w:val="auto"/>
        </w:rPr>
      </w:pPr>
      <w:r>
        <w:rPr>
          <w:rFonts w:ascii="Arial" w:cs="Arial" w:eastAsia="Arial" w:hAnsi="Arial"/>
          <w:sz w:val="18"/>
          <w:szCs w:val="18"/>
          <w:color w:val="auto"/>
        </w:rPr>
        <w:t>Each of MRC and ANAPTYS shall as soon as practicable after it becomes aware thereof give to the other in writing reasonable particulars of any use or proposed use or threat of the same by another person in any country which in that Party’s view amounts to or might amount to an infringement of the Patent Rights in such country. ANAPTYS shall at its own expense and with legal counsel of its own choice, bring suit (or take other appropriate legal action) against any actual, alleged or threatened infringement of the Patent Rights. MRC will cooperate with ANAPTYS and name ANAPTYS as a party if required for ANAPTYS to bring the suit. MRC shall cooperate fully with ANAPTYS and shall endeavor to cause the appropriate MRC scientists to cooperate with ANAPTYS at the request of ANAPTYS, including by giving testimony and producing documents lawfully requested in the prosecution of any suit by ANAPTYS for infringement of the MRC Patents; provided, that ANAPTYS shall pay all reasonable expenses (including attorneys’ fees) incurred by MRC in connection with such cooperation.</w:t>
      </w:r>
    </w:p>
    <w:p>
      <w:pPr>
        <w:spacing w:after="0" w:line="192" w:lineRule="exact"/>
        <w:rPr>
          <w:rFonts w:ascii="Arial" w:cs="Arial" w:eastAsia="Arial" w:hAnsi="Arial"/>
          <w:sz w:val="18"/>
          <w:szCs w:val="18"/>
          <w:color w:val="auto"/>
        </w:rPr>
      </w:pPr>
    </w:p>
    <w:p>
      <w:pPr>
        <w:ind w:right="40" w:firstLine="921"/>
        <w:spacing w:after="0" w:line="286" w:lineRule="auto"/>
        <w:tabs>
          <w:tab w:leader="none" w:pos="1168" w:val="left"/>
        </w:tabs>
        <w:numPr>
          <w:ilvl w:val="0"/>
          <w:numId w:val="577"/>
        </w:numPr>
        <w:rPr>
          <w:rFonts w:ascii="Arial" w:cs="Arial" w:eastAsia="Arial" w:hAnsi="Arial"/>
          <w:sz w:val="17"/>
          <w:szCs w:val="17"/>
          <w:color w:val="auto"/>
        </w:rPr>
      </w:pPr>
      <w:r>
        <w:rPr>
          <w:rFonts w:ascii="Arial" w:cs="Arial" w:eastAsia="Arial" w:hAnsi="Arial"/>
          <w:sz w:val="17"/>
          <w:szCs w:val="17"/>
          <w:color w:val="auto"/>
        </w:rPr>
        <w:t>If ANAPTYS does not wish to undertake such action MRC shall have the right (but not the obligation) to undertake proceedings at its own expense and with legal counsel of its own choice. Any damages, monetary awards or other amount recovered, whether by judgment or settlement, pursuant to any suit, proceeding or other legal action taken under this section shall be to the account of the Party bringing and prosecuting the same.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654" w:name="page655"/>
    <w:bookmarkEnd w:id="654"/>
    <w:p>
      <w:pPr>
        <w:ind w:left="460" w:hanging="452"/>
        <w:spacing w:after="0"/>
        <w:tabs>
          <w:tab w:leader="none" w:pos="460" w:val="left"/>
        </w:tabs>
        <w:numPr>
          <w:ilvl w:val="0"/>
          <w:numId w:val="5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Treatment of Confidential Information.</w:t>
      </w:r>
      <w:r>
        <w:rPr>
          <w:rFonts w:ascii="Arial" w:cs="Arial" w:eastAsia="Arial" w:hAnsi="Arial"/>
          <w:sz w:val="16"/>
          <w:szCs w:val="16"/>
          <w:color w:val="auto"/>
        </w:rPr>
        <w:t xml:space="preserve"> During the term of this Agreement, and for a period of five (5) years after this Agreement expires or terminates, a Party receiving Confidential Information of the other Party will (i) maintain in confidence such Confidential Information to the same extent such receiving Party maintains its own proprietary information (but at a minimum each Party shall use reasonable efforts); (ii) not disclose such Confidential Information to any Third Party without prior written consent of the other Party; and (iii) not use such Confidential Information for any purpose except those permitted by this Agreement. A Party shall have no such obligation with respect to any portion of such Confidential Information which:</w:t>
      </w:r>
    </w:p>
    <w:p>
      <w:pPr>
        <w:spacing w:after="0" w:line="158" w:lineRule="exact"/>
        <w:rPr>
          <w:sz w:val="20"/>
          <w:szCs w:val="20"/>
          <w:color w:val="auto"/>
        </w:rPr>
      </w:pPr>
    </w:p>
    <w:p>
      <w:pPr>
        <w:ind w:right="40" w:firstLine="921"/>
        <w:spacing w:after="0" w:line="277" w:lineRule="auto"/>
        <w:tabs>
          <w:tab w:leader="none" w:pos="1158"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is publicly disclosed by the disclosing Party, or is otherwise publicly disclosed without the fault of the receiving Party, either before or after it becomes known to the receiving Party; or</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was known to the receiving Party prior to when it was received from the disclosing Party, as evidence by contemporaneous written records; or</w:t>
      </w:r>
    </w:p>
    <w:p>
      <w:pPr>
        <w:spacing w:after="0" w:line="248" w:lineRule="exact"/>
        <w:rPr>
          <w:rFonts w:ascii="Arial" w:cs="Arial" w:eastAsia="Arial" w:hAnsi="Arial"/>
          <w:sz w:val="16"/>
          <w:szCs w:val="16"/>
          <w:color w:val="auto"/>
        </w:rPr>
      </w:pPr>
    </w:p>
    <w:p>
      <w:pPr>
        <w:ind w:left="1160" w:hanging="239"/>
        <w:spacing w:after="0"/>
        <w:tabs>
          <w:tab w:leader="none" w:pos="116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is subsequently disclosed to the receiving Party in good faith by a Third Party who has a right to make such a disclosure;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has been published by a third party which had a right to do so;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has been independently developed by the receiving Party without the aid, application or use of Confidential Information from the disclosing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 or</w:t>
      </w:r>
    </w:p>
    <w:p>
      <w:pPr>
        <w:spacing w:after="0" w:line="210" w:lineRule="exact"/>
        <w:rPr>
          <w:rFonts w:ascii="Arial" w:cs="Arial" w:eastAsia="Arial" w:hAnsi="Arial"/>
          <w:sz w:val="16"/>
          <w:szCs w:val="16"/>
          <w:color w:val="auto"/>
        </w:rPr>
      </w:pPr>
    </w:p>
    <w:p>
      <w:pPr>
        <w:ind w:right="320" w:firstLine="921"/>
        <w:spacing w:after="0" w:line="277" w:lineRule="auto"/>
        <w:tabs>
          <w:tab w:leader="none" w:pos="1138"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is required by law to be disclosed, but then only to the limited extent of such legally required disclosure; provided, however, that the other Party shall be given prompt notice of any such legally required disclosure.</w:t>
      </w:r>
    </w:p>
    <w:p>
      <w:pPr>
        <w:spacing w:after="0" w:line="16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Publicity.</w:t>
      </w:r>
      <w:r>
        <w:rPr>
          <w:rFonts w:ascii="Arial" w:cs="Arial" w:eastAsia="Arial" w:hAnsi="Arial"/>
          <w:sz w:val="18"/>
          <w:szCs w:val="18"/>
          <w:color w:val="auto"/>
        </w:rPr>
        <w:t xml:space="preserve"> Any publication, news release or other public announcement that discloses or refers to this Agreement or to the performance thereof, shall first be reviewed and approved by both Parties, which approval shall not be unreasonably withheld. Either Party shall be entitled to disclose the substance of this Agreement to its shareholders, potential investors, sublicensees, or research collaboration partners (and to prospective shareholders to whom its stock is offered for purchase) under a confidentiality agreement consistent with this Agreement. Each Party shall also be entitled to provide a copy of this Agreement to the Securities and Exchange Commission (if required).</w:t>
      </w:r>
    </w:p>
    <w:p>
      <w:pPr>
        <w:spacing w:after="0" w:line="18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Terms of this Agreement.</w:t>
      </w:r>
      <w:r>
        <w:rPr>
          <w:rFonts w:ascii="Arial" w:cs="Arial" w:eastAsia="Arial" w:hAnsi="Arial"/>
          <w:sz w:val="18"/>
          <w:szCs w:val="18"/>
          <w:color w:val="auto"/>
        </w:rPr>
        <w:t xml:space="preserve"> Except as otherwise provided in Section 7.1 above, neither Party shall disclose any terms or conditions of this Agreement to any Third Party without the prior written consent of the other Party. Notwithstanding the foregoing, prior to execution of this Agreement, the Parties shall agree upon the substance of information that can be used to describe the terms of this transaction, and each Party may disclose such information, s modified by mutual agreement from time to time, without the other Party’s consent.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655" w:name="page656"/>
    <w:bookmarkEnd w:id="655"/>
    <w:p>
      <w:pPr>
        <w:ind w:left="460" w:hanging="452"/>
        <w:spacing w:after="0"/>
        <w:tabs>
          <w:tab w:leader="none" w:pos="460"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AND TERMINATION</w:t>
      </w:r>
    </w:p>
    <w:p>
      <w:pPr>
        <w:spacing w:after="0" w:line="225"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Term.</w:t>
      </w:r>
      <w:r>
        <w:rPr>
          <w:rFonts w:ascii="Arial" w:cs="Arial" w:eastAsia="Arial" w:hAnsi="Arial"/>
          <w:sz w:val="16"/>
          <w:szCs w:val="16"/>
          <w:color w:val="auto"/>
        </w:rPr>
        <w:t xml:space="preserve"> Unless earlier terminated as hereinafter provided, this Agreement shall expire upon the later of (i) ten (10) years from the First Commercial Sale of a Licensed Product by ANAPTYS, or First Commercial Service Activity or (ii) the expiration of the last to expire patent within the Patent Rights.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Termination.</w:t>
      </w:r>
    </w:p>
    <w:p>
      <w:pPr>
        <w:spacing w:after="0" w:line="229" w:lineRule="exact"/>
        <w:rPr>
          <w:sz w:val="20"/>
          <w:szCs w:val="20"/>
          <w:color w:val="auto"/>
        </w:rPr>
      </w:pPr>
    </w:p>
    <w:p>
      <w:pPr>
        <w:ind w:left="1160" w:hanging="239"/>
        <w:spacing w:after="0"/>
        <w:tabs>
          <w:tab w:leader="none" w:pos="11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ANAPTYS may terminate this Agreement for any reason following sixty (60) day written notice.</w:t>
      </w:r>
    </w:p>
    <w:p>
      <w:pPr>
        <w:spacing w:after="0" w:line="225"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 Party may terminate this Agreement upon or after the breach of any material provision of this Agreement by the other Party, if the breaching Party has not cured such breach within sixty (60) days after notice thereof from the other Party; provided, however, that if the breach is due to ANAPTYS’ failure to pay under Section 4 or complete a milestone in Section 3.3, MRC shall provide an additional notice of failure to pay or meet milestone and allow ANAPTYS a second sixty (60) day period to cure such breach. If ANAPTYS fails to cure such breach during the second sixty (60) day period, MRC shall provide a third and final notice of failure to pay and allow ANAPTYS a third and final sixty (60) day period to cure such breach prior to any termination hereunder.</w:t>
      </w:r>
    </w:p>
    <w:p>
      <w:pPr>
        <w:spacing w:after="0" w:line="18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Default for Bankruptcy.</w:t>
      </w:r>
      <w:r>
        <w:rPr>
          <w:rFonts w:ascii="Arial" w:cs="Arial" w:eastAsia="Arial" w:hAnsi="Arial"/>
          <w:sz w:val="16"/>
          <w:szCs w:val="16"/>
          <w:color w:val="auto"/>
        </w:rPr>
        <w:t xml:space="preserve"> Each Party will have the right, at its option, to terminate this Agreement in the event that the other Party (i) shall file in court or agency pursuant to any applicable state or federal petition in bankruptcy (other than dissolution or winding up for the purposes of reconstruction or amalgamation) or if such Party is served with an involuntary petition in bankruptcy, or (ii) makes an assignment of all or substantially all of its assets for the benefit of creditors, or (iii) in the event that a receiver or trustee is appointed for the other Party and such Party will, after the expiration of thirty (30) days following any of the events enumerated above, be unable to secure a dismissal, stay or other suspension of such proceedings.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 In the event of termination of this Agreement, all Patent Rights licensed to ANAPTYS will revert to the MRC.</w:t>
      </w:r>
    </w:p>
    <w:p>
      <w:pPr>
        <w:spacing w:after="0" w:line="221"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Survival of Certain Sublicenses.</w:t>
      </w:r>
      <w:r>
        <w:rPr>
          <w:rFonts w:ascii="Arial" w:cs="Arial" w:eastAsia="Arial" w:hAnsi="Arial"/>
          <w:sz w:val="17"/>
          <w:szCs w:val="17"/>
          <w:color w:val="auto"/>
        </w:rPr>
        <w:t xml:space="preserve"> Sublicenses granted by a defaulting Party to a Third Party will survive termination of the defaulting Party’s license under Section 8.1(b), provided however, that (i) such Third Party is not the cause of the default, (ii) such Third Party is not in breach of, and continues to fully perform all obligations under its sublicense agreement and any surviving provisions in this Agreement applicable to such sublicensee and (iii) the terminating Party continues to receive from such Third Party all royalty payments set forth in Section 4.3.</w:t>
      </w:r>
    </w:p>
    <w:p>
      <w:pPr>
        <w:spacing w:after="0" w:line="165"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Expiration or termination of this Agreement shall not relieve the Parties of any obligation accruing prior to such expiration or termination. No termination or expiration of this Agreement will constitute a termination or a waiver of any rights of either Party against the other Party accruing at or prior to the time of such termination. The obligations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1" w:right="279" w:bottom="1440" w:gutter="0" w:footer="0" w:header="0"/>
        </w:sectPr>
      </w:pPr>
    </w:p>
    <w:bookmarkStart w:id="656" w:name="page657"/>
    <w:bookmarkEnd w:id="6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rights of the Parties under Sections 5.5, 7, 8.5, 13, and 15 shall survive termination or expiration of this Agreement.</w:t>
      </w:r>
    </w:p>
    <w:p>
      <w:pPr>
        <w:spacing w:after="0" w:line="248" w:lineRule="exact"/>
        <w:rPr>
          <w:sz w:val="20"/>
          <w:szCs w:val="20"/>
          <w:color w:val="auto"/>
        </w:rPr>
      </w:pPr>
    </w:p>
    <w:p>
      <w:pPr>
        <w:ind w:left="460" w:hanging="452"/>
        <w:spacing w:after="0"/>
        <w:tabs>
          <w:tab w:leader="none" w:pos="460"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9.1 ANAPTYS hereby agrees to indemnify and hold harmless the MRC and its directors, officers, researchers, scientists, employees and agents (collectively, the “MRC Indemnities”) from and against any losses, claims, damages, costs, and expenses (collectively, “Losses”) incurred in connection with or arising from (i) any product liability or similar claim asserted by any party as to any Licensed Products; (ii) any claims arising from ANAPTYS’ or ANAPTYS’ Sublicensee’s use of any Licensed Methods; (iii) any claims for death, personal injury or related property damage arising from the manufacture, sale, marketing, distribution or use of any Licensed Products; but excluding Losses arising from or relating to the breach of this Agreement by the MRC or the gross negligence or willful misconduct of the MRC Indemnities. Without limiting the generality of the foregoing, such indemnity obligation shall apply to any product liability or other claims, including without limitation, personal injury, death or property damage, made by employees, subcontractors, or agents of ANAPTYS, as well as by any customer, patient, hospital, doctor, or member of the general public who buys or uses a Licensed Product.</w:t>
      </w:r>
    </w:p>
    <w:p>
      <w:pPr>
        <w:spacing w:after="0" w:line="189" w:lineRule="exact"/>
        <w:rPr>
          <w:sz w:val="20"/>
          <w:szCs w:val="20"/>
          <w:color w:val="auto"/>
        </w:rPr>
      </w:pPr>
    </w:p>
    <w:p>
      <w:pPr>
        <w:ind w:left="460" w:hanging="452"/>
        <w:spacing w:after="0"/>
        <w:tabs>
          <w:tab w:leader="none" w:pos="46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Due Authorization.</w:t>
      </w:r>
      <w:r>
        <w:rPr>
          <w:rFonts w:ascii="Arial" w:cs="Arial" w:eastAsia="Arial" w:hAnsi="Arial"/>
          <w:sz w:val="18"/>
          <w:szCs w:val="18"/>
          <w:color w:val="auto"/>
        </w:rPr>
        <w:t xml:space="preserve"> Each Party hereby represents and warrants that such Party is duly authorized to execute and deliver this Agreement and to perform its obligations hereunder.</w:t>
      </w:r>
    </w:p>
    <w:p>
      <w:pPr>
        <w:spacing w:after="0" w:line="162"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Binding Obligation.</w:t>
      </w:r>
      <w:r>
        <w:rPr>
          <w:rFonts w:ascii="Arial" w:cs="Arial" w:eastAsia="Arial" w:hAnsi="Arial"/>
          <w:sz w:val="18"/>
          <w:szCs w:val="18"/>
          <w:color w:val="auto"/>
        </w:rPr>
        <w:t xml:space="preserve"> Each Party hereby represents and warrants that this Agreement is a legal and valid obligation binding upon it and is enforceable in accordance with its terms. The execution, delivery and performance of this Agreement by such Party does not conflict with any agreement, instrument, or understanding, oral or written, to which it is a party or by which it may be bound, nor violate any law or regulation or any court, government body or administrative or other agency having authority over it.</w:t>
      </w:r>
    </w:p>
    <w:p>
      <w:pPr>
        <w:spacing w:after="0" w:line="180"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Consents.</w:t>
      </w:r>
      <w:r>
        <w:rPr>
          <w:rFonts w:ascii="Arial" w:cs="Arial" w:eastAsia="Arial" w:hAnsi="Arial"/>
          <w:sz w:val="18"/>
          <w:szCs w:val="18"/>
          <w:color w:val="auto"/>
        </w:rPr>
        <w:t xml:space="preserve"> Each Party hereby represents all necessary consents, approvals and authorizations of all governmental authorities and other persons required to be obtained by such Party in connection with this Agreement have been obtained.</w:t>
      </w:r>
    </w:p>
    <w:p>
      <w:pPr>
        <w:spacing w:after="0" w:line="162"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No Conflict.</w:t>
      </w:r>
      <w:r>
        <w:rPr>
          <w:rFonts w:ascii="Arial" w:cs="Arial" w:eastAsia="Arial" w:hAnsi="Arial"/>
          <w:sz w:val="18"/>
          <w:szCs w:val="18"/>
          <w:color w:val="auto"/>
        </w:rPr>
        <w:t xml:space="preserve"> Each Party hereby represents the execution and delivery of this Agreement and the performance of such Party’s obligations hereunder (a) do not conflict with or violate any requirement of applicable laws or regulations and (b) do not conflict with, or constitute a default under, any contractual obligation of such Party.</w:t>
      </w:r>
    </w:p>
    <w:p>
      <w:pPr>
        <w:spacing w:after="0" w:line="176"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Disclosure.</w:t>
      </w:r>
      <w:r>
        <w:rPr>
          <w:rFonts w:ascii="Arial" w:cs="Arial" w:eastAsia="Arial" w:hAnsi="Arial"/>
          <w:sz w:val="16"/>
          <w:szCs w:val="16"/>
          <w:color w:val="auto"/>
        </w:rPr>
        <w:t xml:space="preserve"> MRC represents that it has provided ANAPTYS with all documents and information under its custody or control regarding the Patent Rights necessary for ANAPTYS to determine the scope, ownership, validity and enforcement of the Patent Rights. MRC further represents that the Patent Rights include all rights owned or controlled by MRC that are necessary for ANAPTYS to commercialize Licensed Products and Licensed Methods.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657" w:name="page658"/>
    <w:bookmarkEnd w:id="657"/>
    <w:p>
      <w:pPr>
        <w:ind w:left="460" w:hanging="452"/>
        <w:spacing w:after="0"/>
        <w:tabs>
          <w:tab w:leader="none" w:pos="46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DISCLAIMER OF WARRANTIES</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EXCEPT AS EXPRESSLY SET FORTH IN THIS AGREEMENT, THE MRC MAKES NO WARRANTIES OR REPRESENTATIONS OF ANY KIND, EXPRESS OR IMPLIED, INCLUDING, BUT NOT LIMITED TO, WARRANTIES OF FITNESS FOR A PARTICULAR PURPOSE OR MERCHANTABILITY, REGARDING OR WITH RESPECT TO THE LICENSED METHODS OR LICENSED PRODUCTS.</w:t>
      </w:r>
    </w:p>
    <w:p>
      <w:pPr>
        <w:spacing w:after="0" w:line="204" w:lineRule="exact"/>
        <w:rPr>
          <w:sz w:val="20"/>
          <w:szCs w:val="20"/>
          <w:color w:val="auto"/>
        </w:rPr>
      </w:pPr>
    </w:p>
    <w:p>
      <w:pPr>
        <w:ind w:left="460" w:hanging="452"/>
        <w:spacing w:after="0"/>
        <w:tabs>
          <w:tab w:leader="none" w:pos="460" w:val="left"/>
        </w:tabs>
        <w:numPr>
          <w:ilvl w:val="0"/>
          <w:numId w:val="58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NEITHER PARTY WILL BE ENTITLED TO RECOVER FROM THE OTHER PARTY ANY SPECIAL, INCIDENTAL, EXEMPLARY, CONSEQUENTIAL OR PUNITIVE DAMAGES IN CONNECTION WITH THIS AGREEMENT OR ANY LICENSE GRANTED HEREUNDER.</w:t>
      </w:r>
    </w:p>
    <w:p>
      <w:pPr>
        <w:spacing w:after="0" w:line="170" w:lineRule="exact"/>
        <w:rPr>
          <w:sz w:val="20"/>
          <w:szCs w:val="20"/>
          <w:color w:val="auto"/>
        </w:rPr>
      </w:pPr>
    </w:p>
    <w:p>
      <w:pPr>
        <w:ind w:left="460" w:hanging="452"/>
        <w:spacing w:after="0"/>
        <w:tabs>
          <w:tab w:leader="none" w:pos="46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13.1 Except as provided in Section 13.2 below, ANAPTYS may assign this Agreement to another entity only with the prior written consent of the MRC, which consent shall not be unreasonably withheld or delayed.</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13.2 Notwithstanding anything herein to the contrary, in the event ANAPTYS merges with another entity or is acquired by another entity, ANAPTYS may assign its rights and obligations hereunder to the surviving entity without the MRC’s consent so long as ANAPTYS is not then in material breach of this Agreement and ANAPTYS provides written notice of the assignment to the MRC, at least fifteen (15) days prior to the effective date of the assignment.</w:t>
      </w:r>
    </w:p>
    <w:p>
      <w:pPr>
        <w:spacing w:after="0" w:line="170" w:lineRule="exact"/>
        <w:rPr>
          <w:sz w:val="20"/>
          <w:szCs w:val="20"/>
          <w:color w:val="auto"/>
        </w:rPr>
      </w:pPr>
    </w:p>
    <w:p>
      <w:pPr>
        <w:ind w:left="460" w:hanging="452"/>
        <w:spacing w:after="0"/>
        <w:tabs>
          <w:tab w:leader="none" w:pos="46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COMPLIANCE</w:t>
      </w:r>
    </w:p>
    <w:p>
      <w:pPr>
        <w:spacing w:after="0" w:line="225"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color w:val="auto"/>
        </w:rPr>
        <w:t>Compliance with Laws.</w:t>
      </w:r>
      <w:r>
        <w:rPr>
          <w:rFonts w:ascii="Arial" w:cs="Arial" w:eastAsia="Arial" w:hAnsi="Arial"/>
          <w:sz w:val="16"/>
          <w:szCs w:val="16"/>
          <w:color w:val="auto"/>
        </w:rPr>
        <w:t xml:space="preserve"> ANAPTYS will at all times during the term of this Agreement and for so long as it sells imports, exports, manufactures, uses, distributes, markets or otherwise commercially exploits Licensed Products comply with all laws that control the import, export, manufacture, use, sale, marketing, distribution and other commercial exploitation of Licensed Products or any other activity undertaken pursuant to this Agreement.</w:t>
      </w:r>
    </w:p>
    <w:p>
      <w:pPr>
        <w:spacing w:after="0" w:line="142"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color w:val="auto"/>
        </w:rPr>
        <w:t>Governmental Approval or Registration.</w:t>
      </w:r>
      <w:r>
        <w:rPr>
          <w:rFonts w:ascii="Arial" w:cs="Arial" w:eastAsia="Arial" w:hAnsi="Arial"/>
          <w:sz w:val="16"/>
          <w:szCs w:val="16"/>
          <w:color w:val="auto"/>
        </w:rPr>
        <w:t xml:space="preserve"> If this Agreement or any associated transaction is required by the law of any nation to be either approved or registered with any governmental agency, ANAPTYS shall assume all legal obligations to do so. ANAPTYS shall notify the MRC if it becomes aware that this Agreement is subject to a United States of America or other government reporting or approval requirement. ANAPTYS shall make all necessary filings and pay all costs including fees, penalties, and all other out-of-pocket costs associated with such reporting or approval process.</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0" w:right="339" w:bottom="1440" w:gutter="0" w:footer="0" w:header="0"/>
        </w:sectPr>
      </w:pPr>
    </w:p>
    <w:bookmarkStart w:id="658" w:name="page659"/>
    <w:bookmarkEnd w:id="658"/>
    <w:p>
      <w:pPr>
        <w:ind w:left="460" w:hanging="452"/>
        <w:spacing w:after="0"/>
        <w:tabs>
          <w:tab w:leader="none" w:pos="460"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Law.</w:t>
      </w:r>
      <w:r>
        <w:rPr>
          <w:rFonts w:ascii="Arial" w:cs="Arial" w:eastAsia="Arial" w:hAnsi="Arial"/>
          <w:sz w:val="18"/>
          <w:szCs w:val="18"/>
          <w:color w:val="auto"/>
        </w:rPr>
        <w:t xml:space="preserve"> This Agreement will be governed by, and will be construed and enforced in accordance with, the laws of England.</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color w:val="auto"/>
        </w:rPr>
        <w:t>Jurisdiction.</w:t>
      </w:r>
      <w:r>
        <w:rPr>
          <w:rFonts w:ascii="Arial" w:cs="Arial" w:eastAsia="Arial" w:hAnsi="Arial"/>
          <w:sz w:val="16"/>
          <w:szCs w:val="16"/>
          <w:color w:val="auto"/>
        </w:rPr>
        <w:t xml:space="preserve"> This Agreement is performable in part in San Diego County, California, and the Parties mutually agree that personal jurisdiction and venue will be proper in the state and federal courts situated in San Diego County, California, and hereby consent to such exclusive jurisdiction and venue.</w:t>
      </w:r>
    </w:p>
    <w:p>
      <w:pPr>
        <w:spacing w:after="0" w:line="143" w:lineRule="exact"/>
        <w:rPr>
          <w:sz w:val="20"/>
          <w:szCs w:val="20"/>
          <w:color w:val="auto"/>
        </w:rPr>
      </w:pPr>
    </w:p>
    <w:p>
      <w:pPr>
        <w:ind w:left="460" w:hanging="452"/>
        <w:spacing w:after="0"/>
        <w:tabs>
          <w:tab w:leader="none" w:pos="460"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Any payment, notice or other communication pursuant to this Agreement will be mailed by first class, certified or registered mail, postage prepaid, or delivered by overnight delivery service addressed as follows or to such other address designated by written notice given to the other Party: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the MRC: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Graham Wagner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Associate Director, Licensing and Agreements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Medical Research Council Technology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 Park Crescent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London, W1B 1AL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ANAPTYS: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James Boyle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Science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ANAPTYS Biosciences,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10931 North Torrey Pines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 Jolla, CA 92037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such payment, notice or other communication will be effective upon receipt.</w:t>
      </w:r>
    </w:p>
    <w:p>
      <w:pPr>
        <w:spacing w:after="0" w:line="248" w:lineRule="exact"/>
        <w:rPr>
          <w:sz w:val="20"/>
          <w:szCs w:val="20"/>
          <w:color w:val="auto"/>
        </w:rPr>
      </w:pPr>
    </w:p>
    <w:p>
      <w:pPr>
        <w:ind w:left="460" w:hanging="452"/>
        <w:spacing w:after="0"/>
        <w:tabs>
          <w:tab w:leader="none" w:pos="460"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right="140" w:firstLine="456"/>
        <w:spacing w:after="0" w:line="303"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b w:val="1"/>
          <w:bCs w:val="1"/>
          <w:color w:val="auto"/>
        </w:rPr>
        <w:t>Independent Contractors.</w:t>
      </w:r>
      <w:r>
        <w:rPr>
          <w:rFonts w:ascii="Arial" w:cs="Arial" w:eastAsia="Arial" w:hAnsi="Arial"/>
          <w:sz w:val="16"/>
          <w:szCs w:val="16"/>
          <w:color w:val="auto"/>
        </w:rPr>
        <w:t xml:space="preserve"> The Parties hereby acknowledge and agree that each is an independent contractor and that neither Party will be considered to be the agent, representative, master or servant of the other Party for any purpose whatsoever, and that neither Party has any authority to enter into a contract, to assume any obligation or to give warranties or representations on behalf of the other Party without the prior written consent of the other Party. Nothing in this relationship will be construed to create a joint venture, agency, partnership, fiduciary or other similar relationship between the Parties.</w:t>
      </w:r>
    </w:p>
    <w:p>
      <w:pPr>
        <w:spacing w:after="0" w:line="151"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Non-Waiver.</w:t>
      </w:r>
      <w:r>
        <w:rPr>
          <w:rFonts w:ascii="Arial" w:cs="Arial" w:eastAsia="Arial" w:hAnsi="Arial"/>
          <w:sz w:val="18"/>
          <w:szCs w:val="18"/>
          <w:color w:val="auto"/>
        </w:rPr>
        <w:t xml:space="preserve"> The Parties covenant and agree that if a Party fails or neglects for any reason to take advantage of any of the terms provided for the termination of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659" w:name="page660"/>
    <w:bookmarkEnd w:id="65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if a Party, having the right to declare this Agreement terminated, will fail to do so, any such failure or neglect by such Party will not be a waiver or be deemed or be construed to be a waiver of any cause for the termination of this Agreement subsequently arising, or as a waiver of any of the terms, covenants or conditions of this Agreement or of the performance thereof. None of the terms, covenants and conditions of this Agreement may be waived by a Party except by its written consent.</w:t>
      </w:r>
    </w:p>
    <w:p>
      <w:pPr>
        <w:spacing w:after="0" w:line="18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Reformation.</w:t>
      </w:r>
      <w:r>
        <w:rPr>
          <w:rFonts w:ascii="Arial" w:cs="Arial" w:eastAsia="Arial" w:hAnsi="Arial"/>
          <w:sz w:val="18"/>
          <w:szCs w:val="18"/>
          <w:color w:val="auto"/>
        </w:rPr>
        <w:t xml:space="preserve"> Any provision of this Agreement which is prohibited or unenforceable in any jurisdiction will, as to such jurisdiction, be ineffective to the extent of such prohibition or unenforceability without invalidating the remaining provisions hereof, and any such prohibition or unenforceability will not invalidate or render unenforceable such provision in any other jurisdiction. Should any provision of this Agreement be so held to be unenforceable, such provision, if permitted by law, will be considered to have been superseded by a legally permissible and enforceable clause which corresponds most closely to the intent of the Parties as evidenced by the provision held to be unenforceable.</w:t>
      </w:r>
    </w:p>
    <w:p>
      <w:pPr>
        <w:spacing w:after="0" w:line="18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Except for the payment of any amounts due under this Agreement, no liability hereunder will result to a Party by reason of delay in performance caused by force majeure, that is circumstances beyond the reasonable control of the Party, including, without limitation, acts of God, fire, flood, war, civil unrest, labor unrest, or shortage of or inability to obtain material as equipment.</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Entire Agreement.</w:t>
      </w:r>
      <w:r>
        <w:rPr>
          <w:rFonts w:ascii="Arial" w:cs="Arial" w:eastAsia="Arial" w:hAnsi="Arial"/>
          <w:sz w:val="18"/>
          <w:szCs w:val="18"/>
          <w:color w:val="auto"/>
        </w:rPr>
        <w:t xml:space="preserve"> The terms and conditions herein constitute the entire agreement between the Parties and will supersede all previous agreements, either oral or written, between the Parties hereto with respect to the subject matter hereof. No agreement or understanding bearing on this Agreement will be binding upon either Party hereto unless it is in writing and signed by the duly authorized officer or representative of each of the Parties and it expressly refers to this Agreement.</w:t>
      </w:r>
    </w:p>
    <w:p>
      <w:pPr>
        <w:spacing w:after="0" w:line="18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Headings.</w:t>
      </w:r>
      <w:r>
        <w:rPr>
          <w:rFonts w:ascii="Arial" w:cs="Arial" w:eastAsia="Arial" w:hAnsi="Arial"/>
          <w:sz w:val="18"/>
          <w:szCs w:val="18"/>
          <w:color w:val="auto"/>
        </w:rPr>
        <w:t xml:space="preserve"> The headings for each Section in this Agreement have been inserted for convenience of reference only and are not intended to limit or expand on the meaning of the language contained in the particular Section.</w:t>
      </w:r>
    </w:p>
    <w:p>
      <w:pPr>
        <w:spacing w:after="0" w:line="162"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signed in two (2) or more counterparts, each of which will be deemed an original, but all of which together will constitute one (1) and the same instrument. Signatures may be transmitted by facsimile, thereby constituting the valid signature and delivery of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660" w:name="page661"/>
    <w:bookmarkEnd w:id="66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and delivered this Agreement by their duly authorized officers and representatives effective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20" w:type="dxa"/>
            <w:vAlign w:val="bottom"/>
            <w:gridSpan w:val="3"/>
          </w:tcPr>
          <w:p>
            <w:pPr>
              <w:ind w:left="6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By:  /s/ Graham L Wagner</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By:  /s/ Bill Boyle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120" w:type="dxa"/>
            <w:vAlign w:val="bottom"/>
            <w:tcBorders>
              <w:right w:val="single" w:sz="8" w:color="auto"/>
            </w:tcBorders>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3"/>
          </w:tcPr>
          <w:p>
            <w:pPr>
              <w:spacing w:after="0"/>
              <w:rPr>
                <w:sz w:val="20"/>
                <w:szCs w:val="20"/>
                <w:color w:val="auto"/>
              </w:rPr>
            </w:pPr>
            <w:r>
              <w:rPr>
                <w:rFonts w:ascii="Arial" w:cs="Arial" w:eastAsia="Arial" w:hAnsi="Arial"/>
                <w:sz w:val="18"/>
                <w:szCs w:val="18"/>
                <w:color w:val="auto"/>
              </w:rPr>
              <w:t>Name:  Graham L Wagner</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Name:  Bill Boyle</w:t>
            </w:r>
          </w:p>
        </w:tc>
        <w:tc>
          <w:tcPr>
            <w:tcW w:w="0" w:type="dxa"/>
            <w:vAlign w:val="bottom"/>
          </w:tcPr>
          <w:p>
            <w:pPr>
              <w:spacing w:after="0"/>
              <w:rPr>
                <w:sz w:val="1"/>
                <w:szCs w:val="1"/>
                <w:color w:val="auto"/>
              </w:rPr>
            </w:pPr>
          </w:p>
        </w:tc>
      </w:tr>
      <w:tr>
        <w:trPr>
          <w:trHeight w:val="210"/>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Title:</w:t>
            </w:r>
          </w:p>
        </w:tc>
        <w:tc>
          <w:tcPr>
            <w:tcW w:w="4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0"/>
        </w:trPr>
        <w:tc>
          <w:tcPr>
            <w:tcW w:w="50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40" w:type="dxa"/>
            <w:vAlign w:val="bottom"/>
            <w:gridSpan w:val="2"/>
            <w:vMerge w:val="restart"/>
          </w:tcPr>
          <w:p>
            <w:pPr>
              <w:ind w:left="640"/>
              <w:spacing w:after="0"/>
              <w:rPr>
                <w:sz w:val="20"/>
                <w:szCs w:val="20"/>
                <w:color w:val="auto"/>
              </w:rPr>
            </w:pPr>
            <w:r>
              <w:rPr>
                <w:rFonts w:ascii="Arial" w:cs="Arial" w:eastAsia="Arial" w:hAnsi="Arial"/>
                <w:sz w:val="18"/>
                <w:szCs w:val="18"/>
                <w:color w:val="auto"/>
              </w:rPr>
              <w:t>Date:</w:t>
            </w:r>
          </w:p>
        </w:tc>
        <w:tc>
          <w:tcPr>
            <w:tcW w:w="4880" w:type="dxa"/>
            <w:vAlign w:val="bottom"/>
            <w:vMerge w:val="restart"/>
          </w:tcPr>
          <w:p>
            <w:pPr>
              <w:ind w:left="100"/>
              <w:spacing w:after="0"/>
              <w:rPr>
                <w:sz w:val="20"/>
                <w:szCs w:val="20"/>
                <w:color w:val="auto"/>
              </w:rPr>
            </w:pPr>
            <w:r>
              <w:rPr>
                <w:rFonts w:ascii="Arial" w:cs="Arial" w:eastAsia="Arial" w:hAnsi="Arial"/>
                <w:sz w:val="18"/>
                <w:szCs w:val="18"/>
                <w:color w:val="auto"/>
              </w:rPr>
              <w:t>23-Aug-2006</w:t>
            </w:r>
          </w:p>
        </w:tc>
        <w:tc>
          <w:tcPr>
            <w:tcW w:w="0" w:type="dxa"/>
            <w:vAlign w:val="bottom"/>
          </w:tcPr>
          <w:p>
            <w:pPr>
              <w:spacing w:after="0"/>
              <w:rPr>
                <w:sz w:val="1"/>
                <w:szCs w:val="1"/>
                <w:color w:val="auto"/>
              </w:rPr>
            </w:pPr>
          </w:p>
        </w:tc>
      </w:tr>
      <w:tr>
        <w:trPr>
          <w:trHeight w:val="210"/>
        </w:trPr>
        <w:tc>
          <w:tcPr>
            <w:tcW w:w="500" w:type="dxa"/>
            <w:vAlign w:val="bottom"/>
            <w:gridSpan w:val="2"/>
            <w:vMerge w:val="continue"/>
          </w:tcPr>
          <w:p>
            <w:pPr>
              <w:spacing w:after="0"/>
              <w:rPr>
                <w:sz w:val="18"/>
                <w:szCs w:val="18"/>
                <w:color w:val="auto"/>
              </w:rPr>
            </w:pP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September 2006</w:t>
            </w:r>
          </w:p>
        </w:tc>
        <w:tc>
          <w:tcPr>
            <w:tcW w:w="1140" w:type="dxa"/>
            <w:vAlign w:val="bottom"/>
            <w:gridSpan w:val="2"/>
            <w:vMerge w:val="continue"/>
          </w:tcPr>
          <w:p>
            <w:pPr>
              <w:spacing w:after="0"/>
              <w:rPr>
                <w:sz w:val="18"/>
                <w:szCs w:val="18"/>
                <w:color w:val="auto"/>
              </w:rPr>
            </w:pPr>
          </w:p>
        </w:tc>
        <w:tc>
          <w:tcPr>
            <w:tcW w:w="4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MRC / ANAPTYS LICENSE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661" w:name="page662"/>
    <w:bookmarkEnd w:id="661"/>
    <w:p>
      <w:pPr>
        <w:ind w:left="4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3810</wp:posOffset>
            </wp:positionV>
            <wp:extent cx="7246620" cy="13716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38"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0700"/>
          </w:cols>
          <w:pgMar w:left="960" w:top="269" w:right="239" w:bottom="1440" w:gutter="0" w:footer="0" w:header="0"/>
        </w:sectPr>
      </w:pPr>
    </w:p>
    <w:bookmarkStart w:id="662" w:name="page663"/>
    <w:bookmarkEnd w:id="6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Competing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1" w:right="239" w:bottom="1440" w:gutter="0" w:footer="0" w:header="0"/>
        </w:sectPr>
      </w:pPr>
    </w:p>
    <w:bookmarkStart w:id="663" w:name="page664"/>
    <w:bookmarkEnd w:id="6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 Materials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1" w:right="239" w:bottom="1440" w:gutter="0" w:footer="0" w:header="0"/>
        </w:sectPr>
      </w:pPr>
    </w:p>
    <w:bookmarkStart w:id="664" w:name="page665"/>
    <w:bookmarkEnd w:id="6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LICENSE AGREEMENT</w:t>
      </w:r>
    </w:p>
    <w:p>
      <w:pPr>
        <w:spacing w:after="0" w:line="22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 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and effective as of March 31, 2008 (the “</w:t>
      </w:r>
      <w:r>
        <w:rPr>
          <w:rFonts w:ascii="Arial" w:cs="Arial" w:eastAsia="Arial" w:hAnsi="Arial"/>
          <w:sz w:val="18"/>
          <w:szCs w:val="18"/>
          <w:b w:val="1"/>
          <w:bCs w:val="1"/>
          <w:i w:val="1"/>
          <w:iCs w:val="1"/>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for the purpose of amending that certain License Agreement dated August 30, 2006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w:t>
      </w:r>
      <w:r>
        <w:rPr>
          <w:rFonts w:ascii="Arial" w:cs="Arial" w:eastAsia="Arial" w:hAnsi="Arial"/>
          <w:sz w:val="15"/>
          <w:szCs w:val="15"/>
          <w:b w:val="1"/>
          <w:bCs w:val="1"/>
          <w:color w:val="auto"/>
        </w:rPr>
        <w:t>ESEARCH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OUNCIL</w:t>
      </w:r>
      <w:r>
        <w:rPr>
          <w:rFonts w:ascii="Arial" w:cs="Arial" w:eastAsia="Arial" w:hAnsi="Arial"/>
          <w:sz w:val="18"/>
          <w:szCs w:val="18"/>
          <w:color w:val="auto"/>
        </w:rPr>
        <w:t>, a UK government funded non-departmental body with principal offices at 20 Park Crescent, London, W1B 1AL, United Kingdom (the “</w:t>
      </w:r>
      <w:r>
        <w:rPr>
          <w:rFonts w:ascii="Arial" w:cs="Arial" w:eastAsia="Arial" w:hAnsi="Arial"/>
          <w:sz w:val="18"/>
          <w:szCs w:val="18"/>
          <w:b w:val="1"/>
          <w:bCs w:val="1"/>
          <w:i w:val="1"/>
          <w:iCs w:val="1"/>
          <w:color w:val="auto"/>
        </w:rPr>
        <w:t>MRC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having a principal place of business at 10931 North Torrey Pines Road, Suite 101, La Jolla, California 92037, United States of America (“</w:t>
      </w:r>
      <w:r>
        <w:rPr>
          <w:rFonts w:ascii="Arial" w:cs="Arial" w:eastAsia="Arial" w:hAnsi="Arial"/>
          <w:sz w:val="18"/>
          <w:szCs w:val="18"/>
          <w:b w:val="1"/>
          <w:bCs w:val="1"/>
          <w:i w:val="1"/>
          <w:iCs w:val="1"/>
          <w:color w:val="auto"/>
        </w:rPr>
        <w:t>Anaptys</w:t>
      </w:r>
      <w:r>
        <w:rPr>
          <w:rFonts w:ascii="Arial" w:cs="Arial" w:eastAsia="Arial" w:hAnsi="Arial"/>
          <w:sz w:val="18"/>
          <w:szCs w:val="18"/>
          <w:color w:val="auto"/>
        </w:rPr>
        <w:t>”). Capitalized terms used but not otherwise defined herein shall have the meanings provided in the Agreement.</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MRC and Anaptys agree as follows:</w:t>
      </w:r>
    </w:p>
    <w:p>
      <w:pPr>
        <w:spacing w:after="0" w:line="166" w:lineRule="exact"/>
        <w:rPr>
          <w:sz w:val="20"/>
          <w:szCs w:val="20"/>
          <w:color w:val="auto"/>
        </w:rPr>
      </w:pPr>
    </w:p>
    <w:p>
      <w:pPr>
        <w:ind w:left="180" w:hanging="172"/>
        <w:spacing w:after="0"/>
        <w:tabs>
          <w:tab w:leader="none" w:pos="18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New Defined Terms</w:t>
      </w:r>
      <w:r>
        <w:rPr>
          <w:rFonts w:ascii="Arial" w:cs="Arial" w:eastAsia="Arial" w:hAnsi="Arial"/>
          <w:sz w:val="18"/>
          <w:szCs w:val="18"/>
          <w:color w:val="auto"/>
        </w:rPr>
        <w:t>. The following terms shall have the respective meanings set forth below for purposes of this Amendment:</w:t>
      </w:r>
    </w:p>
    <w:p>
      <w:pPr>
        <w:spacing w:after="0" w:line="229" w:lineRule="exact"/>
        <w:rPr>
          <w:rFonts w:ascii="Arial" w:cs="Arial" w:eastAsia="Arial" w:hAnsi="Arial"/>
          <w:sz w:val="18"/>
          <w:szCs w:val="18"/>
          <w:b w:val="1"/>
          <w:bCs w:val="1"/>
          <w:color w:val="auto"/>
        </w:rPr>
      </w:pPr>
    </w:p>
    <w:p>
      <w:pPr>
        <w:ind w:left="720" w:hanging="256"/>
        <w:spacing w:after="0"/>
        <w:tabs>
          <w:tab w:leader="none" w:pos="720" w:val="left"/>
        </w:tabs>
        <w:numPr>
          <w:ilvl w:val="1"/>
          <w:numId w:val="5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Antibody Services</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1"/>
          <w:numId w:val="5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Modified Third Party Antibody</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left="700" w:hanging="236"/>
        <w:spacing w:after="0"/>
        <w:tabs>
          <w:tab w:leader="none" w:pos="700" w:val="left"/>
        </w:tabs>
        <w:numPr>
          <w:ilvl w:val="1"/>
          <w:numId w:val="5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Antibody</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1"/>
          <w:numId w:val="5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Anaptys-Controlled Antibody</w:t>
      </w:r>
      <w:r>
        <w:rPr>
          <w:rFonts w:ascii="Arial" w:cs="Arial" w:eastAsia="Arial" w:hAnsi="Arial"/>
          <w:sz w:val="18"/>
          <w:szCs w:val="18"/>
          <w:color w:val="auto"/>
        </w:rPr>
        <w:t>” shall mean [*].</w:t>
      </w:r>
    </w:p>
    <w:p>
      <w:pPr>
        <w:spacing w:after="0" w:line="221" w:lineRule="exact"/>
        <w:rPr>
          <w:rFonts w:ascii="Arial" w:cs="Arial" w:eastAsia="Arial" w:hAnsi="Arial"/>
          <w:sz w:val="18"/>
          <w:szCs w:val="18"/>
          <w:b w:val="1"/>
          <w:bCs w:val="1"/>
          <w:color w:val="auto"/>
        </w:rPr>
      </w:pPr>
    </w:p>
    <w:p>
      <w:pPr>
        <w:ind w:left="180" w:hanging="172"/>
        <w:spacing w:after="0"/>
        <w:tabs>
          <w:tab w:leader="none" w:pos="180" w:val="left"/>
        </w:tabs>
        <w:numPr>
          <w:ilvl w:val="0"/>
          <w:numId w:val="591"/>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of “Licensed Product(s)” Definition</w:t>
      </w:r>
      <w:r>
        <w:rPr>
          <w:rFonts w:ascii="Arial" w:cs="Arial" w:eastAsia="Arial" w:hAnsi="Arial"/>
          <w:sz w:val="17"/>
          <w:szCs w:val="17"/>
          <w:color w:val="auto"/>
        </w:rPr>
        <w:t>. Section 1.11 of the Agreement is hereby amended and restated to read in its entirety as follows:</w:t>
      </w:r>
    </w:p>
    <w:p>
      <w:pPr>
        <w:spacing w:after="0" w:line="237"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Licensed Product(s)</w:t>
      </w:r>
      <w:r>
        <w:rPr>
          <w:rFonts w:ascii="Arial" w:cs="Arial" w:eastAsia="Arial" w:hAnsi="Arial"/>
          <w:sz w:val="18"/>
          <w:szCs w:val="18"/>
          <w:color w:val="auto"/>
        </w:rPr>
        <w:t>” means a composition, product or device (i) the manufacture, use, sale, offer for sale or import of which, but for the License, would infringe any Patent Rights in any country were they issued at the time of such manufacture, use, sale, offer for sale or import in that country or (ii) which is an antibody initially discovered using Licensed Methods (whether Anaptys or a third party controls such antibody) or (iii) is an Anaptys-Controlled Antibody resulting from Licensed Method-based affinity maturation of antibodies initially discovered without using Licensed Methods.”</w:t>
      </w:r>
    </w:p>
    <w:p>
      <w:pPr>
        <w:spacing w:after="0" w:line="184" w:lineRule="exact"/>
        <w:rPr>
          <w:sz w:val="20"/>
          <w:szCs w:val="20"/>
          <w:color w:val="auto"/>
        </w:rPr>
      </w:pPr>
    </w:p>
    <w:p>
      <w:pPr>
        <w:ind w:left="460" w:right="1380" w:hanging="452"/>
        <w:spacing w:after="0" w:line="503" w:lineRule="auto"/>
        <w:tabs>
          <w:tab w:leader="none" w:pos="184"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“Net Sales” Definition</w:t>
      </w:r>
      <w:r>
        <w:rPr>
          <w:rFonts w:ascii="Arial" w:cs="Arial" w:eastAsia="Arial" w:hAnsi="Arial"/>
          <w:sz w:val="18"/>
          <w:szCs w:val="18"/>
          <w:color w:val="auto"/>
        </w:rPr>
        <w:t>. Section 1.16 of the Agreement is hereby amended and restated to read in its entirety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“1.16 “</w:t>
      </w:r>
      <w:r>
        <w:rPr>
          <w:rFonts w:ascii="Arial" w:cs="Arial" w:eastAsia="Arial" w:hAnsi="Arial"/>
          <w:sz w:val="18"/>
          <w:szCs w:val="18"/>
          <w:b w:val="1"/>
          <w:bCs w:val="1"/>
          <w:color w:val="auto"/>
        </w:rPr>
        <w:t>Net Sales</w:t>
      </w:r>
      <w:r>
        <w:rPr>
          <w:rFonts w:ascii="Arial" w:cs="Arial" w:eastAsia="Arial" w:hAnsi="Arial"/>
          <w:sz w:val="18"/>
          <w:szCs w:val="18"/>
          <w:color w:val="auto"/>
        </w:rPr>
        <w:t>” means, [*]</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80" w:hanging="172"/>
        <w:spacing w:after="0"/>
        <w:tabs>
          <w:tab w:leader="none" w:pos="18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“Sublicensee” Definition</w:t>
      </w:r>
      <w:r>
        <w:rPr>
          <w:rFonts w:ascii="Arial" w:cs="Arial" w:eastAsia="Arial" w:hAnsi="Arial"/>
          <w:sz w:val="18"/>
          <w:szCs w:val="18"/>
          <w:color w:val="auto"/>
        </w:rPr>
        <w:t>. Section 1.21 of the Agreement is hereby amended and restated to read in its entirety as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665" w:name="page666"/>
    <w:bookmarkEnd w:id="665"/>
    <w:p>
      <w:pPr>
        <w:ind w:left="452" w:right="1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 “</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to which Anaptys grants a sublicense under the Patent Rights to make or sell any Licensed Product in the Territory or use Licensed Methods in the Territory in accordance with the terms of this Agreement.”</w:t>
      </w:r>
    </w:p>
    <w:p>
      <w:pPr>
        <w:spacing w:after="0" w:line="162" w:lineRule="exact"/>
        <w:rPr>
          <w:sz w:val="20"/>
          <w:szCs w:val="20"/>
          <w:color w:val="auto"/>
        </w:rPr>
      </w:pPr>
    </w:p>
    <w:p>
      <w:pPr>
        <w:ind w:left="172" w:hanging="172"/>
        <w:spacing w:after="0"/>
        <w:tabs>
          <w:tab w:leader="none" w:pos="172"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3.2</w:t>
      </w:r>
      <w:r>
        <w:rPr>
          <w:rFonts w:ascii="Arial" w:cs="Arial" w:eastAsia="Arial" w:hAnsi="Arial"/>
          <w:sz w:val="18"/>
          <w:szCs w:val="18"/>
          <w:color w:val="auto"/>
        </w:rPr>
        <w:t>. Section 3.2 is hereby amended and restated to read in its entirety as follows:</w:t>
      </w:r>
    </w:p>
    <w:p>
      <w:pPr>
        <w:spacing w:after="0" w:line="225" w:lineRule="exact"/>
        <w:rPr>
          <w:sz w:val="20"/>
          <w:szCs w:val="20"/>
          <w:color w:val="auto"/>
        </w:rPr>
      </w:pPr>
    </w:p>
    <w:p>
      <w:pPr>
        <w:ind w:left="452" w:right="40"/>
        <w:spacing w:after="0" w:line="27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Reporting</w:t>
      </w:r>
      <w:r>
        <w:rPr>
          <w:rFonts w:ascii="Arial" w:cs="Arial" w:eastAsia="Arial" w:hAnsi="Arial"/>
          <w:sz w:val="17"/>
          <w:szCs w:val="17"/>
          <w:color w:val="auto"/>
        </w:rPr>
        <w:t xml:space="preserve">. Within sixty (60) days following the first anniversary of the Effective Date and each subsequent anniversary thereof during the term of this Agreement, Anaptys will provide MRC with annual progress reports which will include a summary budget and a summary plan for the development of Licensed Products and/or Licensed Methods;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lieu of the summary budget specified in this clause, Anaptys may provide to MRC a written certification by an Anaptys officer that Anaptys’ budget for the twelve (12) months after such anniversary allocates at least $[*] to the development and/or commercialization of Licensed Products and/or Licensed Methods.”</w:t>
      </w:r>
    </w:p>
    <w:p>
      <w:pPr>
        <w:spacing w:after="0" w:line="168" w:lineRule="exact"/>
        <w:rPr>
          <w:sz w:val="20"/>
          <w:szCs w:val="20"/>
          <w:color w:val="auto"/>
        </w:rPr>
      </w:pPr>
    </w:p>
    <w:p>
      <w:pPr>
        <w:ind w:left="172" w:hanging="172"/>
        <w:spacing w:after="0"/>
        <w:tabs>
          <w:tab w:leader="none" w:pos="172"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color w:val="auto"/>
        </w:rPr>
        <w:t>Elimination of Section 4.2</w:t>
      </w:r>
      <w:r>
        <w:rPr>
          <w:rFonts w:ascii="Arial" w:cs="Arial" w:eastAsia="Arial" w:hAnsi="Arial"/>
          <w:sz w:val="18"/>
          <w:szCs w:val="18"/>
          <w:color w:val="auto"/>
        </w:rPr>
        <w:t>. Section 4.2 of the Agreement is hereby deleted in its entirety and shall be of no further force or effect.</w:t>
      </w:r>
    </w:p>
    <w:p>
      <w:pPr>
        <w:spacing w:after="0" w:line="225" w:lineRule="exact"/>
        <w:rPr>
          <w:rFonts w:ascii="Arial" w:cs="Arial" w:eastAsia="Arial" w:hAnsi="Arial"/>
          <w:sz w:val="18"/>
          <w:szCs w:val="18"/>
          <w:b w:val="1"/>
          <w:bCs w:val="1"/>
          <w:color w:val="auto"/>
        </w:rPr>
      </w:pPr>
    </w:p>
    <w:p>
      <w:pPr>
        <w:ind w:left="172" w:hanging="172"/>
        <w:spacing w:after="0"/>
        <w:tabs>
          <w:tab w:leader="none" w:pos="172"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4.3(a)</w:t>
      </w:r>
      <w:r>
        <w:rPr>
          <w:rFonts w:ascii="Arial" w:cs="Arial" w:eastAsia="Arial" w:hAnsi="Arial"/>
          <w:sz w:val="18"/>
          <w:szCs w:val="18"/>
          <w:color w:val="auto"/>
        </w:rPr>
        <w:t>. Paragraph (a) of Section 4.3 is hereby amended and restated to read in its entirety as follows:</w:t>
      </w:r>
    </w:p>
    <w:p>
      <w:pPr>
        <w:spacing w:after="0" w:line="22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 Anaptys will pay MRC royalties as follows:</w:t>
      </w:r>
    </w:p>
    <w:p>
      <w:pPr>
        <w:spacing w:after="0" w:line="221" w:lineRule="exact"/>
        <w:rPr>
          <w:sz w:val="20"/>
          <w:szCs w:val="20"/>
          <w:color w:val="auto"/>
        </w:rPr>
      </w:pPr>
    </w:p>
    <w:p>
      <w:pPr>
        <w:ind w:left="1492" w:right="260" w:hanging="8"/>
        <w:spacing w:after="0" w:line="282" w:lineRule="auto"/>
        <w:tabs>
          <w:tab w:leader="none" w:pos="1707" w:val="left"/>
        </w:tabs>
        <w:numPr>
          <w:ilvl w:val="0"/>
          <w:numId w:val="595"/>
        </w:numPr>
        <w:rPr>
          <w:rFonts w:ascii="Arial" w:cs="Arial" w:eastAsia="Arial" w:hAnsi="Arial"/>
          <w:sz w:val="18"/>
          <w:szCs w:val="18"/>
          <w:color w:val="auto"/>
        </w:rPr>
      </w:pPr>
      <w:r>
        <w:rPr>
          <w:rFonts w:ascii="Arial" w:cs="Arial" w:eastAsia="Arial" w:hAnsi="Arial"/>
          <w:sz w:val="18"/>
          <w:szCs w:val="18"/>
          <w:b w:val="1"/>
          <w:bCs w:val="1"/>
          <w:color w:val="auto"/>
        </w:rPr>
        <w:t xml:space="preserve">Licensed Products – Therapeutic,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Diagnostic or Prophylactic Uses</w:t>
      </w:r>
      <w:r>
        <w:rPr>
          <w:rFonts w:ascii="Arial" w:cs="Arial" w:eastAsia="Arial" w:hAnsi="Arial"/>
          <w:sz w:val="18"/>
          <w:szCs w:val="18"/>
          <w:color w:val="auto"/>
        </w:rPr>
        <w:t>. For Licensed Products for therapeutic, prophylactic</w:t>
      </w:r>
      <w:r>
        <w:rPr>
          <w:rFonts w:ascii="Arial" w:cs="Arial" w:eastAsia="Arial" w:hAnsi="Arial"/>
          <w:sz w:val="18"/>
          <w:szCs w:val="18"/>
          <w:b w:val="1"/>
          <w:bCs w:val="1"/>
          <w:color w:val="auto"/>
        </w:rPr>
        <w:t xml:space="preserve"> </w:t>
      </w:r>
      <w:r>
        <w:rPr>
          <w:rFonts w:ascii="Arial" w:cs="Arial" w:eastAsia="Arial" w:hAnsi="Arial"/>
          <w:sz w:val="18"/>
          <w:szCs w:val="18"/>
          <w:color w:val="auto"/>
        </w:rPr>
        <w:t>and/or in vivo diagnostic uses in humans or animals, Anaptys will pay MRC:</w:t>
      </w:r>
    </w:p>
    <w:p>
      <w:pPr>
        <w:spacing w:after="0" w:line="165" w:lineRule="exact"/>
        <w:rPr>
          <w:rFonts w:ascii="Arial" w:cs="Arial" w:eastAsia="Arial" w:hAnsi="Arial"/>
          <w:sz w:val="18"/>
          <w:szCs w:val="18"/>
          <w:color w:val="auto"/>
        </w:rPr>
      </w:pPr>
    </w:p>
    <w:p>
      <w:pPr>
        <w:ind w:left="2132" w:hanging="251"/>
        <w:spacing w:after="0"/>
        <w:tabs>
          <w:tab w:leader="none" w:pos="2132" w:val="left"/>
        </w:tabs>
        <w:numPr>
          <w:ilvl w:val="1"/>
          <w:numId w:val="595"/>
        </w:numPr>
        <w:rPr>
          <w:rFonts w:ascii="Arial" w:cs="Arial" w:eastAsia="Arial" w:hAnsi="Arial"/>
          <w:sz w:val="18"/>
          <w:szCs w:val="18"/>
          <w:color w:val="auto"/>
        </w:rPr>
      </w:pPr>
      <w:r>
        <w:rPr>
          <w:rFonts w:ascii="Arial" w:cs="Arial" w:eastAsia="Arial" w:hAnsi="Arial"/>
          <w:sz w:val="18"/>
          <w:szCs w:val="18"/>
          <w:color w:val="auto"/>
        </w:rPr>
        <w:t>[*] of that portion of annual Net Sales of Licensed Products up to $[*];</w:t>
      </w:r>
    </w:p>
    <w:p>
      <w:pPr>
        <w:spacing w:after="0" w:line="225" w:lineRule="exact"/>
        <w:rPr>
          <w:rFonts w:ascii="Arial" w:cs="Arial" w:eastAsia="Arial" w:hAnsi="Arial"/>
          <w:sz w:val="18"/>
          <w:szCs w:val="18"/>
          <w:color w:val="auto"/>
        </w:rPr>
      </w:pPr>
    </w:p>
    <w:p>
      <w:pPr>
        <w:ind w:left="2132" w:hanging="251"/>
        <w:spacing w:after="0"/>
        <w:tabs>
          <w:tab w:leader="none" w:pos="2132" w:val="left"/>
        </w:tabs>
        <w:numPr>
          <w:ilvl w:val="1"/>
          <w:numId w:val="595"/>
        </w:numPr>
        <w:rPr>
          <w:rFonts w:ascii="Arial" w:cs="Arial" w:eastAsia="Arial" w:hAnsi="Arial"/>
          <w:sz w:val="18"/>
          <w:szCs w:val="18"/>
          <w:color w:val="auto"/>
        </w:rPr>
      </w:pPr>
      <w:r>
        <w:rPr>
          <w:rFonts w:ascii="Arial" w:cs="Arial" w:eastAsia="Arial" w:hAnsi="Arial"/>
          <w:sz w:val="18"/>
          <w:szCs w:val="18"/>
          <w:color w:val="auto"/>
        </w:rPr>
        <w:t>[*] of that portion of annual Net Sales of Licensed Products from over $[*]; and</w:t>
      </w:r>
    </w:p>
    <w:p>
      <w:pPr>
        <w:spacing w:after="0" w:line="225" w:lineRule="exact"/>
        <w:rPr>
          <w:rFonts w:ascii="Arial" w:cs="Arial" w:eastAsia="Arial" w:hAnsi="Arial"/>
          <w:sz w:val="18"/>
          <w:szCs w:val="18"/>
          <w:color w:val="auto"/>
        </w:rPr>
      </w:pPr>
    </w:p>
    <w:p>
      <w:pPr>
        <w:ind w:left="2132" w:hanging="251"/>
        <w:spacing w:after="0"/>
        <w:tabs>
          <w:tab w:leader="none" w:pos="2132" w:val="left"/>
        </w:tabs>
        <w:numPr>
          <w:ilvl w:val="1"/>
          <w:numId w:val="595"/>
        </w:numPr>
        <w:rPr>
          <w:rFonts w:ascii="Arial" w:cs="Arial" w:eastAsia="Arial" w:hAnsi="Arial"/>
          <w:sz w:val="18"/>
          <w:szCs w:val="18"/>
          <w:color w:val="auto"/>
        </w:rPr>
      </w:pPr>
      <w:r>
        <w:rPr>
          <w:rFonts w:ascii="Arial" w:cs="Arial" w:eastAsia="Arial" w:hAnsi="Arial"/>
          <w:sz w:val="18"/>
          <w:szCs w:val="18"/>
          <w:color w:val="auto"/>
        </w:rPr>
        <w:t>[*] of that portion of annual Net Sales of Licensed Products over $[*].</w:t>
      </w:r>
    </w:p>
    <w:p>
      <w:pPr>
        <w:spacing w:after="0" w:line="221" w:lineRule="exact"/>
        <w:rPr>
          <w:rFonts w:ascii="Arial" w:cs="Arial" w:eastAsia="Arial" w:hAnsi="Arial"/>
          <w:sz w:val="18"/>
          <w:szCs w:val="18"/>
          <w:color w:val="auto"/>
        </w:rPr>
      </w:pPr>
    </w:p>
    <w:p>
      <w:pPr>
        <w:ind w:left="1492" w:right="120" w:hanging="8"/>
        <w:spacing w:after="0" w:line="347" w:lineRule="auto"/>
        <w:tabs>
          <w:tab w:leader="none" w:pos="1757" w:val="left"/>
        </w:tabs>
        <w:numPr>
          <w:ilvl w:val="0"/>
          <w:numId w:val="595"/>
        </w:numPr>
        <w:rPr>
          <w:rFonts w:ascii="Arial" w:cs="Arial" w:eastAsia="Arial" w:hAnsi="Arial"/>
          <w:sz w:val="16"/>
          <w:szCs w:val="16"/>
          <w:color w:val="auto"/>
        </w:rPr>
      </w:pPr>
      <w:r>
        <w:rPr>
          <w:rFonts w:ascii="Arial" w:cs="Arial" w:eastAsia="Arial" w:hAnsi="Arial"/>
          <w:sz w:val="16"/>
          <w:szCs w:val="16"/>
          <w:b w:val="1"/>
          <w:bCs w:val="1"/>
          <w:color w:val="auto"/>
        </w:rPr>
        <w:t>Licensed Products – Other Uses</w:t>
      </w:r>
      <w:r>
        <w:rPr>
          <w:rFonts w:ascii="Arial" w:cs="Arial" w:eastAsia="Arial" w:hAnsi="Arial"/>
          <w:sz w:val="16"/>
          <w:szCs w:val="16"/>
          <w:color w:val="auto"/>
        </w:rPr>
        <w:t>. For Licensed Products for non-therapeutic, non-prophylactic and non-in vivo diagnostic uses: [*]</w:t>
      </w:r>
      <w:r>
        <w:rPr>
          <w:rFonts w:ascii="Arial" w:cs="Arial" w:eastAsia="Arial" w:hAnsi="Arial"/>
          <w:sz w:val="16"/>
          <w:szCs w:val="16"/>
          <w:b w:val="1"/>
          <w:bCs w:val="1"/>
          <w:color w:val="auto"/>
        </w:rPr>
        <w:t xml:space="preserve"> </w:t>
      </w:r>
      <w:r>
        <w:rPr>
          <w:rFonts w:ascii="Arial" w:cs="Arial" w:eastAsia="Arial" w:hAnsi="Arial"/>
          <w:sz w:val="16"/>
          <w:szCs w:val="16"/>
          <w:color w:val="auto"/>
        </w:rPr>
        <w:t>of worldwide annual Net Sales of such Licensed Products for non-therapeutic, non-prophylactic and non-in vivo diagnostic uses.</w:t>
      </w:r>
    </w:p>
    <w:p>
      <w:pPr>
        <w:spacing w:after="0" w:line="116" w:lineRule="exact"/>
        <w:rPr>
          <w:rFonts w:ascii="Arial" w:cs="Arial" w:eastAsia="Arial" w:hAnsi="Arial"/>
          <w:sz w:val="16"/>
          <w:szCs w:val="16"/>
          <w:color w:val="auto"/>
        </w:rPr>
      </w:pPr>
    </w:p>
    <w:p>
      <w:pPr>
        <w:ind w:left="1492" w:right="320" w:hanging="8"/>
        <w:spacing w:after="0" w:line="266" w:lineRule="auto"/>
        <w:tabs>
          <w:tab w:leader="none" w:pos="1807" w:val="left"/>
        </w:tabs>
        <w:numPr>
          <w:ilvl w:val="0"/>
          <w:numId w:val="595"/>
        </w:numPr>
        <w:rPr>
          <w:rFonts w:ascii="Arial" w:cs="Arial" w:eastAsia="Arial" w:hAnsi="Arial"/>
          <w:sz w:val="18"/>
          <w:szCs w:val="18"/>
          <w:color w:val="auto"/>
        </w:rPr>
      </w:pPr>
      <w:r>
        <w:rPr>
          <w:rFonts w:ascii="Arial" w:cs="Arial" w:eastAsia="Arial" w:hAnsi="Arial"/>
          <w:sz w:val="18"/>
          <w:szCs w:val="18"/>
          <w:b w:val="1"/>
          <w:bCs w:val="1"/>
          <w:color w:val="auto"/>
        </w:rPr>
        <w:t>Modified Third Party Antibodies; Antibody Services</w:t>
      </w:r>
      <w:r>
        <w:rPr>
          <w:rFonts w:ascii="Arial" w:cs="Arial" w:eastAsia="Arial" w:hAnsi="Arial"/>
          <w:sz w:val="18"/>
          <w:szCs w:val="18"/>
          <w:color w:val="auto"/>
        </w:rPr>
        <w:t>. Notwithstanding the preceding provisions of this Section 4.3(a)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of this Agreement to the contrary, the only amounts payable to MRC with respect to Modified Third Party Antibodies and/or Antibody Services are those set forth in this Section 4.3(a)(iv). Beginning</w:t>
      </w:r>
    </w:p>
    <w:p>
      <w:pPr>
        <w:spacing w:after="0" w:line="109" w:lineRule="exact"/>
        <w:rPr>
          <w:sz w:val="20"/>
          <w:szCs w:val="20"/>
          <w:color w:val="auto"/>
        </w:rPr>
      </w:pPr>
    </w:p>
    <w:p>
      <w:pPr>
        <w:jc w:val="both"/>
        <w:ind w:left="5912"/>
        <w:spacing w:after="0"/>
        <w:tabs>
          <w:tab w:leader="none" w:pos="8612"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12"/>
          </w:cols>
          <w:pgMar w:left="248" w:top="271" w:right="239" w:bottom="1440" w:gutter="0" w:footer="0" w:header="0"/>
        </w:sectPr>
      </w:pPr>
    </w:p>
    <w:bookmarkStart w:id="666" w:name="page667"/>
    <w:bookmarkEnd w:id="666"/>
    <w:p>
      <w:pPr>
        <w:ind w:left="1492"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second anniversary of the Effective Date and on each anniversary thereof during the term of this Agreement, Anaptys shall pay to the MRC a flat annual fee of $[*] (each, an “Annual Fee”), which shall be payable regardless of whether Anaptys actually (A) performs any Antibody Services during the applicable year and/or (B) receives any consideration with respect to any Modified Third Party Antibody or Antibody Services during such year.</w:t>
      </w:r>
    </w:p>
    <w:p>
      <w:pPr>
        <w:spacing w:after="0" w:line="187" w:lineRule="exact"/>
        <w:rPr>
          <w:sz w:val="20"/>
          <w:szCs w:val="20"/>
          <w:color w:val="auto"/>
        </w:rPr>
      </w:pPr>
    </w:p>
    <w:p>
      <w:pPr>
        <w:ind w:left="1492"/>
        <w:spacing w:after="0" w:line="277" w:lineRule="auto"/>
        <w:rPr>
          <w:sz w:val="20"/>
          <w:szCs w:val="20"/>
          <w:color w:val="auto"/>
        </w:rPr>
      </w:pPr>
      <w:r>
        <w:rPr>
          <w:rFonts w:ascii="Arial" w:cs="Arial" w:eastAsia="Arial" w:hAnsi="Arial"/>
          <w:sz w:val="18"/>
          <w:szCs w:val="18"/>
          <w:color w:val="auto"/>
        </w:rPr>
        <w:t>For the avoidance of doubt, no royalties or consideration other than the Annual Fee shall be payable to the MRC with respect to Antibody Services, or with respect to any Modified Third Party Antibody.”</w:t>
      </w:r>
    </w:p>
    <w:p>
      <w:pPr>
        <w:spacing w:after="0" w:line="166" w:lineRule="exact"/>
        <w:rPr>
          <w:sz w:val="20"/>
          <w:szCs w:val="20"/>
          <w:color w:val="auto"/>
        </w:rPr>
      </w:pPr>
    </w:p>
    <w:p>
      <w:pPr>
        <w:ind w:left="172" w:hanging="172"/>
        <w:spacing w:after="0"/>
        <w:tabs>
          <w:tab w:leader="none" w:pos="172"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4.3(b)</w:t>
      </w:r>
      <w:r>
        <w:rPr>
          <w:rFonts w:ascii="Arial" w:cs="Arial" w:eastAsia="Arial" w:hAnsi="Arial"/>
          <w:sz w:val="18"/>
          <w:szCs w:val="18"/>
          <w:color w:val="auto"/>
        </w:rPr>
        <w:t>. The second sentence of subparagraph (i) of paragraph (b) of Section 4.3 is hereby deleted.</w:t>
      </w:r>
    </w:p>
    <w:p>
      <w:pPr>
        <w:spacing w:after="0" w:line="225" w:lineRule="exact"/>
        <w:rPr>
          <w:rFonts w:ascii="Arial" w:cs="Arial" w:eastAsia="Arial" w:hAnsi="Arial"/>
          <w:sz w:val="18"/>
          <w:szCs w:val="18"/>
          <w:b w:val="1"/>
          <w:bCs w:val="1"/>
          <w:color w:val="auto"/>
        </w:rPr>
      </w:pPr>
    </w:p>
    <w:p>
      <w:pPr>
        <w:ind w:left="172" w:hanging="172"/>
        <w:spacing w:after="0"/>
        <w:tabs>
          <w:tab w:leader="none" w:pos="172"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4.5</w:t>
      </w:r>
      <w:r>
        <w:rPr>
          <w:rFonts w:ascii="Arial" w:cs="Arial" w:eastAsia="Arial" w:hAnsi="Arial"/>
          <w:sz w:val="18"/>
          <w:szCs w:val="18"/>
          <w:color w:val="auto"/>
        </w:rPr>
        <w:t>. Section 4.5 of the Agreement is hereby amended and restated to read in its entirety as follows:</w:t>
      </w:r>
    </w:p>
    <w:p>
      <w:pPr>
        <w:spacing w:after="0" w:line="225" w:lineRule="exact"/>
        <w:rPr>
          <w:sz w:val="20"/>
          <w:szCs w:val="20"/>
          <w:color w:val="auto"/>
        </w:rPr>
      </w:pPr>
    </w:p>
    <w:p>
      <w:pPr>
        <w:jc w:val="both"/>
        <w:ind w:left="452" w:right="240"/>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Milestone Payments</w:t>
      </w:r>
      <w:r>
        <w:rPr>
          <w:rFonts w:ascii="Arial" w:cs="Arial" w:eastAsia="Arial" w:hAnsi="Arial"/>
          <w:sz w:val="18"/>
          <w:szCs w:val="18"/>
          <w:color w:val="auto"/>
        </w:rPr>
        <w:t>. Anaptys will pay to MRC the following non-refundable milestone payments on Licensed Products on achievement of the milestones by Anaptys, its Affiliates or their respective Sublicensees. Each of the milestone payments below shall be payable one time per Licensed Product that achieves any such milestone.</w:t>
      </w:r>
    </w:p>
    <w:p>
      <w:pPr>
        <w:spacing w:after="0" w:line="180" w:lineRule="exact"/>
        <w:rPr>
          <w:sz w:val="20"/>
          <w:szCs w:val="20"/>
          <w:color w:val="auto"/>
        </w:rPr>
      </w:pPr>
    </w:p>
    <w:p>
      <w:pPr>
        <w:ind w:left="1152" w:hanging="239"/>
        <w:spacing w:after="0"/>
        <w:tabs>
          <w:tab w:leader="none" w:pos="1152" w:val="left"/>
        </w:tabs>
        <w:numPr>
          <w:ilvl w:val="1"/>
          <w:numId w:val="59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1"/>
          <w:numId w:val="59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1"/>
          <w:numId w:val="59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1"/>
          <w:numId w:val="597"/>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1"/>
          <w:numId w:val="597"/>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72" w:hanging="272"/>
        <w:spacing w:after="0"/>
        <w:tabs>
          <w:tab w:leader="none" w:pos="272"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4.6</w:t>
      </w:r>
      <w:r>
        <w:rPr>
          <w:rFonts w:ascii="Arial" w:cs="Arial" w:eastAsia="Arial" w:hAnsi="Arial"/>
          <w:sz w:val="18"/>
          <w:szCs w:val="18"/>
          <w:color w:val="auto"/>
        </w:rPr>
        <w:t>. Section 4.6 of the Agreement is hereby amended and restated to read in its entirety as follows:</w:t>
      </w:r>
    </w:p>
    <w:p>
      <w:pPr>
        <w:spacing w:after="0" w:line="225" w:lineRule="exact"/>
        <w:rPr>
          <w:sz w:val="20"/>
          <w:szCs w:val="20"/>
          <w:color w:val="auto"/>
        </w:rPr>
      </w:pPr>
    </w:p>
    <w:p>
      <w:pPr>
        <w:ind w:left="452" w:right="80"/>
        <w:spacing w:after="0" w:line="261"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Sublicense Fee</w:t>
      </w:r>
      <w:r>
        <w:rPr>
          <w:rFonts w:ascii="Arial" w:cs="Arial" w:eastAsia="Arial" w:hAnsi="Arial"/>
          <w:sz w:val="18"/>
          <w:szCs w:val="18"/>
          <w:color w:val="auto"/>
        </w:rPr>
        <w:t>. Anaptys will pay to MRC a sublicense fee of $[*] for each sublicense it grants to a Sublicensee under the Patent Rights to make or sell Licensed Products for therapeutic, prophylactic and/or in vivo diagnostic uses in humans or animals. For purposes of clarification, the foregoing sublicense fee shall be payable on a Sublicensee-by-Sublicensee basis and shall be due within thirty (30) days after the grant of a sublicense to the applicable Sublicensee.”</w:t>
      </w:r>
    </w:p>
    <w:p>
      <w:pPr>
        <w:spacing w:after="0" w:line="180" w:lineRule="exact"/>
        <w:rPr>
          <w:sz w:val="20"/>
          <w:szCs w:val="20"/>
          <w:color w:val="auto"/>
        </w:rPr>
      </w:pPr>
    </w:p>
    <w:p>
      <w:pPr>
        <w:ind w:left="252" w:hanging="252"/>
        <w:spacing w:after="0"/>
        <w:tabs>
          <w:tab w:leader="none" w:pos="252"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5.1</w:t>
      </w:r>
      <w:r>
        <w:rPr>
          <w:rFonts w:ascii="Arial" w:cs="Arial" w:eastAsia="Arial" w:hAnsi="Arial"/>
          <w:sz w:val="18"/>
          <w:szCs w:val="18"/>
          <w:color w:val="auto"/>
        </w:rPr>
        <w:t>. The first sentence of Section 5.1 is hereby amended and restated to read in its entirety as follows:</w:t>
      </w:r>
    </w:p>
    <w:p>
      <w:pPr>
        <w:spacing w:after="0" w:line="229"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“Payment of royalties under the applicable provisions of Section 4.3(a) will be made by Anaptys to the MRC on an annual basis within ninety (90) days after the end of the</w:t>
      </w:r>
    </w:p>
    <w:p>
      <w:pPr>
        <w:spacing w:after="0" w:line="99" w:lineRule="exact"/>
        <w:rPr>
          <w:sz w:val="20"/>
          <w:szCs w:val="20"/>
          <w:color w:val="auto"/>
        </w:rPr>
      </w:pPr>
    </w:p>
    <w:p>
      <w:pPr>
        <w:jc w:val="both"/>
        <w:ind w:left="5912"/>
        <w:spacing w:after="0"/>
        <w:tabs>
          <w:tab w:leader="none" w:pos="8612"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12"/>
          </w:cols>
          <w:pgMar w:left="248" w:top="274" w:right="239" w:bottom="1440" w:gutter="0" w:footer="0" w:header="0"/>
        </w:sectPr>
      </w:pPr>
    </w:p>
    <w:bookmarkStart w:id="667" w:name="page668"/>
    <w:bookmarkEnd w:id="667"/>
    <w:p>
      <w:pPr>
        <w:ind w:left="452"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twelve-month period ending December 31 (each, a “Payment Period”) covering the quantity of Licensed Products and Licensed Methods sold by Anaptys, its Affiliates and/or Sublicensees, as appropriate, during the applicable Payment Period. Payment of any other amount due under Section 4 will be made by Anaptys to the MRC within forty-five (45) days after such amount becomes due.”</w:t>
      </w:r>
    </w:p>
    <w:p>
      <w:pPr>
        <w:spacing w:after="0" w:line="177" w:lineRule="exact"/>
        <w:rPr>
          <w:sz w:val="20"/>
          <w:szCs w:val="20"/>
          <w:color w:val="auto"/>
        </w:rPr>
      </w:pPr>
    </w:p>
    <w:p>
      <w:pPr>
        <w:ind w:left="-8" w:right="420" w:firstLine="8"/>
        <w:spacing w:after="0" w:line="282" w:lineRule="auto"/>
        <w:tabs>
          <w:tab w:leader="none" w:pos="262"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6.3(a)</w:t>
      </w:r>
      <w:r>
        <w:rPr>
          <w:rFonts w:ascii="Arial" w:cs="Arial" w:eastAsia="Arial" w:hAnsi="Arial"/>
          <w:sz w:val="18"/>
          <w:szCs w:val="18"/>
          <w:color w:val="auto"/>
        </w:rPr>
        <w:t>. The second sentence of paragraph (a) of Section 6.3 of the Agreement is hereby amended and restated to read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follows:</w:t>
      </w:r>
    </w:p>
    <w:p>
      <w:pPr>
        <w:spacing w:after="0" w:line="166" w:lineRule="exact"/>
        <w:rPr>
          <w:sz w:val="20"/>
          <w:szCs w:val="20"/>
          <w:color w:val="auto"/>
        </w:rPr>
      </w:pPr>
    </w:p>
    <w:p>
      <w:pPr>
        <w:ind w:left="452" w:right="20"/>
        <w:spacing w:after="0" w:line="277" w:lineRule="auto"/>
        <w:rPr>
          <w:sz w:val="20"/>
          <w:szCs w:val="20"/>
          <w:color w:val="auto"/>
        </w:rPr>
      </w:pPr>
      <w:r>
        <w:rPr>
          <w:rFonts w:ascii="Arial" w:cs="Arial" w:eastAsia="Arial" w:hAnsi="Arial"/>
          <w:sz w:val="18"/>
          <w:szCs w:val="18"/>
          <w:color w:val="auto"/>
        </w:rPr>
        <w:t>“Anaptys shall have the first right (but not the obligation) to bring suit (or take other appropriate legal action) against any actual, alleged or threatened infringement of the Patent Rights, at its own expense and with legal counsel of its own choice.”</w:t>
      </w:r>
    </w:p>
    <w:p>
      <w:pPr>
        <w:spacing w:after="0" w:line="166" w:lineRule="exact"/>
        <w:rPr>
          <w:sz w:val="20"/>
          <w:szCs w:val="20"/>
          <w:color w:val="auto"/>
        </w:rPr>
      </w:pPr>
    </w:p>
    <w:p>
      <w:pPr>
        <w:ind w:left="-8" w:right="560" w:firstLine="8"/>
        <w:spacing w:after="0" w:line="282" w:lineRule="auto"/>
        <w:tabs>
          <w:tab w:leader="none" w:pos="262"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7.1</w:t>
      </w:r>
      <w:r>
        <w:rPr>
          <w:rFonts w:ascii="Arial" w:cs="Arial" w:eastAsia="Arial" w:hAnsi="Arial"/>
          <w:sz w:val="18"/>
          <w:szCs w:val="18"/>
          <w:color w:val="auto"/>
        </w:rPr>
        <w:t>. Paragraphs (b) through (f) of Section 7.1 of the Agreement are hereby deleted and replaced in their entirety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ind w:left="452" w:firstLine="438"/>
        <w:spacing w:after="0" w:line="277" w:lineRule="auto"/>
        <w:rPr>
          <w:sz w:val="20"/>
          <w:szCs w:val="20"/>
          <w:color w:val="auto"/>
        </w:rPr>
      </w:pPr>
      <w:r>
        <w:rPr>
          <w:rFonts w:ascii="Arial" w:cs="Arial" w:eastAsia="Arial" w:hAnsi="Arial"/>
          <w:sz w:val="18"/>
          <w:szCs w:val="18"/>
          <w:color w:val="auto"/>
        </w:rPr>
        <w:t>“(b) was known to the receiving Party (other than under an obligation of confidentiality) prior to when it was received from the disclosing Party, as evidenced by contemporaneous written records; or</w:t>
      </w:r>
    </w:p>
    <w:p>
      <w:pPr>
        <w:spacing w:after="0" w:line="170" w:lineRule="exact"/>
        <w:rPr>
          <w:sz w:val="20"/>
          <w:szCs w:val="20"/>
          <w:color w:val="auto"/>
        </w:rPr>
      </w:pPr>
    </w:p>
    <w:p>
      <w:pPr>
        <w:ind w:left="452" w:right="300" w:firstLine="443"/>
        <w:spacing w:after="0" w:line="277" w:lineRule="auto"/>
        <w:tabs>
          <w:tab w:leader="none" w:pos="113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is subsequently disclosed to the receiving Party on a non-confidential basis in good faith by a Third Party who has a right to make such a disclosure; or</w:t>
      </w:r>
    </w:p>
    <w:p>
      <w:pPr>
        <w:spacing w:after="0" w:line="170" w:lineRule="exact"/>
        <w:rPr>
          <w:rFonts w:ascii="Arial" w:cs="Arial" w:eastAsia="Arial" w:hAnsi="Arial"/>
          <w:sz w:val="18"/>
          <w:szCs w:val="18"/>
          <w:color w:val="auto"/>
        </w:rPr>
      </w:pPr>
    </w:p>
    <w:p>
      <w:pPr>
        <w:ind w:left="1152" w:hanging="257"/>
        <w:spacing w:after="0"/>
        <w:tabs>
          <w:tab w:leader="none" w:pos="1152" w:val="left"/>
        </w:tabs>
        <w:numPr>
          <w:ilvl w:val="0"/>
          <w:numId w:val="602"/>
        </w:numPr>
        <w:rPr>
          <w:rFonts w:ascii="Arial" w:cs="Arial" w:eastAsia="Arial" w:hAnsi="Arial"/>
          <w:sz w:val="18"/>
          <w:szCs w:val="18"/>
          <w:color w:val="auto"/>
        </w:rPr>
      </w:pPr>
      <w:r>
        <w:rPr>
          <w:rFonts w:ascii="Arial" w:cs="Arial" w:eastAsia="Arial" w:hAnsi="Arial"/>
          <w:sz w:val="18"/>
          <w:szCs w:val="18"/>
          <w:color w:val="auto"/>
        </w:rPr>
        <w:t>has been published by a Third Party which had a right to do so; or</w:t>
      </w:r>
    </w:p>
    <w:p>
      <w:pPr>
        <w:spacing w:after="0" w:line="225" w:lineRule="exact"/>
        <w:rPr>
          <w:rFonts w:ascii="Arial" w:cs="Arial" w:eastAsia="Arial" w:hAnsi="Arial"/>
          <w:sz w:val="18"/>
          <w:szCs w:val="18"/>
          <w:color w:val="auto"/>
        </w:rPr>
      </w:pPr>
    </w:p>
    <w:p>
      <w:pPr>
        <w:ind w:left="1132" w:hanging="237"/>
        <w:spacing w:after="0"/>
        <w:tabs>
          <w:tab w:leader="none" w:pos="1132" w:val="left"/>
        </w:tabs>
        <w:numPr>
          <w:ilvl w:val="0"/>
          <w:numId w:val="602"/>
        </w:numPr>
        <w:rPr>
          <w:rFonts w:ascii="Arial" w:cs="Arial" w:eastAsia="Arial" w:hAnsi="Arial"/>
          <w:sz w:val="16"/>
          <w:szCs w:val="16"/>
          <w:color w:val="auto"/>
        </w:rPr>
      </w:pPr>
      <w:r>
        <w:rPr>
          <w:rFonts w:ascii="Arial" w:cs="Arial" w:eastAsia="Arial" w:hAnsi="Arial"/>
          <w:sz w:val="16"/>
          <w:szCs w:val="16"/>
          <w:color w:val="auto"/>
        </w:rPr>
        <w:t>has been independently developed by the receiving Party without the aid, application or use of Confidential Information from the disclosing</w:t>
      </w:r>
    </w:p>
    <w:p>
      <w:pPr>
        <w:spacing w:after="0" w:line="46"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1" w:lineRule="exact"/>
        <w:rPr>
          <w:sz w:val="20"/>
          <w:szCs w:val="20"/>
          <w:color w:val="auto"/>
        </w:rPr>
      </w:pPr>
    </w:p>
    <w:p>
      <w:pPr>
        <w:ind w:left="452"/>
        <w:spacing w:after="0" w:line="297" w:lineRule="auto"/>
        <w:rPr>
          <w:sz w:val="20"/>
          <w:szCs w:val="20"/>
          <w:color w:val="auto"/>
        </w:rPr>
      </w:pPr>
      <w:r>
        <w:rPr>
          <w:rFonts w:ascii="Arial" w:cs="Arial" w:eastAsia="Arial" w:hAnsi="Arial"/>
          <w:sz w:val="16"/>
          <w:szCs w:val="16"/>
          <w:color w:val="auto"/>
        </w:rPr>
        <w:t>In addition, and notwithstanding the preceding provisions of this Section 7.1, the receiving Party may, without breaching its obligations hereunder, disclose such Confidential Information as is required by law to be disclosed, but then only to the limited extent of such legally required disclosure; provided, however, that the receiving Party shall give prompt written notice to the disclosing Party of such legally required disclosure and, at the disclosing Party’s request and expense, shall cooperate, as far as it is reasonably able to do so, with the disclosing Party’s lawful efforts to contest such required disclosure or to obtain a protective order or other confidential treatment of the information required to be disclosed.”</w:t>
      </w:r>
    </w:p>
    <w:p>
      <w:pPr>
        <w:spacing w:after="0" w:line="154" w:lineRule="exact"/>
        <w:rPr>
          <w:sz w:val="20"/>
          <w:szCs w:val="20"/>
          <w:color w:val="auto"/>
        </w:rPr>
      </w:pPr>
    </w:p>
    <w:p>
      <w:pPr>
        <w:ind w:left="272" w:hanging="272"/>
        <w:spacing w:after="0"/>
        <w:tabs>
          <w:tab w:leader="none" w:pos="272"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7.2</w:t>
      </w:r>
      <w:r>
        <w:rPr>
          <w:rFonts w:ascii="Arial" w:cs="Arial" w:eastAsia="Arial" w:hAnsi="Arial"/>
          <w:sz w:val="18"/>
          <w:szCs w:val="18"/>
          <w:color w:val="auto"/>
        </w:rPr>
        <w:t>. A new sentence is hereby added to the end of Section 7.2, reading in its entirety as follows:</w:t>
      </w:r>
    </w:p>
    <w:p>
      <w:pPr>
        <w:spacing w:after="0" w:line="229" w:lineRule="exact"/>
        <w:rPr>
          <w:sz w:val="20"/>
          <w:szCs w:val="20"/>
          <w:color w:val="auto"/>
        </w:rPr>
      </w:pPr>
    </w:p>
    <w:p>
      <w:pPr>
        <w:ind w:left="452" w:right="140"/>
        <w:spacing w:after="0" w:line="264" w:lineRule="auto"/>
        <w:rPr>
          <w:sz w:val="20"/>
          <w:szCs w:val="20"/>
          <w:color w:val="auto"/>
        </w:rPr>
      </w:pPr>
      <w:r>
        <w:rPr>
          <w:rFonts w:ascii="Arial" w:cs="Arial" w:eastAsia="Arial" w:hAnsi="Arial"/>
          <w:sz w:val="18"/>
          <w:szCs w:val="18"/>
          <w:color w:val="auto"/>
        </w:rPr>
        <w:t>“In addition, and notwithstanding the preceding provisions of this Section 7.2, each Party shall be free to disclose via any medium, without the other Party’s prior written consent, the existence of this Agreement, the identity of the other Party, and those terms of, or other matters relating to, this Agreement which have already been publicly disclosed with the other Party’s approval.”</w:t>
      </w:r>
    </w:p>
    <w:p>
      <w:pPr>
        <w:spacing w:after="0" w:line="11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92"/>
          </w:cols>
          <w:pgMar w:left="248" w:top="274" w:right="359" w:bottom="1440" w:gutter="0" w:footer="0" w:header="0"/>
        </w:sectPr>
      </w:pPr>
    </w:p>
    <w:bookmarkStart w:id="668" w:name="page669"/>
    <w:bookmarkEnd w:id="668"/>
    <w:p>
      <w:pPr>
        <w:ind w:left="272" w:hanging="272"/>
        <w:spacing w:after="0"/>
        <w:tabs>
          <w:tab w:leader="none" w:pos="272"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of Section 8.1</w:t>
      </w:r>
      <w:r>
        <w:rPr>
          <w:rFonts w:ascii="Arial" w:cs="Arial" w:eastAsia="Arial" w:hAnsi="Arial"/>
          <w:sz w:val="18"/>
          <w:szCs w:val="18"/>
          <w:color w:val="auto"/>
        </w:rPr>
        <w:t>. Section 8.1 of the Agreement is hereby amended and restated to read in its entirety as follows:</w:t>
      </w:r>
    </w:p>
    <w:p>
      <w:pPr>
        <w:spacing w:after="0" w:line="225" w:lineRule="exact"/>
        <w:rPr>
          <w:sz w:val="20"/>
          <w:szCs w:val="20"/>
          <w:color w:val="auto"/>
        </w:rPr>
      </w:pPr>
    </w:p>
    <w:p>
      <w:pPr>
        <w:ind w:left="452" w:right="160"/>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Term</w:t>
      </w:r>
      <w:r>
        <w:rPr>
          <w:rFonts w:ascii="Arial" w:cs="Arial" w:eastAsia="Arial" w:hAnsi="Arial"/>
          <w:sz w:val="18"/>
          <w:szCs w:val="18"/>
          <w:color w:val="auto"/>
        </w:rPr>
        <w:t>. Royalties under Section 4.3 of the Agreement shall be payable on a Licensed Product-by-Licensed Product or Licensed Method-by-Licensed Method and country-by-country basis in the Territory until the later of [*]. Unless earlier terminated as hereinafter provided, this Agreement shall expire upon [*].”</w:t>
      </w:r>
    </w:p>
    <w:p>
      <w:pPr>
        <w:spacing w:after="0" w:line="176" w:lineRule="exact"/>
        <w:rPr>
          <w:sz w:val="20"/>
          <w:szCs w:val="20"/>
          <w:color w:val="auto"/>
        </w:rPr>
      </w:pPr>
    </w:p>
    <w:p>
      <w:pPr>
        <w:ind w:left="272" w:hanging="272"/>
        <w:spacing w:after="0"/>
        <w:tabs>
          <w:tab w:leader="none" w:pos="272"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8.5</w:t>
      </w:r>
      <w:r>
        <w:rPr>
          <w:rFonts w:ascii="Arial" w:cs="Arial" w:eastAsia="Arial" w:hAnsi="Arial"/>
          <w:sz w:val="18"/>
          <w:szCs w:val="18"/>
          <w:color w:val="auto"/>
        </w:rPr>
        <w:t>. Section 8.5 of the Agreement is hereby amended and restated to read in its entirety as follows:</w:t>
      </w:r>
    </w:p>
    <w:p>
      <w:pPr>
        <w:spacing w:after="0" w:line="225" w:lineRule="exact"/>
        <w:rPr>
          <w:sz w:val="20"/>
          <w:szCs w:val="20"/>
          <w:color w:val="auto"/>
        </w:rPr>
      </w:pPr>
    </w:p>
    <w:p>
      <w:pPr>
        <w:ind w:left="452" w:right="220"/>
        <w:spacing w:after="0" w:line="25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Survival of Certain Sublicenses</w:t>
      </w:r>
      <w:r>
        <w:rPr>
          <w:rFonts w:ascii="Arial" w:cs="Arial" w:eastAsia="Arial" w:hAnsi="Arial"/>
          <w:sz w:val="18"/>
          <w:szCs w:val="18"/>
          <w:color w:val="auto"/>
        </w:rPr>
        <w:t xml:space="preserve">. Sublicenses granted by Anaptys to a Third Party will survive termination of Anaptys’ license as a result of termination of this Agreement by the MRC for breach by Anaptys pursuant to Section 8.2(b); </w:t>
      </w:r>
      <w:r>
        <w:rPr>
          <w:rFonts w:ascii="Arial" w:cs="Arial" w:eastAsia="Arial" w:hAnsi="Arial"/>
          <w:sz w:val="18"/>
          <w:szCs w:val="18"/>
          <w:i w:val="1"/>
          <w:iCs w:val="1"/>
          <w:color w:val="auto"/>
        </w:rPr>
        <w:t>provided</w:t>
      </w:r>
      <w:r>
        <w:rPr>
          <w:rFonts w:ascii="Arial" w:cs="Arial" w:eastAsia="Arial" w:hAnsi="Arial"/>
          <w:sz w:val="18"/>
          <w:szCs w:val="18"/>
          <w:color w:val="auto"/>
        </w:rPr>
        <w:t>, however, that (i) such Third Party is not the cause of such breach, (ii) such Third Party agrees in writing to assume all applicable obligations of Anaptys under this Agreement, and (iii) the MRC continues to receive from such Third Party all payments under Section 4.3 that MRC would have received from Anaptys with respect to such Third Party’s activities had this Agreement remained in effect.”</w:t>
      </w:r>
    </w:p>
    <w:p>
      <w:pPr>
        <w:spacing w:after="0" w:line="184" w:lineRule="exact"/>
        <w:rPr>
          <w:sz w:val="20"/>
          <w:szCs w:val="20"/>
          <w:color w:val="auto"/>
        </w:rPr>
      </w:pPr>
    </w:p>
    <w:p>
      <w:pPr>
        <w:ind w:left="272" w:hanging="272"/>
        <w:spacing w:after="0"/>
        <w:tabs>
          <w:tab w:leader="none" w:pos="272"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13.2</w:t>
      </w:r>
      <w:r>
        <w:rPr>
          <w:rFonts w:ascii="Arial" w:cs="Arial" w:eastAsia="Arial" w:hAnsi="Arial"/>
          <w:sz w:val="18"/>
          <w:szCs w:val="18"/>
          <w:color w:val="auto"/>
        </w:rPr>
        <w:t>. Section 13.2 of the Agreement is hereby amended and restated to read in its entirety as follows:</w:t>
      </w:r>
    </w:p>
    <w:p>
      <w:pPr>
        <w:spacing w:after="0" w:line="229"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“13.2 Notwithstanding anything herein to the contrary, Anaptys may assign this Agreement and its rights and obligations hereunder without the MRC’s consent in connection with the transfer or sale of all or substantially all of Anaptys’ business to which this Agreement relates to a Third Party, whether by merger, sale of stock, sale of assets or otherwise, so long as Anaptys is not in material breach of this Agreement and Anaptys provides prompt written notice of the assignment to the MRC.”</w:t>
      </w:r>
    </w:p>
    <w:p>
      <w:pPr>
        <w:spacing w:after="0" w:line="183" w:lineRule="exact"/>
        <w:rPr>
          <w:sz w:val="20"/>
          <w:szCs w:val="20"/>
          <w:color w:val="auto"/>
        </w:rPr>
      </w:pPr>
    </w:p>
    <w:p>
      <w:pPr>
        <w:ind w:left="-8" w:right="180" w:firstLine="8"/>
        <w:spacing w:after="0" w:line="289" w:lineRule="auto"/>
        <w:tabs>
          <w:tab w:leader="none" w:pos="262" w:val="left"/>
        </w:tabs>
        <w:numPr>
          <w:ilvl w:val="0"/>
          <w:numId w:val="607"/>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Agreement, as amended by this Amendment, embodies the entire understanding of the Parties and shall supersede all previous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representations and understandings, whether oral, written or otherwise, between the Parties relating to the subject matter hereof. Except as specifically amended by this Amendment, the terms and conditions of the Agreement shall remain in full force and effect.</w:t>
      </w:r>
    </w:p>
    <w:p>
      <w:pPr>
        <w:spacing w:after="0" w:line="158" w:lineRule="exact"/>
        <w:rPr>
          <w:rFonts w:ascii="Arial" w:cs="Arial" w:eastAsia="Arial" w:hAnsi="Arial"/>
          <w:sz w:val="17"/>
          <w:szCs w:val="17"/>
          <w:b w:val="1"/>
          <w:bCs w:val="1"/>
          <w:color w:val="auto"/>
        </w:rPr>
      </w:pPr>
    </w:p>
    <w:p>
      <w:pPr>
        <w:ind w:left="-8" w:right="200" w:firstLine="8"/>
        <w:spacing w:after="0" w:line="282" w:lineRule="auto"/>
        <w:tabs>
          <w:tab w:leader="none" w:pos="262"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counterparts, each of which shall be deemed an original document, and all of which,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writing, shall be deemed one instrument.</w:t>
      </w:r>
    </w:p>
    <w:p>
      <w:pPr>
        <w:spacing w:after="0" w:line="94" w:lineRule="exact"/>
        <w:rPr>
          <w:sz w:val="20"/>
          <w:szCs w:val="20"/>
          <w:color w:val="auto"/>
        </w:rPr>
      </w:pPr>
    </w:p>
    <w:p>
      <w:pPr>
        <w:jc w:val="both"/>
        <w:ind w:left="5912"/>
        <w:spacing w:after="0"/>
        <w:tabs>
          <w:tab w:leader="none" w:pos="8612"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12"/>
          </w:cols>
          <w:pgMar w:left="248" w:top="271" w:right="239" w:bottom="1440" w:gutter="0" w:footer="0" w:header="0"/>
        </w:sectPr>
      </w:pPr>
    </w:p>
    <w:bookmarkStart w:id="669" w:name="page670"/>
    <w:bookmarkEnd w:id="66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duly executed this Amendment as of the Amendment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Chairman and CEO</w:t>
            </w:r>
          </w:p>
        </w:tc>
      </w:tr>
      <w:tr>
        <w:trPr>
          <w:trHeight w:val="210"/>
        </w:trPr>
        <w:tc>
          <w:tcPr>
            <w:tcW w:w="500" w:type="dxa"/>
            <w:vAlign w:val="bottom"/>
          </w:tcPr>
          <w:p>
            <w:pPr>
              <w:spacing w:after="0"/>
              <w:rPr>
                <w:sz w:val="18"/>
                <w:szCs w:val="18"/>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670" w:name="page671"/>
    <w:bookmarkEnd w:id="6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AMENDMENT TO LICENSE AGREEMENT</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and effective as of October 27, 2009 (the “</w:t>
      </w:r>
      <w:r>
        <w:rPr>
          <w:rFonts w:ascii="Arial" w:cs="Arial" w:eastAsia="Arial" w:hAnsi="Arial"/>
          <w:sz w:val="18"/>
          <w:szCs w:val="18"/>
          <w:b w:val="1"/>
          <w:bCs w:val="1"/>
          <w:i w:val="1"/>
          <w:iCs w:val="1"/>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for the purpose of amending that certain License Agreement dated August 30, 2006, as amended by that certain First Amendment to 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dated March 31, 2009 (collectively,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by and between the </w:t>
      </w: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5"/>
          <w:szCs w:val="15"/>
          <w:b w:val="1"/>
          <w:bCs w:val="1"/>
          <w:color w:val="auto"/>
        </w:rPr>
        <w:t>ESEARCH</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OUNCIL</w:t>
      </w:r>
      <w:r>
        <w:rPr>
          <w:rFonts w:ascii="Arial" w:cs="Arial" w:eastAsia="Arial" w:hAnsi="Arial"/>
          <w:sz w:val="18"/>
          <w:szCs w:val="18"/>
          <w:color w:val="auto"/>
        </w:rPr>
        <w:t>, a UK government funded non-departmental body with principal offices at 20 Park Crescent, London, W1B 1AL, United Kingdom (the “</w:t>
      </w:r>
      <w:r>
        <w:rPr>
          <w:rFonts w:ascii="Arial" w:cs="Arial" w:eastAsia="Arial" w:hAnsi="Arial"/>
          <w:sz w:val="18"/>
          <w:szCs w:val="18"/>
          <w:b w:val="1"/>
          <w:bCs w:val="1"/>
          <w:i w:val="1"/>
          <w:iCs w:val="1"/>
          <w:color w:val="auto"/>
        </w:rPr>
        <w:t>MRC</w:t>
      </w:r>
      <w:r>
        <w:rPr>
          <w:rFonts w:ascii="Arial" w:cs="Arial" w:eastAsia="Arial" w:hAnsi="Arial"/>
          <w:sz w:val="18"/>
          <w:szCs w:val="18"/>
          <w:color w:val="auto"/>
        </w:rPr>
        <w:t xml:space="preserve">”); and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(formerly known as Anaptys Biosciences, Inc.), a Delaware corporation having a principal place of business at 10835 Road to the Cure, Suite 100, San Diego, California 92121, United States of America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Capitalized terms used but not otherwise defined herein shall have the meanings provided in the Agreement.</w:t>
      </w:r>
    </w:p>
    <w:p>
      <w:pPr>
        <w:spacing w:after="0" w:line="8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MRC and AnaptysBio agree as follows:</w:t>
      </w:r>
    </w:p>
    <w:p>
      <w:pPr>
        <w:spacing w:after="0" w:line="166" w:lineRule="exact"/>
        <w:rPr>
          <w:sz w:val="20"/>
          <w:szCs w:val="20"/>
          <w:color w:val="auto"/>
        </w:rPr>
      </w:pPr>
    </w:p>
    <w:p>
      <w:pPr>
        <w:ind w:left="180" w:hanging="172"/>
        <w:spacing w:after="0"/>
        <w:tabs>
          <w:tab w:leader="none" w:pos="180" w:val="left"/>
        </w:tabs>
        <w:numPr>
          <w:ilvl w:val="0"/>
          <w:numId w:val="608"/>
        </w:numPr>
        <w:rPr>
          <w:rFonts w:ascii="Arial" w:cs="Arial" w:eastAsia="Arial" w:hAnsi="Arial"/>
          <w:sz w:val="16"/>
          <w:szCs w:val="16"/>
          <w:b w:val="1"/>
          <w:bCs w:val="1"/>
          <w:color w:val="auto"/>
        </w:rPr>
      </w:pPr>
      <w:r>
        <w:rPr>
          <w:rFonts w:ascii="Arial" w:cs="Arial" w:eastAsia="Arial" w:hAnsi="Arial"/>
          <w:sz w:val="16"/>
          <w:szCs w:val="16"/>
          <w:b w:val="1"/>
          <w:bCs w:val="1"/>
          <w:color w:val="auto"/>
        </w:rPr>
        <w:t>Patent Rights</w:t>
      </w:r>
      <w:r>
        <w:rPr>
          <w:rFonts w:ascii="Arial" w:cs="Arial" w:eastAsia="Arial" w:hAnsi="Arial"/>
          <w:sz w:val="16"/>
          <w:szCs w:val="16"/>
          <w:color w:val="auto"/>
        </w:rPr>
        <w:t>. Exhibit A to the Agreement is hereby amended and restated to read in its entirety as set forth in Appendix 1 attached to this Amendment.</w:t>
      </w:r>
    </w:p>
    <w:p>
      <w:pPr>
        <w:spacing w:after="0" w:line="248" w:lineRule="exact"/>
        <w:rPr>
          <w:rFonts w:ascii="Arial" w:cs="Arial" w:eastAsia="Arial" w:hAnsi="Arial"/>
          <w:sz w:val="16"/>
          <w:szCs w:val="16"/>
          <w:b w:val="1"/>
          <w:bCs w:val="1"/>
          <w:color w:val="auto"/>
        </w:rPr>
      </w:pPr>
    </w:p>
    <w:p>
      <w:pPr>
        <w:ind w:left="180" w:hanging="172"/>
        <w:spacing w:after="0"/>
        <w:tabs>
          <w:tab w:leader="none" w:pos="180"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Addition of New Section 2.5</w:t>
      </w:r>
      <w:r>
        <w:rPr>
          <w:rFonts w:ascii="Arial" w:cs="Arial" w:eastAsia="Arial" w:hAnsi="Arial"/>
          <w:sz w:val="18"/>
          <w:szCs w:val="18"/>
          <w:color w:val="auto"/>
        </w:rPr>
        <w:t>. A new Section 2.5 is hereby added to the Agreement:</w:t>
      </w:r>
    </w:p>
    <w:p>
      <w:pPr>
        <w:spacing w:after="0" w:line="225" w:lineRule="exact"/>
        <w:rPr>
          <w:sz w:val="20"/>
          <w:szCs w:val="20"/>
          <w:color w:val="auto"/>
        </w:rPr>
      </w:pPr>
    </w:p>
    <w:p>
      <w:pPr>
        <w:ind w:left="460" w:right="40" w:firstLine="438"/>
        <w:spacing w:after="0" w:line="282" w:lineRule="auto"/>
        <w:rPr>
          <w:sz w:val="20"/>
          <w:szCs w:val="20"/>
          <w:color w:val="auto"/>
        </w:rPr>
      </w:pPr>
      <w:r>
        <w:rPr>
          <w:rFonts w:ascii="Arial" w:cs="Arial" w:eastAsia="Arial" w:hAnsi="Arial"/>
          <w:sz w:val="18"/>
          <w:szCs w:val="18"/>
          <w:b w:val="1"/>
          <w:bCs w:val="1"/>
          <w:color w:val="auto"/>
        </w:rPr>
        <w:t>“2.5 Limited Use of Specified Patent Rights</w:t>
      </w:r>
      <w:r>
        <w:rPr>
          <w:rFonts w:ascii="Arial" w:cs="Arial" w:eastAsia="Arial" w:hAnsi="Arial"/>
          <w:sz w:val="18"/>
          <w:szCs w:val="18"/>
          <w:color w:val="auto"/>
        </w:rPr>
        <w:t>. Notwithstanding the above, the license to use Patent No. [*] set forth on Exhibit A (the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Patent Rights”) shall not include [*].”</w:t>
      </w:r>
    </w:p>
    <w:p>
      <w:pPr>
        <w:spacing w:after="0" w:line="162" w:lineRule="exact"/>
        <w:rPr>
          <w:sz w:val="20"/>
          <w:szCs w:val="20"/>
          <w:color w:val="auto"/>
        </w:rPr>
      </w:pPr>
    </w:p>
    <w:p>
      <w:pPr>
        <w:ind w:right="100" w:firstLine="8"/>
        <w:spacing w:after="0" w:line="282" w:lineRule="auto"/>
        <w:tabs>
          <w:tab w:leader="none" w:pos="180"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Fee</w:t>
      </w:r>
      <w:r>
        <w:rPr>
          <w:rFonts w:ascii="Arial" w:cs="Arial" w:eastAsia="Arial" w:hAnsi="Arial"/>
          <w:sz w:val="18"/>
          <w:szCs w:val="18"/>
          <w:color w:val="auto"/>
        </w:rPr>
        <w:t>. Within thirty (30) days following the Amendment Date, AnaptysBio shall pay MRC a one-time fee of $[*]. For purposes of clarification, this fee is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amounts payable by AnaptysBio to MRC pursuant to the Agreement.</w:t>
      </w:r>
    </w:p>
    <w:p>
      <w:pPr>
        <w:spacing w:after="0" w:line="161" w:lineRule="exact"/>
        <w:rPr>
          <w:rFonts w:ascii="Arial" w:cs="Arial" w:eastAsia="Arial" w:hAnsi="Arial"/>
          <w:sz w:val="18"/>
          <w:szCs w:val="18"/>
          <w:b w:val="1"/>
          <w:bCs w:val="1"/>
          <w:color w:val="auto"/>
        </w:rPr>
      </w:pPr>
    </w:p>
    <w:p>
      <w:pPr>
        <w:ind w:right="180" w:firstLine="8"/>
        <w:spacing w:after="0" w:line="282" w:lineRule="auto"/>
        <w:tabs>
          <w:tab w:leader="none" w:pos="180"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Materials</w:t>
      </w:r>
      <w:r>
        <w:rPr>
          <w:rFonts w:ascii="Arial" w:cs="Arial" w:eastAsia="Arial" w:hAnsi="Arial"/>
          <w:sz w:val="18"/>
          <w:szCs w:val="18"/>
          <w:color w:val="auto"/>
        </w:rPr>
        <w:t>. MRC agrees to provide AnaptysBio materials, as listed on Appendix 2 attached hereto, promptly following the Amendment Date,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included under the definition of Materials.</w:t>
      </w:r>
    </w:p>
    <w:p>
      <w:pPr>
        <w:spacing w:after="0" w:line="161" w:lineRule="exact"/>
        <w:rPr>
          <w:rFonts w:ascii="Arial" w:cs="Arial" w:eastAsia="Arial" w:hAnsi="Arial"/>
          <w:sz w:val="18"/>
          <w:szCs w:val="18"/>
          <w:b w:val="1"/>
          <w:bCs w:val="1"/>
          <w:color w:val="auto"/>
        </w:rPr>
      </w:pPr>
    </w:p>
    <w:p>
      <w:pPr>
        <w:ind w:right="180" w:firstLine="8"/>
        <w:spacing w:after="0" w:line="289" w:lineRule="auto"/>
        <w:tabs>
          <w:tab w:leader="none" w:pos="180" w:val="left"/>
        </w:tabs>
        <w:numPr>
          <w:ilvl w:val="0"/>
          <w:numId w:val="60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Agreement, as amended by this Amendment, embodies the entire understanding of the Parties and shall supersede all previous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representations and understandings, whether oral, written or otherwise, between the Parties relating to the subject matter hereof. Except as specifically amended by this Amendment, the terms and conditions of the Agreement shall remain in full force and effect.</w:t>
      </w:r>
    </w:p>
    <w:p>
      <w:pPr>
        <w:spacing w:after="0" w:line="158" w:lineRule="exact"/>
        <w:rPr>
          <w:rFonts w:ascii="Arial" w:cs="Arial" w:eastAsia="Arial" w:hAnsi="Arial"/>
          <w:sz w:val="17"/>
          <w:szCs w:val="17"/>
          <w:b w:val="1"/>
          <w:bCs w:val="1"/>
          <w:color w:val="auto"/>
        </w:rPr>
      </w:pPr>
    </w:p>
    <w:p>
      <w:pPr>
        <w:ind w:right="300" w:firstLine="8"/>
        <w:spacing w:after="0" w:line="282" w:lineRule="auto"/>
        <w:tabs>
          <w:tab w:leader="none" w:pos="180"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counterparts, each of which shall be deemed an original document, and all of which,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writing, shall be deemed one instrument.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71" w:name="page672"/>
    <w:bookmarkEnd w:id="671"/>
    <w:p>
      <w:pPr>
        <w:ind w:right="7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caused this Amendment to be executed by their duly authorized representatives or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Chairman and CEO</w:t>
            </w:r>
          </w:p>
        </w:tc>
      </w:tr>
      <w:tr>
        <w:trPr>
          <w:trHeight w:val="210"/>
        </w:trPr>
        <w:tc>
          <w:tcPr>
            <w:tcW w:w="500" w:type="dxa"/>
            <w:vAlign w:val="bottom"/>
          </w:tcPr>
          <w:p>
            <w:pPr>
              <w:spacing w:after="0"/>
              <w:rPr>
                <w:sz w:val="18"/>
                <w:szCs w:val="18"/>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ectPr>
          <w:pgSz w:w="11900" w:h="16838" w:orient="portrait"/>
          <w:cols w:equalWidth="0" w:num="1">
            <w:col w:w="11420"/>
          </w:cols>
          <w:pgMar w:left="240" w:top="269" w:right="239" w:bottom="1440" w:gutter="0" w:footer="0" w:header="0"/>
        </w:sectPr>
      </w:pPr>
    </w:p>
    <w:bookmarkStart w:id="672" w:name="page673"/>
    <w:bookmarkEnd w:id="6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ESTATEMENT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 </w:t>
      </w:r>
      <w:r>
        <w:rPr>
          <w:rFonts w:ascii="Arial" w:cs="Arial" w:eastAsia="Arial" w:hAnsi="Arial"/>
          <w:sz w:val="15"/>
          <w:szCs w:val="15"/>
          <w:b w:val="1"/>
          <w:bCs w:val="1"/>
          <w:color w:val="auto"/>
        </w:rPr>
        <w:t>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w:t>
      </w:r>
    </w:p>
    <w:p>
      <w:pPr>
        <w:spacing w:after="0" w:line="229"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73" w:name="page674"/>
    <w:bookmarkEnd w:id="6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ATERIALS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1" w:right="239" w:bottom="1440" w:gutter="0" w:footer="0" w:header="0"/>
        </w:sectPr>
      </w:pPr>
    </w:p>
    <w:bookmarkStart w:id="674" w:name="page675"/>
    <w:bookmarkEnd w:id="6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LICENSE AGREEMENT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HIRD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entered into and effective as of October 7</w:t>
      </w:r>
      <w:r>
        <w:rPr>
          <w:rFonts w:ascii="Arial" w:cs="Arial" w:eastAsia="Arial" w:hAnsi="Arial"/>
          <w:sz w:val="14"/>
          <w:szCs w:val="14"/>
          <w:color w:val="auto"/>
        </w:rPr>
        <w:t>th</w:t>
      </w:r>
      <w:r>
        <w:rPr>
          <w:rFonts w:ascii="Arial" w:cs="Arial" w:eastAsia="Arial" w:hAnsi="Arial"/>
          <w:sz w:val="17"/>
          <w:szCs w:val="17"/>
          <w:color w:val="auto"/>
        </w:rPr>
        <w:t>, 2010 (the “</w:t>
      </w:r>
      <w:r>
        <w:rPr>
          <w:rFonts w:ascii="Arial" w:cs="Arial" w:eastAsia="Arial" w:hAnsi="Arial"/>
          <w:sz w:val="17"/>
          <w:szCs w:val="17"/>
          <w:b w:val="1"/>
          <w:bCs w:val="1"/>
          <w:i w:val="1"/>
          <w:iCs w:val="1"/>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for the purpose of amending that certain Lease Agreement dated August 30, 2006, as amended by that certain First Amendment to License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dated March 31, 2008, and that certain Second Amendment to License Agreement dated October 27, 2009 (collectively,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by and between the </w:t>
      </w:r>
      <w:r>
        <w:rPr>
          <w:rFonts w:ascii="Arial" w:cs="Arial" w:eastAsia="Arial" w:hAnsi="Arial"/>
          <w:sz w:val="17"/>
          <w:szCs w:val="17"/>
          <w:b w:val="1"/>
          <w:bCs w:val="1"/>
          <w:color w:val="auto"/>
        </w:rPr>
        <w:t>M</w:t>
      </w:r>
      <w:r>
        <w:rPr>
          <w:rFonts w:ascii="Arial" w:cs="Arial" w:eastAsia="Arial" w:hAnsi="Arial"/>
          <w:sz w:val="14"/>
          <w:szCs w:val="14"/>
          <w:b w:val="1"/>
          <w:bCs w:val="1"/>
          <w:color w:val="auto"/>
        </w:rPr>
        <w:t>EDICAL</w:t>
      </w:r>
      <w:r>
        <w:rPr>
          <w:rFonts w:ascii="Arial" w:cs="Arial" w:eastAsia="Arial" w:hAnsi="Arial"/>
          <w:sz w:val="17"/>
          <w:szCs w:val="17"/>
          <w:color w:val="auto"/>
        </w:rPr>
        <w:t xml:space="preserve"> </w:t>
      </w:r>
      <w:r>
        <w:rPr>
          <w:rFonts w:ascii="Arial" w:cs="Arial" w:eastAsia="Arial" w:hAnsi="Arial"/>
          <w:sz w:val="17"/>
          <w:szCs w:val="17"/>
          <w:b w:val="1"/>
          <w:bCs w:val="1"/>
          <w:color w:val="auto"/>
        </w:rPr>
        <w:t>R</w:t>
      </w:r>
      <w:r>
        <w:rPr>
          <w:rFonts w:ascii="Arial" w:cs="Arial" w:eastAsia="Arial" w:hAnsi="Arial"/>
          <w:sz w:val="14"/>
          <w:szCs w:val="14"/>
          <w:b w:val="1"/>
          <w:bCs w:val="1"/>
          <w:color w:val="auto"/>
        </w:rPr>
        <w:t>ESEARCH</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OUNCIL</w:t>
      </w:r>
      <w:r>
        <w:rPr>
          <w:rFonts w:ascii="Arial" w:cs="Arial" w:eastAsia="Arial" w:hAnsi="Arial"/>
          <w:sz w:val="17"/>
          <w:szCs w:val="17"/>
          <w:color w:val="auto"/>
        </w:rPr>
        <w:t>, a UK government funded non-departmental body with principal offices at 20 Park Crescent, London, W1B 1AL, United Kingdom (the “</w:t>
      </w:r>
      <w:r>
        <w:rPr>
          <w:rFonts w:ascii="Arial" w:cs="Arial" w:eastAsia="Arial" w:hAnsi="Arial"/>
          <w:sz w:val="17"/>
          <w:szCs w:val="17"/>
          <w:b w:val="1"/>
          <w:bCs w:val="1"/>
          <w:i w:val="1"/>
          <w:iCs w:val="1"/>
          <w:color w:val="auto"/>
        </w:rPr>
        <w:t>MRC</w:t>
      </w:r>
      <w:r>
        <w:rPr>
          <w:rFonts w:ascii="Arial" w:cs="Arial" w:eastAsia="Arial" w:hAnsi="Arial"/>
          <w:sz w:val="17"/>
          <w:szCs w:val="17"/>
          <w:color w:val="auto"/>
        </w:rPr>
        <w:t xml:space="preserve">”); and </w:t>
      </w:r>
      <w:r>
        <w:rPr>
          <w:rFonts w:ascii="Arial" w:cs="Arial" w:eastAsia="Arial" w:hAnsi="Arial"/>
          <w:sz w:val="17"/>
          <w:szCs w:val="17"/>
          <w:b w:val="1"/>
          <w:bCs w:val="1"/>
          <w:color w:val="auto"/>
        </w:rPr>
        <w:t>A</w:t>
      </w:r>
      <w:r>
        <w:rPr>
          <w:rFonts w:ascii="Arial" w:cs="Arial" w:eastAsia="Arial" w:hAnsi="Arial"/>
          <w:sz w:val="14"/>
          <w:szCs w:val="14"/>
          <w:b w:val="1"/>
          <w:bCs w:val="1"/>
          <w:color w:val="auto"/>
        </w:rPr>
        <w:t>NAPTYS</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(formerly known as Anaptys Biosciences, Inc.), a Delaware corporation having a principal place of business at 10835 Road to the Cure, Suite 100, San Diego, California 92121, United States of America (“</w:t>
      </w:r>
      <w:r>
        <w:rPr>
          <w:rFonts w:ascii="Arial" w:cs="Arial" w:eastAsia="Arial" w:hAnsi="Arial"/>
          <w:sz w:val="17"/>
          <w:szCs w:val="17"/>
          <w:b w:val="1"/>
          <w:bCs w:val="1"/>
          <w:i w:val="1"/>
          <w:iCs w:val="1"/>
          <w:color w:val="auto"/>
        </w:rPr>
        <w:t>AnaptysBio</w:t>
      </w:r>
      <w:r>
        <w:rPr>
          <w:rFonts w:ascii="Arial" w:cs="Arial" w:eastAsia="Arial" w:hAnsi="Arial"/>
          <w:sz w:val="17"/>
          <w:szCs w:val="17"/>
          <w:color w:val="auto"/>
        </w:rPr>
        <w:t>”). Capitalized terms used but not otherwise defined herein shall have the meanings provided in the Agreement.</w:t>
      </w:r>
    </w:p>
    <w:p>
      <w:pPr>
        <w:spacing w:after="0" w:line="17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MRC and AnaptysBio agree as follows:</w:t>
      </w:r>
    </w:p>
    <w:p>
      <w:pPr>
        <w:spacing w:after="0" w:line="166" w:lineRule="exact"/>
        <w:rPr>
          <w:sz w:val="20"/>
          <w:szCs w:val="20"/>
          <w:color w:val="auto"/>
        </w:rPr>
      </w:pPr>
    </w:p>
    <w:p>
      <w:pPr>
        <w:ind w:left="180" w:hanging="172"/>
        <w:spacing w:after="0"/>
        <w:tabs>
          <w:tab w:leader="none" w:pos="180" w:val="left"/>
        </w:tabs>
        <w:numPr>
          <w:ilvl w:val="0"/>
          <w:numId w:val="61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“Antibody Services” Definition</w:t>
      </w:r>
      <w:r>
        <w:rPr>
          <w:rFonts w:ascii="Arial" w:cs="Arial" w:eastAsia="Arial" w:hAnsi="Arial"/>
          <w:sz w:val="16"/>
          <w:szCs w:val="16"/>
          <w:color w:val="auto"/>
        </w:rPr>
        <w:t>. The definition of “Antibody services” is hereby amended and restated to read in its entirety as follows:</w:t>
      </w:r>
    </w:p>
    <w:p>
      <w:pPr>
        <w:spacing w:after="0" w:line="248" w:lineRule="exact"/>
        <w:rPr>
          <w:sz w:val="20"/>
          <w:szCs w:val="20"/>
          <w:color w:val="auto"/>
        </w:rPr>
      </w:pPr>
    </w:p>
    <w:p>
      <w:pPr>
        <w:ind w:left="460"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Antibody Services</w:t>
      </w:r>
      <w:r>
        <w:rPr>
          <w:rFonts w:ascii="Arial" w:cs="Arial" w:eastAsia="Arial" w:hAnsi="Arial"/>
          <w:sz w:val="18"/>
          <w:szCs w:val="18"/>
          <w:color w:val="auto"/>
        </w:rPr>
        <w:t>” shall mean any use of Licensed Methods in the Territory to perform services on behalf of a Third Party with respect to a Third Party Molecule, including, but not limited to, services directed to discovery, generation, affinity maturation, or modification of such Third Party Molecule.</w:t>
      </w:r>
    </w:p>
    <w:p>
      <w:pPr>
        <w:spacing w:after="0" w:line="176" w:lineRule="exact"/>
        <w:rPr>
          <w:sz w:val="20"/>
          <w:szCs w:val="20"/>
          <w:color w:val="auto"/>
        </w:rPr>
      </w:pPr>
    </w:p>
    <w:p>
      <w:pPr>
        <w:ind w:right="480" w:firstLine="8"/>
        <w:spacing w:after="0" w:line="282" w:lineRule="auto"/>
        <w:tabs>
          <w:tab w:leader="none" w:pos="18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“Licensed Method(s)” Definition</w:t>
      </w:r>
      <w:r>
        <w:rPr>
          <w:rFonts w:ascii="Arial" w:cs="Arial" w:eastAsia="Arial" w:hAnsi="Arial"/>
          <w:sz w:val="18"/>
          <w:szCs w:val="18"/>
          <w:color w:val="auto"/>
        </w:rPr>
        <w:t>. The definition of “Licensed Method(s)”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Method(s)</w:t>
      </w:r>
      <w:r>
        <w:rPr>
          <w:rFonts w:ascii="Arial" w:cs="Arial" w:eastAsia="Arial" w:hAnsi="Arial"/>
          <w:sz w:val="18"/>
          <w:szCs w:val="18"/>
          <w:color w:val="auto"/>
        </w:rPr>
        <w:t>” shall mean any process, art or method the use or practice of which is within the scope of the Patent Rights.</w:t>
      </w:r>
    </w:p>
    <w:p>
      <w:pPr>
        <w:spacing w:after="0" w:line="225" w:lineRule="exact"/>
        <w:rPr>
          <w:sz w:val="20"/>
          <w:szCs w:val="20"/>
          <w:color w:val="auto"/>
        </w:rPr>
      </w:pPr>
    </w:p>
    <w:p>
      <w:pPr>
        <w:ind w:right="460" w:firstLine="8"/>
        <w:spacing w:after="0" w:line="282" w:lineRule="auto"/>
        <w:tabs>
          <w:tab w:leader="none" w:pos="180"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“Licensed Product(s)” Definition</w:t>
      </w:r>
      <w:r>
        <w:rPr>
          <w:rFonts w:ascii="Arial" w:cs="Arial" w:eastAsia="Arial" w:hAnsi="Arial"/>
          <w:sz w:val="18"/>
          <w:szCs w:val="18"/>
          <w:color w:val="auto"/>
        </w:rPr>
        <w:t>. The definition of “Licensed Product(s)”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Product(s)</w:t>
      </w:r>
      <w:r>
        <w:rPr>
          <w:rFonts w:ascii="Arial" w:cs="Arial" w:eastAsia="Arial" w:hAnsi="Arial"/>
          <w:sz w:val="18"/>
          <w:szCs w:val="18"/>
          <w:color w:val="auto"/>
        </w:rPr>
        <w:t>” shall mean a composition, product or device that is within the scope of the Patent Rights.</w:t>
      </w:r>
    </w:p>
    <w:p>
      <w:pPr>
        <w:spacing w:after="0" w:line="225" w:lineRule="exact"/>
        <w:rPr>
          <w:sz w:val="20"/>
          <w:szCs w:val="20"/>
          <w:color w:val="auto"/>
        </w:rPr>
      </w:pPr>
    </w:p>
    <w:p>
      <w:pPr>
        <w:ind w:right="280" w:firstLine="8"/>
        <w:spacing w:after="0" w:line="282" w:lineRule="auto"/>
        <w:tabs>
          <w:tab w:leader="none" w:pos="180" w:val="left"/>
        </w:tabs>
        <w:numPr>
          <w:ilvl w:val="0"/>
          <w:numId w:val="61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“Modified Third Party Antibody” Definition</w:t>
      </w:r>
      <w:r>
        <w:rPr>
          <w:rFonts w:ascii="Arial" w:cs="Arial" w:eastAsia="Arial" w:hAnsi="Arial"/>
          <w:sz w:val="18"/>
          <w:szCs w:val="18"/>
          <w:color w:val="auto"/>
        </w:rPr>
        <w:t>. The definition of “Modified Third Party Antibody” is hereby amended and restated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in its entirety as follows:</w:t>
      </w:r>
    </w:p>
    <w:p>
      <w:pPr>
        <w:spacing w:after="0" w:line="162" w:lineRule="exact"/>
        <w:rPr>
          <w:sz w:val="20"/>
          <w:szCs w:val="20"/>
          <w:color w:val="auto"/>
        </w:rPr>
      </w:pPr>
    </w:p>
    <w:p>
      <w:pPr>
        <w:ind w:left="46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Modified Third Party Antibody</w:t>
      </w:r>
      <w:r>
        <w:rPr>
          <w:rFonts w:ascii="Arial" w:cs="Arial" w:eastAsia="Arial" w:hAnsi="Arial"/>
          <w:sz w:val="18"/>
          <w:szCs w:val="18"/>
          <w:color w:val="auto"/>
        </w:rPr>
        <w:t>” shall mean an antibody, or other protein or nucleic acid, resulting from use of Licensed methods as applied to a Third Party Molecule through the performance of Antibody Services.</w:t>
      </w:r>
    </w:p>
    <w:p>
      <w:pPr>
        <w:sectPr>
          <w:pgSz w:w="11900" w:h="16838" w:orient="portrait"/>
          <w:cols w:equalWidth="0" w:num="1">
            <w:col w:w="11360"/>
          </w:cols>
          <w:pgMar w:left="240" w:top="270" w:right="299" w:bottom="1440" w:gutter="0" w:footer="0" w:header="0"/>
        </w:sectPr>
      </w:pPr>
    </w:p>
    <w:bookmarkStart w:id="675" w:name="page676"/>
    <w:bookmarkEnd w:id="675"/>
    <w:p>
      <w:pPr>
        <w:ind w:left="-8" w:firstLine="8"/>
        <w:spacing w:after="0" w:line="282" w:lineRule="auto"/>
        <w:tabs>
          <w:tab w:leader="none" w:pos="172" w:val="left"/>
        </w:tabs>
        <w:numPr>
          <w:ilvl w:val="0"/>
          <w:numId w:val="6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Replacement of “Third Party Antibody” Definition</w:t>
      </w:r>
      <w:r>
        <w:rPr>
          <w:rFonts w:ascii="Arial" w:cs="Arial" w:eastAsia="Arial" w:hAnsi="Arial"/>
          <w:sz w:val="18"/>
          <w:szCs w:val="18"/>
          <w:color w:val="auto"/>
        </w:rPr>
        <w:t>. The definition of “Third Party Antibody” is hereby eliminated, and all references to such term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deemed to refer to the term “Third Party Molecule” as defined below:</w:t>
      </w:r>
    </w:p>
    <w:p>
      <w:pPr>
        <w:spacing w:after="0" w:line="16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Molecule</w:t>
      </w:r>
      <w:r>
        <w:rPr>
          <w:rFonts w:ascii="Arial" w:cs="Arial" w:eastAsia="Arial" w:hAnsi="Arial"/>
          <w:sz w:val="16"/>
          <w:szCs w:val="16"/>
          <w:color w:val="auto"/>
        </w:rPr>
        <w:t>” shall mean an antibody, or other protein or nucleic acid, that: (i) is not an Anaptys-Controlled Antibody (defined below); and</w:t>
      </w:r>
    </w:p>
    <w:p>
      <w:pPr>
        <w:spacing w:after="0" w:line="50" w:lineRule="exact"/>
        <w:rPr>
          <w:sz w:val="20"/>
          <w:szCs w:val="20"/>
          <w:color w:val="auto"/>
        </w:rPr>
      </w:pPr>
    </w:p>
    <w:p>
      <w:pPr>
        <w:jc w:val="both"/>
        <w:ind w:left="452" w:right="120" w:firstLine="4"/>
        <w:spacing w:after="0" w:line="254" w:lineRule="auto"/>
        <w:tabs>
          <w:tab w:leader="none" w:pos="717" w:val="left"/>
        </w:tabs>
        <w:numPr>
          <w:ilvl w:val="1"/>
          <w:numId w:val="615"/>
        </w:numPr>
        <w:rPr>
          <w:rFonts w:ascii="Arial" w:cs="Arial" w:eastAsia="Arial" w:hAnsi="Arial"/>
          <w:sz w:val="18"/>
          <w:szCs w:val="18"/>
          <w:color w:val="auto"/>
        </w:rPr>
      </w:pPr>
      <w:r>
        <w:rPr>
          <w:rFonts w:ascii="Arial" w:cs="Arial" w:eastAsia="Arial" w:hAnsi="Arial"/>
          <w:sz w:val="18"/>
          <w:szCs w:val="18"/>
          <w:color w:val="auto"/>
        </w:rPr>
        <w:t>is either (A) provided by a Third Party to Anaptys for the purpose of having Anaptys provide research and development services with respect to such molecule on a fee-for-service basis, or (B) discovered or generated by Anaptys on behalf of a Third Party on a fee-for-service basis (which, in each case, may include compensation post-provision of the service); in each case, without granting the Third Party a sublicense under the Patent Right to practice Licensed Methods.</w:t>
      </w:r>
    </w:p>
    <w:p>
      <w:pPr>
        <w:spacing w:after="0" w:line="185" w:lineRule="exact"/>
        <w:rPr>
          <w:rFonts w:ascii="Arial" w:cs="Arial" w:eastAsia="Arial" w:hAnsi="Arial"/>
          <w:sz w:val="18"/>
          <w:szCs w:val="18"/>
          <w:color w:val="auto"/>
        </w:rPr>
      </w:pPr>
    </w:p>
    <w:p>
      <w:pPr>
        <w:ind w:left="172" w:hanging="172"/>
        <w:spacing w:after="0"/>
        <w:tabs>
          <w:tab w:leader="none" w:pos="172" w:val="left"/>
        </w:tabs>
        <w:numPr>
          <w:ilvl w:val="0"/>
          <w:numId w:val="61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4.3(a)(i)</w:t>
      </w:r>
      <w:r>
        <w:rPr>
          <w:rFonts w:ascii="Arial" w:cs="Arial" w:eastAsia="Arial" w:hAnsi="Arial"/>
          <w:sz w:val="18"/>
          <w:szCs w:val="18"/>
          <w:color w:val="auto"/>
        </w:rPr>
        <w:t>. Section 4.3(a)(i) shall be amended and restated to read in its entirety as follows:</w:t>
      </w:r>
    </w:p>
    <w:p>
      <w:pPr>
        <w:spacing w:after="0" w:line="225" w:lineRule="exact"/>
        <w:rPr>
          <w:sz w:val="20"/>
          <w:szCs w:val="20"/>
          <w:color w:val="auto"/>
        </w:rPr>
      </w:pPr>
    </w:p>
    <w:p>
      <w:pPr>
        <w:ind w:left="452" w:right="40"/>
        <w:spacing w:after="0" w:line="256"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Licensed Products – All Uses</w:t>
      </w:r>
      <w:r>
        <w:rPr>
          <w:rFonts w:ascii="Arial" w:cs="Arial" w:eastAsia="Arial" w:hAnsi="Arial"/>
          <w:sz w:val="18"/>
          <w:szCs w:val="18"/>
          <w:color w:val="auto"/>
        </w:rPr>
        <w:t>. Royalties will be payable with respect to a Licensed Product sold by Anaptys, its Affiliates and its Sublicensees if such Licensed Product is Covered by Patent Rights at the time of such sale in the country where such Licensed Product is sold, and such royalties shall be payable on a Licensed Product-by-Licensed Product and country-by-country basis from the First Commercial Sale of a Licensed Product in a country until expiration of the last-to-expire Patent Rights Covering such Licensed Product in such country, subject to earlier termination in accordance with Section 4.3(b)(iv). Subject to the foregoing, Anaptys will pay MRC royalties on worldwide annual Net Sales of a Licensed Product for any and all uses, on a Licensed Product-by-Licensed Product basis, as follows:</w:t>
      </w:r>
    </w:p>
    <w:p>
      <w:pPr>
        <w:spacing w:after="0" w:line="97" w:lineRule="exact"/>
        <w:rPr>
          <w:sz w:val="20"/>
          <w:szCs w:val="20"/>
          <w:color w:val="auto"/>
        </w:rPr>
      </w:pPr>
    </w:p>
    <w:p>
      <w:pPr>
        <w:ind w:left="892" w:hanging="446"/>
        <w:spacing w:after="0"/>
        <w:tabs>
          <w:tab w:leader="none" w:pos="892" w:val="left"/>
        </w:tabs>
        <w:numPr>
          <w:ilvl w:val="1"/>
          <w:numId w:val="617"/>
        </w:numPr>
        <w:rPr>
          <w:rFonts w:ascii="Arial" w:cs="Arial" w:eastAsia="Arial" w:hAnsi="Arial"/>
          <w:sz w:val="17"/>
          <w:szCs w:val="17"/>
          <w:color w:val="auto"/>
        </w:rPr>
      </w:pPr>
      <w:r>
        <w:rPr>
          <w:rFonts w:ascii="Arial" w:cs="Arial" w:eastAsia="Arial" w:hAnsi="Arial"/>
          <w:sz w:val="17"/>
          <w:szCs w:val="17"/>
          <w:color w:val="auto"/>
        </w:rPr>
        <w:t>one quarter of one percent (0.25%) of that portion of worldwide annual Net Sales of such Licensed Product from $0 to $750 million; and</w:t>
      </w:r>
    </w:p>
    <w:p>
      <w:pPr>
        <w:spacing w:after="0" w:line="142" w:lineRule="exact"/>
        <w:rPr>
          <w:rFonts w:ascii="Arial" w:cs="Arial" w:eastAsia="Arial" w:hAnsi="Arial"/>
          <w:sz w:val="17"/>
          <w:szCs w:val="17"/>
          <w:color w:val="auto"/>
        </w:rPr>
      </w:pPr>
    </w:p>
    <w:p>
      <w:pPr>
        <w:ind w:left="892" w:hanging="446"/>
        <w:spacing w:after="0"/>
        <w:tabs>
          <w:tab w:leader="none" w:pos="892" w:val="left"/>
        </w:tabs>
        <w:numPr>
          <w:ilvl w:val="1"/>
          <w:numId w:val="617"/>
        </w:numPr>
        <w:rPr>
          <w:rFonts w:ascii="Arial" w:cs="Arial" w:eastAsia="Arial" w:hAnsi="Arial"/>
          <w:sz w:val="18"/>
          <w:szCs w:val="18"/>
          <w:color w:val="auto"/>
        </w:rPr>
      </w:pPr>
      <w:r>
        <w:rPr>
          <w:rFonts w:ascii="Arial" w:cs="Arial" w:eastAsia="Arial" w:hAnsi="Arial"/>
          <w:sz w:val="18"/>
          <w:szCs w:val="18"/>
          <w:color w:val="auto"/>
        </w:rPr>
        <w:t>one percent (1.0%) of that portion of worldwide annual Net Sales of such Licensed product over $750 million”</w:t>
      </w:r>
    </w:p>
    <w:p>
      <w:pPr>
        <w:spacing w:after="0" w:line="221" w:lineRule="exact"/>
        <w:rPr>
          <w:rFonts w:ascii="Arial" w:cs="Arial" w:eastAsia="Arial" w:hAnsi="Arial"/>
          <w:sz w:val="18"/>
          <w:szCs w:val="18"/>
          <w:color w:val="auto"/>
        </w:rPr>
      </w:pPr>
    </w:p>
    <w:p>
      <w:pPr>
        <w:ind w:left="172" w:hanging="172"/>
        <w:spacing w:after="0"/>
        <w:tabs>
          <w:tab w:leader="none" w:pos="172" w:val="left"/>
        </w:tabs>
        <w:numPr>
          <w:ilvl w:val="0"/>
          <w:numId w:val="618"/>
        </w:numPr>
        <w:rPr>
          <w:rFonts w:ascii="Arial" w:cs="Arial" w:eastAsia="Arial" w:hAnsi="Arial"/>
          <w:sz w:val="18"/>
          <w:szCs w:val="18"/>
          <w:b w:val="1"/>
          <w:bCs w:val="1"/>
          <w:color w:val="auto"/>
        </w:rPr>
      </w:pPr>
      <w:r>
        <w:rPr>
          <w:rFonts w:ascii="Arial" w:cs="Arial" w:eastAsia="Arial" w:hAnsi="Arial"/>
          <w:sz w:val="18"/>
          <w:szCs w:val="18"/>
          <w:b w:val="1"/>
          <w:bCs w:val="1"/>
          <w:color w:val="auto"/>
        </w:rPr>
        <w:t>Deletion of Section 4.3(a)(ii)</w:t>
      </w:r>
      <w:r>
        <w:rPr>
          <w:rFonts w:ascii="Arial" w:cs="Arial" w:eastAsia="Arial" w:hAnsi="Arial"/>
          <w:sz w:val="18"/>
          <w:szCs w:val="18"/>
          <w:color w:val="auto"/>
        </w:rPr>
        <w:t>. Section 4.3(a)(ii) is hereby deleted in its entirety from the Agreement and of no further force or effect.</w:t>
      </w:r>
    </w:p>
    <w:p>
      <w:pPr>
        <w:spacing w:after="0" w:line="225" w:lineRule="exact"/>
        <w:rPr>
          <w:rFonts w:ascii="Arial" w:cs="Arial" w:eastAsia="Arial" w:hAnsi="Arial"/>
          <w:sz w:val="18"/>
          <w:szCs w:val="18"/>
          <w:b w:val="1"/>
          <w:bCs w:val="1"/>
          <w:color w:val="auto"/>
        </w:rPr>
      </w:pPr>
    </w:p>
    <w:p>
      <w:pPr>
        <w:ind w:left="172" w:hanging="172"/>
        <w:spacing w:after="0"/>
        <w:tabs>
          <w:tab w:leader="none" w:pos="172" w:val="left"/>
        </w:tabs>
        <w:numPr>
          <w:ilvl w:val="0"/>
          <w:numId w:val="61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4.3(a)(iii)</w:t>
      </w:r>
      <w:r>
        <w:rPr>
          <w:rFonts w:ascii="Arial" w:cs="Arial" w:eastAsia="Arial" w:hAnsi="Arial"/>
          <w:sz w:val="18"/>
          <w:szCs w:val="18"/>
          <w:color w:val="auto"/>
        </w:rPr>
        <w:t>. Section 4.3(a)(iii) is hereby amended and restated to read in its entirety as follows:</w:t>
      </w:r>
    </w:p>
    <w:p>
      <w:pPr>
        <w:spacing w:after="0" w:line="225" w:lineRule="exact"/>
        <w:rPr>
          <w:sz w:val="20"/>
          <w:szCs w:val="20"/>
          <w:color w:val="auto"/>
        </w:rPr>
      </w:pPr>
    </w:p>
    <w:p>
      <w:pPr>
        <w:ind w:left="452" w:right="20"/>
        <w:spacing w:after="0" w:line="274" w:lineRule="auto"/>
        <w:rPr>
          <w:sz w:val="20"/>
          <w:szCs w:val="20"/>
          <w:color w:val="auto"/>
        </w:rPr>
      </w:pPr>
      <w:r>
        <w:rPr>
          <w:rFonts w:ascii="Arial" w:cs="Arial" w:eastAsia="Arial" w:hAnsi="Arial"/>
          <w:sz w:val="17"/>
          <w:szCs w:val="17"/>
          <w:color w:val="auto"/>
        </w:rPr>
        <w:t xml:space="preserve">“(iii) </w:t>
      </w:r>
      <w:r>
        <w:rPr>
          <w:rFonts w:ascii="Arial" w:cs="Arial" w:eastAsia="Arial" w:hAnsi="Arial"/>
          <w:sz w:val="17"/>
          <w:szCs w:val="17"/>
          <w:b w:val="1"/>
          <w:bCs w:val="1"/>
          <w:color w:val="auto"/>
        </w:rPr>
        <w:t>Modified Third Party Antibodies; Antibody Services</w:t>
      </w:r>
      <w:r>
        <w:rPr>
          <w:rFonts w:ascii="Arial" w:cs="Arial" w:eastAsia="Arial" w:hAnsi="Arial"/>
          <w:sz w:val="17"/>
          <w:szCs w:val="17"/>
          <w:color w:val="auto"/>
        </w:rPr>
        <w:t>. Notwithstanding the preceding provisions of this Section 4.3(a) or any other provision of this Agreement to the contrary, the only amounts payable to MRC with respect to Modified Third Party Antibodies and/or Antibody Services are those set forth in this Section 4.3(a)(iii). Anaptys shall pay to MRC a flat annual fee of $50,000 upon each of the second and third anniversaries of the Effective Date, and a flat annual fee of $55,000 upon the fourth and each subsequent anniversary of the Effective Date (each an “Annual Fee”), which shall be payable regardless of whether Anaptys actually (A) performs any Antibody Services during the applicable year and/or (B) receives any consideration with respect to any Modified Third Party Antibody or Antibody Services during such year.</w:t>
      </w:r>
    </w:p>
    <w:p>
      <w:pPr>
        <w:spacing w:after="0" w:line="178" w:lineRule="exact"/>
        <w:rPr>
          <w:sz w:val="20"/>
          <w:szCs w:val="20"/>
          <w:color w:val="auto"/>
        </w:rPr>
      </w:pPr>
    </w:p>
    <w:p>
      <w:pPr>
        <w:ind w:left="452" w:right="200"/>
        <w:spacing w:after="0" w:line="277" w:lineRule="auto"/>
        <w:rPr>
          <w:sz w:val="20"/>
          <w:szCs w:val="20"/>
          <w:color w:val="auto"/>
        </w:rPr>
      </w:pPr>
      <w:r>
        <w:rPr>
          <w:rFonts w:ascii="Arial" w:cs="Arial" w:eastAsia="Arial" w:hAnsi="Arial"/>
          <w:sz w:val="18"/>
          <w:szCs w:val="18"/>
          <w:color w:val="auto"/>
        </w:rPr>
        <w:t>For the avoidance of doubt, no royalties or consideration other than the Annual Fee shall be payable to the MRC with respect to Antibody Service, or with respect to any Modified</w:t>
      </w:r>
    </w:p>
    <w:p>
      <w:pPr>
        <w:sectPr>
          <w:pgSz w:w="11900" w:h="16838" w:orient="portrait"/>
          <w:cols w:equalWidth="0" w:num="1">
            <w:col w:w="11412"/>
          </w:cols>
          <w:pgMar w:left="248" w:top="271" w:right="239" w:bottom="1440" w:gutter="0" w:footer="0" w:header="0"/>
        </w:sectPr>
      </w:pPr>
    </w:p>
    <w:bookmarkStart w:id="676" w:name="page677"/>
    <w:bookmarkEnd w:id="6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Antibody.”</w:t>
      </w:r>
    </w:p>
    <w:p>
      <w:pPr>
        <w:spacing w:after="0" w:line="221" w:lineRule="exact"/>
        <w:rPr>
          <w:sz w:val="20"/>
          <w:szCs w:val="20"/>
          <w:color w:val="auto"/>
        </w:rPr>
      </w:pPr>
    </w:p>
    <w:p>
      <w:pPr>
        <w:ind w:left="180" w:hanging="172"/>
        <w:spacing w:after="0"/>
        <w:tabs>
          <w:tab w:leader="none" w:pos="180"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4.3(b)(ii)</w:t>
      </w:r>
      <w:r>
        <w:rPr>
          <w:rFonts w:ascii="Arial" w:cs="Arial" w:eastAsia="Arial" w:hAnsi="Arial"/>
          <w:sz w:val="18"/>
          <w:szCs w:val="18"/>
          <w:color w:val="auto"/>
        </w:rPr>
        <w:t>. Section 4.3(b)(ii) shall be amended and restated to read in its entirety as follows:</w:t>
      </w:r>
    </w:p>
    <w:p>
      <w:pPr>
        <w:spacing w:after="0" w:line="229" w:lineRule="exact"/>
        <w:rPr>
          <w:sz w:val="20"/>
          <w:szCs w:val="20"/>
          <w:color w:val="auto"/>
        </w:rPr>
      </w:pPr>
    </w:p>
    <w:p>
      <w:pPr>
        <w:jc w:val="both"/>
        <w:ind w:left="460" w:right="100"/>
        <w:spacing w:after="0" w:line="279" w:lineRule="auto"/>
        <w:rPr>
          <w:sz w:val="20"/>
          <w:szCs w:val="20"/>
          <w:color w:val="auto"/>
        </w:rPr>
      </w:pPr>
      <w:r>
        <w:rPr>
          <w:rFonts w:ascii="Arial" w:cs="Arial" w:eastAsia="Arial" w:hAnsi="Arial"/>
          <w:sz w:val="17"/>
          <w:szCs w:val="17"/>
          <w:color w:val="auto"/>
        </w:rPr>
        <w:t>“(ii) If ANAPTYS, its affiliate or its Sublicensee is required to obtain a license of patent rights from one or more independent third parties in order to make, have made, use, have used, sell, have sold, offer for sale, import or have imported a Licensed Product without infringement of such patents, and if the total royalty burden (including royalties payable to MRC) for such Licensed Product exceeds, [*], then the royalty rate applicable to Net Sales of such Licensed Product by ANAPTYS, its Affiliates and its Sublicensees payable to MRC shall be adjusted as follows]:</w:t>
      </w:r>
    </w:p>
    <w:p>
      <w:pPr>
        <w:spacing w:after="0" w:line="171" w:lineRule="exact"/>
        <w:rPr>
          <w:sz w:val="20"/>
          <w:szCs w:val="20"/>
          <w:color w:val="auto"/>
        </w:rPr>
      </w:pPr>
    </w:p>
    <w:p>
      <w:pPr>
        <w:ind w:left="920" w:right="580" w:firstLine="421"/>
        <w:spacing w:after="0" w:line="277" w:lineRule="auto"/>
        <w:tabs>
          <w:tab w:leader="none" w:pos="1595" w:val="left"/>
        </w:tabs>
        <w:numPr>
          <w:ilvl w:val="0"/>
          <w:numId w:val="620"/>
        </w:numPr>
        <w:rPr>
          <w:rFonts w:ascii="Arial" w:cs="Arial" w:eastAsia="Arial" w:hAnsi="Arial"/>
          <w:sz w:val="18"/>
          <w:szCs w:val="18"/>
          <w:color w:val="auto"/>
        </w:rPr>
      </w:pPr>
      <w:r>
        <w:rPr>
          <w:rFonts w:ascii="Arial" w:cs="Arial" w:eastAsia="Arial" w:hAnsi="Arial"/>
          <w:sz w:val="18"/>
          <w:szCs w:val="18"/>
          <w:color w:val="auto"/>
        </w:rPr>
        <w:t>For Licensed Products for therapeutic or prophylactic uses in humans or animals, the royalty rate applicable to Net Sales of such Licensed Product shall be adjusted to the rate determined by [*]</w:t>
      </w:r>
    </w:p>
    <w:p>
      <w:pPr>
        <w:spacing w:after="0" w:line="170" w:lineRule="exact"/>
        <w:rPr>
          <w:rFonts w:ascii="Arial" w:cs="Arial" w:eastAsia="Arial" w:hAnsi="Arial"/>
          <w:sz w:val="18"/>
          <w:szCs w:val="18"/>
          <w:color w:val="auto"/>
        </w:rPr>
      </w:pPr>
    </w:p>
    <w:p>
      <w:pPr>
        <w:ind w:left="920" w:right="240" w:firstLine="421"/>
        <w:spacing w:after="0" w:line="277" w:lineRule="auto"/>
        <w:tabs>
          <w:tab w:leader="none" w:pos="1595" w:val="left"/>
        </w:tabs>
        <w:numPr>
          <w:ilvl w:val="0"/>
          <w:numId w:val="620"/>
        </w:numPr>
        <w:rPr>
          <w:rFonts w:ascii="Arial" w:cs="Arial" w:eastAsia="Arial" w:hAnsi="Arial"/>
          <w:sz w:val="18"/>
          <w:szCs w:val="18"/>
          <w:color w:val="auto"/>
        </w:rPr>
      </w:pPr>
      <w:r>
        <w:rPr>
          <w:rFonts w:ascii="Arial" w:cs="Arial" w:eastAsia="Arial" w:hAnsi="Arial"/>
          <w:sz w:val="18"/>
          <w:szCs w:val="18"/>
          <w:color w:val="auto"/>
        </w:rPr>
        <w:t>For Licensed Products for non-therapeutic uses, the royalty rate applicable to Net Sales of such Licensed Product shall be adjusted to the rate determined by [*].</w:t>
      </w:r>
    </w:p>
    <w:p>
      <w:pPr>
        <w:spacing w:after="0" w:line="1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In no event, however, shall the royalty rate payable to MRC for any Licensed Product be reduced by greater than [*]% of the royalty rate otherwise due to the MRC under Section 4.3(a)(i).”</w:t>
      </w:r>
    </w:p>
    <w:p>
      <w:pPr>
        <w:spacing w:after="0" w:line="166" w:lineRule="exact"/>
        <w:rPr>
          <w:sz w:val="20"/>
          <w:szCs w:val="20"/>
          <w:color w:val="auto"/>
        </w:rPr>
      </w:pPr>
    </w:p>
    <w:p>
      <w:pPr>
        <w:ind w:left="280" w:hanging="272"/>
        <w:spacing w:after="0"/>
        <w:tabs>
          <w:tab w:leader="none" w:pos="280"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4.5</w:t>
      </w:r>
      <w:r>
        <w:rPr>
          <w:rFonts w:ascii="Arial" w:cs="Arial" w:eastAsia="Arial" w:hAnsi="Arial"/>
          <w:sz w:val="18"/>
          <w:szCs w:val="18"/>
          <w:color w:val="auto"/>
        </w:rPr>
        <w:t>. Section 4.5 of the Agreement is hereby amended and restated to read in its entirety as follows:</w:t>
      </w:r>
    </w:p>
    <w:p>
      <w:pPr>
        <w:spacing w:after="0" w:line="225" w:lineRule="exact"/>
        <w:rPr>
          <w:sz w:val="20"/>
          <w:szCs w:val="20"/>
          <w:color w:val="auto"/>
        </w:rPr>
      </w:pPr>
    </w:p>
    <w:p>
      <w:pPr>
        <w:ind w:left="460" w:right="140"/>
        <w:spacing w:after="0" w:line="258" w:lineRule="auto"/>
        <w:rPr>
          <w:sz w:val="20"/>
          <w:szCs w:val="20"/>
          <w:color w:val="auto"/>
        </w:rPr>
      </w:pPr>
      <w:r>
        <w:rPr>
          <w:rFonts w:ascii="Arial" w:cs="Arial" w:eastAsia="Arial" w:hAnsi="Arial"/>
          <w:sz w:val="18"/>
          <w:szCs w:val="18"/>
          <w:b w:val="1"/>
          <w:bCs w:val="1"/>
          <w:color w:val="auto"/>
        </w:rPr>
        <w:t xml:space="preserve">“4.5 Milestone Payments. </w:t>
      </w:r>
      <w:r>
        <w:rPr>
          <w:rFonts w:ascii="Arial" w:cs="Arial" w:eastAsia="Arial" w:hAnsi="Arial"/>
          <w:sz w:val="18"/>
          <w:szCs w:val="18"/>
          <w:color w:val="auto"/>
        </w:rPr>
        <w:t>Anaptys will pay to MRC the following non-refundable milestone payments on each Licensed Product upon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each of the milestones set forth below (whether achieved by Anaptys, its Affiliate, or a Sublicensee), provided that such Licensed Product is Covered by Patent Rights in the country where the applicable milestone is achieved at the time of such achievement. Each of the milestone payments below shall be payable one time per Licensed Product that achieves any such milestone and only for the first achievement of such milestone by such Licensed Product.</w:t>
      </w:r>
    </w:p>
    <w:p>
      <w:pPr>
        <w:spacing w:after="0" w:line="215" w:lineRule="exact"/>
        <w:rPr>
          <w:sz w:val="20"/>
          <w:szCs w:val="20"/>
          <w:color w:val="auto"/>
        </w:rPr>
      </w:pPr>
    </w:p>
    <w:p>
      <w:pPr>
        <w:ind w:left="1480" w:hanging="567"/>
        <w:spacing w:after="0"/>
        <w:tabs>
          <w:tab w:leader="none" w:pos="1480" w:val="left"/>
        </w:tabs>
        <w:numPr>
          <w:ilvl w:val="1"/>
          <w:numId w:val="62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2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2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22"/>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2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260" w:hanging="252"/>
        <w:spacing w:after="0"/>
        <w:tabs>
          <w:tab w:leader="none" w:pos="260" w:val="left"/>
        </w:tabs>
        <w:numPr>
          <w:ilvl w:val="0"/>
          <w:numId w:val="62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8.1</w:t>
      </w:r>
      <w:r>
        <w:rPr>
          <w:rFonts w:ascii="Arial" w:cs="Arial" w:eastAsia="Arial" w:hAnsi="Arial"/>
          <w:sz w:val="18"/>
          <w:szCs w:val="18"/>
          <w:color w:val="auto"/>
        </w:rPr>
        <w:t>. Section 8.1 of the Agreement is hereby amended and restated to read in its entirety as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77" w:name="page678"/>
    <w:bookmarkEnd w:id="677"/>
    <w:p>
      <w:pPr>
        <w:ind w:right="1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 Term</w:t>
      </w:r>
      <w:r>
        <w:rPr>
          <w:rFonts w:ascii="Arial" w:cs="Arial" w:eastAsia="Arial" w:hAnsi="Arial"/>
          <w:sz w:val="18"/>
          <w:szCs w:val="18"/>
          <w:color w:val="auto"/>
        </w:rPr>
        <w:t>. Unless earlier terminated as hereinafter provided, this Agreement shall expire upon the expiration of all royalty payment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4.3 hereof.”</w:t>
      </w:r>
    </w:p>
    <w:p>
      <w:pPr>
        <w:spacing w:after="0" w:line="162" w:lineRule="exact"/>
        <w:rPr>
          <w:sz w:val="20"/>
          <w:szCs w:val="20"/>
          <w:color w:val="auto"/>
        </w:rPr>
      </w:pPr>
    </w:p>
    <w:p>
      <w:pPr>
        <w:ind w:left="280" w:hanging="272"/>
        <w:spacing w:after="0"/>
        <w:tabs>
          <w:tab w:leader="none" w:pos="280"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Consideration</w:t>
      </w:r>
      <w:r>
        <w:rPr>
          <w:rFonts w:ascii="Arial" w:cs="Arial" w:eastAsia="Arial" w:hAnsi="Arial"/>
          <w:sz w:val="18"/>
          <w:szCs w:val="18"/>
          <w:color w:val="auto"/>
        </w:rPr>
        <w:t>. Within sixty (60) days after the Amendment Date, AnaptsBio shall:</w:t>
      </w:r>
    </w:p>
    <w:p>
      <w:pPr>
        <w:spacing w:after="0" w:line="229" w:lineRule="exact"/>
        <w:rPr>
          <w:rFonts w:ascii="Arial" w:cs="Arial" w:eastAsia="Arial" w:hAnsi="Arial"/>
          <w:sz w:val="18"/>
          <w:szCs w:val="18"/>
          <w:b w:val="1"/>
          <w:bCs w:val="1"/>
          <w:color w:val="auto"/>
        </w:rPr>
      </w:pPr>
    </w:p>
    <w:p>
      <w:pPr>
        <w:ind w:left="720" w:hanging="256"/>
        <w:spacing w:after="0"/>
        <w:tabs>
          <w:tab w:leader="none" w:pos="720" w:val="left"/>
        </w:tabs>
        <w:numPr>
          <w:ilvl w:val="1"/>
          <w:numId w:val="624"/>
        </w:numPr>
        <w:rPr>
          <w:rFonts w:ascii="Arial" w:cs="Arial" w:eastAsia="Arial" w:hAnsi="Arial"/>
          <w:sz w:val="18"/>
          <w:szCs w:val="18"/>
          <w:b w:val="1"/>
          <w:bCs w:val="1"/>
          <w:color w:val="auto"/>
        </w:rPr>
      </w:pPr>
      <w:r>
        <w:rPr>
          <w:rFonts w:ascii="Arial" w:cs="Arial" w:eastAsia="Arial" w:hAnsi="Arial"/>
          <w:sz w:val="18"/>
          <w:szCs w:val="18"/>
          <w:color w:val="auto"/>
        </w:rPr>
        <w:t>pay to MRC the sum of [*] dollars ($[*]); and</w:t>
      </w:r>
    </w:p>
    <w:p>
      <w:pPr>
        <w:spacing w:after="0" w:line="221" w:lineRule="exact"/>
        <w:rPr>
          <w:rFonts w:ascii="Arial" w:cs="Arial" w:eastAsia="Arial" w:hAnsi="Arial"/>
          <w:sz w:val="18"/>
          <w:szCs w:val="18"/>
          <w:b w:val="1"/>
          <w:bCs w:val="1"/>
          <w:color w:val="auto"/>
        </w:rPr>
      </w:pPr>
    </w:p>
    <w:p>
      <w:pPr>
        <w:ind w:right="140" w:firstLine="464"/>
        <w:spacing w:after="0" w:line="282" w:lineRule="auto"/>
        <w:tabs>
          <w:tab w:leader="none" w:pos="721" w:val="left"/>
        </w:tabs>
        <w:numPr>
          <w:ilvl w:val="1"/>
          <w:numId w:val="624"/>
        </w:numPr>
        <w:rPr>
          <w:rFonts w:ascii="Arial" w:cs="Arial" w:eastAsia="Arial" w:hAnsi="Arial"/>
          <w:sz w:val="18"/>
          <w:szCs w:val="18"/>
          <w:b w:val="1"/>
          <w:bCs w:val="1"/>
          <w:color w:val="auto"/>
        </w:rPr>
      </w:pPr>
      <w:r>
        <w:rPr>
          <w:rFonts w:ascii="Arial" w:cs="Arial" w:eastAsia="Arial" w:hAnsi="Arial"/>
          <w:sz w:val="18"/>
          <w:szCs w:val="18"/>
          <w:color w:val="auto"/>
        </w:rPr>
        <w:t xml:space="preserve">subject to MRC’s execution and delivery to AnaptsBio of a stock issuance agreement in the form attached to this Amendment as </w:t>
      </w:r>
      <w:r>
        <w:rPr>
          <w:rFonts w:ascii="Arial" w:cs="Arial" w:eastAsia="Arial" w:hAnsi="Arial"/>
          <w:sz w:val="18"/>
          <w:szCs w:val="18"/>
          <w:b w:val="1"/>
          <w:bCs w:val="1"/>
          <w:color w:val="auto"/>
        </w:rPr>
        <w:t>Annex I</w:t>
      </w:r>
      <w:r>
        <w:rPr>
          <w:rFonts w:ascii="Arial" w:cs="Arial" w:eastAsia="Arial" w:hAnsi="Arial"/>
          <w:sz w:val="18"/>
          <w:szCs w:val="18"/>
          <w:color w:val="auto"/>
        </w:rPr>
        <w:t>, issue to MRC [*] shares of the common stock of AnaptysBio.</w:t>
      </w:r>
    </w:p>
    <w:p>
      <w:pPr>
        <w:spacing w:after="0" w:line="161" w:lineRule="exact"/>
        <w:rPr>
          <w:rFonts w:ascii="Arial" w:cs="Arial" w:eastAsia="Arial" w:hAnsi="Arial"/>
          <w:sz w:val="18"/>
          <w:szCs w:val="18"/>
          <w:b w:val="1"/>
          <w:bCs w:val="1"/>
          <w:color w:val="auto"/>
        </w:rPr>
      </w:pPr>
    </w:p>
    <w:p>
      <w:pPr>
        <w:ind w:right="180" w:firstLine="8"/>
        <w:spacing w:after="0" w:line="289" w:lineRule="auto"/>
        <w:tabs>
          <w:tab w:leader="none" w:pos="270" w:val="left"/>
        </w:tabs>
        <w:numPr>
          <w:ilvl w:val="0"/>
          <w:numId w:val="624"/>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Agreement, as amended by this Amendment, embodies the entire understanding of the Parties and shall supersede all previous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representations and understandings, whether oral, written or otherwise, between the Parties relating to the subject matter hereof. Except as specifically amended by this Amendment, the terms and conditions of the Agreement shall remain in full force and effect.</w:t>
      </w:r>
    </w:p>
    <w:p>
      <w:pPr>
        <w:spacing w:after="0" w:line="158" w:lineRule="exact"/>
        <w:rPr>
          <w:rFonts w:ascii="Arial" w:cs="Arial" w:eastAsia="Arial" w:hAnsi="Arial"/>
          <w:sz w:val="17"/>
          <w:szCs w:val="17"/>
          <w:b w:val="1"/>
          <w:bCs w:val="1"/>
          <w:color w:val="auto"/>
        </w:rPr>
      </w:pPr>
    </w:p>
    <w:p>
      <w:pPr>
        <w:ind w:right="220" w:firstLine="8"/>
        <w:spacing w:after="0" w:line="282" w:lineRule="auto"/>
        <w:tabs>
          <w:tab w:leader="none" w:pos="270"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counterparts, each of which shall be deemed an original document, and all of which,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writing, shall be deemed one instrument.</w:t>
      </w:r>
    </w:p>
    <w:p>
      <w:pPr>
        <w:spacing w:after="0" w:line="162"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executed by their duly authorized representatives or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Chairman and CEO</w:t>
            </w:r>
          </w:p>
        </w:tc>
      </w:tr>
      <w:tr>
        <w:trPr>
          <w:trHeight w:val="210"/>
        </w:trPr>
        <w:tc>
          <w:tcPr>
            <w:tcW w:w="500" w:type="dxa"/>
            <w:vAlign w:val="bottom"/>
          </w:tcPr>
          <w:p>
            <w:pPr>
              <w:spacing w:after="0"/>
              <w:rPr>
                <w:sz w:val="18"/>
                <w:szCs w:val="18"/>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678" w:name="page679"/>
    <w:bookmarkEnd w:id="678"/>
    <w:p>
      <w:pPr>
        <w:ind w:left="10200"/>
        <w:spacing w:after="0"/>
        <w:rPr>
          <w:sz w:val="20"/>
          <w:szCs w:val="20"/>
          <w:color w:val="auto"/>
        </w:rPr>
      </w:pPr>
      <w:r>
        <w:rPr>
          <w:rFonts w:ascii="Arial" w:cs="Arial" w:eastAsia="Arial" w:hAnsi="Arial"/>
          <w:sz w:val="18"/>
          <w:szCs w:val="18"/>
          <w:b w:val="1"/>
          <w:bCs w:val="1"/>
          <w:color w:val="auto"/>
        </w:rPr>
        <w:t>EXHIBIT 10.13</w:t>
      </w:r>
    </w:p>
    <w:p>
      <w:pPr>
        <w:spacing w:after="0" w:line="256"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Certain confidential information contained in this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of 1933,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NON-EXCLUSIVE RESEARCH AND COMMERCIAL LICENSE AGREEMENT</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Non-Exclusive Research and Commercial License Agreement (this “AGREEMENT”) is made by and between AnaptysBio, Inc. (“ANAPTYSBIO”), a Delaware corporation, with a principal business address at 10835 Road To The Cure, Suite 100, San Diego, CA 92121, and MILLIPORE CORPORATION (“MILLIPORE”), a Massachusetts corporation with offices at 290 Concord Road, Billerica, MA 91821, and is effective as of May 15, 2009 (the “EFFECTIVE DATE”). MILLIPORE and ANAPTYSBIO are sometimes each referred to herein individually as a “PARTY” and together as the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BACKGROUND RECITALS</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MILLIPORE owns intellectual property covering or claiming the use of proprietary ubiquitous chromatin opening elements (UCOE</w:t>
      </w:r>
      <w:r>
        <w:rPr>
          <w:rFonts w:ascii="Arial" w:cs="Arial" w:eastAsia="Arial" w:hAnsi="Arial"/>
          <w:sz w:val="15"/>
          <w:szCs w:val="15"/>
          <w:color w:val="auto"/>
        </w:rPr>
        <w:t>®</w:t>
      </w:r>
      <w:r>
        <w:rPr>
          <w:rFonts w:ascii="Arial" w:cs="Arial" w:eastAsia="Arial" w:hAnsi="Arial"/>
          <w:sz w:val="18"/>
          <w:szCs w:val="18"/>
          <w:color w:val="auto"/>
        </w:rPr>
        <w:t xml:space="preserve"> elements) and related gene expression technologies and is the owner of the MATERIALS.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ANAPTYSBIO desires to use the MATERIALS and the MILLIPORE INTELLECTUAL PROPERTY to enable ANAPTYSBIO to perform research, develop and/or commercialize recombinant therapeutic proteins. MILLIPORE is willing to grant ANAPTYSBIO a license to enable such uses under the terms and conditions defined herein.</w:t>
      </w:r>
    </w:p>
    <w:p>
      <w:pPr>
        <w:spacing w:after="0" w:line="39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ARTICLE 2.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definitions shall apply: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“AFFILIATE” means with respect to a referenced entity, any entity that CONTROLS, is CONTROLLED by, or is under common CONTROL with such referenced entity.</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“ANAPTYSBIO CELL LINES” means cells (and any replicates, progeny or derivatives thereof) owned or controlled by ANAPTYSBIO transfected with MATERIALS and/or various control vectors. For clarity, ANAPTYSBIO CELL LINES includes pools of transfected cells as well as individual clones and cell lines.</w:t>
      </w:r>
    </w:p>
    <w:p>
      <w:pPr>
        <w:spacing w:after="0" w:line="1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“ANAPTYSBIO PROTEINS” means any proteins expressed by any cells (including ANAPTYSBIO CELL LINES) that are derived using or improved by ANAPTYSBIO TECHNOLOGY, whether by ANAPTYSBIO or its AFFILIATE or a THIRD PARTY on behalf of ANAPTYSBIO (i.e. service provider), and/or are related to one or more product development programs of ANAPTYSBIO. This definition expressly excludes any proteins made with use of</w:t>
      </w:r>
    </w:p>
    <w:p>
      <w:pPr>
        <w:sectPr>
          <w:pgSz w:w="11900" w:h="16838" w:orient="portrait"/>
          <w:cols w:equalWidth="0" w:num="1">
            <w:col w:w="11420"/>
          </w:cols>
          <w:pgMar w:left="240" w:top="122" w:right="239" w:bottom="1440" w:gutter="0" w:footer="0" w:header="0"/>
        </w:sectPr>
      </w:pPr>
    </w:p>
    <w:bookmarkStart w:id="679" w:name="page680"/>
    <w:bookmarkEnd w:id="6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MATERIALS to generate new cell or cell lines solely for the benefit of any THIRD PARTY.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“ANAPTYSBIO TECHNOLOGY” means any and all data, technology, information, documents, know-how and other intellectual or other property now or hereafter owned or controlled by ANAPTYSBIO, including, without limitation, ANAPTYSBIO’s proprietary somatic hypermutation technology and any genes, CHO cells, cell lines (including any ANAPTYSBIO CELL LINES), expressed proteins and antibodies, in each case including all improvements or modifications to any of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“COMMERCIAL MILESTONES” means the specific milestones listed in Clause 4.4 below.</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“COMMERCIAL PURPOSES” means use of the MILLIPORE INTELLECTUAL PROPERTY and/or MATERIALS in one or more steps in the expression, scale-up or production, or any related steps in the preclinical and/or clinical development, of a COMMERCIALIZED PRODUCT where such a COMMERCIALIZED PRODUCT requires the submission of an investigational new drug application or equivalent filing with a United States or foreign REGULATORY AUTHORITY. For purposes of clarity, COMMERCIAL PURPOSES excludes CONTRACT MANUFACTURING.</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“COMMERCIALIZED PRODUCT” means a pharmaceutical product, whether or not actually commercialized, made by or on behalf of ANAPTYSBIO incorporating ANAPTYSBIO PROTEINS expressed using the MATERIALS and/or MILLIPORE INTELLECTUAL PROPERTY.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“CONTRACT MANUFACTURING” means MANUFACTURING on a contract or fee-for- service basis by ANAPTYSBIO for a THIRD PARTY other than:</w:t>
      </w:r>
    </w:p>
    <w:p>
      <w:pPr>
        <w:spacing w:after="0" w:line="35" w:lineRule="exact"/>
        <w:rPr>
          <w:sz w:val="20"/>
          <w:szCs w:val="20"/>
          <w:color w:val="auto"/>
        </w:rPr>
      </w:pPr>
    </w:p>
    <w:p>
      <w:pPr>
        <w:ind w:right="120" w:firstLine="8"/>
        <w:spacing w:after="0" w:line="302" w:lineRule="auto"/>
        <w:tabs>
          <w:tab w:leader="none" w:pos="215" w:val="left"/>
        </w:tabs>
        <w:numPr>
          <w:ilvl w:val="0"/>
          <w:numId w:val="625"/>
        </w:numPr>
        <w:rPr>
          <w:rFonts w:ascii="Arial" w:cs="Arial" w:eastAsia="Arial" w:hAnsi="Arial"/>
          <w:sz w:val="16"/>
          <w:szCs w:val="16"/>
          <w:color w:val="auto"/>
        </w:rPr>
      </w:pPr>
      <w:r>
        <w:rPr>
          <w:rFonts w:ascii="Arial" w:cs="Arial" w:eastAsia="Arial" w:hAnsi="Arial"/>
          <w:sz w:val="16"/>
          <w:szCs w:val="16"/>
          <w:color w:val="auto"/>
        </w:rPr>
        <w:t>SUBLICENSEES of ANAPTYSBIO, (ii) entities who have entered into a collaboration, co-development, partnership, cooperation, strategic alliance, or similar agreement with ANAPTYSBIO relating to ANAPTYSBIO TECHNOLOGY and/or ANAPTYSBIO PROTEINS (collectively “ANAPTYSBIO PARTNERS”), and/or (iii) otherwise in connection with the research, development, manufacture and/or commercialization of an ANAPTYSBIO PROTEIN.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“CONTRACT RESEARCH” means research and/or development on a contract or fee-for-service basis by ANAPTYSBIO for a THIRD PARTY other than:</w:t>
      </w:r>
    </w:p>
    <w:p>
      <w:pPr>
        <w:spacing w:after="0" w:line="46" w:lineRule="exact"/>
        <w:rPr>
          <w:sz w:val="20"/>
          <w:szCs w:val="20"/>
          <w:color w:val="auto"/>
        </w:rPr>
      </w:pPr>
    </w:p>
    <w:p>
      <w:pPr>
        <w:ind w:right="580" w:firstLine="8"/>
        <w:spacing w:after="0" w:line="261" w:lineRule="auto"/>
        <w:tabs>
          <w:tab w:leader="none" w:pos="215" w:val="left"/>
        </w:tabs>
        <w:numPr>
          <w:ilvl w:val="0"/>
          <w:numId w:val="626"/>
        </w:numPr>
        <w:rPr>
          <w:rFonts w:ascii="Arial" w:cs="Arial" w:eastAsia="Arial" w:hAnsi="Arial"/>
          <w:sz w:val="18"/>
          <w:szCs w:val="18"/>
          <w:color w:val="auto"/>
        </w:rPr>
      </w:pPr>
      <w:r>
        <w:rPr>
          <w:rFonts w:ascii="Arial" w:cs="Arial" w:eastAsia="Arial" w:hAnsi="Arial"/>
          <w:sz w:val="18"/>
          <w:szCs w:val="18"/>
          <w:color w:val="auto"/>
        </w:rPr>
        <w:t>for SUBLICENSEES of ANAPTYSBIO, (ii) for ANAPTYSBIO PARTNERS, and/or (iii) otherwise in connection with the research, development, manufacture and/or commercialization of an ANAPTYSBIO PROTEIN.</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“CONTROL” means the possession, direct or indirect, of the power to direct or cause the direction of the management and policies of an entity, whether through the ownership of voting securities, by contract, or otherwise.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“CONFIDENTIAL INFORMATION” means: (i) in the case of ANAPTYSBIO, the terms of this AGREEMENT, any commercial, technical or other data, documents, materials, procedures and information of ANAPTYSBIO that are not generally known to the public and are maintained in a confidential manner by ANAPTYSBIO, and that are (A) disclosed by or on behalf of ANAPTYSBIO under this AGREEMENT, whether in oral or tangible form, or (B) observed at ANAPTYSBIO’s facilities during the term of this AGREEMENT; and (ii) in the case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80" w:name="page681"/>
    <w:bookmarkEnd w:id="680"/>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MILLIPORE, the MILLIPORE INTELLECTUAL PROPERTY, the terms of this AGREEMENT and the MATERIALS. MILLIPORE acknowledges that ANAPTYSBIO is unwilling to receive or have access to any confidential or proprietary data, documents, materials, procedures and information of MILLIPORE other than the MILLIPORE INTELLECTUAL PROPERTY and the MATERIALS, and MILLIPORE agrees not to disclose or make available to ANAPTYSBIO any such confidential or proprietary data, documents, materials, procedures or information.</w:t>
      </w:r>
    </w:p>
    <w:p>
      <w:pPr>
        <w:spacing w:after="0" w:line="171"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“FIELD OF USE” means the use of the MILLIPORE INTELLECTUAL PROPERTY and/or MATERIALS for RESEARCH PURPOSES and/or COMMERCIAL PURPOSES by or on behalf of ANAPTYSBIO, including, without limitation, by (i) ANAPTYSBIO’s AFFILIATES or authorized SUBLICENSEES, and (ii) ANAPTYSBIO PARTNERS. The FIELD OF USE specifically excludes: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MARKET” means [*].</w:t>
      </w:r>
    </w:p>
    <w:p>
      <w:pPr>
        <w:spacing w:after="0" w:line="22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“MANUFACTURING” means the use of the MATERIALS and/or MILLIPORE INTELLECTUAL PROPERTY in one or more steps in the making or production of COMMERCIALIZED PRODUCT that: (i) is intended for a commercial purpose (including, without limitation, pre-clinical and clinical development of COMMERCIALIZED PRODUCT intended for a commercial purpose); and (ii) does not contain the MATERIALS itself.</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“MATERIALS” means the materials set out in Exhibit B as updated from time to time (and any replicates, progeny and derivatives thereof) to the extent covered by a valid claim of the MILLIPORE INTELLECTUAL PROPERTY.</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“MILLIPORE INTELLECTUAL PROPERTY” means the patents and patent applications listed in Exhibit A, and all patents issuing from said patents and patent applications, including any divisionals, continuations and continuations-in-part (to the extent that they cover the same subject matter of the original application), and reissues and reexaminations of any such patents, together with all non-US counterparts of any of the foregoing.</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means the gross selling price actually invoiced by ANAPTYSBIO and/or its AFFILIATES or SUBLICENSEES to an arm’s-length third-party purchaser of a COMMERCIALIZED PRODUCT less the following discounts: [*].</w:t>
      </w:r>
    </w:p>
    <w:p>
      <w:pPr>
        <w:spacing w:after="0" w:line="17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“REGULATORY AGENCY” means, with respect to any particular country or, where applicable, a multinational jurisdiction governmental authority, body, commission, agency or other instrumentality of such country or multinational jurisdiction (e.g., the EMEA with respect to the European Union), with the primary responsibility for the evaluation or approval of pharmaceutical products before a COMMERCIAL PRODUCT can be tested, marketed, promoted, distributed or sold in such country or multinational jurisdiction, including such governmental bodies, if any, that have jurisdiction over the pricing of such pharmaceutical product. The term “REGULATORY AGENCY” includes, without limitation, the FDA and the EMEA.</w:t>
      </w:r>
    </w:p>
    <w:p>
      <w:pPr>
        <w:spacing w:after="0" w:line="101"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81" w:name="page682"/>
    <w:bookmarkEnd w:id="681"/>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“RESEARCH PURPOSES” means for purposes of using the MATERIALS and/or MILLIPORE INTELLECTUAL PROPERTY to express ANAPTYSBIO PROTEINS for pharmaceutical research and preclinical development programs conducted by or on behalf of ANAPTYSBIO (including, without limitation, by or for (i) ANAPTYSBIO’s AFFILIATES or SUBLICENSEES, and (ii) ANAPTYSBIO PARTNERS.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 means the sale, transfer, exchange, or other disposition of COMMERCIALIZED PRODUCTS for consideration to an arm’s-length THIRD PARTY, other than an AFFILIATE or SUBLICENSEE. Sales of COMMERCIALIZED PRODUCTS shall be deemed consummated upon the first to occur of:</w:t>
      </w:r>
    </w:p>
    <w:p>
      <w:pPr>
        <w:ind w:right="720" w:firstLine="8"/>
        <w:spacing w:after="0" w:line="261" w:lineRule="auto"/>
        <w:tabs>
          <w:tab w:leader="none" w:pos="245" w:val="left"/>
        </w:tabs>
        <w:numPr>
          <w:ilvl w:val="0"/>
          <w:numId w:val="627"/>
        </w:numPr>
        <w:rPr>
          <w:rFonts w:ascii="Arial" w:cs="Arial" w:eastAsia="Arial" w:hAnsi="Arial"/>
          <w:sz w:val="18"/>
          <w:szCs w:val="18"/>
          <w:color w:val="auto"/>
        </w:rPr>
      </w:pPr>
      <w:r>
        <w:rPr>
          <w:rFonts w:ascii="Arial" w:cs="Arial" w:eastAsia="Arial" w:hAnsi="Arial"/>
          <w:sz w:val="18"/>
          <w:szCs w:val="18"/>
          <w:color w:val="auto"/>
        </w:rPr>
        <w:t>receipt of payment from the purchaser; (b) delivery of COMMERCIALIZED PRODUCTS to the purchaser or common carrier; or (c) release of COMMERCIALIZED PRODUCTS from consignment.</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“SUBLICENSEE” means a sublicensee of intellectual property rights owned or controlled by ANAPTYSBIO concerning ANAPTYSBIO TECHNOLOGY necessary or useful for developing and/or commercializing one or more COMMERCIALIZED PRODUCTS. The SUBLICENSEE will have no rights to use MILLIPORE INTELLECTUAL PROPERTY to generate new cells or cell lines, but may use ANAPTYSBIO CELL LINES generated by ANAPTYSBIO which express ANAPTYSBIO PROTEINS. For purposes of clarification, ANAPTYSBIO has the right to grant a sublicense to use ANAPTYSBIO CELL LINES for the purpose of development and/or commercialization of COMMERCIALIZED PRODUCTS, but no rights to grant a sublicense of the MILLIPORE INTELLECTUAL PROPERTY to generate cells or cell lines other than ANAPTYSBIO CELL LINES.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“TERM” means the time period which commences on the EFFECTIVE DATE and terminates on the last-to–expire Valid Claim (defined below) of the US patents listed in Exhibit A. For avoidance of doubt, any COMMERCIALIZED PRODUCTS manufactured prior to the last-to– expire Valid Claim of the US patents listed in Exhibit A shall be subject to payments due as provided in Article 4. For purposes hereof, “Valid Claim” means a claim contained in (a) an issued and unexpired patent which has not been held unenforceable, unpatentable or invalid by a decision of a court or other governmental agency of competent jurisdiction, unappealable or unappealed within the time allowed for appeal, and which has not been admitted to be invalid or unenforceable through abandonment, reissue, disclaimer or otherwise, or (b) a pending patent application; provided, however, that if a claim of a pending patent application shall not have issued within ten (10) years after the earliest filing date from which such claim takes priority, such claim shall not constitute a Valid Claim for the purposes of this Agreement unless and until a patent issues with such claim.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“TERRITORY” means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PARTY” means any person or entity that is not a signor of this AGREEMENT or an AFFILIATE.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3. GRANT OF NON-EXCLUSIVE LICENSE</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Research Rights</w:t>
      </w:r>
      <w:r>
        <w:rPr>
          <w:rFonts w:ascii="Arial" w:cs="Arial" w:eastAsia="Arial" w:hAnsi="Arial"/>
          <w:sz w:val="18"/>
          <w:szCs w:val="18"/>
          <w:color w:val="auto"/>
        </w:rPr>
        <w:t>. MILLIPORE hereby grants ANAPTYSBIO, solely within the FIELD OF USE and TERRITORY, the non-exclusive right and license, under the MILLIPORE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3" w:right="339" w:bottom="1440" w:gutter="0" w:footer="0" w:header="0"/>
        </w:sectPr>
      </w:pPr>
    </w:p>
    <w:bookmarkStart w:id="682" w:name="page683"/>
    <w:bookmarkEnd w:id="68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INTELLECTUAL PROPERTY and to use and modify the MATERIALS, with the right to grant sublicenses as expressly provided in this AGREEMENT, to use the MATERIALS and MILLIPORE INTELLECTUAL PROPERTY for RESEARCH PURPOSES in ANAPTYSBIO’s research facilities worldwide or the worldwide research facilities of a SUBLICENSEE or of a THIRD PARTY retained by ANAPTYSBIO or a SUBLICENSEE to perform contract research and/or contract development on behalf of ANAPTYSBIO (a “CRO”) and specifically related to ANAPTYSBIO TECHNOLOGY and/or ANAPTYSBIO PROTEINS.</w:t>
      </w:r>
    </w:p>
    <w:p>
      <w:pPr>
        <w:spacing w:after="0" w:line="184"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Commercial Rights</w:t>
      </w:r>
      <w:r>
        <w:rPr>
          <w:rFonts w:ascii="Arial" w:cs="Arial" w:eastAsia="Arial" w:hAnsi="Arial"/>
          <w:sz w:val="17"/>
          <w:szCs w:val="17"/>
          <w:color w:val="auto"/>
        </w:rPr>
        <w:t>. MILLIPORE hereby grants ANAPTYSBIO, solely within the FIELD OF USE and TERRITORY, the non-exclusive right and license, under the MILLIPORE INTELLECTUAL PROPERTY, with the right to grant sublicenses as expressly provided in this Agreement, to make, have made, use, have used, sell, have sold and import COMMERCIALIZED PRODUCTS for COMMERCIAL PURPOSES.</w:t>
      </w:r>
    </w:p>
    <w:p>
      <w:pPr>
        <w:spacing w:after="0" w:line="16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3.3. ANAPTYSBIO’s authorized SUBLICENSEES are expressly prohibited from using the MILLIPORE INTELLECTUAL PROPERTY to [*]. ANAPTYSBIO may conduct activities pursuant to the rights granted hereunder, including, without limiting, cell line development, through use of AFFILIATES and/or service providers. A service provider that is engaged by ANAPTYSBIO or a SUBLICENSEE of ANAPTYSBIO shall not itself be considered a SUBLICENSEE.</w:t>
      </w:r>
    </w:p>
    <w:p>
      <w:pPr>
        <w:spacing w:after="0" w:line="39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ARTICLE 4. LICENSE FEES AND ROYALTY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partial consideration of the rights granted to ANAPTYSBIO herein, ANAPTYSBIO shall: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Pay MILLIPORE a non-refundable first research license fee in the sum of [*] Dollars ($[*]) upon execution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Pay MILLIPORE a non-refundable second research license fee in the sum of [*] Dollars ($[*]) on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4.3. Pay MILLIPORE subsequent non-refundable annual research license fees in the sums of [*] Dollars ($[*]) on the [*], subject to clause 4.3.1 below.</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4.3.1 In the event that the majority of stock or substantially all the assets of ANAPTYSBIO is transferred [*].</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All annual research license fees shall be paid within thirty (30) days following annual anniversaries of the EFFECTIVE DATE of this AGREEMENT and shall be adjusted upward only, on a year-to-year basis, beginning after the third anniversary of the EFFECTIVE DATE, in accordance with increases in the United States Consumer Price Index – All Urban Consumers – US City Average (CPI).</w:t>
      </w:r>
    </w:p>
    <w:p>
      <w:pPr>
        <w:spacing w:after="0" w:line="18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4.4. Pay MILLIPORE the applicable milestone payment below within thirty (30) days following the first achievement of each of the milestone events below (or, in the case of each of the clinical COMMERCIAL MILESTONES below, the first achievement of such clinical COMMERCIAL MILESTONE in the first MAJOR MARKET in which such clinical COMMERCIAL MILESTONE was first achieved) by ANAPTYSBIO or its AFFILIATES</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5" w:right="239" w:bottom="1440" w:gutter="0" w:footer="0" w:header="0"/>
        </w:sectPr>
      </w:pPr>
    </w:p>
    <w:bookmarkStart w:id="683" w:name="page684"/>
    <w:bookmarkEnd w:id="6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and/or SUBLICENSEES for each and every COMMERCIALIZED PRODUCT, on a product- by-product basis,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0" w:type="dxa"/>
            <w:vAlign w:val="bottom"/>
          </w:tcPr>
          <w:p>
            <w:pPr>
              <w:jc w:val="right"/>
              <w:ind w:right="272"/>
              <w:spacing w:after="0"/>
              <w:rPr>
                <w:sz w:val="20"/>
                <w:szCs w:val="20"/>
                <w:color w:val="auto"/>
              </w:rPr>
            </w:pPr>
            <w:r>
              <w:rPr>
                <w:rFonts w:ascii="Arial" w:cs="Arial" w:eastAsia="Arial" w:hAnsi="Arial"/>
                <w:sz w:val="14"/>
                <w:szCs w:val="14"/>
                <w:color w:val="auto"/>
              </w:rPr>
              <w:t>COMMERCIAL MILESTONE</w:t>
            </w:r>
          </w:p>
        </w:tc>
        <w:tc>
          <w:tcPr>
            <w:tcW w:w="74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Milestone Payment</w:t>
            </w:r>
          </w:p>
        </w:tc>
      </w:tr>
      <w:tr>
        <w:trPr>
          <w:trHeight w:val="403"/>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4.4.1</w:t>
            </w:r>
          </w:p>
        </w:tc>
        <w:tc>
          <w:tcPr>
            <w:tcW w:w="7460" w:type="dxa"/>
            <w:vAlign w:val="bottom"/>
          </w:tcPr>
          <w:p>
            <w:pPr>
              <w:ind w:left="300"/>
              <w:spacing w:after="0"/>
              <w:rPr>
                <w:sz w:val="20"/>
                <w:szCs w:val="20"/>
                <w:color w:val="auto"/>
              </w:rPr>
            </w:pPr>
            <w:r>
              <w:rPr>
                <w:rFonts w:ascii="Arial" w:cs="Arial" w:eastAsia="Arial" w:hAnsi="Arial"/>
                <w:sz w:val="18"/>
                <w:szCs w:val="18"/>
                <w:color w:val="auto"/>
              </w:rPr>
              <w:t>Enrollment of first patient in the first Phase I clinical trial of each COMMERCIALIZED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PRODUCT</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4.4.2</w:t>
            </w:r>
          </w:p>
        </w:tc>
        <w:tc>
          <w:tcPr>
            <w:tcW w:w="7460" w:type="dxa"/>
            <w:vAlign w:val="bottom"/>
          </w:tcPr>
          <w:p>
            <w:pPr>
              <w:ind w:left="300"/>
              <w:spacing w:after="0"/>
              <w:rPr>
                <w:sz w:val="20"/>
                <w:szCs w:val="20"/>
                <w:color w:val="auto"/>
              </w:rPr>
            </w:pPr>
            <w:r>
              <w:rPr>
                <w:rFonts w:ascii="Arial" w:cs="Arial" w:eastAsia="Arial" w:hAnsi="Arial"/>
                <w:sz w:val="18"/>
                <w:szCs w:val="18"/>
                <w:color w:val="auto"/>
              </w:rPr>
              <w:t>Enrollment of first patient in the first Phase II clinical trial of each COMMERCIALIZED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PRODUCT</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4.4.3</w:t>
            </w:r>
          </w:p>
        </w:tc>
        <w:tc>
          <w:tcPr>
            <w:tcW w:w="7460" w:type="dxa"/>
            <w:vAlign w:val="bottom"/>
          </w:tcPr>
          <w:p>
            <w:pPr>
              <w:ind w:left="300"/>
              <w:spacing w:after="0"/>
              <w:rPr>
                <w:sz w:val="20"/>
                <w:szCs w:val="20"/>
                <w:color w:val="auto"/>
              </w:rPr>
            </w:pPr>
            <w:r>
              <w:rPr>
                <w:rFonts w:ascii="Arial" w:cs="Arial" w:eastAsia="Arial" w:hAnsi="Arial"/>
                <w:sz w:val="18"/>
                <w:szCs w:val="18"/>
                <w:color w:val="auto"/>
              </w:rPr>
              <w:t>Enrollment of first patient in the first Phase III clinical trial of each COMMERCIALIZED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PRODUCT</w:t>
            </w:r>
          </w:p>
        </w:tc>
        <w:tc>
          <w:tcPr>
            <w:tcW w:w="1660" w:type="dxa"/>
            <w:vAlign w:val="bottom"/>
          </w:tcPr>
          <w:p>
            <w:pPr>
              <w:spacing w:after="0"/>
              <w:rPr>
                <w:sz w:val="20"/>
                <w:szCs w:val="20"/>
                <w:color w:val="auto"/>
              </w:rPr>
            </w:pPr>
          </w:p>
        </w:tc>
      </w:tr>
      <w:tr>
        <w:trPr>
          <w:trHeight w:val="432"/>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4.4.4</w:t>
            </w:r>
          </w:p>
        </w:tc>
        <w:tc>
          <w:tcPr>
            <w:tcW w:w="7460" w:type="dxa"/>
            <w:vAlign w:val="bottom"/>
          </w:tcPr>
          <w:p>
            <w:pPr>
              <w:ind w:left="300"/>
              <w:spacing w:after="0"/>
              <w:rPr>
                <w:sz w:val="20"/>
                <w:szCs w:val="20"/>
                <w:color w:val="auto"/>
              </w:rPr>
            </w:pPr>
            <w:r>
              <w:rPr>
                <w:rFonts w:ascii="Arial" w:cs="Arial" w:eastAsia="Arial" w:hAnsi="Arial"/>
                <w:sz w:val="18"/>
                <w:szCs w:val="18"/>
                <w:color w:val="auto"/>
              </w:rPr>
              <w:t>First commercial SALE of each COMMERCIALIZED PRODUCT in a MAJOR MARKET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4.4.5</w:t>
            </w:r>
          </w:p>
        </w:tc>
        <w:tc>
          <w:tcPr>
            <w:tcW w:w="7460" w:type="dxa"/>
            <w:vAlign w:val="bottom"/>
          </w:tcPr>
          <w:p>
            <w:pPr>
              <w:ind w:left="300"/>
              <w:spacing w:after="0"/>
              <w:rPr>
                <w:sz w:val="20"/>
                <w:szCs w:val="20"/>
                <w:color w:val="auto"/>
              </w:rPr>
            </w:pPr>
            <w:r>
              <w:rPr>
                <w:rFonts w:ascii="Arial" w:cs="Arial" w:eastAsia="Arial" w:hAnsi="Arial"/>
                <w:sz w:val="18"/>
                <w:szCs w:val="18"/>
                <w:color w:val="auto"/>
              </w:rPr>
              <w:t>When each COMMERCIALIZED PRODUCT first reaches SALES of over $[*] in the first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applicable calendar year</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4.4.6</w:t>
            </w:r>
          </w:p>
        </w:tc>
        <w:tc>
          <w:tcPr>
            <w:tcW w:w="7460" w:type="dxa"/>
            <w:vAlign w:val="bottom"/>
          </w:tcPr>
          <w:p>
            <w:pPr>
              <w:ind w:left="300"/>
              <w:spacing w:after="0"/>
              <w:rPr>
                <w:sz w:val="20"/>
                <w:szCs w:val="20"/>
                <w:color w:val="auto"/>
              </w:rPr>
            </w:pPr>
            <w:r>
              <w:rPr>
                <w:rFonts w:ascii="Arial" w:cs="Arial" w:eastAsia="Arial" w:hAnsi="Arial"/>
                <w:sz w:val="18"/>
                <w:szCs w:val="18"/>
                <w:color w:val="auto"/>
              </w:rPr>
              <w:t>When each COMMERCIALIZED PRODUCT first reaches SALES of over $[*] in the first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applicable calendar year</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4.4.7</w:t>
            </w:r>
          </w:p>
        </w:tc>
        <w:tc>
          <w:tcPr>
            <w:tcW w:w="7460" w:type="dxa"/>
            <w:vAlign w:val="bottom"/>
          </w:tcPr>
          <w:p>
            <w:pPr>
              <w:ind w:left="300"/>
              <w:spacing w:after="0"/>
              <w:rPr>
                <w:sz w:val="20"/>
                <w:szCs w:val="20"/>
                <w:color w:val="auto"/>
              </w:rPr>
            </w:pPr>
            <w:r>
              <w:rPr>
                <w:rFonts w:ascii="Arial" w:cs="Arial" w:eastAsia="Arial" w:hAnsi="Arial"/>
                <w:sz w:val="18"/>
                <w:szCs w:val="18"/>
                <w:color w:val="auto"/>
              </w:rPr>
              <w:t>When each COMMERCIALIZED PRODUCT first reaches SALES of over $[*] in the first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applicable calendar year</w:t>
            </w:r>
          </w:p>
        </w:tc>
        <w:tc>
          <w:tcPr>
            <w:tcW w:w="1660" w:type="dxa"/>
            <w:vAlign w:val="bottom"/>
          </w:tcPr>
          <w:p>
            <w:pPr>
              <w:spacing w:after="0"/>
              <w:rPr>
                <w:sz w:val="20"/>
                <w:szCs w:val="20"/>
                <w:color w:val="auto"/>
              </w:rPr>
            </w:pPr>
          </w:p>
        </w:tc>
      </w:tr>
    </w:tbl>
    <w:p>
      <w:pPr>
        <w:spacing w:after="0" w:line="202" w:lineRule="exact"/>
        <w:rPr>
          <w:sz w:val="20"/>
          <w:szCs w:val="20"/>
          <w:color w:val="auto"/>
        </w:rPr>
      </w:pPr>
    </w:p>
    <w:p>
      <w:pPr>
        <w:ind w:left="1500" w:right="140"/>
        <w:spacing w:after="0" w:line="302" w:lineRule="auto"/>
        <w:rPr>
          <w:sz w:val="20"/>
          <w:szCs w:val="20"/>
          <w:color w:val="auto"/>
        </w:rPr>
      </w:pPr>
      <w:r>
        <w:rPr>
          <w:rFonts w:ascii="Arial" w:cs="Arial" w:eastAsia="Arial" w:hAnsi="Arial"/>
          <w:sz w:val="16"/>
          <w:szCs w:val="16"/>
          <w:color w:val="auto"/>
        </w:rPr>
        <w:t>For purposes of clarification, subject to clause 4.5 below, each of the milestone payments specified in this clause 4.4 shall be payable only one time per COMMERCIALIZED PRODUCT regardless of the number of indications for which a COMMERCIALIZED PRODUCT is developed or approved, and, in the case of the milestone payments for COMMERCIAL MILESTONES [*], regardless of the number of MAJOR MARKETS in which a COMMERCIALIZED PRODUCT achieves the same COMMERCIAL MILESTONE.</w:t>
      </w:r>
    </w:p>
    <w:p>
      <w:pPr>
        <w:spacing w:after="0" w:line="154" w:lineRule="exact"/>
        <w:rPr>
          <w:sz w:val="20"/>
          <w:szCs w:val="20"/>
          <w:color w:val="auto"/>
        </w:rPr>
      </w:pPr>
    </w:p>
    <w:p>
      <w:pPr>
        <w:ind w:left="1500" w:right="160"/>
        <w:spacing w:after="0" w:line="255" w:lineRule="auto"/>
        <w:rPr>
          <w:sz w:val="20"/>
          <w:szCs w:val="20"/>
          <w:color w:val="auto"/>
        </w:rPr>
      </w:pPr>
      <w:r>
        <w:rPr>
          <w:rFonts w:ascii="Arial" w:cs="Arial" w:eastAsia="Arial" w:hAnsi="Arial"/>
          <w:sz w:val="18"/>
          <w:szCs w:val="18"/>
          <w:color w:val="auto"/>
        </w:rPr>
        <w:t>In the event ANAPTYSBIO sells all or substantially all of its rights to one or more COMMERCIALIZED PRODUCTS to a THIRD PARTY, whether by merger, sale of stock, sale of assets or otherwise, [*]% of the milestone payment for the next-to-occur clinical COMMERCIAL MILESTONE for the MOST-ADVANCED COMMERCIALIZED PRODUCT (defined below) to which such THIRD PARTY acquires rights will be due, which amount shall be fully creditable against future payments due hereunder. All remaining COMMERCIAL MILESTONES shall continue in full force and effect. “MOST ADVANCED COMMERCIALIZED PRODUCT” means, of all of the COMMERCIALIZED</w:t>
      </w:r>
    </w:p>
    <w:p>
      <w:pPr>
        <w:spacing w:after="0" w:line="122"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84" w:name="page685"/>
    <w:bookmarkEnd w:id="684"/>
    <w:p>
      <w:pPr>
        <w:ind w:left="150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PRODUCTS to which a THIRD PARTY acquires rights in a transaction or series of transactions of the type described in the first sentence of this Section 4.3.1, the COMMERCIALIZED PRODUCT that is at the most advanced stage of development but has not yet achieved all of the clinical COMMERCIAL MILESTONES (i.e., COMMERCIAL MILESTONES 1, 2 and 3) at the time of consummation of such transaction(s).</w:t>
      </w:r>
    </w:p>
    <w:p>
      <w:pPr>
        <w:spacing w:after="0" w:line="18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4.5. ANAPTYSBIO shall notify MILLIPORE, in writing, of the achievement of each COMMERCIAL MILESTONE for which a milestone payment is due under clause 4.4(a) or 4.4(b) within thirty (30) calendar days after such achievement. For purposes of this AGREEMENT, a COMMERCIALIZED PRODUCT that contains a particular ANAPTYSBIO PROTEIN or particular ANAPTYSBIO PROTEINS and any and all other COMMERCIALIZED PRODUCTS (such as modified, improved or “next generation” COMMERCIALIZED PRODUCTS) that contains the same ANAPTYSBIO PROTEIN(S) shall collectively be considered one and the same COMMERCIALIZED PRODUCT, regardless of whether such COMMERCIALIZED PRODUCTS are sold under different product names or trademarks. Without limiting the generality of the foregoing, and solely by way of example, if (i) development of a COMMERCIALIZED PRODUCT containing a particular ANAPTYSBIO PROTEIN or particular ANAPTYSBIO PROTEINS is abandoned after one or more of the COMMERCIAL MILESTONES has been achieved, and (ii) any COMMERCIALIZED PRODUCT containing the same ANAPTYSBIO PROTEIN(S) is developed as a replacement for the abandoned COMMERCIALIZED PRODUCT, then no milestone payment shall be due upon achievement of any COMMERCIAL MILESTONE by the replacement COMMERCIALIZED PRODUCT that was previously achieved by the abandoned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COMMERCIALIZED PRODUCT.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 All payments due pursuant to this AGREEMENT shall be paid in United States dollars.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SUBLICENSING RIGHTS AND OBLIGATIONS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ANAPTYSBIO may sub-license only the rights granted to it under clause 3.1 and/or clause 3.2 to any CRO(s) and to THIRD PARTY(IES), in each case, solely for the use of cells, cell lines or clones containing the MATERIALS which express ANAPTYSBIO PROTEINS so long as:</w:t>
      </w:r>
    </w:p>
    <w:p>
      <w:pPr>
        <w:spacing w:after="0" w:line="52" w:lineRule="exact"/>
        <w:rPr>
          <w:sz w:val="20"/>
          <w:szCs w:val="20"/>
          <w:color w:val="auto"/>
        </w:rPr>
      </w:pPr>
    </w:p>
    <w:p>
      <w:pPr>
        <w:ind w:left="900" w:hanging="446"/>
        <w:spacing w:after="0"/>
        <w:tabs>
          <w:tab w:leader="none" w:pos="90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All terms and conditions of any sublicense shall contain terms and conditions that are consistent with the terms and conditions of this</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16"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ANAPTYSBIO shall pay continuing applicable Milestone Payments to MILLIPORE on the achievement of COMMERCIAL MILESTONES by any SUBLICENSEE in accordance with Clause 4.4 above.</w:t>
      </w:r>
    </w:p>
    <w:p>
      <w:pPr>
        <w:spacing w:after="0" w:line="75" w:lineRule="exact"/>
        <w:rPr>
          <w:rFonts w:ascii="Arial" w:cs="Arial" w:eastAsia="Arial" w:hAnsi="Arial"/>
          <w:sz w:val="18"/>
          <w:szCs w:val="18"/>
          <w:color w:val="auto"/>
        </w:rPr>
      </w:pPr>
    </w:p>
    <w:p>
      <w:pPr>
        <w:ind w:left="900" w:right="220" w:hanging="446"/>
        <w:spacing w:after="0" w:line="279" w:lineRule="auto"/>
        <w:tabs>
          <w:tab w:leader="none" w:pos="90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The sublicense does not permit any SUBLICENSEE or CRO to transfer or assign its sublicense to use the MILLIPORE INTELLECTUAL PROPERTY; provided, however, that a sublicense may permit such SUBLICENSEE or CRO to assign such sublicense to an AFFILIATE or to any successor-in-interest by way of merger, acquisition, or sale of all or substantially all of its assets related to such sublicense, in which event such SUBLICENSEE or CRO shall be obligated to notify ANAPTYSBIO and in such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685" w:name="page686"/>
    <w:bookmarkEnd w:id="685"/>
    <w:p>
      <w:pPr>
        <w:ind w:left="920"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instances, ANAPTYSBIO shall be obligated to notify MILLIPORE in writing of such assignment; and provided, further, that a sublicense may permit a SUBLICENSEE to sublicense its rights to a CRO so long as ANAPTYSBIO complies with clause (e) below.</w:t>
      </w:r>
    </w:p>
    <w:p>
      <w:pPr>
        <w:spacing w:after="0" w:line="52" w:lineRule="exact"/>
        <w:rPr>
          <w:sz w:val="20"/>
          <w:szCs w:val="20"/>
          <w:color w:val="auto"/>
        </w:rPr>
      </w:pPr>
    </w:p>
    <w:p>
      <w:pPr>
        <w:ind w:left="900" w:right="420" w:hanging="446"/>
        <w:spacing w:after="0" w:line="312" w:lineRule="auto"/>
        <w:tabs>
          <w:tab w:leader="none" w:pos="90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The sublicense shall contain provisions that any sublicense to use the MILLIPORE INTELLECTUAL PROPERTY that was granted to the SUBLICENSEE or CRO shall terminate upon the termination of this AGREEMENT; provided, however, that the sublicense may permit the SUBLICENSEE or CRO to retain and continue using any already-existing ANAPTYSBIO CELL LINES as permitted by Article 9.</w:t>
      </w:r>
    </w:p>
    <w:p>
      <w:pPr>
        <w:spacing w:after="0" w:line="52"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ANAPTYSBIO shall notify MILLIPORE in writing of the sublicense and its applicable terms concerning the MILLIPORE INTELLECTUAL PROPERTY promptly following the signing of such sublicense; provided, however, that ANAPTYSBIO shall not be required to disclose to MILLIPORE the financial terms of any sublicense.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REPORTING OBLIGATIONS</w:t>
      </w:r>
    </w:p>
    <w:p>
      <w:pPr>
        <w:spacing w:after="0" w:line="22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6.1. ANAPTYSBIO and its SUBLICENSEES and AFFILIATES will keep accurate books and records showing all COMMERCIALIZED PRODUCTS offered for sale, imported, sold and or otherwise exploited and all NET SALES and any other amounts payable herein. Such books and records will be preserved for at least three (3) years after the date of the payment to which they pertain and will be open to inspection by an independent certified public accountant retained by MILLIPORE at reasonable times (but no more frequently than annually) on prior written notice to ANAPTYSBIO solely to determine the accuracy of reports and payments made by ANAPTYSBIO under this AGREEMENT and to assess ANAPTYSBIO’s compliance with the payment terms of this AGREEMENT. Such independent certified public accountant shall execute and deliver a confidentiality agreement reasonably requested by ANAPTYSBIO and shall not disclose to MILLIPORE any information other than information relating to accuracy of reports and payments made by ANAPTYSBIO under this AGREEMENT and the compliance by ANAPTYSBIO of the terms of this AGREEMENT. MILLIPORE shall bear the fees and expenses of such examination. If, however, an error in payments due of more than [*] percent ([*]%) or $[*] (whichever is greater) for any year is discovered in any examination, then ANAPTYSBIO shall reimburse MILLIPORE the reasonable fees and expenses of such examination and shall remit the underpayment to MILLIPORE along with applicable simple interest due at the rate of [*] per annum within [*] days of delivery of the examination result to ANAPTYSBIO.</w:t>
      </w:r>
    </w:p>
    <w:p>
      <w:pPr>
        <w:spacing w:after="0" w:line="18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6.2. For each COMMERCIALIZED PRODUCT, ANAPTYSBIO shall identify to MILLIPORE the reference number for all applicable Biological Master Files (or equivalent) for such COMMERCIALIZED PRODUCT filed by ANAPTYSBIO or its SUBLICENSEES or ANAPTYSBIO PARTNERS with the relevant REGULATORY AGENCIES. MILLIPORE shall have the right to identify to any REGULATORY AGENCY such reference number for any such Biological Master File (or equivalent) with regard to COMMERCIALIZED PRODUCTS developed by THIRD PARTIES with the use of MILLIPORE INTELLECTUAL PROPERTY, for the sole purpose of notifying the REGULATORY AGENCY of the existence of such prior Biological Master File. Any such identification shall be made solely to the REGULATORY AGENCY and shall not constitute authorization to or by MILLIPORE or any THIRD PARTY</w:t>
      </w:r>
    </w:p>
    <w:p>
      <w:pPr>
        <w:spacing w:after="0" w:line="93"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5" w:right="239" w:bottom="1440" w:gutter="0" w:footer="0" w:header="0"/>
        </w:sectPr>
      </w:pPr>
    </w:p>
    <w:bookmarkStart w:id="686" w:name="page687"/>
    <w:bookmarkEnd w:id="686"/>
    <w:p>
      <w:pPr>
        <w:jc w:val="both"/>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the REGULATORY AGENCY) to access, reference or use any such filing or any data therein or to disclose or use any confidential or proprietary information in any such filing or in any IND (or equivalent) or Biological Master File (or equivalent) or other filing submitted by ANAPTYSBIO or any AFFILIATE or SUBLICENSEE with any REGULATORY AGENCY.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OWNERSHIP OF THE INTELLECTUAL PROPERTY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 The MILLIPORE INTELLECTUAL PROPERTY and MATERIALS shall at all times remain the property of MILLIPORE.</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7.2. ANAPTYSBIO shall at all times be the sole owner of ANAPTYSBIO’s technology made prior to or outside the scope of the license (“ANAPTYSBIO’s BACKGROUND TECHNOLOGY”), all ANAPTYSBIO CELL LINES, all ANAPTYSBIO TECHNOLOGY and all ANAPTYSBIO PROTEINS.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7.3. ANAPTYSBIO agrees that the MILLIPORE INTELLECTUAL PROPERTY and MATERIALS will be used solely within the FIELD OF USE.</w:t>
      </w:r>
    </w:p>
    <w:p>
      <w:pPr>
        <w:spacing w:after="0" w:line="23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7.4. ANAPTYSBIO agrees that it shall hold and use the MILLIPORE INTELLECTUAL PROPERTY and MATERIALS in a confidential and secure manner, to the extent provided in Article 10 below.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INTELLECTUAL PROPERTY IMPROVEMENTS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and all results, discoveries, improvements and/or inventions (whether or not patentable) (a) made solely by or on behalf of ANAPTYSBIO shall be the sole and exclusive property of ANAPTYSBIO, except that any made by ANAPTYSBIO that [*]; (b) made solely by MILLIPORE shall be the sole and exclusive property of MILLIPORE, except that any made by MILLIPORE which relate to or are enabled by ANAPTYSBIO’s BACKGROUND TECHNOLOGY, the ANAPTYSBIO CELL LINES, the ANAPTYSBIO PROTEINS and/or the ANAPTYSBIO TECHNOLOGY shall be the sole and exclusive property of ANAPTYSBIO (it being understood, however, that ANAPTYSBIO is not granting to MILLIPORE any license or other right to use, or any access to, ANAPTYSBIO’s BACKGROUND TECHNOLOGY, the ANAPTYSBIO CELL LINES, the ANAPTYSBIO PROTEINS and/or the ANAPTYSBIO TECHNOLOGY); and (c) made jointly by MILLIPORE and ANAPTYSBIO shall be the joint property of MILLIPORE and ANAPTYSBIO; provided that any jointly made results, discoveries, improvements and/or inventions [*]. Each PARTY, upon the request and cost of the other PARTY, shall promptly perform all necessary acts to execute any patent applications, assignments and/or other documents which the other PARTY deems necessary or useful for the prosecution of results, discoveries, improvement and/or inventions owned by such other PARTY.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9.1. This AGREEMENT shall commence on the EFFECTIVE DATE and shall, unless terminated earlier as provided herein, continue in full force and effect. The term during which ANAPTYSBIO shall pay to MILLIPORE research license fees and milestone payments pursuant to this AGREEMENT shall end upon the expiration of the TERM. Upon the expiration of the</w:t>
      </w:r>
    </w:p>
    <w:p>
      <w:pPr>
        <w:spacing w:after="0" w:line="11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87" w:name="page688"/>
    <w:bookmarkEnd w:id="6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the licenses and other rights granted by MILLIPORE to ANAPTYSBIO pursuant to this AGREEMENT shall be fully paid-up.</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9.2. ANAPTYSBIO shall have the right to voluntarily terminate this AGREEMENT, for any or no reason, on not less than ninety (90) days written notice to MILLIPORE. However, the obligation to pay the first year research license fee (clause 4.1) is non-terminable in the event ANAPTYSBIO exercises its rights pursuant this paragraph.</w:t>
      </w:r>
    </w:p>
    <w:p>
      <w:pPr>
        <w:spacing w:after="0" w:line="181" w:lineRule="exact"/>
        <w:rPr>
          <w:sz w:val="20"/>
          <w:szCs w:val="20"/>
          <w:color w:val="auto"/>
        </w:rPr>
      </w:pPr>
    </w:p>
    <w:p>
      <w:pPr>
        <w:ind w:right="440" w:firstLine="456"/>
        <w:spacing w:after="0" w:line="276" w:lineRule="auto"/>
        <w:rPr>
          <w:sz w:val="20"/>
          <w:szCs w:val="20"/>
          <w:color w:val="auto"/>
        </w:rPr>
      </w:pPr>
      <w:r>
        <w:rPr>
          <w:rFonts w:ascii="Arial" w:cs="Arial" w:eastAsia="Arial" w:hAnsi="Arial"/>
          <w:sz w:val="17"/>
          <w:szCs w:val="17"/>
          <w:color w:val="auto"/>
        </w:rPr>
        <w:t>9.3. Either PARTY may terminate this AGREEMENT upon material breach of this AGREEMENT by the other PARTY (including, in the case of termination by MILLIPORE, a breach resulting from ANAPTYSBIO’s failure to pay any sums due hereunder) where such breach shall not have been remedied within sixty (60) days of the receipt of a written notification from the other PARTY identifying the breach and requiring its remedy. Upon termination of this AGREEMENT by ANAPTYSBIO on account of the material breach by MILLIPORE, MILLIPORE shall promptly refund to ANAPTYSBIO the pro rata portion of any research license fees attributable to the period of time following such termination.</w:t>
      </w:r>
    </w:p>
    <w:p>
      <w:pPr>
        <w:spacing w:after="0" w:line="17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9.4. In the event of termination of this AGREEMENT, ANAPTYSBIO’s licenses under clauses 3.1 and 3.2 with respect to any ANAPTYSBIO CELL LINES generated before such termination (including, without limitation, ANAPTYSBIO’s right to sublicense such ANAPTYSBIO CELL LINES in accordance with clause (d) of Article 5) and ANAPTYSBIO’s rights with respect to ANAPTYSBIO PROTEINS expressed by such ANAPTYSBIO CELL LINES, shall survive such termination and continue in full force and effect, subject to the terms and conditions of this AGREEMENT (including, without limitation, Article 4 hereof); provided, however, that if MILLIPORE terminates this AGREEMENT for ANAPTYSBIO’s uncured material breach of any of its payment obligations under Article 4, then ANAPTYSBIO’s licenses with respect to such existing ANAPTYSBIO CELL LINES shall terminate, and ANAPTYSBIO shall destroy such existing ANAPTYSBIO CELL LINES as specified below in this Article 9.</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9.5. Upon termination of this AGREEMENT by MILLIPORE pursuant to the terms hereof, each sublicense by ANAPTYSBIO to a SUBLICENSEE to use the MILLIPORE INTELLECTUAL PROPERTY for COMMERCIAL PURPOSES that was in effect before such termination will survive such termination; provided, however, that (i) such sublicense was granted in accordance with the terms of this AGREEMENT; (ii) such SUBLICENSEE is not the cause of such breach; (iii) such SUBLICENSEE agrees in writing to assume all applicable obligations of ANAPTYSBIO under this AGREEMENT; and</w:t>
      </w:r>
    </w:p>
    <w:p>
      <w:pPr>
        <w:spacing w:after="0" w:line="2" w:lineRule="exact"/>
        <w:rPr>
          <w:sz w:val="20"/>
          <w:szCs w:val="20"/>
          <w:color w:val="auto"/>
        </w:rPr>
      </w:pPr>
    </w:p>
    <w:p>
      <w:pPr>
        <w:ind w:right="60" w:firstLine="8"/>
        <w:spacing w:after="0" w:line="261" w:lineRule="auto"/>
        <w:tabs>
          <w:tab w:leader="none" w:pos="305" w:val="left"/>
        </w:tabs>
        <w:numPr>
          <w:ilvl w:val="0"/>
          <w:numId w:val="630"/>
        </w:numPr>
        <w:rPr>
          <w:rFonts w:ascii="Arial" w:cs="Arial" w:eastAsia="Arial" w:hAnsi="Arial"/>
          <w:sz w:val="18"/>
          <w:szCs w:val="18"/>
          <w:color w:val="auto"/>
        </w:rPr>
      </w:pPr>
      <w:r>
        <w:rPr>
          <w:rFonts w:ascii="Arial" w:cs="Arial" w:eastAsia="Arial" w:hAnsi="Arial"/>
          <w:sz w:val="18"/>
          <w:szCs w:val="18"/>
          <w:color w:val="auto"/>
        </w:rPr>
        <w:t>MILLIPORE continues to receive from such SUBLICENSEE all payments under Article 4 that MILLIPORE would have received from ANAPTYSBIO with respect to such SUBLICENSEE’s activities had this AGREEMENT remained in effect.</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9.6. ANAPTYSBIO agrees that, upon termination of this AGREEMENT, all MATERIALS and other MATERIALS incorporated in mixtures or combinations with ANAPTYSBIO TECHNOLOGY and/or ANAPTYSBIO PROTEINS in its possession or control, including any in the possession of its CROs or SUBLICENSEES or ANAPTYSBIO PARTNERS, shall be destroyed within thirty (30) days following such termination, unless otherwise agreed in writing by the PARTIES; provided, however, that neither ANAPTYSBIO nor any of its CROs or SUBLICENSEES or ANAPTYSBIO PARTNERS shall be required to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688" w:name="page689"/>
    <w:bookmarkEnd w:id="688"/>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destroy or to cease using any existing ANAPTYSBIO CELL LINES to which ANAPTYSBIO retains its license as set forth above in this Article 9 or any ANAPTYSBIO PROTEINS expressed by such ANAPTYSBIO CELL LINES; and provided, further, that notwithstanding anything contained in this AGREEMENT to the contrary, ANAPTYSBIO shall have the right following such termination to sell any inventory of COMMERCIALIZED PRODUCTS and finish and sell any work in progress. ANAPTYSBIO’s obligation pursuant to this paragraph shall not apply if this AGREEMENT is terminated by ANAPTYSBIO on account of the breach of this AGREEMENT by MILLIPORE.</w:t>
      </w:r>
    </w:p>
    <w:p>
      <w:pPr>
        <w:spacing w:after="0" w:line="188" w:lineRule="exact"/>
        <w:rPr>
          <w:sz w:val="20"/>
          <w:szCs w:val="20"/>
          <w:color w:val="auto"/>
        </w:rPr>
      </w:pPr>
    </w:p>
    <w:p>
      <w:pPr>
        <w:ind w:right="1100" w:firstLine="456"/>
        <w:spacing w:after="0" w:line="277" w:lineRule="auto"/>
        <w:rPr>
          <w:sz w:val="20"/>
          <w:szCs w:val="20"/>
          <w:color w:val="auto"/>
        </w:rPr>
      </w:pPr>
      <w:r>
        <w:rPr>
          <w:rFonts w:ascii="Arial" w:cs="Arial" w:eastAsia="Arial" w:hAnsi="Arial"/>
          <w:sz w:val="18"/>
          <w:szCs w:val="18"/>
          <w:color w:val="auto"/>
        </w:rPr>
        <w:t>9.7. Articles 6, 7, 8, 9 (including any other provisions specified herein as surviving), 10, 12, 13, 14 &amp; 15 shall survive termination of this AGREEMENT or expiration of TERM and continue in full force and effect.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CONFIDENTIALITY</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10.1. Each PARTY agrees to maintain, and require its employees, agents, representatives and AFFILIATES and their employees, agents and representatives to maintain, CONFIDENTIAL INFORMATION of the other PARTY with the same degree of care it uses to protect its own CONFIDENTIAL INFORMATION of a similar nature, and each PARTY represents that it exercises reasonable care to protect its own CONFIDENTIAL INFORMATION. Each PARTY agrees not to use, and require its employees, agents, representatives and AFFILIATES and their employees, agents and representatives not to use, the CONFIDENTIAL INFORMATION of the other PARTY for any purpose other than performing its obligations and exercising its rights under this AGREEMENT, except as otherwise explicitly set forth in this Article.</w:t>
      </w:r>
    </w:p>
    <w:p>
      <w:pPr>
        <w:spacing w:after="0" w:line="193"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10.2. Each PARTY agrees to maintain in confidence and not to disclose to any THIRD PARTY, other than its employees, agents, representatives and AFFILIATES and their employees, agents and representatives, any CONFIDENTIAL INFORMATION of the other PARTY, either during or for five years after expiration of the TERM or earlier termination of this AGREEMENT.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10.3. Without granting any right or license to the use of its CONFIDENTIAL INFORMATION, except as specifically provided hereunder, each PARTY agrees that the limitations of non-use and non-disclosure of CONFIDENTIAL INFORMATION it provides to the other PARTY under this AGREEMENT shall not apply to such information, to the extent and only to the extent, that the receiving PARTY can credibly document that such information:</w:t>
      </w:r>
    </w:p>
    <w:p>
      <w:pPr>
        <w:spacing w:after="0" w:line="52" w:lineRule="exact"/>
        <w:rPr>
          <w:sz w:val="20"/>
          <w:szCs w:val="20"/>
          <w:color w:val="auto"/>
        </w:rPr>
      </w:pPr>
    </w:p>
    <w:p>
      <w:pPr>
        <w:ind w:left="1480" w:right="100" w:hanging="567"/>
        <w:spacing w:after="0" w:line="277" w:lineRule="auto"/>
        <w:tabs>
          <w:tab w:leader="none" w:pos="148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is now or hereafter becomes generally known or available to the public without the receiving PARTY’s breach of any obligation owed to the providing PARTY; or</w:t>
      </w:r>
    </w:p>
    <w:p>
      <w:pPr>
        <w:spacing w:after="0" w:line="75"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without use of or reference to CONFIDENTIAL INFORMATION of the providing PARTY, or</w:t>
      </w:r>
    </w:p>
    <w:p>
      <w:pPr>
        <w:spacing w:after="0" w:line="75"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was acquired by the receiving PARTY before receiving such information from the providing PARTY under this AGREEMENT, without restriction as to use or disclosure;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5" w:right="239" w:bottom="1440" w:gutter="0" w:footer="0" w:header="0"/>
        </w:sectPr>
      </w:pPr>
    </w:p>
    <w:bookmarkStart w:id="689" w:name="page690"/>
    <w:bookmarkEnd w:id="689"/>
    <w:p>
      <w:pPr>
        <w:ind w:left="1480" w:right="320" w:hanging="567"/>
        <w:spacing w:after="0" w:line="277" w:lineRule="auto"/>
        <w:tabs>
          <w:tab w:leader="none" w:pos="1480" w:val="left"/>
        </w:tabs>
        <w:numPr>
          <w:ilvl w:val="0"/>
          <w:numId w:val="6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hereafter rightfully furnished to the receiving PARTY by an AFFILIATE or THIRD PARTY without any breach of an obligation of confidentiality to the providing PARTY and without restriction on use or disclosure;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is disclosed or used by the receiving PARTY with the prior written consent of the providing PARTY, on a case-by-case basis.</w:t>
      </w:r>
    </w:p>
    <w:p>
      <w:pPr>
        <w:spacing w:after="0" w:line="225" w:lineRule="exact"/>
        <w:rPr>
          <w:sz w:val="20"/>
          <w:szCs w:val="20"/>
          <w:color w:val="auto"/>
        </w:rPr>
      </w:pPr>
    </w:p>
    <w:p>
      <w:pPr>
        <w:ind w:right="580" w:firstLine="456"/>
        <w:spacing w:after="0" w:line="279" w:lineRule="auto"/>
        <w:rPr>
          <w:sz w:val="20"/>
          <w:szCs w:val="20"/>
          <w:color w:val="auto"/>
        </w:rPr>
      </w:pPr>
      <w:r>
        <w:rPr>
          <w:rFonts w:ascii="Arial" w:cs="Arial" w:eastAsia="Arial" w:hAnsi="Arial"/>
          <w:sz w:val="17"/>
          <w:szCs w:val="17"/>
          <w:color w:val="auto"/>
        </w:rPr>
        <w:t>10.4. For purposes of clarifying clause 10.3 (confidentiality and non-use exclusions), information that is combined, synthesized or used by the providing PARTY in a particular manner, as provided to the receiving PARTY under this AGREEMENT, shall not be deemed “known”, “available”, “developed”, “acquired”, or “furnished” separately to the receiving PARTY merely because the various pieces of information were previously known, available, developed, acquired, or furnished without being so combined, synthesized or used.</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10.5. A receiving PARTY may disclose CONFIDENTIAL INFORMATION to the extent required to do so by applicable law, an administrative or court order, or governmental regulation; provided that the receiving PARTY promptly notifies the providing PARTY when it learns that disclosure may be required, and the receiving PARTY shall, at the providing PARTY’s expense, take reasonable action to avoid the disclosure or limit its scope. Any information disclosed pursuant to this clause 10.5 will remain the CONFIDENTIAL INFORMATION of the providing PARTY and subject to this AGREEMENT.</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10.6. Either PARTY may, without the prior written consent of the other PARTY, disclose the terms of this AGREEMENT to such PARTY’s lawyers or other paid consultants or advisors, under substantially the same terms as clauses 10.1 through 10.5 (confidentiality and non-use requirements), solely for the purpose of discussions related to business decisions of such PARTY. Any information disclosed pursuant to this clause 10.6 will remain the CONFIDENTIAL INFORMATION of the providing PARTY and subject to this AGREEMENT.</w:t>
      </w:r>
    </w:p>
    <w:p>
      <w:pPr>
        <w:spacing w:after="0" w:line="187"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10.7. The terms of this AGREEMENT are deemed confidential, but (a) either PARTY may disclose the existence of this AGREEMENT, without disclosing the terms, in a media release or similar public announcement provided that such PARTY allows the other PARTY a reasonable opportunity to review and comment on the content of such release or announcement prior to its release which approval shall not be unreasonably withheld or delayed, and</w:t>
      </w:r>
    </w:p>
    <w:p>
      <w:pPr>
        <w:ind w:right="820" w:firstLine="8"/>
        <w:spacing w:after="0" w:line="261" w:lineRule="auto"/>
        <w:tabs>
          <w:tab w:leader="none" w:pos="245"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ANAPTYSBIO may disclose the existence of this AGREEMENT to its current or prospective banks or other financial institutions or current or prospective investors for the purpose of raising capital or borrowing money.</w:t>
      </w:r>
    </w:p>
    <w:p>
      <w:pPr>
        <w:spacing w:after="0" w:line="18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10.8. Notwithstanding anything contained in this AGREEMENT to the contrary, ANAPTYSBIO shall be permitted to disclose CONFIDENTIAL INFORMATION of MILLIPORE and the existence and terms of this AGREEMENT to (a) ANAPTYSBIO’s current or prospective banks or other financial institutions or investors for the purpose of raising capital or borrowing money or maintaining compliance with agreements, arrangements and understandings relating thereto, and (b) to any person or entity who proposes to be a SUBLICENSEE or to purchase or otherwise succeed (by merger, operation of law or otherwise) to all of ANAPTYSBIO’s right, title and interest in, to and under this Agreement, if such person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690" w:name="page691"/>
    <w:bookmarkEnd w:id="6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entity agrees to maintain the confidentiality of such CONFIDENTIAL INFORMATION pursuant to written confidentiality agreement.</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11. REPRESENTATIONS AND WARRANTIES; INSURANCE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11.1. Each PARTY hereby represents and warrants to the other PARTY that (a) it has all requisite power and authority to enter into this AGREEMENT and to consummate the transactions contemplated hereby, and (b) this AGREEMENT has been duly and validly executed and delivered by such PARTY and constitutes its valid, legal and binding obligation, enforceable against it in accordance with its terms, subject to bankruptcy, insolvency, reorganization, moratorium and similar laws affecting the enforcement of creditors’ rights generally and by general principles of equity, regardless of whether such enforceability is considered in a proceeding in equity or at law.</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11.2. MILLIPORE hereby represents and warrants to ANAPTYSBIO that as of the EFFECTIVE DATE (a) to its knowledge, neither the grant of the licenses pursuant to this AGREEMENT nor the practice of the MILLIPORE INTELLECTUAL PROPERTY or use of the MATERIALS by ANAPTYSBIO, its AFFILIATES and/or its SUBLICENSEES shall infringe or misappropriate any patent or other intellectual property rights of any THIRD PARTY and it does not know of any claim of a THIRD PARTY with respect to any such infringement or misappropriation; and (b) MILLIPORE owns or controls the entire right, title, and interest in and to the MILLIPORE INTELLECTUAL PROPERTY and the MATERIALS as of the EFFECTIVE DATE; and (c) the MATERIALS have been manufactured by or on behalf of MILLIPORE in accordance with all applicable laws.</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11.3. ANAPTYSBIO warrants that it will not MANUFACTURE, use, sublicense or sell COMMERCIALIZED PRODUCT for any purpose other than those purposes for which it is authorized under Articles 3 and 5.</w:t>
      </w:r>
    </w:p>
    <w:p>
      <w:pPr>
        <w:spacing w:after="0" w:line="170"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11.4. ANAPTYSBIO shall take out, maintain and keep current in respect of the manufacture, sale and use of COMMERCIALIZED PRODUCT all appropriate insurances, as determined by ANAPTYSBIO in good faith, including, commencing upon the first commercial SALE by ANAPTYSBIO of a COMMERCIALIZED PRODUCT, adequate product liability insurance and appropriate THIRD PARTY and other insurance.</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11.5. EXCEPT AS PROVIDED HEREIN, NEITHER PARTY MAKES ANY REPRESENTATIONS AND EXTENDS NO WARRANTIES OF ANY KIND, EITHER EXPRESS OR IMPLIED, INCLUDING, BUT NOT LIMITED TO, WARRANTIES OF MERCHANTABILITY AND FITNESS FOR A PARTICULAR PURPOSE.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 INDEMNITY &amp; LIMITATION OF LIABILITY</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12.1. ANAPTYSBIO shall indemnify, defend and hold MILLIPORE and its directors, officers, employees and agents harmless from and against any and all THIRD PARTY claims, demands, or causes of action (each, a “Liability”) arising out of or relating in any way to (i) the possession, manufacture, use, sale or other disposition of COMMERCIALIZED PRODUCT hereunder, whether based on breach of warranty, negligence, product liability or otherwise,</w:t>
      </w:r>
    </w:p>
    <w:p>
      <w:pPr>
        <w:ind w:left="5620" w:right="4520" w:hanging="5612"/>
        <w:spacing w:after="0" w:line="433" w:lineRule="auto"/>
        <w:tabs>
          <w:tab w:leader="none" w:pos="269"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exercise of any right granted to ANAPTYSBIO pursuant to this Agreement, or (iii) any 13</w:t>
      </w:r>
    </w:p>
    <w:p>
      <w:pPr>
        <w:sectPr>
          <w:pgSz w:w="11900" w:h="16838" w:orient="portrait"/>
          <w:cols w:equalWidth="0" w:num="1">
            <w:col w:w="11340"/>
          </w:cols>
          <w:pgMar w:left="240" w:top="274" w:right="319" w:bottom="1440" w:gutter="0" w:footer="0" w:header="0"/>
        </w:sectPr>
      </w:pPr>
    </w:p>
    <w:bookmarkStart w:id="691" w:name="page692"/>
    <w:bookmarkEnd w:id="691"/>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this Agreement by ANAPTYSBIO, except to the extent, in each case, that such Liability is caused by the negligence or willful misconduct of MILLIPORE, its directors, officers, employees and/or agents as determined by a court of competent jurisdiction or by MILLIPORE’s breach of this AGREEMENT; provided, however, that upon receiving notice of any such Liability, MILLIPORE shall promptly notify ANAPTYSBIO and permit ANAPTYSBIO to handle and control the defense (including litigation and settlement) of such Liability, at ANAPTYSBIO’s sole expense, and MILLIPORE shall reasonably cooperate with ANAPTYSBIO in the defense of such Liability, at ANAPTYSBIO’s sole expense.</w:t>
      </w:r>
    </w:p>
    <w:p>
      <w:pPr>
        <w:spacing w:after="0" w:line="17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12.2. LIMITATION OF LIABILITY. NEITHER PARTY OR ITS AFFILIATES SHALL BE LIABLE TO THE OTHER PARTY OR THE OTHER PARTY’S AFFILIATES FOR ANY CONSEQUENTIAL, SPECIAL, INDIRECT OR EXEMPLARY DAMAGES OR FOR THE LOSS OF PROFITS ARISING FROM THE PERFORMANCE OR NONPERFORMANCE OF THIS AGREEMENT OR ANY ACTS OR OMISSIONS ASSOCIATED HEREWITH.</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 NOTICE</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13.1. Any notices required or permitted to be given under this AGREEMENT shall be deemed given on the date received in writing: personally; or by a letter delivered to a reputable courier guaranteeing next day service; or by facsimile, with confirmation by prepaid first class letter sent the same day.</w:t>
      </w:r>
    </w:p>
    <w:p>
      <w:pPr>
        <w:sectPr>
          <w:pgSz w:w="11900" w:h="16838" w:orient="portrait"/>
          <w:cols w:equalWidth="0" w:num="1">
            <w:col w:w="11380"/>
          </w:cols>
          <w:pgMar w:left="240" w:top="274" w:right="2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If to MILLIPORE: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Attn. Business Development Department 290 Concord Road Billerica, MA 01821</w:t>
      </w:r>
    </w:p>
    <w:p>
      <w:pPr>
        <w:spacing w:after="0" w:line="211" w:lineRule="exact"/>
        <w:rPr>
          <w:sz w:val="20"/>
          <w:szCs w:val="20"/>
          <w:color w:val="auto"/>
        </w:rPr>
      </w:pPr>
    </w:p>
    <w:p>
      <w:pPr>
        <w:sectPr>
          <w:pgSz w:w="11900" w:h="16838" w:orient="portrait"/>
          <w:cols w:equalWidth="0" w:num="2">
            <w:col w:w="1360" w:space="720"/>
            <w:col w:w="9300"/>
          </w:cols>
          <w:pgMar w:left="240" w:top="274"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Department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28820 Single Oak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Temecula, CA 92590</w:t>
      </w:r>
    </w:p>
    <w:p>
      <w:pPr>
        <w:spacing w:after="0" w:line="200" w:lineRule="exact"/>
        <w:rPr>
          <w:sz w:val="20"/>
          <w:szCs w:val="20"/>
          <w:color w:val="auto"/>
        </w:rPr>
      </w:pPr>
    </w:p>
    <w:p>
      <w:pPr>
        <w:sectPr>
          <w:pgSz w:w="11900" w:h="16838" w:orient="portrait"/>
          <w:cols w:equalWidth="0" w:num="2">
            <w:col w:w="1360" w:space="720"/>
            <w:col w:w="9300"/>
          </w:cols>
          <w:pgMar w:left="240" w:top="274" w:right="2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If to ANAPTYSBIO: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10835 Road to the Cure, Suite 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540" w:space="540"/>
            <w:col w:w="9300"/>
          </w:cols>
          <w:pgMar w:left="240" w:top="274" w:right="27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10835 Road to the Cure,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Vice President, Corporate Development</w:t>
      </w:r>
    </w:p>
    <w:p>
      <w:pPr>
        <w:spacing w:after="0" w:line="200" w:lineRule="exact"/>
        <w:rPr>
          <w:sz w:val="20"/>
          <w:szCs w:val="20"/>
          <w:color w:val="auto"/>
        </w:rPr>
      </w:pPr>
    </w:p>
    <w:p>
      <w:pPr>
        <w:sectPr>
          <w:pgSz w:w="11900" w:h="16838" w:orient="portrait"/>
          <w:cols w:equalWidth="0" w:num="2">
            <w:col w:w="1360" w:space="720"/>
            <w:col w:w="9300"/>
          </w:cols>
          <w:pgMar w:left="240" w:top="274" w:right="279" w:bottom="1440" w:gutter="0" w:footer="0" w:header="0"/>
          <w:type w:val="continuous"/>
        </w:sectPr>
      </w:pP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13.2. Any PARTY may change its designated address and facsimile number by notice to the other PARTY in the manner provided in this Article 13.</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 DISPUTE RESOLUTION</w:t>
      </w:r>
    </w:p>
    <w:p>
      <w:pPr>
        <w:spacing w:after="0" w:line="22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14.1. In the event any PARTY claims breach of this AGREEMENT, the PARTIES shall consult with each other in good faith on the most effective means to cure the breach and to achieve any necessary restitution of its consequences. This consultation shall be undertaken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type w:val="continuous"/>
        </w:sectPr>
      </w:pPr>
    </w:p>
    <w:bookmarkStart w:id="692" w:name="page693"/>
    <w:bookmarkEnd w:id="69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a period of [*] days following the receipt of a written request to consult, and the consultation period shall not exceed [*] days. During the consultation period, neither litigation nor arbitration may be pursued until attempts at consultative dispute resolution have been exhausted.</w:t>
      </w:r>
    </w:p>
    <w:p>
      <w:pPr>
        <w:spacing w:after="0" w:line="17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14.2. Any dispute between the PARTIES arising out of or related to this AGREEMENT and not resolved by consultation as provided in clause 14.1 shall be finally settled by binding, expedited arbitration in accordance with the applicable rules of the American Arbitration Association regarding commercial or business disputes (“Rules”) then in effect. The arbitration proceeding shall be conducted in Denver, CO, and carried out by a single arbitrator, selected according to such Rules. Each PARTY shall be responsible for any costs or expenses incurred in presenting such PARTY’s case to the arbitrators, such as attorneys’ fees or expert witness fees, and all other fees and expenses of the arbitrator shall initially be paid equally by the PARTIES, provided that the arbitrator shall have the authority, but not the obligation, to require a PARTY to reimburse all or any portion of such costs, expenses and/or fees in the final award. The decision of the arbitrator shall be final and binding on the PARTIES, provided however that the arbitrator shall not have the authority to alter any explicit provision of this AGREEMENT. Judgment upon the arbitrator’s decision may be entered in any court of competent jurisdiction.</w:t>
      </w:r>
    </w:p>
    <w:p>
      <w:pPr>
        <w:spacing w:after="0" w:line="7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14.3. Notwithstanding clauses 14.1 and 14.2 or any other provision of this Agreement to the contrary, either PARTY shall at all times have the right to seek injunctive or other equitable relief from a court of competent jurisdiction in the context of a bona fide emergency or prospective irreparable harm, and such an action may be filed and maintained notwithstanding any consultation or ongoing arbitration proceeding. Further, in the event ANAPTYSBIO or its AFFILIATE thereof files an action seeking a declaration of patent invalidity and/or unenforceability of any MILLIPORE INTELLECTUAL PROPERTY, ANAPTYSBIO shall bear all of MILLIPORE’s fees, costs and expenses associated with litigating such action, including the fees, costs and expenses associated with any appeals.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 MISCELLANEOUS</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62"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Assignment</w:t>
      </w:r>
      <w:r>
        <w:rPr>
          <w:rFonts w:ascii="Arial" w:cs="Arial" w:eastAsia="Arial" w:hAnsi="Arial"/>
          <w:sz w:val="18"/>
          <w:szCs w:val="18"/>
          <w:color w:val="auto"/>
        </w:rPr>
        <w:t>. Neither this AGREEMENT nor any rights or benefits hereunder shall be assignable or transferable by either PARTY without the written consent of the other PARTY; provided, however, that either PARTY shall have the right to assign this AGREEMENT to an AFFILIATE or to any successor-in-interest by way of merger, acquisition, or sale of all or substantially all of its assets related to the performance of this AGREEMENT. Should a merger, acquisition or sale occur, the affected PARTY shall notify the other PARTY. Any purported assignment by a PARTY not in accordance with this clause shall be void.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color w:val="auto"/>
        </w:rPr>
        <w:t>Binding Effect</w:t>
      </w:r>
      <w:r>
        <w:rPr>
          <w:rFonts w:ascii="Arial" w:cs="Arial" w:eastAsia="Arial" w:hAnsi="Arial"/>
          <w:sz w:val="17"/>
          <w:szCs w:val="17"/>
          <w:color w:val="auto"/>
        </w:rPr>
        <w:t>. This AGREEMENT shall be binding upon and inure to the benefit of the successors and permitted assigns of the PARTIES.</w:t>
      </w:r>
    </w:p>
    <w:p>
      <w:pPr>
        <w:spacing w:after="0" w:line="169"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93" w:name="page694"/>
    <w:bookmarkEnd w:id="693"/>
    <w:p>
      <w:pPr>
        <w:ind w:right="3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15.4.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color w:val="auto"/>
        </w:rPr>
        <w:t>Exhibit Incorporation</w:t>
      </w:r>
      <w:r>
        <w:rPr>
          <w:rFonts w:ascii="Arial" w:cs="Arial" w:eastAsia="Arial" w:hAnsi="Arial"/>
          <w:sz w:val="18"/>
          <w:szCs w:val="18"/>
          <w:color w:val="auto"/>
        </w:rPr>
        <w:t>. All Exhibits cited herein are incorporated by reference and made a part of this AGREEMENT.</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b w:val="1"/>
          <w:bCs w:val="1"/>
          <w:color w:val="auto"/>
        </w:rPr>
        <w:t>Headings</w:t>
      </w:r>
      <w:r>
        <w:rPr>
          <w:rFonts w:ascii="Arial" w:cs="Arial" w:eastAsia="Arial" w:hAnsi="Arial"/>
          <w:sz w:val="18"/>
          <w:szCs w:val="18"/>
          <w:color w:val="auto"/>
        </w:rPr>
        <w:t>. The Article, paragraph and clause headings, and paragraph parenthetical cross-references contained herein are for the purposes of convenience of reference only and are not intended to define or limit the contents of said Articles, paragraphs or clauses.</w:t>
      </w:r>
    </w:p>
    <w:p>
      <w:pPr>
        <w:spacing w:after="0" w:line="162"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color w:val="auto"/>
        </w:rPr>
        <w:t>Independent Contractors</w:t>
      </w:r>
      <w:r>
        <w:rPr>
          <w:rFonts w:ascii="Arial" w:cs="Arial" w:eastAsia="Arial" w:hAnsi="Arial"/>
          <w:sz w:val="18"/>
          <w:szCs w:val="18"/>
          <w:color w:val="auto"/>
        </w:rPr>
        <w:t>. Nothing in this AGREEMENT is intended nor is to be construed as to constitute the PARTIES as partners, joint venturers, or principal and agent with respect to this AGREEMENT. No PARTY shall have any express or implied authority to bind the other PARTY to any other agreement, contract, obligation or undertaking with any THIRD PARTY.</w:t>
      </w:r>
    </w:p>
    <w:p>
      <w:pPr>
        <w:spacing w:after="0" w:line="17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color w:val="auto"/>
        </w:rPr>
        <w:t>Interpretation</w:t>
      </w:r>
      <w:r>
        <w:rPr>
          <w:rFonts w:ascii="Arial" w:cs="Arial" w:eastAsia="Arial" w:hAnsi="Arial"/>
          <w:sz w:val="18"/>
          <w:szCs w:val="18"/>
          <w:color w:val="auto"/>
        </w:rPr>
        <w:t>. Whenever required by the context, the singular term shall include the plural, the plural term shall include the singular, and the gender of any pronoun shall include all genders. Whenever the last day for the exercise of any privilege or the discharge of any duty hereunder shall fall on a Saturday, Sunday, or national or local holiday, the PARTY having such privilege or duty shall have until 5:00 pm on the next succeeding business day to exercise such privilege or to discharge such duty. It is further agreed that no usage of trade or other regular practice between the PARTIES hereto shall be used to interpret or alter the terms of this AGREEMENT. Since the PARTIES have participated jointly in the negotiation and drafting of this AGREEMENT, in the event an ambiguity or question of interpretation arises, no presumption or burden of proof shall arise favoring or disfavoring any PARTY by virtue of authorship of any provision of this AGREEMENT.</w:t>
      </w:r>
    </w:p>
    <w:p>
      <w:pPr>
        <w:spacing w:after="0" w:line="189"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b w:val="1"/>
          <w:bCs w:val="1"/>
          <w:color w:val="auto"/>
        </w:rPr>
        <w:t>Prior Agreements</w:t>
      </w:r>
      <w:r>
        <w:rPr>
          <w:rFonts w:ascii="Arial" w:cs="Arial" w:eastAsia="Arial" w:hAnsi="Arial"/>
          <w:sz w:val="18"/>
          <w:szCs w:val="18"/>
          <w:color w:val="auto"/>
        </w:rPr>
        <w:t>. This AGREEMENT together with the Exhibits hereto, sets forth the entire understanding between the PARTIES with respect to the mattes dealt with herein and supersedes any and all prior agreements, written or oral, previously entered into by the PARTIES covering the matters dealt with herein.</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AGREEMENET is in violation of any law or is found to be otherwise unenforceable by a court or competent administrative body from which there is no appeal, or no appeal is taken, such provision shall be deleted and the PARTIES shall negotiate in good faith to substitute for any such invalid or unenforceable provision, a valid and enforceable provision that achieves to the greatest extent possible the economic, legal and commercial objectives of the invalid or unenforceable provision, a valid and enforceable provision that achieves to the greatest extent possible the economic, legal and commercial objectives of the invalid or unenforceable provision.</w:t>
      </w:r>
    </w:p>
    <w:p>
      <w:pPr>
        <w:spacing w:after="0" w:line="184" w:lineRule="exact"/>
        <w:rPr>
          <w:sz w:val="20"/>
          <w:szCs w:val="20"/>
          <w:color w:val="auto"/>
        </w:rPr>
      </w:pPr>
    </w:p>
    <w:p>
      <w:pPr>
        <w:ind w:right="240" w:firstLine="456"/>
        <w:spacing w:after="0" w:line="313" w:lineRule="auto"/>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b w:val="1"/>
          <w:bCs w:val="1"/>
          <w:color w:val="auto"/>
        </w:rPr>
        <w:t>Waiver</w:t>
      </w:r>
      <w:r>
        <w:rPr>
          <w:rFonts w:ascii="Arial" w:cs="Arial" w:eastAsia="Arial" w:hAnsi="Arial"/>
          <w:sz w:val="17"/>
          <w:szCs w:val="17"/>
          <w:color w:val="auto"/>
        </w:rPr>
        <w:t>. No delay on the part of any PARTY hereto in exercising any power or right hereunder shall operate as a waiver thereof, nor shall nay single or partial exercise of any power or right hereunder operate as a waiver thereof, nor shall any single or partial exercise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1" w:right="239" w:bottom="1440" w:gutter="0" w:footer="0" w:header="0"/>
        </w:sectPr>
      </w:pPr>
    </w:p>
    <w:bookmarkStart w:id="694" w:name="page695"/>
    <w:bookmarkEnd w:id="6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power or right hereunder preclude other or further exercise thereof or the exercise of any other power or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hereof, a facsimile of a signed copy shall have the same force and effect as an original signed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MILLIPORE CORPORATION</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ANAPTYSBIO, INC.</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Andrew Bulpin</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By:  /s/ Tom Smart</w:t>
            </w:r>
          </w:p>
        </w:tc>
      </w:tr>
      <w:tr>
        <w:trPr>
          <w:trHeight w:val="20"/>
        </w:trPr>
        <w:tc>
          <w:tcPr>
            <w:tcW w:w="2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Name/Title: A Bulpin VP</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Name/Title: Tom Smart, CEO</w:t>
            </w:r>
          </w:p>
        </w:tc>
      </w:tr>
      <w:tr>
        <w:trPr>
          <w:trHeight w:val="404"/>
        </w:trPr>
        <w:tc>
          <w:tcPr>
            <w:tcW w:w="5400" w:type="dxa"/>
            <w:vAlign w:val="bottom"/>
            <w:gridSpan w:val="2"/>
          </w:tcPr>
          <w:p>
            <w:pPr>
              <w:spacing w:after="0"/>
              <w:rPr>
                <w:sz w:val="20"/>
                <w:szCs w:val="20"/>
                <w:color w:val="auto"/>
              </w:rPr>
            </w:pPr>
            <w:r>
              <w:rPr>
                <w:rFonts w:ascii="Arial" w:cs="Arial" w:eastAsia="Arial" w:hAnsi="Arial"/>
                <w:sz w:val="18"/>
                <w:szCs w:val="18"/>
                <w:color w:val="auto"/>
              </w:rPr>
              <w:t>Date: 18 May 2009</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Date: May 14, 2009</w:t>
            </w:r>
          </w:p>
        </w:tc>
      </w:tr>
      <w:tr>
        <w:trPr>
          <w:trHeight w:val="365"/>
        </w:trPr>
        <w:tc>
          <w:tcPr>
            <w:tcW w:w="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17</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695" w:name="page696"/>
    <w:bookmarkEnd w:id="6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1" w:right="239" w:bottom="1440" w:gutter="0" w:footer="0" w:header="0"/>
        </w:sectPr>
      </w:pPr>
    </w:p>
    <w:bookmarkStart w:id="696" w:name="page697"/>
    <w:bookmarkEnd w:id="6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1" w:right="239" w:bottom="1440" w:gutter="0" w:footer="0" w:header="0"/>
        </w:sectPr>
      </w:pPr>
    </w:p>
    <w:bookmarkStart w:id="697" w:name="page698"/>
    <w:bookmarkEnd w:id="697"/>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from time to time be amended, modified, supplemented or restated, this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December 24, 2014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 liability company with an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the Lenders listed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hereof or otherwise a party hereto from time to time including Oxford in its capacity as a Lender and SILICON VALLEY BANK, a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with an office located at 3003 Tasman Drive, Santa Clara, CA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ANAPTYSBIO, INC., a Delaware corporation with offices located at 10421 Pacific Center Court, Suite 200, San Diego, CA 92121 (individually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355" w:lineRule="exact"/>
        <w:rPr>
          <w:sz w:val="20"/>
          <w:szCs w:val="20"/>
          <w:color w:val="auto"/>
        </w:rPr>
      </w:pPr>
    </w:p>
    <w:p>
      <w:pPr>
        <w:ind w:left="460" w:hanging="452"/>
        <w:spacing w:after="0"/>
        <w:tabs>
          <w:tab w:leader="none" w:pos="460"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1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 are United States Dollars, unless otherwise noted.</w:t>
      </w:r>
    </w:p>
    <w:p>
      <w:pPr>
        <w:spacing w:after="0" w:line="329" w:lineRule="exact"/>
        <w:rPr>
          <w:sz w:val="20"/>
          <w:szCs w:val="20"/>
          <w:color w:val="auto"/>
        </w:rPr>
      </w:pPr>
    </w:p>
    <w:p>
      <w:pPr>
        <w:ind w:left="460" w:hanging="452"/>
        <w:spacing w:after="0"/>
        <w:tabs>
          <w:tab w:leader="none" w:pos="460" w:val="left"/>
        </w:tabs>
        <w:numPr>
          <w:ilvl w:val="0"/>
          <w:numId w:val="6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b w:val="1"/>
          <w:bCs w:val="1"/>
          <w:color w:val="auto"/>
        </w:rPr>
        <w:t>2.1. Promise to Pay</w:t>
      </w:r>
      <w:r>
        <w:rPr>
          <w:rFonts w:ascii="Arial" w:cs="Arial" w:eastAsia="Arial" w:hAnsi="Arial"/>
          <w:sz w:val="16"/>
          <w:szCs w:val="16"/>
          <w:color w:val="auto"/>
        </w:rPr>
        <w:t>. Borrower hereby unconditionally promises to pay each Lender, the outstanding principal amount of all Term Loans advanced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by such Lender and accrued and unpaid interest thereon and any other amounts due hereunder as and when due in accordance with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229" w:lineRule="exact"/>
        <w:rPr>
          <w:sz w:val="20"/>
          <w:szCs w:val="20"/>
          <w:color w:val="auto"/>
        </w:rPr>
      </w:pPr>
    </w:p>
    <w:p>
      <w:pPr>
        <w:ind w:right="60" w:firstLine="921"/>
        <w:spacing w:after="0" w:line="259" w:lineRule="auto"/>
        <w:tabs>
          <w:tab w:leader="none" w:pos="1157"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(i) Subject to the terms and conditions of this Agreement, the Lenders agree, severally and not jointly, to make term loans to Borrower in a single advance on the Effective Date in an aggregate amount of Five Million Dollars ($5,000,000.00)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ind w:firstLine="1492"/>
        <w:spacing w:after="0" w:line="259" w:lineRule="auto"/>
        <w:tabs>
          <w:tab w:leader="none" w:pos="1748" w:val="left"/>
        </w:tabs>
        <w:numPr>
          <w:ilvl w:val="1"/>
          <w:numId w:val="63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Second Draw Period, to make term loans to Borrower in a single advance in an aggregate amount of Five Million Dollars ($5,000,000.00)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B Loan may be re-borrowed.</w:t>
      </w:r>
    </w:p>
    <w:p>
      <w:pPr>
        <w:spacing w:after="0" w:line="186" w:lineRule="exact"/>
        <w:rPr>
          <w:rFonts w:ascii="Arial" w:cs="Arial" w:eastAsia="Arial" w:hAnsi="Arial"/>
          <w:sz w:val="18"/>
          <w:szCs w:val="18"/>
          <w:color w:val="auto"/>
        </w:rPr>
      </w:pPr>
    </w:p>
    <w:p>
      <w:pPr>
        <w:ind w:right="80" w:firstLine="1492"/>
        <w:spacing w:after="0" w:line="297" w:lineRule="auto"/>
        <w:tabs>
          <w:tab w:leader="none" w:pos="1798" w:val="left"/>
        </w:tabs>
        <w:numPr>
          <w:ilvl w:val="1"/>
          <w:numId w:val="63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the Lenders agree, severally and not jointly, during the Third Draw Period, to make term loans to Borrower in a single advance in an aggregate amount of Five Million Dollars ($5,000,000.00) according to each Lender’s Term C Loan Commitment as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(such term loans are hereinafter referred to singly as a “</w:t>
      </w:r>
      <w:r>
        <w:rPr>
          <w:rFonts w:ascii="Arial" w:cs="Arial" w:eastAsia="Arial" w:hAnsi="Arial"/>
          <w:sz w:val="16"/>
          <w:szCs w:val="16"/>
          <w:b w:val="1"/>
          <w:bCs w:val="1"/>
          <w:color w:val="auto"/>
        </w:rPr>
        <w:t>Term C 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C</w:t>
      </w:r>
      <w:r>
        <w:rPr>
          <w:rFonts w:ascii="Arial" w:cs="Arial" w:eastAsia="Arial" w:hAnsi="Arial"/>
          <w:sz w:val="16"/>
          <w:szCs w:val="16"/>
          <w:color w:val="auto"/>
        </w:rPr>
        <w:t xml:space="preserve"> </w:t>
      </w:r>
      <w:r>
        <w:rPr>
          <w:rFonts w:ascii="Arial" w:cs="Arial" w:eastAsia="Arial" w:hAnsi="Arial"/>
          <w:sz w:val="16"/>
          <w:szCs w:val="16"/>
          <w:b w:val="1"/>
          <w:bCs w:val="1"/>
          <w:color w:val="auto"/>
        </w:rPr>
        <w:t>Loans</w:t>
      </w:r>
      <w:r>
        <w:rPr>
          <w:rFonts w:ascii="Arial" w:cs="Arial" w:eastAsia="Arial" w:hAnsi="Arial"/>
          <w:sz w:val="16"/>
          <w:szCs w:val="16"/>
          <w:color w:val="auto"/>
        </w:rPr>
        <w:t>”; each Term A Loan, Term B Loan or Term C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C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After repayment, no Term C Loan may be re-borrowed.</w:t>
      </w:r>
    </w:p>
    <w:p>
      <w:pPr>
        <w:spacing w:after="0" w:line="158" w:lineRule="exact"/>
        <w:rPr>
          <w:rFonts w:ascii="Arial" w:cs="Arial" w:eastAsia="Arial" w:hAnsi="Arial"/>
          <w:sz w:val="16"/>
          <w:szCs w:val="16"/>
          <w:color w:val="auto"/>
        </w:rPr>
      </w:pPr>
    </w:p>
    <w:p>
      <w:pPr>
        <w:jc w:val="both"/>
        <w:ind w:right="60" w:firstLine="921"/>
        <w:spacing w:after="0" w:line="279" w:lineRule="auto"/>
        <w:tabs>
          <w:tab w:leader="none" w:pos="1168" w:val="left"/>
        </w:tabs>
        <w:numPr>
          <w:ilvl w:val="0"/>
          <w:numId w:val="637"/>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first (1</w:t>
      </w:r>
      <w:r>
        <w:rPr>
          <w:rFonts w:ascii="Arial" w:cs="Arial" w:eastAsia="Arial" w:hAnsi="Arial"/>
          <w:sz w:val="14"/>
          <w:szCs w:val="14"/>
          <w:color w:val="auto"/>
        </w:rPr>
        <w:t>st</w:t>
      </w:r>
      <w:r>
        <w:rPr>
          <w:rFonts w:ascii="Arial" w:cs="Arial" w:eastAsia="Arial" w:hAnsi="Arial"/>
          <w:sz w:val="17"/>
          <w:szCs w:val="17"/>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98" w:name="page699"/>
    <w:bookmarkEnd w:id="69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(X) if the Amortization Date is February 1, 2016, thirty six (36) months, (Y) if the Amortization Date is August 1, 2016, thirty (30) months, and</w:t>
      </w:r>
    </w:p>
    <w:p>
      <w:pPr>
        <w:spacing w:after="0" w:line="2" w:lineRule="exact"/>
        <w:rPr>
          <w:sz w:val="20"/>
          <w:szCs w:val="20"/>
          <w:color w:val="auto"/>
        </w:rPr>
      </w:pPr>
    </w:p>
    <w:p>
      <w:pPr>
        <w:ind w:right="280" w:firstLine="8"/>
        <w:spacing w:after="0" w:line="290" w:lineRule="auto"/>
        <w:tabs>
          <w:tab w:leader="none" w:pos="275" w:val="left"/>
        </w:tabs>
        <w:numPr>
          <w:ilvl w:val="0"/>
          <w:numId w:val="638"/>
        </w:numPr>
        <w:rPr>
          <w:rFonts w:ascii="Arial" w:cs="Arial" w:eastAsia="Arial" w:hAnsi="Arial"/>
          <w:sz w:val="17"/>
          <w:szCs w:val="17"/>
          <w:color w:val="auto"/>
        </w:rPr>
      </w:pPr>
      <w:r>
        <w:rPr>
          <w:rFonts w:ascii="Arial" w:cs="Arial" w:eastAsia="Arial" w:hAnsi="Arial"/>
          <w:sz w:val="17"/>
          <w:szCs w:val="17"/>
          <w:color w:val="auto"/>
        </w:rPr>
        <w:t>if the Amortization Date is February 1, 2017, twenty four (24) months. All unpaid principal and accrued and unpaid interest with respect to each Term Loan is due and payable in full on the Maturity Date. Each Term Loan may only be prepaid in accordance with Sections 2.2(c) and 2.2(d).</w:t>
      </w:r>
    </w:p>
    <w:p>
      <w:pPr>
        <w:spacing w:after="0" w:line="161" w:lineRule="exact"/>
        <w:rPr>
          <w:rFonts w:ascii="Arial" w:cs="Arial" w:eastAsia="Arial" w:hAnsi="Arial"/>
          <w:sz w:val="17"/>
          <w:szCs w:val="17"/>
          <w:color w:val="auto"/>
        </w:rPr>
      </w:pPr>
    </w:p>
    <w:p>
      <w:pPr>
        <w:ind w:right="40" w:firstLine="921"/>
        <w:spacing w:after="0" w:line="255" w:lineRule="auto"/>
        <w:tabs>
          <w:tab w:leader="none" w:pos="1157" w:val="left"/>
        </w:tabs>
        <w:numPr>
          <w:ilvl w:val="1"/>
          <w:numId w:val="638"/>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9" w:lineRule="exact"/>
        <w:rPr>
          <w:rFonts w:ascii="Arial" w:cs="Arial" w:eastAsia="Arial" w:hAnsi="Arial"/>
          <w:sz w:val="18"/>
          <w:szCs w:val="18"/>
          <w:color w:val="auto"/>
        </w:rPr>
      </w:pPr>
    </w:p>
    <w:p>
      <w:pPr>
        <w:ind w:right="120" w:firstLine="921"/>
        <w:spacing w:after="0" w:line="291" w:lineRule="auto"/>
        <w:tabs>
          <w:tab w:leader="none" w:pos="1168" w:val="left"/>
        </w:tabs>
        <w:numPr>
          <w:ilvl w:val="1"/>
          <w:numId w:val="638"/>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Loans</w:t>
      </w:r>
      <w:r>
        <w:rPr>
          <w:rFonts w:ascii="Arial" w:cs="Arial" w:eastAsia="Arial" w:hAnsi="Arial"/>
          <w:sz w:val="16"/>
          <w:szCs w:val="16"/>
          <w:color w:val="auto"/>
        </w:rPr>
        <w:t>. Borrower shall have the option to prepay all, but not less than all, of the Term Loans advanced by the Lenders under this Agreement, provided Borrower (i) provides written notice to Collateral Agent of its election to prepay the Term Loans at least thirty</w:t>
      </w: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Payment of Interest on the Credit Extensions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57" w:lineRule="auto"/>
        <w:tabs>
          <w:tab w:leader="none" w:pos="1157" w:val="left"/>
        </w:tabs>
        <w:numPr>
          <w:ilvl w:val="1"/>
          <w:numId w:val="639"/>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the Term Loans shall accrue interest at a fixed per annum rate (which rate shall be fixed for the duration of the applicable Term Loan)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8" w:lineRule="exact"/>
        <w:rPr>
          <w:rFonts w:ascii="Arial" w:cs="Arial" w:eastAsia="Arial" w:hAnsi="Arial"/>
          <w:sz w:val="18"/>
          <w:szCs w:val="18"/>
          <w:color w:val="auto"/>
        </w:rPr>
      </w:pPr>
    </w:p>
    <w:p>
      <w:pPr>
        <w:ind w:firstLine="921"/>
        <w:spacing w:after="0" w:line="259" w:lineRule="auto"/>
        <w:tabs>
          <w:tab w:leader="none" w:pos="1168" w:val="left"/>
        </w:tabs>
        <w:numPr>
          <w:ilvl w:val="1"/>
          <w:numId w:val="639"/>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1"/>
          <w:numId w:val="639"/>
        </w:numPr>
        <w:rPr>
          <w:rFonts w:ascii="Arial" w:cs="Arial" w:eastAsia="Arial" w:hAnsi="Arial"/>
          <w:sz w:val="17"/>
          <w:szCs w:val="17"/>
          <w:color w:val="auto"/>
        </w:rPr>
      </w:pPr>
      <w:r>
        <w:rPr>
          <w:rFonts w:ascii="Arial" w:cs="Arial" w:eastAsia="Arial" w:hAnsi="Arial"/>
          <w:sz w:val="17"/>
          <w:szCs w:val="17"/>
          <w:u w:val="single" w:color="auto"/>
          <w:color w:val="auto"/>
        </w:rPr>
        <w:t>360-Day Year</w:t>
      </w:r>
      <w:r>
        <w:rPr>
          <w:rFonts w:ascii="Arial" w:cs="Arial" w:eastAsia="Arial" w:hAnsi="Arial"/>
          <w:sz w:val="17"/>
          <w:szCs w:val="17"/>
          <w:color w:val="auto"/>
        </w:rPr>
        <w:t>. Interest shall be computed on the basis of a three hundred sixty (360) day year consisting of twelve (12) months of thirty</w:t>
      </w:r>
    </w:p>
    <w:p>
      <w:pPr>
        <w:spacing w:after="0" w:line="34" w:lineRule="exact"/>
        <w:rPr>
          <w:rFonts w:ascii="Arial" w:cs="Arial" w:eastAsia="Arial" w:hAnsi="Arial"/>
          <w:sz w:val="17"/>
          <w:szCs w:val="17"/>
          <w:color w:val="auto"/>
        </w:rPr>
      </w:pPr>
    </w:p>
    <w:p>
      <w:pPr>
        <w:ind w:left="360" w:hanging="352"/>
        <w:spacing w:after="0"/>
        <w:tabs>
          <w:tab w:leader="none" w:pos="36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days.</w:t>
      </w:r>
    </w:p>
    <w:p>
      <w:pPr>
        <w:spacing w:after="0" w:line="210" w:lineRule="exact"/>
        <w:rPr>
          <w:rFonts w:ascii="Arial" w:cs="Arial" w:eastAsia="Arial" w:hAnsi="Arial"/>
          <w:sz w:val="18"/>
          <w:szCs w:val="18"/>
          <w:color w:val="auto"/>
        </w:rPr>
      </w:pPr>
    </w:p>
    <w:p>
      <w:pPr>
        <w:ind w:firstLine="921"/>
        <w:spacing w:after="0" w:line="264" w:lineRule="auto"/>
        <w:tabs>
          <w:tab w:leader="none" w:pos="1168" w:val="left"/>
        </w:tabs>
        <w:numPr>
          <w:ilvl w:val="1"/>
          <w:numId w:val="640"/>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ind w:right="260" w:firstLine="921"/>
        <w:spacing w:after="0" w:line="286" w:lineRule="auto"/>
        <w:tabs>
          <w:tab w:leader="none" w:pos="1157" w:val="left"/>
        </w:tabs>
        <w:numPr>
          <w:ilvl w:val="1"/>
          <w:numId w:val="640"/>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5" w:right="279" w:bottom="1440" w:gutter="0" w:footer="0" w:header="0"/>
        </w:sectPr>
      </w:pPr>
    </w:p>
    <w:bookmarkStart w:id="699" w:name="page700"/>
    <w:bookmarkEnd w:id="699"/>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2.4. Secured Promissory Notes</w:t>
      </w:r>
      <w:r>
        <w:rPr>
          <w:rFonts w:ascii="Arial" w:cs="Arial" w:eastAsia="Arial" w:hAnsi="Arial"/>
          <w:sz w:val="17"/>
          <w:szCs w:val="17"/>
          <w:color w:val="auto"/>
        </w:rPr>
        <w:t>. The Term Loans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r>
        <w:rPr>
          <w:rFonts w:ascii="Arial" w:cs="Arial" w:eastAsia="Arial" w:hAnsi="Arial"/>
          <w:sz w:val="17"/>
          <w:szCs w:val="17"/>
          <w:b w:val="1"/>
          <w:bCs w:val="1"/>
          <w:color w:val="auto"/>
        </w:rPr>
        <w:t xml:space="preserve"> </w:t>
      </w:r>
      <w:r>
        <w:rPr>
          <w:rFonts w:ascii="Arial" w:cs="Arial" w:eastAsia="Arial" w:hAnsi="Arial"/>
          <w:sz w:val="17"/>
          <w:szCs w:val="17"/>
          <w:color w:val="auto"/>
        </w:rPr>
        <w:t>(each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Fees. </w:t>
      </w:r>
      <w:r>
        <w:rPr>
          <w:rFonts w:ascii="Arial" w:cs="Arial" w:eastAsia="Arial" w:hAnsi="Arial"/>
          <w:sz w:val="18"/>
          <w:szCs w:val="18"/>
          <w:color w:val="auto"/>
        </w:rPr>
        <w:t>Borrower shall pay to Collateral Agent:</w:t>
      </w:r>
    </w:p>
    <w:p>
      <w:pPr>
        <w:spacing w:after="0" w:line="229" w:lineRule="exact"/>
        <w:rPr>
          <w:sz w:val="20"/>
          <w:szCs w:val="20"/>
          <w:color w:val="auto"/>
        </w:rPr>
      </w:pPr>
    </w:p>
    <w:p>
      <w:pPr>
        <w:ind w:firstLine="921"/>
        <w:spacing w:after="0" w:line="276" w:lineRule="auto"/>
        <w:tabs>
          <w:tab w:leader="none" w:pos="1157" w:val="left"/>
        </w:tabs>
        <w:numPr>
          <w:ilvl w:val="0"/>
          <w:numId w:val="641"/>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A fully earned, non-refundable facility fee of up to One Hundred Fifty Thousand Dollars ($150,000.00) to be shared between the Lenders pursuant to their respective Commitment Percentages payable as follows: (i) Fifty Thousand Dollars ($50,000.00) of the facility fee shall be due and payable on the Effective Date, the receipt of which Collateral Agent and Lenders hereby acknowledge, (ii) Fifty Thousand Dollars ($50,000.00) of the facility fee shall be due and payable on and conditioned upon the Funding Date of the Term B Loan, and (iii) Fifty Thousand Dollars ($50,000.00) of the facility fee shall be due and payable on and conditioned upon the Funding Date of the Term C Loan.</w:t>
      </w:r>
    </w:p>
    <w:p>
      <w:pPr>
        <w:spacing w:after="0" w:line="172" w:lineRule="exact"/>
        <w:rPr>
          <w:rFonts w:ascii="Arial" w:cs="Arial" w:eastAsia="Arial" w:hAnsi="Arial"/>
          <w:sz w:val="17"/>
          <w:szCs w:val="17"/>
          <w:color w:val="auto"/>
        </w:rPr>
      </w:pPr>
    </w:p>
    <w:p>
      <w:pPr>
        <w:ind w:left="1180" w:hanging="259"/>
        <w:spacing w:after="0"/>
        <w:tabs>
          <w:tab w:leader="none" w:pos="1180" w:val="left"/>
        </w:tabs>
        <w:numPr>
          <w:ilvl w:val="0"/>
          <w:numId w:val="641"/>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The Final Payment,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0"/>
          <w:numId w:val="641"/>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and</w:t>
      </w:r>
    </w:p>
    <w:p>
      <w:pPr>
        <w:spacing w:after="0" w:line="210" w:lineRule="exact"/>
        <w:rPr>
          <w:rFonts w:ascii="Arial" w:cs="Arial" w:eastAsia="Arial" w:hAnsi="Arial"/>
          <w:sz w:val="16"/>
          <w:szCs w:val="16"/>
          <w:color w:val="auto"/>
        </w:rPr>
      </w:pPr>
    </w:p>
    <w:p>
      <w:pPr>
        <w:ind w:right="80" w:firstLine="921"/>
        <w:spacing w:after="0" w:line="277" w:lineRule="auto"/>
        <w:tabs>
          <w:tab w:leader="none" w:pos="1168" w:val="left"/>
        </w:tabs>
        <w:numPr>
          <w:ilvl w:val="0"/>
          <w:numId w:val="641"/>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reasonable Lenders’ Expenses (including reasonable attorneys’ fees and expenses for documentation and negotiation of this Agreement) incurred from November 5, 2014 through and after the Effective Date, promptly when due.</w:t>
      </w:r>
    </w:p>
    <w:p>
      <w:pPr>
        <w:spacing w:after="0" w:line="16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2.6. Withholding</w:t>
      </w:r>
      <w:r>
        <w:rPr>
          <w:rFonts w:ascii="Arial" w:cs="Arial" w:eastAsia="Arial" w:hAnsi="Arial"/>
          <w:sz w:val="16"/>
          <w:szCs w:val="16"/>
          <w:color w:val="auto"/>
        </w:rPr>
        <w:t>. Payments received by the Lenders from Borrower hereunder will be made free and clear of and without deduction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00" w:name="page701"/>
    <w:bookmarkEnd w:id="700"/>
    <w:p>
      <w:pPr>
        <w:ind w:left="460" w:hanging="452"/>
        <w:spacing w:after="0"/>
        <w:tabs>
          <w:tab w:leader="none" w:pos="460" w:val="left"/>
        </w:tabs>
        <w:numPr>
          <w:ilvl w:val="0"/>
          <w:numId w:val="6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LOANS</w:t>
      </w:r>
    </w:p>
    <w:p>
      <w:pPr>
        <w:spacing w:after="0" w:line="117"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a Term A Loan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160" w:hanging="239"/>
        <w:spacing w:after="0"/>
        <w:tabs>
          <w:tab w:leader="none" w:pos="116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43"/>
        </w:numPr>
        <w:rPr>
          <w:rFonts w:ascii="Arial" w:cs="Arial" w:eastAsia="Arial" w:hAnsi="Arial"/>
          <w:sz w:val="17"/>
          <w:szCs w:val="17"/>
          <w:color w:val="auto"/>
        </w:rPr>
      </w:pPr>
      <w:r>
        <w:rPr>
          <w:rFonts w:ascii="Arial" w:cs="Arial" w:eastAsia="Arial" w:hAnsi="Arial"/>
          <w:sz w:val="17"/>
          <w:szCs w:val="17"/>
          <w:color w:val="auto"/>
        </w:rPr>
        <w:t>duly executed original Control Agreements with respect to any Collateral Accounts maintained by Borrower or any of its Subsidiaries;</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0"/>
          <w:numId w:val="643"/>
        </w:numPr>
        <w:rPr>
          <w:rFonts w:ascii="Arial" w:cs="Arial" w:eastAsia="Arial" w:hAnsi="Arial"/>
          <w:sz w:val="17"/>
          <w:szCs w:val="17"/>
          <w:color w:val="auto"/>
        </w:rPr>
      </w:pPr>
      <w:r>
        <w:rPr>
          <w:rFonts w:ascii="Arial" w:cs="Arial" w:eastAsia="Arial" w:hAnsi="Arial"/>
          <w:sz w:val="17"/>
          <w:szCs w:val="17"/>
          <w:color w:val="auto"/>
        </w:rPr>
        <w:t>duly executed original Secured Promissory Notes in favor of each Lender according to its Term A Loan Commitment Percentage;</w:t>
      </w:r>
    </w:p>
    <w:p>
      <w:pPr>
        <w:spacing w:after="0" w:line="236" w:lineRule="exact"/>
        <w:rPr>
          <w:rFonts w:ascii="Arial" w:cs="Arial" w:eastAsia="Arial" w:hAnsi="Arial"/>
          <w:sz w:val="17"/>
          <w:szCs w:val="17"/>
          <w:color w:val="auto"/>
        </w:rPr>
      </w:pPr>
    </w:p>
    <w:p>
      <w:pPr>
        <w:ind w:right="280" w:firstLine="921"/>
        <w:spacing w:after="0" w:line="264" w:lineRule="auto"/>
        <w:tabs>
          <w:tab w:leader="none" w:pos="116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70" w:lineRule="exact"/>
        <w:rPr>
          <w:rFonts w:ascii="Arial" w:cs="Arial" w:eastAsia="Arial" w:hAnsi="Arial"/>
          <w:sz w:val="18"/>
          <w:szCs w:val="18"/>
          <w:color w:val="auto"/>
        </w:rPr>
      </w:pPr>
    </w:p>
    <w:p>
      <w:pPr>
        <w:ind w:right="120" w:firstLine="921"/>
        <w:spacing w:after="0" w:line="286" w:lineRule="auto"/>
        <w:tabs>
          <w:tab w:leader="none" w:pos="1168" w:val="left"/>
        </w:tabs>
        <w:numPr>
          <w:ilvl w:val="0"/>
          <w:numId w:val="643"/>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rFonts w:ascii="Arial" w:cs="Arial" w:eastAsia="Arial" w:hAnsi="Arial"/>
          <w:sz w:val="17"/>
          <w:szCs w:val="17"/>
          <w:color w:val="auto"/>
        </w:rPr>
      </w:pPr>
    </w:p>
    <w:p>
      <w:pPr>
        <w:ind w:left="1140" w:hanging="219"/>
        <w:spacing w:after="0"/>
        <w:tabs>
          <w:tab w:leader="none" w:pos="114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 landlord’s consent executed in favor of Collateral Agent in respect of all of Borrower’s and each Subsidiaries’ leased locations;</w:t>
      </w:r>
    </w:p>
    <w:p>
      <w:pPr>
        <w:spacing w:after="0" w:line="225" w:lineRule="exact"/>
        <w:rPr>
          <w:rFonts w:ascii="Arial" w:cs="Arial" w:eastAsia="Arial" w:hAnsi="Arial"/>
          <w:sz w:val="18"/>
          <w:szCs w:val="18"/>
          <w:color w:val="auto"/>
        </w:rPr>
      </w:pPr>
    </w:p>
    <w:p>
      <w:pPr>
        <w:ind w:right="560" w:firstLine="921"/>
        <w:spacing w:after="0" w:line="277" w:lineRule="auto"/>
        <w:tabs>
          <w:tab w:leader="none" w:pos="112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Subsidiary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ind w:firstLine="921"/>
        <w:spacing w:after="0" w:line="264" w:lineRule="auto"/>
        <w:tabs>
          <w:tab w:leader="none" w:pos="112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 and</w:t>
      </w:r>
    </w:p>
    <w:p>
      <w:pPr>
        <w:spacing w:after="0" w:line="181" w:lineRule="exact"/>
        <w:rPr>
          <w:rFonts w:ascii="Arial" w:cs="Arial" w:eastAsia="Arial" w:hAnsi="Arial"/>
          <w:sz w:val="18"/>
          <w:szCs w:val="18"/>
          <w:color w:val="auto"/>
        </w:rPr>
      </w:pPr>
    </w:p>
    <w:p>
      <w:pPr>
        <w:ind w:right="300" w:firstLine="921"/>
        <w:spacing w:after="0" w:line="277" w:lineRule="auto"/>
        <w:tabs>
          <w:tab w:leader="none" w:pos="121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 copy of the Third Amended and Restated Rights Agreement by and among the Company and the investors party thereto, dated July 15, 2013 (as such agreement may be amended and restated through the Effective Date).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701" w:name="page702"/>
    <w:bookmarkEnd w:id="701"/>
    <w:p>
      <w:pPr>
        <w:ind w:right="5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Conditions Precedent to all Credit Extensions</w:t>
      </w:r>
      <w:r>
        <w:rPr>
          <w:rFonts w:ascii="Arial" w:cs="Arial" w:eastAsia="Arial" w:hAnsi="Arial"/>
          <w:sz w:val="18"/>
          <w:szCs w:val="18"/>
          <w:color w:val="auto"/>
        </w:rPr>
        <w:t>. 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right="180" w:firstLine="921"/>
        <w:spacing w:after="0" w:line="277" w:lineRule="auto"/>
        <w:tabs>
          <w:tab w:leader="none" w:pos="115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 xml:space="preserve">receipt by (i) the Lenders of an executed Disbursement Letter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SVB of an executed Loan Payment/Advance Request Form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40" w:firstLine="921"/>
        <w:spacing w:after="0" w:line="270" w:lineRule="auto"/>
        <w:tabs>
          <w:tab w:leader="none" w:pos="1168" w:val="left"/>
        </w:tabs>
        <w:numPr>
          <w:ilvl w:val="0"/>
          <w:numId w:val="644"/>
        </w:numPr>
        <w:rPr>
          <w:rFonts w:ascii="Arial" w:cs="Arial" w:eastAsia="Arial" w:hAnsi="Arial"/>
          <w:sz w:val="17"/>
          <w:szCs w:val="17"/>
          <w:color w:val="auto"/>
        </w:rPr>
      </w:pPr>
      <w:r>
        <w:rPr>
          <w:rFonts w:ascii="Arial" w:cs="Arial" w:eastAsia="Arial" w:hAnsi="Arial"/>
          <w:sz w:val="17"/>
          <w:szCs w:val="17"/>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1" w:lineRule="exact"/>
        <w:rPr>
          <w:rFonts w:ascii="Arial" w:cs="Arial" w:eastAsia="Arial" w:hAnsi="Arial"/>
          <w:sz w:val="17"/>
          <w:szCs w:val="17"/>
          <w:color w:val="auto"/>
        </w:rPr>
      </w:pPr>
    </w:p>
    <w:p>
      <w:pPr>
        <w:ind w:left="1160" w:hanging="239"/>
        <w:spacing w:after="0"/>
        <w:tabs>
          <w:tab w:leader="none" w:pos="116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in such Lender’s sole but reasonable discretion, there has not been any Material Adverse Change;</w:t>
      </w:r>
    </w:p>
    <w:p>
      <w:pPr>
        <w:spacing w:after="0" w:line="225"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 xml:space="preserve">(i) to the extent not delivered at the Effective Date, duly executed original Secured Promissory Notes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 favor of each Lender according to its Commitment Percentage, with respect to each Credit Extension made by such Lender after the Effective Date and (ii) a Warrant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in favor of each Lender; and</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Collateral Agent and the Lenders each item required to be delivered to Collateral Agent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3.4. Procedures for Borrowing</w:t>
      </w:r>
      <w:r>
        <w:rPr>
          <w:rFonts w:ascii="Arial" w:cs="Arial" w:eastAsia="Arial" w:hAnsi="Arial"/>
          <w:sz w:val="17"/>
          <w:szCs w:val="17"/>
          <w:color w:val="auto"/>
        </w:rPr>
        <w:t>. Subject to the prior satisfaction of all other applicable conditions to the making of a Term Loan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obtain a Term Loan, Borrower shall notify the Lenders (which notice shall be irrevocable) by electronic mail, facsimile, or telephone by 2:00 pm Eastern time three (3)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321" w:lineRule="exact"/>
        <w:rPr>
          <w:sz w:val="20"/>
          <w:szCs w:val="20"/>
          <w:color w:val="auto"/>
        </w:rPr>
      </w:pPr>
    </w:p>
    <w:p>
      <w:pPr>
        <w:ind w:left="460" w:hanging="452"/>
        <w:spacing w:after="0"/>
        <w:tabs>
          <w:tab w:leader="none" w:pos="460" w:val="left"/>
        </w:tabs>
        <w:numPr>
          <w:ilvl w:val="0"/>
          <w:numId w:val="6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Collateral Agent, for the ratable benefit of the Lenders, to secure the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702" w:name="page703"/>
    <w:bookmarkEnd w:id="702"/>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1" w:lineRule="exact"/>
        <w:rPr>
          <w:sz w:val="20"/>
          <w:szCs w:val="20"/>
          <w:color w:val="auto"/>
        </w:rPr>
      </w:pPr>
    </w:p>
    <w:p>
      <w:pPr>
        <w:ind w:right="120" w:firstLine="921"/>
        <w:spacing w:after="0" w:line="279" w:lineRule="auto"/>
        <w:tabs>
          <w:tab w:leader="none" w:pos="1158" w:val="left"/>
        </w:tabs>
        <w:numPr>
          <w:ilvl w:val="1"/>
          <w:numId w:val="646"/>
        </w:numPr>
        <w:rPr>
          <w:rFonts w:ascii="Arial" w:cs="Arial" w:eastAsia="Arial" w:hAnsi="Arial"/>
          <w:sz w:val="17"/>
          <w:szCs w:val="17"/>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may have superior priority to Bank’s Lien in this Agreement).</w:t>
      </w:r>
    </w:p>
    <w:p>
      <w:pPr>
        <w:spacing w:after="0" w:line="171" w:lineRule="exact"/>
        <w:rPr>
          <w:rFonts w:ascii="Arial" w:cs="Arial" w:eastAsia="Arial" w:hAnsi="Arial"/>
          <w:sz w:val="17"/>
          <w:szCs w:val="17"/>
          <w:color w:val="auto"/>
        </w:rPr>
      </w:pPr>
    </w:p>
    <w:p>
      <w:pPr>
        <w:ind w:right="180" w:firstLine="921"/>
        <w:spacing w:after="0" w:line="259" w:lineRule="auto"/>
        <w:tabs>
          <w:tab w:leader="none" w:pos="1168" w:val="left"/>
        </w:tabs>
        <w:numPr>
          <w:ilvl w:val="1"/>
          <w:numId w:val="646"/>
        </w:numPr>
        <w:rPr>
          <w:rFonts w:ascii="Arial" w:cs="Arial" w:eastAsia="Arial" w:hAnsi="Arial"/>
          <w:sz w:val="18"/>
          <w:szCs w:val="18"/>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spacing w:after="0" w:line="186" w:lineRule="exact"/>
        <w:rPr>
          <w:rFonts w:ascii="Arial" w:cs="Arial" w:eastAsia="Arial" w:hAnsi="Arial"/>
          <w:sz w:val="18"/>
          <w:szCs w:val="18"/>
          <w:color w:val="auto"/>
        </w:rPr>
      </w:pPr>
    </w:p>
    <w:p>
      <w:pPr>
        <w:ind w:right="180" w:firstLine="921"/>
        <w:spacing w:after="0" w:line="286" w:lineRule="auto"/>
        <w:tabs>
          <w:tab w:leader="none" w:pos="1158" w:val="left"/>
        </w:tabs>
        <w:numPr>
          <w:ilvl w:val="1"/>
          <w:numId w:val="646"/>
        </w:numPr>
        <w:rPr>
          <w:rFonts w:ascii="Arial" w:cs="Arial" w:eastAsia="Arial" w:hAnsi="Arial"/>
          <w:sz w:val="16"/>
          <w:szCs w:val="16"/>
          <w:color w:val="auto"/>
        </w:rPr>
      </w:pPr>
      <w:r>
        <w:rPr>
          <w:rFonts w:ascii="Arial" w:cs="Arial" w:eastAsia="Arial" w:hAnsi="Arial"/>
          <w:sz w:val="16"/>
          <w:szCs w:val="16"/>
          <w:color w:val="auto"/>
        </w:rPr>
        <w:t>Notwithstanding the provisions of Section 4(b), in the event (x) all Obligations (other than inchoate indemnity obligations), except for Bank Services, are satisfied in full, and (y) this Agreement is terminated, Bank shall terminate the security interest granted herein upon Borrower providing cash collateral acceptable to Bank in the reasonable and good faith business judgment for Bank Services, if any. In the event such Bank Services consist of outstanding Letters of Credit, it shall be sufficient cash collateral acceptable to Bank for securing such Bank Services in applying the provisions of clause</w:t>
      </w:r>
    </w:p>
    <w:p>
      <w:pPr>
        <w:spacing w:after="0" w:line="1" w:lineRule="exact"/>
        <w:rPr>
          <w:rFonts w:ascii="Arial" w:cs="Arial" w:eastAsia="Arial" w:hAnsi="Arial"/>
          <w:sz w:val="16"/>
          <w:szCs w:val="16"/>
          <w:color w:val="auto"/>
        </w:rPr>
      </w:pPr>
    </w:p>
    <w:p>
      <w:pPr>
        <w:ind w:right="100" w:firstLine="8"/>
        <w:spacing w:after="0" w:line="295" w:lineRule="auto"/>
        <w:tabs>
          <w:tab w:leader="none" w:pos="255" w:val="left"/>
        </w:tabs>
        <w:numPr>
          <w:ilvl w:val="0"/>
          <w:numId w:val="647"/>
        </w:numPr>
        <w:rPr>
          <w:rFonts w:ascii="Arial" w:cs="Arial" w:eastAsia="Arial" w:hAnsi="Arial"/>
          <w:sz w:val="16"/>
          <w:szCs w:val="16"/>
          <w:color w:val="auto"/>
        </w:rPr>
      </w:pPr>
      <w:r>
        <w:rPr>
          <w:rFonts w:ascii="Arial" w:cs="Arial" w:eastAsia="Arial" w:hAnsi="Arial"/>
          <w:sz w:val="16"/>
          <w:szCs w:val="16"/>
          <w:color w:val="auto"/>
        </w:rPr>
        <w:t>with respect to Bank Services that consist of Letters of Credit, if Borrower provides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58"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4.2. Authorization to File Financing Statements</w:t>
      </w:r>
      <w:r>
        <w:rPr>
          <w:rFonts w:ascii="Arial" w:cs="Arial" w:eastAsia="Arial" w:hAnsi="Arial"/>
          <w:sz w:val="17"/>
          <w:szCs w:val="17"/>
          <w:color w:val="auto"/>
        </w:rPr>
        <w:t>. Borrower hereby authorizes Collateral Agent to file financing statements or take any other action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314" w:lineRule="exact"/>
        <w:rPr>
          <w:sz w:val="20"/>
          <w:szCs w:val="20"/>
          <w:color w:val="auto"/>
        </w:rPr>
      </w:pPr>
    </w:p>
    <w:p>
      <w:pPr>
        <w:ind w:left="460" w:hanging="452"/>
        <w:spacing w:after="0"/>
        <w:tabs>
          <w:tab w:leader="none" w:pos="460" w:val="left"/>
        </w:tabs>
        <w:numPr>
          <w:ilvl w:val="0"/>
          <w:numId w:val="6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03" w:name="page704"/>
    <w:bookmarkEnd w:id="70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66"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ind w:right="20" w:firstLine="8"/>
        <w:spacing w:after="0" w:line="269" w:lineRule="auto"/>
        <w:tabs>
          <w:tab w:leader="none" w:pos="265" w:val="left"/>
        </w:tabs>
        <w:numPr>
          <w:ilvl w:val="0"/>
          <w:numId w:val="649"/>
        </w:numPr>
        <w:rPr>
          <w:rFonts w:ascii="Arial" w:cs="Arial" w:eastAsia="Arial" w:hAnsi="Arial"/>
          <w:sz w:val="17"/>
          <w:szCs w:val="17"/>
          <w:color w:val="auto"/>
        </w:rPr>
      </w:pPr>
      <w:r>
        <w:rPr>
          <w:rFonts w:ascii="Arial" w:cs="Arial" w:eastAsia="Arial" w:hAnsi="Arial"/>
          <w:sz w:val="17"/>
          <w:szCs w:val="17"/>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w:t>
      </w:r>
    </w:p>
    <w:p>
      <w:pPr>
        <w:spacing w:after="0" w:line="229" w:lineRule="exact"/>
        <w:rPr>
          <w:sz w:val="20"/>
          <w:szCs w:val="20"/>
          <w:color w:val="auto"/>
        </w:rPr>
      </w:pPr>
    </w:p>
    <w:p>
      <w:pPr>
        <w:ind w:right="180" w:firstLine="921"/>
        <w:spacing w:after="0" w:line="273" w:lineRule="auto"/>
        <w:tabs>
          <w:tab w:leader="none" w:pos="1158" w:val="left"/>
        </w:tabs>
        <w:numPr>
          <w:ilvl w:val="0"/>
          <w:numId w:val="650"/>
        </w:numPr>
        <w:rPr>
          <w:rFonts w:ascii="Arial" w:cs="Arial" w:eastAsia="Arial" w:hAnsi="Arial"/>
          <w:sz w:val="17"/>
          <w:szCs w:val="17"/>
          <w:color w:val="auto"/>
        </w:rPr>
      </w:pPr>
      <w:r>
        <w:rPr>
          <w:rFonts w:ascii="Arial" w:cs="Arial" w:eastAsia="Arial" w:hAnsi="Arial"/>
          <w:sz w:val="17"/>
          <w:szCs w:val="17"/>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The Accounts are bona fide, existing obligations of the Account Debtors.</w:t>
      </w:r>
    </w:p>
    <w:p>
      <w:pPr>
        <w:spacing w:after="0" w:line="178" w:lineRule="exact"/>
        <w:rPr>
          <w:rFonts w:ascii="Arial" w:cs="Arial" w:eastAsia="Arial" w:hAnsi="Arial"/>
          <w:sz w:val="17"/>
          <w:szCs w:val="17"/>
          <w:color w:val="auto"/>
        </w:rPr>
      </w:pPr>
    </w:p>
    <w:p>
      <w:pPr>
        <w:jc w:val="both"/>
        <w:ind w:right="80" w:firstLine="921"/>
        <w:spacing w:after="0" w:line="259" w:lineRule="auto"/>
        <w:tabs>
          <w:tab w:leader="none" w:pos="1168" w:val="left"/>
        </w:tabs>
        <w:numPr>
          <w:ilvl w:val="0"/>
          <w:numId w:val="650"/>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One Hundred Thousand Dollars ($100,000.00). None of the components of the Collateral shall be maintained at locations other than as disclosed in the Perfection Certificates on the Effective Date or as permitted pursuant to Section 6.11.</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ind w:right="220" w:firstLine="921"/>
        <w:spacing w:after="0" w:line="271" w:lineRule="auto"/>
        <w:tabs>
          <w:tab w:leader="none" w:pos="1168" w:val="left"/>
        </w:tabs>
        <w:numPr>
          <w:ilvl w:val="0"/>
          <w:numId w:val="650"/>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material license or other material agreement with respect to which Borrower or any Subsidiary is the licensee (other than over-the-counter software that is commercially available to the public).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04" w:name="page705"/>
    <w:bookmarkEnd w:id="704"/>
    <w:p>
      <w:pPr>
        <w:ind w:right="7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 Litigation</w:t>
      </w:r>
      <w:r>
        <w:rPr>
          <w:rFonts w:ascii="Arial" w:cs="Arial" w:eastAsia="Arial" w:hAnsi="Arial"/>
          <w:sz w:val="18"/>
          <w:szCs w:val="18"/>
          <w:color w:val="auto"/>
        </w:rPr>
        <w:t>. 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One Hundred Thousand Dollars ($100,000.00).</w:t>
      </w:r>
    </w:p>
    <w:p>
      <w:pPr>
        <w:spacing w:after="0" w:line="176"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5.4. No Material Deterioration in Financial Condition; Financial Statements</w:t>
      </w:r>
      <w:r>
        <w:rPr>
          <w:rFonts w:ascii="Arial" w:cs="Arial" w:eastAsia="Arial" w:hAnsi="Arial"/>
          <w:sz w:val="16"/>
          <w:szCs w:val="16"/>
          <w:color w:val="auto"/>
        </w:rPr>
        <w:t>. 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Borrower and each of its Subsidiaries is Solvent.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5.6. Regulatory Compliance</w:t>
      </w:r>
      <w:r>
        <w:rPr>
          <w:rFonts w:ascii="Arial" w:cs="Arial" w:eastAsia="Arial" w:hAnsi="Arial"/>
          <w:sz w:val="18"/>
          <w:szCs w:val="18"/>
          <w:color w:val="auto"/>
        </w:rPr>
        <w:t>. Neither Borrower nor any of its Subsidiaries is an “investment company” or a company “controlled” by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9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5.7. Investments</w:t>
      </w:r>
      <w:r>
        <w:rPr>
          <w:rFonts w:ascii="Arial" w:cs="Arial" w:eastAsia="Arial" w:hAnsi="Arial"/>
          <w:sz w:val="18"/>
          <w:szCs w:val="18"/>
          <w:color w:val="auto"/>
        </w:rPr>
        <w:t>. 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5.8. Tax Returns and Payments; Pension Contributions</w:t>
      </w:r>
      <w:r>
        <w:rPr>
          <w:rFonts w:ascii="Arial" w:cs="Arial" w:eastAsia="Arial" w:hAnsi="Arial"/>
          <w:sz w:val="17"/>
          <w:szCs w:val="17"/>
          <w:color w:val="auto"/>
        </w:rPr>
        <w:t>. Borrower and each of its Subsidiaries has timely filed all required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7"/>
          <w:szCs w:val="17"/>
          <w:b w:val="1"/>
          <w:bCs w:val="1"/>
          <w:color w:val="auto"/>
        </w:rPr>
        <w:t>Permitted Lien</w:t>
      </w:r>
      <w:r>
        <w:rPr>
          <w:rFonts w:ascii="Arial" w:cs="Arial" w:eastAsia="Arial" w:hAnsi="Arial"/>
          <w:sz w:val="17"/>
          <w:szCs w:val="17"/>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69" w:right="279" w:bottom="1440" w:gutter="0" w:footer="0" w:header="0"/>
        </w:sectPr>
      </w:pPr>
    </w:p>
    <w:bookmarkStart w:id="705" w:name="page706"/>
    <w:bookmarkEnd w:id="70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provisions of this Agreement, and not for personal, family, household or agricultural purposes.</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or any of its Subsidiaries in any certificate 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given to Collateral Agent or any Lender in connection with the transactions contemplated hereby, as of the date such representation, warranty, or other statement was made, taken together with all such written certificates and written statements given to Collateral Agent or any Lender with respect to the transactions contemplated hereby,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5.11.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the Responsible Officers.</w:t>
      </w:r>
    </w:p>
    <w:p>
      <w:pPr>
        <w:spacing w:after="0" w:line="325" w:lineRule="exact"/>
        <w:rPr>
          <w:sz w:val="20"/>
          <w:szCs w:val="20"/>
          <w:color w:val="auto"/>
        </w:rPr>
      </w:pPr>
    </w:p>
    <w:p>
      <w:pPr>
        <w:ind w:left="460" w:hanging="452"/>
        <w:spacing w:after="0"/>
        <w:tabs>
          <w:tab w:leader="none" w:pos="460" w:val="left"/>
        </w:tabs>
        <w:numPr>
          <w:ilvl w:val="0"/>
          <w:numId w:val="6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921"/>
        <w:spacing w:after="0" w:line="259" w:lineRule="auto"/>
        <w:tabs>
          <w:tab w:leader="none" w:pos="1158" w:val="left"/>
        </w:tabs>
        <w:numPr>
          <w:ilvl w:val="1"/>
          <w:numId w:val="651"/>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651"/>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w:t>
      </w:r>
    </w:p>
    <w:p>
      <w:pPr>
        <w:spacing w:after="0" w:line="229" w:lineRule="exact"/>
        <w:rPr>
          <w:sz w:val="20"/>
          <w:szCs w:val="20"/>
          <w:color w:val="auto"/>
        </w:rPr>
      </w:pPr>
    </w:p>
    <w:p>
      <w:pPr>
        <w:ind w:left="1160" w:hanging="239"/>
        <w:spacing w:after="0"/>
        <w:tabs>
          <w:tab w:leader="none" w:pos="116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5" w:lineRule="exact"/>
        <w:rPr>
          <w:rFonts w:ascii="Arial" w:cs="Arial" w:eastAsia="Arial" w:hAnsi="Arial"/>
          <w:sz w:val="18"/>
          <w:szCs w:val="18"/>
          <w:color w:val="auto"/>
        </w:rPr>
      </w:pPr>
    </w:p>
    <w:p>
      <w:pPr>
        <w:ind w:right="80" w:firstLine="1492"/>
        <w:spacing w:after="0" w:line="264" w:lineRule="auto"/>
        <w:tabs>
          <w:tab w:leader="none" w:pos="1698" w:val="left"/>
        </w:tabs>
        <w:numPr>
          <w:ilvl w:val="2"/>
          <w:numId w:val="652"/>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2"/>
          <w:numId w:val="652"/>
        </w:numPr>
        <w:rPr>
          <w:rFonts w:ascii="Arial" w:cs="Arial" w:eastAsia="Arial" w:hAnsi="Arial"/>
          <w:sz w:val="17"/>
          <w:szCs w:val="17"/>
          <w:color w:val="auto"/>
        </w:rPr>
      </w:pPr>
      <w:r>
        <w:rPr>
          <w:rFonts w:ascii="Arial" w:cs="Arial" w:eastAsia="Arial" w:hAnsi="Arial"/>
          <w:sz w:val="17"/>
          <w:szCs w:val="17"/>
          <w:color w:val="auto"/>
        </w:rPr>
        <w:t>as soon as available, but no later than one hundred eighty (180) days after the last day of Borrower’s fiscal year or within five</w:t>
      </w:r>
    </w:p>
    <w:p>
      <w:pPr>
        <w:spacing w:after="0" w:line="34" w:lineRule="exact"/>
        <w:rPr>
          <w:rFonts w:ascii="Arial" w:cs="Arial" w:eastAsia="Arial" w:hAnsi="Arial"/>
          <w:sz w:val="17"/>
          <w:szCs w:val="17"/>
          <w:color w:val="auto"/>
        </w:rPr>
      </w:pPr>
    </w:p>
    <w:p>
      <w:pPr>
        <w:ind w:firstLine="8"/>
        <w:spacing w:after="0" w:line="261" w:lineRule="auto"/>
        <w:tabs>
          <w:tab w:leader="none" w:pos="255" w:val="left"/>
        </w:tabs>
        <w:numPr>
          <w:ilvl w:val="0"/>
          <w:numId w:val="653"/>
        </w:numPr>
        <w:rPr>
          <w:rFonts w:ascii="Arial" w:cs="Arial" w:eastAsia="Arial" w:hAnsi="Arial"/>
          <w:sz w:val="18"/>
          <w:szCs w:val="18"/>
          <w:color w:val="auto"/>
        </w:rPr>
      </w:pPr>
      <w:r>
        <w:rPr>
          <w:rFonts w:ascii="Arial" w:cs="Arial" w:eastAsia="Arial" w:hAnsi="Arial"/>
          <w:sz w:val="18"/>
          <w:szCs w:val="18"/>
          <w:color w:val="auto"/>
        </w:rPr>
        <w:t>days of filing with the SEC, audited consolidated financial statements prepared under GAAP, consistently applied, together with an unqualified opinion on the financial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06" w:name="page707"/>
    <w:bookmarkEnd w:id="7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from an independent certified public accounting firm acceptable to Collateral Agent in its reasonable discretion;</w:t>
      </w:r>
    </w:p>
    <w:p>
      <w:pPr>
        <w:spacing w:after="0" w:line="225" w:lineRule="exact"/>
        <w:rPr>
          <w:sz w:val="20"/>
          <w:szCs w:val="20"/>
          <w:color w:val="auto"/>
        </w:rPr>
      </w:pPr>
    </w:p>
    <w:p>
      <w:pPr>
        <w:ind w:firstLine="1492"/>
        <w:spacing w:after="0" w:line="276" w:lineRule="auto"/>
        <w:tabs>
          <w:tab w:leader="none" w:pos="1798" w:val="left"/>
        </w:tabs>
        <w:numPr>
          <w:ilvl w:val="0"/>
          <w:numId w:val="654"/>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ten (10)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7"/>
          <w:szCs w:val="17"/>
          <w:b w:val="1"/>
          <w:bCs w:val="1"/>
          <w:color w:val="auto"/>
        </w:rPr>
        <w:t>Annual Projections</w:t>
      </w:r>
      <w:r>
        <w:rPr>
          <w:rFonts w:ascii="Arial" w:cs="Arial" w:eastAsia="Arial" w:hAnsi="Arial"/>
          <w:sz w:val="17"/>
          <w:szCs w:val="17"/>
          <w:color w:val="auto"/>
        </w:rPr>
        <w:t>”; provided that, any revisions of the Annual Projections approved by Borrower’s Board of Directors shall be delivered to Collateral Agent and the Lenders no later than seven (7) days after such approval);</w:t>
      </w:r>
    </w:p>
    <w:p>
      <w:pPr>
        <w:spacing w:after="0" w:line="172" w:lineRule="exact"/>
        <w:rPr>
          <w:rFonts w:ascii="Arial" w:cs="Arial" w:eastAsia="Arial" w:hAnsi="Arial"/>
          <w:sz w:val="17"/>
          <w:szCs w:val="17"/>
          <w:color w:val="auto"/>
        </w:rPr>
      </w:pPr>
    </w:p>
    <w:p>
      <w:pPr>
        <w:ind w:left="1800" w:hanging="308"/>
        <w:spacing w:after="0"/>
        <w:tabs>
          <w:tab w:leader="none" w:pos="1800" w:val="left"/>
        </w:tabs>
        <w:numPr>
          <w:ilvl w:val="0"/>
          <w:numId w:val="654"/>
        </w:numPr>
        <w:rPr>
          <w:rFonts w:ascii="Arial" w:cs="Arial" w:eastAsia="Arial" w:hAnsi="Arial"/>
          <w:sz w:val="16"/>
          <w:szCs w:val="16"/>
          <w:color w:val="auto"/>
        </w:rPr>
      </w:pPr>
      <w:r>
        <w:rPr>
          <w:rFonts w:ascii="Arial" w:cs="Arial" w:eastAsia="Arial" w:hAnsi="Arial"/>
          <w:sz w:val="16"/>
          <w:szCs w:val="16"/>
          <w:color w:val="auto"/>
        </w:rPr>
        <w:t>within five (5) days of delivery, copies of all statements, reports and notices made available to Borrower’s security holders or 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Subordinated Debt;</w:t>
      </w:r>
    </w:p>
    <w:p>
      <w:pPr>
        <w:spacing w:after="0" w:line="210" w:lineRule="exact"/>
        <w:rPr>
          <w:rFonts w:ascii="Arial" w:cs="Arial" w:eastAsia="Arial" w:hAnsi="Arial"/>
          <w:sz w:val="16"/>
          <w:szCs w:val="16"/>
          <w:color w:val="auto"/>
        </w:rPr>
      </w:pPr>
    </w:p>
    <w:p>
      <w:pPr>
        <w:ind w:right="260" w:firstLine="1492"/>
        <w:spacing w:after="0" w:line="277" w:lineRule="auto"/>
        <w:tabs>
          <w:tab w:leader="none" w:pos="1738" w:val="left"/>
        </w:tabs>
        <w:numPr>
          <w:ilvl w:val="0"/>
          <w:numId w:val="654"/>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70" w:lineRule="exact"/>
        <w:rPr>
          <w:rFonts w:ascii="Arial" w:cs="Arial" w:eastAsia="Arial" w:hAnsi="Arial"/>
          <w:sz w:val="18"/>
          <w:szCs w:val="18"/>
          <w:color w:val="auto"/>
        </w:rPr>
      </w:pPr>
    </w:p>
    <w:p>
      <w:pPr>
        <w:ind w:right="80" w:firstLine="1492"/>
        <w:spacing w:after="0" w:line="254" w:lineRule="auto"/>
        <w:tabs>
          <w:tab w:leader="none" w:pos="1788" w:val="left"/>
        </w:tabs>
        <w:numPr>
          <w:ilvl w:val="0"/>
          <w:numId w:val="654"/>
        </w:numPr>
        <w:rPr>
          <w:rFonts w:ascii="Arial" w:cs="Arial" w:eastAsia="Arial" w:hAnsi="Arial"/>
          <w:sz w:val="18"/>
          <w:szCs w:val="18"/>
          <w:color w:val="auto"/>
        </w:rPr>
      </w:pPr>
      <w:r>
        <w:rPr>
          <w:rFonts w:ascii="Arial" w:cs="Arial" w:eastAsia="Arial" w:hAnsi="Arial"/>
          <w:sz w:val="18"/>
          <w:szCs w:val="18"/>
          <w:color w:val="auto"/>
        </w:rPr>
        <w:t>prompt notice of any (A) amendments of or other changes to the Operating Documents of Borrower or any of its Subsidiaries, together with any copies reflecting such amendments or changes with respect thereto and (B) material changes to the capitalization table of Borrower or any of its Subsidiaries, provided, however, that (i) no such notice shall be required with respect to the grant, exercise, cancellation or modification of options to purchase Borrower’s Common Stock outstanding or hereafter issued by Borrower from the option pool set forth on the capitalization table of Borrower delivered to Bank in connection with the Perfection Certificate or upon exercise of warrants to purchase capital stock of the Borrower reflected upon such capitalization table and (ii) Borrower shall provide Lenders notice with respect to, and copies of, the current capitalization table no later than thirty (30) days after the end of each quarter to the extent that there have been any amendments of, or changes to, the capitalization table since the last time the same was delivered to Lenders.</w:t>
      </w:r>
    </w:p>
    <w:p>
      <w:pPr>
        <w:spacing w:after="0" w:line="192" w:lineRule="exact"/>
        <w:rPr>
          <w:rFonts w:ascii="Arial" w:cs="Arial" w:eastAsia="Arial" w:hAnsi="Arial"/>
          <w:sz w:val="18"/>
          <w:szCs w:val="18"/>
          <w:color w:val="auto"/>
        </w:rPr>
      </w:pPr>
    </w:p>
    <w:p>
      <w:pPr>
        <w:ind w:left="1840" w:hanging="348"/>
        <w:spacing w:after="0"/>
        <w:tabs>
          <w:tab w:leader="none" w:pos="184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prompt notice of any event that could reasonably be expected to materially and adversely affect the value of the Intellectual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0" w:lineRule="exact"/>
        <w:rPr>
          <w:rFonts w:ascii="Arial" w:cs="Arial" w:eastAsia="Arial" w:hAnsi="Arial"/>
          <w:sz w:val="17"/>
          <w:szCs w:val="17"/>
          <w:color w:val="auto"/>
        </w:rPr>
      </w:pPr>
    </w:p>
    <w:p>
      <w:pPr>
        <w:jc w:val="both"/>
        <w:ind w:right="40" w:firstLine="1492"/>
        <w:spacing w:after="0" w:line="264" w:lineRule="auto"/>
        <w:tabs>
          <w:tab w:leader="none" w:pos="1888"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6" w:lineRule="exact"/>
        <w:rPr>
          <w:sz w:val="20"/>
          <w:szCs w:val="20"/>
          <w:color w:val="auto"/>
        </w:rPr>
      </w:pPr>
    </w:p>
    <w:p>
      <w:pPr>
        <w:ind w:right="160" w:firstLine="921"/>
        <w:spacing w:after="0" w:line="277" w:lineRule="auto"/>
        <w:tabs>
          <w:tab w:leader="none" w:pos="1168" w:val="left"/>
        </w:tabs>
        <w:numPr>
          <w:ilvl w:val="0"/>
          <w:numId w:val="655"/>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70" w:lineRule="exact"/>
        <w:rPr>
          <w:rFonts w:ascii="Arial" w:cs="Arial" w:eastAsia="Arial" w:hAnsi="Arial"/>
          <w:sz w:val="18"/>
          <w:szCs w:val="18"/>
          <w:color w:val="auto"/>
        </w:rPr>
      </w:pPr>
    </w:p>
    <w:p>
      <w:pPr>
        <w:ind w:firstLine="921"/>
        <w:spacing w:after="0" w:line="257" w:lineRule="auto"/>
        <w:tabs>
          <w:tab w:leader="none" w:pos="1158" w:val="left"/>
        </w:tabs>
        <w:numPr>
          <w:ilvl w:val="0"/>
          <w:numId w:val="655"/>
        </w:numPr>
        <w:rPr>
          <w:rFonts w:ascii="Arial" w:cs="Arial" w:eastAsia="Arial" w:hAnsi="Arial"/>
          <w:sz w:val="18"/>
          <w:szCs w:val="18"/>
          <w:color w:val="auto"/>
        </w:rPr>
      </w:pPr>
      <w:r>
        <w:rPr>
          <w:rFonts w:ascii="Arial" w:cs="Arial" w:eastAsia="Arial" w:hAnsi="Arial"/>
          <w:sz w:val="18"/>
          <w:szCs w:val="18"/>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5" w:right="279" w:bottom="1440" w:gutter="0" w:footer="0" w:header="0"/>
        </w:sectPr>
      </w:pPr>
    </w:p>
    <w:bookmarkStart w:id="707" w:name="page708"/>
    <w:bookmarkEnd w:id="70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and analysis of its operations and the Collateral. Such audits shall be conducted no more often than once every six months unless (and more frequently if) an Event of Default has occurred and is continuing.</w:t>
      </w:r>
    </w:p>
    <w:p>
      <w:pPr>
        <w:spacing w:after="0" w:line="166"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6.3. Inventory; Returns</w:t>
      </w:r>
      <w:r>
        <w:rPr>
          <w:rFonts w:ascii="Arial" w:cs="Arial" w:eastAsia="Arial" w:hAnsi="Arial"/>
          <w:sz w:val="17"/>
          <w:szCs w:val="17"/>
          <w:color w:val="auto"/>
        </w:rPr>
        <w:t>. Keep all Inventory in good and marketable condition, free from material defects. Returns and allowances between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One Hundred Thousand Dollars ($100,000.00) individually or in the aggregate in any calendar year.</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One Hundred Thousand Dollars ($100,000.00),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Operating Accounts</w:t>
      </w:r>
      <w:r>
        <w:rPr>
          <w:rFonts w:ascii="Arial" w:cs="Arial" w:eastAsia="Arial" w:hAnsi="Arial"/>
          <w:sz w:val="18"/>
          <w:szCs w:val="18"/>
          <w:color w:val="auto"/>
        </w:rPr>
        <w:t>.</w:t>
      </w:r>
    </w:p>
    <w:p>
      <w:pPr>
        <w:spacing w:after="0" w:line="229" w:lineRule="exact"/>
        <w:rPr>
          <w:sz w:val="20"/>
          <w:szCs w:val="20"/>
          <w:color w:val="auto"/>
        </w:rPr>
      </w:pPr>
    </w:p>
    <w:p>
      <w:pPr>
        <w:ind w:right="140" w:firstLine="921"/>
        <w:spacing w:after="0" w:line="264" w:lineRule="auto"/>
        <w:tabs>
          <w:tab w:leader="none" w:pos="1158" w:val="left"/>
        </w:tabs>
        <w:numPr>
          <w:ilvl w:val="0"/>
          <w:numId w:val="656"/>
        </w:numPr>
        <w:rPr>
          <w:rFonts w:ascii="Arial" w:cs="Arial" w:eastAsia="Arial" w:hAnsi="Arial"/>
          <w:sz w:val="18"/>
          <w:szCs w:val="18"/>
          <w:color w:val="auto"/>
        </w:rPr>
      </w:pPr>
      <w:r>
        <w:rPr>
          <w:rFonts w:ascii="Arial" w:cs="Arial" w:eastAsia="Arial" w:hAnsi="Arial"/>
          <w:sz w:val="18"/>
          <w:szCs w:val="18"/>
          <w:color w:val="auto"/>
        </w:rPr>
        <w:t>Maintain its primary and its Subsidiaries’ primary Collateral Accounts with Bank or its Affiliates in accounts which are subject to a Control Agreement in favor of Collateral Agent and which accounts shall represent at least fifty percent (50%) of the dollar value of Borrower’s and such Subsidiaries’ accounts at all financial institutions.</w:t>
      </w:r>
    </w:p>
    <w:p>
      <w:pPr>
        <w:spacing w:after="0" w:line="181"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656"/>
        </w:numPr>
        <w:rPr>
          <w:rFonts w:ascii="Arial" w:cs="Arial" w:eastAsia="Arial" w:hAnsi="Arial"/>
          <w:sz w:val="18"/>
          <w:szCs w:val="18"/>
          <w:color w:val="auto"/>
        </w:rPr>
      </w:pPr>
      <w:r>
        <w:rPr>
          <w:rFonts w:ascii="Arial" w:cs="Arial" w:eastAsia="Arial" w:hAnsi="Arial"/>
          <w:sz w:val="18"/>
          <w:szCs w:val="18"/>
          <w:color w:val="auto"/>
        </w:rPr>
        <w:t>Borrower shall provide Collateral Agent five (5) days’ prior written notice before Borrower or any of its Subsidiaries establishes any Collateral Account at or with any Person other than Bank or its Affiliates.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708" w:name="page709"/>
    <w:bookmarkEnd w:id="708"/>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w:t>
      </w:r>
    </w:p>
    <w:p>
      <w:pPr>
        <w:spacing w:after="0" w:line="181" w:lineRule="exact"/>
        <w:rPr>
          <w:sz w:val="20"/>
          <w:szCs w:val="20"/>
          <w:color w:val="auto"/>
        </w:rPr>
      </w:pPr>
    </w:p>
    <w:p>
      <w:pPr>
        <w:ind w:right="340" w:firstLine="921"/>
        <w:spacing w:after="0" w:line="277" w:lineRule="auto"/>
        <w:tabs>
          <w:tab w:leader="none" w:pos="1158" w:val="left"/>
        </w:tabs>
        <w:numPr>
          <w:ilvl w:val="0"/>
          <w:numId w:val="657"/>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66" w:lineRule="exact"/>
        <w:rPr>
          <w:sz w:val="20"/>
          <w:szCs w:val="20"/>
          <w:color w:val="auto"/>
        </w:rPr>
      </w:pPr>
    </w:p>
    <w:p>
      <w:pPr>
        <w:jc w:val="both"/>
        <w:ind w:right="200" w:firstLine="456"/>
        <w:spacing w:after="0" w:line="293" w:lineRule="auto"/>
        <w:rPr>
          <w:sz w:val="20"/>
          <w:szCs w:val="20"/>
          <w:color w:val="auto"/>
        </w:rPr>
      </w:pPr>
      <w:r>
        <w:rPr>
          <w:rFonts w:ascii="Arial" w:cs="Arial" w:eastAsia="Arial" w:hAnsi="Arial"/>
          <w:sz w:val="16"/>
          <w:szCs w:val="16"/>
          <w:b w:val="1"/>
          <w:bCs w:val="1"/>
          <w:color w:val="auto"/>
        </w:rPr>
        <w:t>6.7. Protection of Intellectual Property Rights</w:t>
      </w:r>
      <w:r>
        <w:rPr>
          <w:rFonts w:ascii="Arial" w:cs="Arial" w:eastAsia="Arial" w:hAnsi="Arial"/>
          <w:sz w:val="16"/>
          <w:szCs w:val="16"/>
          <w:color w:val="auto"/>
        </w:rPr>
        <w:t>. Borrower and each of its Subsidiaries shall: (a) use commercially reasonable efforts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business practices to protect, defend and maintain the validity and enforceability of its Intellectual Property that is material to Borrower’s business;</w:t>
      </w:r>
    </w:p>
    <w:p>
      <w:pPr>
        <w:spacing w:after="0" w:line="1" w:lineRule="exact"/>
        <w:rPr>
          <w:sz w:val="20"/>
          <w:szCs w:val="20"/>
          <w:color w:val="auto"/>
        </w:rPr>
      </w:pPr>
    </w:p>
    <w:p>
      <w:pPr>
        <w:jc w:val="both"/>
        <w:ind w:right="20" w:firstLine="8"/>
        <w:spacing w:after="0" w:line="271" w:lineRule="auto"/>
        <w:tabs>
          <w:tab w:leader="none" w:pos="255" w:val="left"/>
        </w:tabs>
        <w:numPr>
          <w:ilvl w:val="0"/>
          <w:numId w:val="658"/>
        </w:numPr>
        <w:rPr>
          <w:rFonts w:ascii="Arial" w:cs="Arial" w:eastAsia="Arial" w:hAnsi="Arial"/>
          <w:sz w:val="17"/>
          <w:szCs w:val="17"/>
          <w:color w:val="auto"/>
        </w:rPr>
      </w:pPr>
      <w:r>
        <w:rPr>
          <w:rFonts w:ascii="Arial" w:cs="Arial" w:eastAsia="Arial" w:hAnsi="Arial"/>
          <w:sz w:val="17"/>
          <w:szCs w:val="17"/>
          <w:color w:val="auto"/>
        </w:rPr>
        <w:t>promptly after Borrower becomes aware thereof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 Borrower shall obtain Collateral Agent’s and Lenders’ written consent prior to abandoning, modifying or delaying filing, prosecution or issuance of any Core IP. Borrower shall provide Collateral Agent and Lenders with notice, on a quarterly basis, of any abandonment, modification or delay in the filing, prosecution or issuance of any Non-Core IP during the preceding quarter.</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6.8. Litigation Cooperation</w:t>
      </w:r>
      <w:r>
        <w:rPr>
          <w:rFonts w:ascii="Arial" w:cs="Arial" w:eastAsia="Arial" w:hAnsi="Arial"/>
          <w:sz w:val="17"/>
          <w:szCs w:val="17"/>
          <w:color w:val="auto"/>
        </w:rPr>
        <w:t>. 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at reasonable times and with reasonable advance notice, unless an Event of Default has occurred and is continuing,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 In such event, Collateral Agent and the Lenders shall work cooperatively with Borrower to minimize disruption, to the extent reasonably possible, of Borrower’s ongoing operations.</w:t>
      </w:r>
    </w:p>
    <w:p>
      <w:pPr>
        <w:spacing w:after="0" w:line="17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6.9. Notices of Litigation and Default</w:t>
      </w:r>
      <w:r>
        <w:rPr>
          <w:rFonts w:ascii="Arial" w:cs="Arial" w:eastAsia="Arial" w:hAnsi="Arial"/>
          <w:sz w:val="17"/>
          <w:szCs w:val="17"/>
          <w:color w:val="auto"/>
        </w:rPr>
        <w:t>. After becoming aware thereof, Borrower will give prompt written notice to Collateral Agent and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litigation or governmental proceedings pending or threatened (in writing) against Borrower or any of its Subsidiaries, which could reasonably be expected to result in damages or costs to Borrower or any of its Subsidiaries of One Hundred Thousand Dollars ($100,000.00)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6.10. Intentionally Omitted</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6.11. Landlord Waivers; Bailee Waivers</w:t>
      </w:r>
      <w:r>
        <w:rPr>
          <w:rFonts w:ascii="Arial" w:cs="Arial" w:eastAsia="Arial" w:hAnsi="Arial"/>
          <w:sz w:val="18"/>
          <w:szCs w:val="18"/>
          <w:color w:val="auto"/>
        </w:rPr>
        <w:t>. In the event that Borrower or any of its Subsidiaries, after the Effective Date, intends to add any new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or business locations, including warehouses, or otherwise store any portion of the Collateral with, or deliver any portion of the Collateral to, a bailee, in each case pursuant to Section 7.2, then Borrower or such Subsidiary will first provide at least thirty (30) days prior written notice to Collateral Agent and, in the event that the Collateral at any new location includes Borrower’s Books or is valued in excess of One Hundred Thousand ($100,000.00)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9" w:lineRule="exact"/>
        <w:rPr>
          <w:sz w:val="20"/>
          <w:szCs w:val="20"/>
          <w:color w:val="auto"/>
        </w:rPr>
      </w:pPr>
    </w:p>
    <w:p>
      <w:pPr>
        <w:ind w:right="420" w:firstLine="456"/>
        <w:spacing w:after="0" w:line="314" w:lineRule="auto"/>
        <w:rPr>
          <w:sz w:val="20"/>
          <w:szCs w:val="20"/>
          <w:color w:val="auto"/>
        </w:rPr>
      </w:pPr>
      <w:r>
        <w:rPr>
          <w:rFonts w:ascii="Arial" w:cs="Arial" w:eastAsia="Arial" w:hAnsi="Arial"/>
          <w:sz w:val="16"/>
          <w:szCs w:val="16"/>
          <w:b w:val="1"/>
          <w:bCs w:val="1"/>
          <w:color w:val="auto"/>
        </w:rPr>
        <w:t>6.12. Creation/Acquisition of Subsidiaries</w:t>
      </w:r>
      <w:r>
        <w:rPr>
          <w:rFonts w:ascii="Arial" w:cs="Arial" w:eastAsia="Arial" w:hAnsi="Arial"/>
          <w:sz w:val="16"/>
          <w:szCs w:val="16"/>
          <w:color w:val="auto"/>
        </w:rPr>
        <w:t>. In the event Borrower, or any of its Subsidiaries creates or acquires any Subsidiary,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5" w:right="239" w:bottom="1440" w:gutter="0" w:footer="0" w:header="0"/>
        </w:sectPr>
      </w:pPr>
    </w:p>
    <w:bookmarkStart w:id="709" w:name="page710"/>
    <w:bookmarkEnd w:id="70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Borrower under the Loan Documents and, in each case, grant a continuing pledge and security interest in and to the assets of such Subsidiary (substantially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Borrower (or its Subsidiary, as applicable) shall grant and pledge to Collateral Agent, for the ratable benefit of the Lenders, to secure payment and performance of the Obligations a perfected security interest in the stock, units or other evidence of ownership of each such newly created Subsidiary, provided, however, that in the case of a Foreign Subsidiary, Borrower (or any domestic Subsidiary which is the owner of such Foreign Subsidiary) shall not be required to pledge or grant a security interest in more than sixty five percent (65%) of the outstanding equity securities of such Foreign Subsidiary and no assets of such Foreign Subsidiary shall be required to be pledged or subject to a security interest hereunder if Borrower demonstrates to the reasonable satisfaction of Collateral Agent that such Foreign Subsidiary providing such guarantee or pledge and security interest or Borrower providing a perfected security interest in more than sixty five percent (65%) of the outstanding equity securities would create a present and existing adverse tax consequence to Borrower under the U.S. Internal Revenue Code. Notwithstanding the foregoing, Borrower shall not be required to pledge or grant a security interest in more than sixty five percent (65%) of the outstanding equity securities of the Australia Subsidiary and no assets of the Australia Subsidiary shall be required to be pledged or subject to a security interest hereunder.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6.13. Further Assurances</w:t>
      </w:r>
      <w:r>
        <w:rPr>
          <w:rFonts w:ascii="Arial" w:cs="Arial" w:eastAsia="Arial" w:hAnsi="Arial"/>
          <w:sz w:val="18"/>
          <w:szCs w:val="18"/>
          <w:color w:val="auto"/>
        </w:rPr>
        <w:t>.</w:t>
      </w:r>
    </w:p>
    <w:p>
      <w:pPr>
        <w:spacing w:after="0" w:line="229" w:lineRule="exact"/>
        <w:rPr>
          <w:sz w:val="20"/>
          <w:szCs w:val="20"/>
          <w:color w:val="auto"/>
        </w:rPr>
      </w:pPr>
    </w:p>
    <w:p>
      <w:pPr>
        <w:ind w:right="740" w:firstLine="921"/>
        <w:spacing w:after="0" w:line="277" w:lineRule="auto"/>
        <w:tabs>
          <w:tab w:leader="none" w:pos="1158" w:val="left"/>
        </w:tabs>
        <w:numPr>
          <w:ilvl w:val="1"/>
          <w:numId w:val="659"/>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jc w:val="both"/>
        <w:ind w:right="480" w:firstLine="921"/>
        <w:spacing w:after="0" w:line="312" w:lineRule="auto"/>
        <w:tabs>
          <w:tab w:leader="none" w:pos="1168" w:val="left"/>
        </w:tabs>
        <w:numPr>
          <w:ilvl w:val="1"/>
          <w:numId w:val="659"/>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291" w:lineRule="exact"/>
        <w:rPr>
          <w:rFonts w:ascii="Arial" w:cs="Arial" w:eastAsia="Arial" w:hAnsi="Arial"/>
          <w:sz w:val="16"/>
          <w:szCs w:val="16"/>
          <w:color w:val="auto"/>
        </w:rPr>
      </w:pPr>
    </w:p>
    <w:p>
      <w:pPr>
        <w:ind w:left="460" w:hanging="452"/>
        <w:spacing w:after="0"/>
        <w:tabs>
          <w:tab w:leader="none" w:pos="460" w:val="left"/>
        </w:tabs>
        <w:numPr>
          <w:ilvl w:val="0"/>
          <w:numId w:val="6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all or any part of its business or property, except for Transfers (a) of Inventory in the ordinary course of business; (b) of worn out or obsolete Equipment; and (c) in connection with Permitted Liens, Permitted Investments and Permitted Licenses.</w:t>
      </w:r>
    </w:p>
    <w:p>
      <w:pPr>
        <w:spacing w:after="0" w:line="17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7.2. Changes in Business, Management, Ownership, or Business Locations</w:t>
      </w:r>
      <w:r>
        <w:rPr>
          <w:rFonts w:ascii="Arial" w:cs="Arial" w:eastAsia="Arial" w:hAnsi="Arial"/>
          <w:sz w:val="17"/>
          <w:szCs w:val="17"/>
          <w:color w:val="auto"/>
        </w:rPr>
        <w:t>. (a)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five (5)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private investors so long as Borrower identifies to Collateral Agent the private investors prior to the closing of the transaction). Borrower shall not, without at least thirty (30) days’ prior written notice to Collateral Agent: (A) add any new offices or business locations, including warehouses (unless such new offices or business locations contain less than One Hundred Thousand Dollars ($100,000.00)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4"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shares or property of another Person. A Subsidiary may merge or consolidate into another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710" w:name="page711"/>
    <w:bookmarkEnd w:id="710"/>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4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color w:val="auto"/>
        </w:rPr>
        <w:t>7.5. Encumbrance</w:t>
      </w:r>
      <w:r>
        <w:rPr>
          <w:rFonts w:ascii="Arial" w:cs="Arial" w:eastAsia="Arial" w:hAnsi="Arial"/>
          <w:sz w:val="17"/>
          <w:szCs w:val="17"/>
          <w:color w:val="auto"/>
        </w:rPr>
        <w:t>. Create, incur, allow, or suffer any Lien on any of its property, or assign or convey any right to receive income, including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 hereof.</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7.7. Distributions; Investments</w:t>
      </w:r>
      <w:r>
        <w:rPr>
          <w:rFonts w:ascii="Arial" w:cs="Arial" w:eastAsia="Arial" w:hAnsi="Arial"/>
          <w:sz w:val="18"/>
          <w:szCs w:val="18"/>
          <w:color w:val="auto"/>
        </w:rPr>
        <w:t>. (a) Pay any dividends (other than dividends payable solely in capital stock) or make any distribution or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One Hundred Thousand Dollars ($100,000.00) in the aggregate per fiscal year) or (b) directly or indirectly make any Investment other than Permitted Investments, or permit any of its Subsidiaries to do so.</w:t>
      </w:r>
    </w:p>
    <w:p>
      <w:pPr>
        <w:spacing w:after="0" w:line="18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 Borrower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80" w:lineRule="exact"/>
        <w:rPr>
          <w:sz w:val="20"/>
          <w:szCs w:val="20"/>
          <w:color w:val="auto"/>
        </w:rPr>
      </w:pPr>
    </w:p>
    <w:p>
      <w:pPr>
        <w:jc w:val="both"/>
        <w:ind w:right="320" w:firstLine="456"/>
        <w:spacing w:after="0" w:line="289"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7.10. Compliance</w:t>
      </w:r>
      <w:r>
        <w:rPr>
          <w:rFonts w:ascii="Arial" w:cs="Arial" w:eastAsia="Arial" w:hAnsi="Arial"/>
          <w:sz w:val="18"/>
          <w:szCs w:val="18"/>
          <w:color w:val="auto"/>
        </w:rPr>
        <w:t>. Become an “investment company” or a company controlled by an “investment company”,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7.11. Compliance with Anti-Terrorism Laws</w:t>
      </w:r>
      <w:r>
        <w:rPr>
          <w:rFonts w:ascii="Arial" w:cs="Arial" w:eastAsia="Arial" w:hAnsi="Arial"/>
          <w:sz w:val="18"/>
          <w:szCs w:val="18"/>
          <w:color w:val="auto"/>
        </w:rPr>
        <w:t>. Collateral Agent hereby notifies Borrower and each of its Subsidiaries that pursuant to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711" w:name="page712"/>
    <w:bookmarkEnd w:id="711"/>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w:t>
      </w:r>
    </w:p>
    <w:p>
      <w:pPr>
        <w:spacing w:after="0" w:line="2" w:lineRule="exact"/>
        <w:rPr>
          <w:sz w:val="20"/>
          <w:szCs w:val="20"/>
          <w:color w:val="auto"/>
        </w:rPr>
      </w:pPr>
    </w:p>
    <w:p>
      <w:pPr>
        <w:ind w:right="20" w:firstLine="8"/>
        <w:spacing w:after="0" w:line="290" w:lineRule="auto"/>
        <w:tabs>
          <w:tab w:leader="none" w:pos="255" w:val="left"/>
        </w:tabs>
        <w:numPr>
          <w:ilvl w:val="0"/>
          <w:numId w:val="661"/>
        </w:numPr>
        <w:rPr>
          <w:rFonts w:ascii="Arial" w:cs="Arial" w:eastAsia="Arial" w:hAnsi="Arial"/>
          <w:sz w:val="16"/>
          <w:szCs w:val="16"/>
          <w:color w:val="auto"/>
        </w:rPr>
      </w:pPr>
      <w:r>
        <w:rPr>
          <w:rFonts w:ascii="Arial" w:cs="Arial" w:eastAsia="Arial" w:hAnsi="Arial"/>
          <w:sz w:val="16"/>
          <w:szCs w:val="16"/>
          <w:color w:val="auto"/>
        </w:rPr>
        <w:t>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309" w:lineRule="exact"/>
        <w:rPr>
          <w:sz w:val="20"/>
          <w:szCs w:val="20"/>
          <w:color w:val="auto"/>
        </w:rPr>
      </w:pPr>
    </w:p>
    <w:p>
      <w:pPr>
        <w:ind w:left="460" w:hanging="452"/>
        <w:spacing w:after="0"/>
        <w:tabs>
          <w:tab w:leader="none" w:pos="460" w:val="left"/>
        </w:tabs>
        <w:numPr>
          <w:ilvl w:val="0"/>
          <w:numId w:val="6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312" w:lineRule="auto"/>
        <w:tabs>
          <w:tab w:leader="none" w:pos="1158" w:val="left"/>
        </w:tabs>
        <w:numPr>
          <w:ilvl w:val="1"/>
          <w:numId w:val="663"/>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6.13 (Further Assurances) or Borrower violates any covenant in Section 7; or</w:t>
      </w:r>
    </w:p>
    <w:p>
      <w:pPr>
        <w:spacing w:after="0" w:line="146" w:lineRule="exact"/>
        <w:rPr>
          <w:rFonts w:ascii="Arial" w:cs="Arial" w:eastAsia="Arial" w:hAnsi="Arial"/>
          <w:sz w:val="16"/>
          <w:szCs w:val="16"/>
          <w:color w:val="auto"/>
        </w:rPr>
      </w:pPr>
    </w:p>
    <w:p>
      <w:pPr>
        <w:ind w:firstLine="921"/>
        <w:spacing w:after="0" w:line="285" w:lineRule="auto"/>
        <w:tabs>
          <w:tab w:leader="none" w:pos="1168" w:val="left"/>
        </w:tabs>
        <w:numPr>
          <w:ilvl w:val="1"/>
          <w:numId w:val="663"/>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w:t>
      </w:r>
    </w:p>
    <w:p>
      <w:pPr>
        <w:spacing w:after="0" w:line="2" w:lineRule="exact"/>
        <w:rPr>
          <w:rFonts w:ascii="Arial" w:cs="Arial" w:eastAsia="Arial" w:hAnsi="Arial"/>
          <w:sz w:val="16"/>
          <w:szCs w:val="16"/>
          <w:color w:val="auto"/>
        </w:rPr>
      </w:pPr>
    </w:p>
    <w:p>
      <w:pPr>
        <w:ind w:right="140" w:firstLine="8"/>
        <w:spacing w:after="0" w:line="255" w:lineRule="auto"/>
        <w:tabs>
          <w:tab w:leader="none" w:pos="345" w:val="left"/>
        </w:tabs>
        <w:numPr>
          <w:ilvl w:val="0"/>
          <w:numId w:val="664"/>
        </w:numPr>
        <w:rPr>
          <w:rFonts w:ascii="Arial" w:cs="Arial" w:eastAsia="Arial" w:hAnsi="Arial"/>
          <w:sz w:val="18"/>
          <w:szCs w:val="18"/>
          <w:color w:val="auto"/>
        </w:rPr>
      </w:pPr>
      <w:r>
        <w:rPr>
          <w:rFonts w:ascii="Arial" w:cs="Arial" w:eastAsia="Arial" w:hAnsi="Arial"/>
          <w:sz w:val="18"/>
          <w:szCs w:val="18"/>
          <w:color w:val="auto"/>
        </w:rPr>
        <w:t>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229" w:lineRule="exact"/>
        <w:rPr>
          <w:sz w:val="20"/>
          <w:szCs w:val="20"/>
          <w:color w:val="auto"/>
        </w:rPr>
      </w:pPr>
    </w:p>
    <w:p>
      <w:pPr>
        <w:ind w:right="160" w:firstLine="921"/>
        <w:spacing w:after="0" w:line="259" w:lineRule="auto"/>
        <w:tabs>
          <w:tab w:leader="none" w:pos="1158" w:val="left"/>
        </w:tabs>
        <w:numPr>
          <w:ilvl w:val="0"/>
          <w:numId w:val="665"/>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Authority and the same under subclauses (i)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712" w:name="page713"/>
    <w:bookmarkEnd w:id="712"/>
    <w:p>
      <w:pPr>
        <w:ind w:right="360" w:firstLine="8"/>
        <w:spacing w:after="0" w:line="277" w:lineRule="auto"/>
        <w:tabs>
          <w:tab w:leader="none" w:pos="265" w:val="left"/>
        </w:tabs>
        <w:numPr>
          <w:ilvl w:val="0"/>
          <w:numId w:val="6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are not, within ten (10) days after the occurrence thereof, discharged or stayed (whether through the posting of a bond or otherwise); provided, however, no Credit Extensions shall be made during any ten (10) day cure period; and</w:t>
      </w:r>
    </w:p>
    <w:p>
      <w:pPr>
        <w:spacing w:after="0" w:line="170" w:lineRule="exact"/>
        <w:rPr>
          <w:rFonts w:ascii="Arial" w:cs="Arial" w:eastAsia="Arial" w:hAnsi="Arial"/>
          <w:sz w:val="18"/>
          <w:szCs w:val="18"/>
          <w:color w:val="auto"/>
        </w:rPr>
      </w:pPr>
    </w:p>
    <w:p>
      <w:pPr>
        <w:ind w:right="100" w:firstLine="921"/>
        <w:spacing w:after="0" w:line="308" w:lineRule="auto"/>
        <w:tabs>
          <w:tab w:leader="none" w:pos="1168" w:val="left"/>
        </w:tabs>
        <w:numPr>
          <w:ilvl w:val="1"/>
          <w:numId w:val="666"/>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8.5. Insolvency</w:t>
      </w:r>
      <w:r>
        <w:rPr>
          <w:rFonts w:ascii="Arial" w:cs="Arial" w:eastAsia="Arial" w:hAnsi="Arial"/>
          <w:sz w:val="17"/>
          <w:szCs w:val="17"/>
          <w:color w:val="auto"/>
        </w:rPr>
        <w:t>. (a)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ind w:right="460" w:firstLine="456"/>
        <w:spacing w:after="0" w:line="289"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One Hundred Thousand Dollars ($100,000.00) or that could reasonably be expected to have a Material Adverse Change;</w:t>
      </w:r>
    </w:p>
    <w:p>
      <w:pPr>
        <w:spacing w:after="0" w:line="15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8.7. Judgments</w:t>
      </w:r>
      <w:r>
        <w:rPr>
          <w:rFonts w:ascii="Arial" w:cs="Arial" w:eastAsia="Arial" w:hAnsi="Arial"/>
          <w:sz w:val="16"/>
          <w:szCs w:val="16"/>
          <w:color w:val="auto"/>
        </w:rPr>
        <w:t>. One or more judgments, orders, or decrees for the payment of money in an amount, individually or in the aggregate, of at least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Dollars ($100,000.00)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51"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of its Subsidiaries or any Person acting for Borrower or any of its Subsidiaries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makes any 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or any of its Subsidiaries and any creditor of Borrower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8.10. Guaranty</w:t>
      </w:r>
      <w:r>
        <w:rPr>
          <w:rFonts w:ascii="Arial" w:cs="Arial" w:eastAsia="Arial" w:hAnsi="Arial"/>
          <w:sz w:val="18"/>
          <w:szCs w:val="18"/>
          <w:color w:val="auto"/>
        </w:rPr>
        <w:t>. (a) Any Guaranty terminates or ceases for any reason to be in full force and effect; (b) any Guarantor does not perform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covenant under any Guaranty; (c) any circumstance described in Sections 8.3, 8.4, 8.5, 8.7, or 8.8 occurs with respect to any Guarantor, or (d) the liquidation, winding up, or termination of existence of any Guarantor.</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8.11. Governmental Approvals</w:t>
      </w:r>
      <w:r>
        <w:rPr>
          <w:rFonts w:ascii="Arial" w:cs="Arial" w:eastAsia="Arial" w:hAnsi="Arial"/>
          <w:sz w:val="18"/>
          <w:szCs w:val="18"/>
          <w:color w:val="auto"/>
        </w:rPr>
        <w:t>. Any Governmental Approval shall have been revoked, rescinded, suspended, modified in an adverse manner,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w:t>
      </w:r>
    </w:p>
    <w:p>
      <w:pPr>
        <w:spacing w:after="0" w:line="176"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Any Lien created hereunder or by any other Loan Document shall at any time fail to constitute a valid and perfected Lien on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Collateral purported to be secured thereby, subject to no prior or equal Lien, other than Permitted Liens which are permitted to have priority in accordance with the terms of this Agreement.</w:t>
      </w:r>
    </w:p>
    <w:p>
      <w:pPr>
        <w:spacing w:after="0" w:line="325" w:lineRule="exact"/>
        <w:rPr>
          <w:sz w:val="20"/>
          <w:szCs w:val="20"/>
          <w:color w:val="auto"/>
        </w:rPr>
      </w:pPr>
    </w:p>
    <w:p>
      <w:pPr>
        <w:ind w:left="460" w:right="8800" w:hanging="452"/>
        <w:spacing w:after="0" w:line="425" w:lineRule="auto"/>
        <w:tabs>
          <w:tab w:leader="none" w:pos="449" w:val="left"/>
        </w:tabs>
        <w:numPr>
          <w:ilvl w:val="0"/>
          <w:numId w:val="6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RIGHTS AND REMEDIES </w:t>
      </w:r>
      <w:r>
        <w:rPr>
          <w:rFonts w:ascii="Arial" w:cs="Arial" w:eastAsia="Arial" w:hAnsi="Arial"/>
          <w:sz w:val="17"/>
          <w:szCs w:val="17"/>
          <w:b w:val="1"/>
          <w:bCs w:val="1"/>
          <w:color w:val="auto"/>
        </w:rPr>
        <w:t>9.1. Rights and Remedies</w:t>
      </w:r>
      <w:r>
        <w:rPr>
          <w:rFonts w:ascii="Arial" w:cs="Arial" w:eastAsia="Arial" w:hAnsi="Arial"/>
          <w:sz w:val="17"/>
          <w:szCs w:val="17"/>
          <w:color w:val="auto"/>
        </w:rPr>
        <w:t>.</w:t>
      </w: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713" w:name="page714"/>
    <w:bookmarkEnd w:id="713"/>
    <w:p>
      <w:pPr>
        <w:ind w:left="-20" w:right="100" w:firstLine="921"/>
        <w:spacing w:after="0" w:line="271" w:lineRule="auto"/>
        <w:tabs>
          <w:tab w:leader="none" w:pos="1138" w:val="left"/>
        </w:tabs>
        <w:numPr>
          <w:ilvl w:val="0"/>
          <w:numId w:val="6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left="-20" w:right="680" w:firstLine="921"/>
        <w:spacing w:after="0" w:line="308" w:lineRule="auto"/>
        <w:tabs>
          <w:tab w:leader="none" w:pos="1148" w:val="left"/>
        </w:tabs>
        <w:numPr>
          <w:ilvl w:val="0"/>
          <w:numId w:val="668"/>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1680" w:hanging="208"/>
        <w:spacing w:after="0"/>
        <w:tabs>
          <w:tab w:leader="none" w:pos="168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20" w:right="160" w:firstLine="1492"/>
        <w:spacing w:after="0" w:line="277" w:lineRule="auto"/>
        <w:tabs>
          <w:tab w:leader="none" w:pos="1728" w:val="left"/>
        </w:tabs>
        <w:numPr>
          <w:ilvl w:val="1"/>
          <w:numId w:val="668"/>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rFonts w:ascii="Arial" w:cs="Arial" w:eastAsia="Arial" w:hAnsi="Arial"/>
          <w:sz w:val="18"/>
          <w:szCs w:val="18"/>
          <w:color w:val="auto"/>
        </w:rPr>
      </w:pPr>
    </w:p>
    <w:p>
      <w:pPr>
        <w:ind w:left="1780" w:hanging="308"/>
        <w:spacing w:after="0"/>
        <w:tabs>
          <w:tab w:leader="none" w:pos="178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commence and prosecute an Insolvency Proceeding or consent to Borrower commencing any Insolvency Proceeding.</w:t>
      </w:r>
    </w:p>
    <w:p>
      <w:pPr>
        <w:spacing w:after="0" w:line="225" w:lineRule="exact"/>
        <w:rPr>
          <w:rFonts w:ascii="Arial" w:cs="Arial" w:eastAsia="Arial" w:hAnsi="Arial"/>
          <w:sz w:val="18"/>
          <w:szCs w:val="18"/>
          <w:color w:val="auto"/>
        </w:rPr>
      </w:pPr>
    </w:p>
    <w:p>
      <w:pPr>
        <w:ind w:left="-20" w:right="60" w:firstLine="921"/>
        <w:spacing w:after="0" w:line="308" w:lineRule="auto"/>
        <w:tabs>
          <w:tab w:leader="none" w:pos="1138" w:val="left"/>
        </w:tabs>
        <w:numPr>
          <w:ilvl w:val="0"/>
          <w:numId w:val="668"/>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20" w:right="220" w:firstLine="1492"/>
        <w:spacing w:after="0" w:line="342" w:lineRule="auto"/>
        <w:tabs>
          <w:tab w:leader="none" w:pos="1678" w:val="left"/>
        </w:tabs>
        <w:numPr>
          <w:ilvl w:val="1"/>
          <w:numId w:val="668"/>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3" w:lineRule="exact"/>
        <w:rPr>
          <w:rFonts w:ascii="Arial" w:cs="Arial" w:eastAsia="Arial" w:hAnsi="Arial"/>
          <w:sz w:val="16"/>
          <w:szCs w:val="16"/>
          <w:color w:val="auto"/>
        </w:rPr>
      </w:pPr>
    </w:p>
    <w:p>
      <w:pPr>
        <w:ind w:left="-20" w:firstLine="1492"/>
        <w:spacing w:after="0" w:line="276" w:lineRule="auto"/>
        <w:tabs>
          <w:tab w:leader="none" w:pos="1728" w:val="left"/>
        </w:tabs>
        <w:numPr>
          <w:ilvl w:val="1"/>
          <w:numId w:val="668"/>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72" w:lineRule="exact"/>
        <w:rPr>
          <w:rFonts w:ascii="Arial" w:cs="Arial" w:eastAsia="Arial" w:hAnsi="Arial"/>
          <w:sz w:val="17"/>
          <w:szCs w:val="17"/>
          <w:color w:val="auto"/>
        </w:rPr>
      </w:pPr>
    </w:p>
    <w:p>
      <w:pPr>
        <w:ind w:left="-20" w:right="40" w:firstLine="1492"/>
        <w:spacing w:after="0" w:line="255" w:lineRule="auto"/>
        <w:tabs>
          <w:tab w:leader="none" w:pos="1778" w:val="left"/>
        </w:tabs>
        <w:numPr>
          <w:ilvl w:val="1"/>
          <w:numId w:val="668"/>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3" w:lineRule="exact"/>
        <w:rPr>
          <w:rFonts w:ascii="Arial" w:cs="Arial" w:eastAsia="Arial" w:hAnsi="Arial"/>
          <w:sz w:val="18"/>
          <w:szCs w:val="18"/>
          <w:color w:val="auto"/>
        </w:rPr>
      </w:pPr>
    </w:p>
    <w:p>
      <w:pPr>
        <w:ind w:left="-20" w:right="420" w:firstLine="1492"/>
        <w:spacing w:after="0" w:line="342" w:lineRule="auto"/>
        <w:tabs>
          <w:tab w:leader="none" w:pos="1768" w:val="left"/>
        </w:tabs>
        <w:numPr>
          <w:ilvl w:val="1"/>
          <w:numId w:val="668"/>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720" w:hanging="248"/>
        <w:spacing w:after="0"/>
        <w:tabs>
          <w:tab w:leader="none" w:pos="172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714" w:name="page715"/>
    <w:bookmarkEnd w:id="714"/>
    <w:p>
      <w:pPr>
        <w:ind w:firstLine="1492"/>
        <w:spacing w:after="0" w:line="264" w:lineRule="auto"/>
        <w:tabs>
          <w:tab w:leader="none" w:pos="1788" w:val="left"/>
        </w:tabs>
        <w:numPr>
          <w:ilvl w:val="0"/>
          <w:numId w:val="6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181" w:lineRule="exact"/>
        <w:rPr>
          <w:rFonts w:ascii="Arial" w:cs="Arial" w:eastAsia="Arial" w:hAnsi="Arial"/>
          <w:sz w:val="18"/>
          <w:szCs w:val="18"/>
          <w:color w:val="auto"/>
        </w:rPr>
      </w:pPr>
    </w:p>
    <w:p>
      <w:pPr>
        <w:ind w:right="420" w:firstLine="1492"/>
        <w:spacing w:after="0" w:line="342" w:lineRule="auto"/>
        <w:tabs>
          <w:tab w:leader="none" w:pos="1838" w:val="left"/>
        </w:tabs>
        <w:numPr>
          <w:ilvl w:val="0"/>
          <w:numId w:val="669"/>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3" w:lineRule="exact"/>
        <w:rPr>
          <w:rFonts w:ascii="Arial" w:cs="Arial" w:eastAsia="Arial" w:hAnsi="Arial"/>
          <w:sz w:val="16"/>
          <w:szCs w:val="16"/>
          <w:color w:val="auto"/>
        </w:rPr>
      </w:pPr>
    </w:p>
    <w:p>
      <w:pPr>
        <w:ind w:right="40" w:firstLine="1492"/>
        <w:spacing w:after="0" w:line="293" w:lineRule="auto"/>
        <w:tabs>
          <w:tab w:leader="none" w:pos="1888" w:val="left"/>
        </w:tabs>
        <w:numPr>
          <w:ilvl w:val="0"/>
          <w:numId w:val="669"/>
        </w:numPr>
        <w:rPr>
          <w:rFonts w:ascii="Arial" w:cs="Arial" w:eastAsia="Arial" w:hAnsi="Arial"/>
          <w:sz w:val="16"/>
          <w:szCs w:val="16"/>
          <w:color w:val="auto"/>
        </w:rPr>
      </w:pPr>
      <w:r>
        <w:rPr>
          <w:rFonts w:ascii="Arial" w:cs="Arial" w:eastAsia="Arial" w:hAnsi="Arial"/>
          <w:sz w:val="16"/>
          <w:szCs w:val="16"/>
          <w:color w:val="auto"/>
        </w:rPr>
        <w:t>for any Letters of Credit, demand that Borrower (i) deposit cash with Bank in an amount equal to (x) if such Letters of Credit are denominated in Dollars, then one hundred five percent (105%); and (y) if such Letters of Credit are denominated in a Foreign Currency, then one hundred ten percent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and(ii) pay in advance all letter of credit fees scheduled to be paid or payable over the remaining term of any Letters of Credit; and</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Collateral Agent as its lawful attorney-in-fact, exercisable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the Lien Termination Date. Collateral Agent’s foregoing appointment as Borrower’s or any of its Subsidiaries’ attorney in fact, and all of Collateral Agent’s rights and powers, coupled with an interest, are irrevocable until the Lien Termination Date.</w:t>
      </w:r>
    </w:p>
    <w:p>
      <w:pPr>
        <w:spacing w:after="0" w:line="17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715" w:name="page716"/>
    <w:bookmarkEnd w:id="715"/>
    <w:p>
      <w:pPr>
        <w:ind w:right="20" w:firstLine="45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9.4. Application of Payments and Proceeds</w:t>
      </w:r>
      <w:r>
        <w:rPr>
          <w:rFonts w:ascii="Arial" w:cs="Arial" w:eastAsia="Arial" w:hAnsi="Arial"/>
          <w:sz w:val="16"/>
          <w:szCs w:val="16"/>
          <w:color w:val="auto"/>
        </w:rPr>
        <w:t>. Notwithstanding anything to the contrary contained in this Agreement,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9.5. Liability for Collateral</w:t>
      </w:r>
      <w:r>
        <w:rPr>
          <w:rFonts w:ascii="Arial" w:cs="Arial" w:eastAsia="Arial" w:hAnsi="Arial"/>
          <w:sz w:val="16"/>
          <w:szCs w:val="16"/>
          <w:color w:val="auto"/>
        </w:rPr>
        <w:t>. So long as Collateral Agent and the Lenders comply with reasonable banking practices regarding the safekeeping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Collateral in the possession or under the control of Collateral Agent and the Lenders, Collateral Agent and the Lenders shall not be liable or responsible for:</w:t>
      </w:r>
    </w:p>
    <w:p>
      <w:pPr>
        <w:spacing w:after="0" w:line="32" w:lineRule="exact"/>
        <w:rPr>
          <w:sz w:val="20"/>
          <w:szCs w:val="20"/>
          <w:color w:val="auto"/>
        </w:rPr>
      </w:pPr>
    </w:p>
    <w:p>
      <w:pPr>
        <w:ind w:firstLine="8"/>
        <w:spacing w:after="0" w:line="261" w:lineRule="auto"/>
        <w:tabs>
          <w:tab w:leader="none" w:pos="245"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9.6. No Waiver; Remedies Cumulative</w:t>
      </w:r>
      <w:r>
        <w:rPr>
          <w:rFonts w:ascii="Arial" w:cs="Arial" w:eastAsia="Arial" w:hAnsi="Arial"/>
          <w:sz w:val="18"/>
          <w:szCs w:val="18"/>
          <w:color w:val="auto"/>
        </w:rPr>
        <w:t>. Failure by Collateral Agent or any Lender, at any time or times, to require strict performance by Borrower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1" w:right="299" w:bottom="1440" w:gutter="0" w:footer="0" w:header="0"/>
        </w:sectPr>
      </w:pPr>
    </w:p>
    <w:bookmarkStart w:id="716" w:name="page717"/>
    <w:bookmarkEnd w:id="71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compromise, settlement, extension, or renewal of accounts, documents, instruments, chattel paper, and guarantees held by Collateral Agent or any Lender on which Borrower or any Subsidiary is liable.</w:t>
      </w:r>
    </w:p>
    <w:p>
      <w:pPr>
        <w:spacing w:after="0" w:line="315" w:lineRule="exact"/>
        <w:rPr>
          <w:sz w:val="20"/>
          <w:szCs w:val="20"/>
          <w:color w:val="auto"/>
        </w:rPr>
      </w:pPr>
    </w:p>
    <w:p>
      <w:pPr>
        <w:ind w:left="460" w:hanging="452"/>
        <w:spacing w:after="0"/>
        <w:tabs>
          <w:tab w:leader="none" w:pos="460" w:val="left"/>
        </w:tabs>
        <w:numPr>
          <w:ilvl w:val="0"/>
          <w:numId w:val="6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w:t>
      </w:r>
    </w:p>
    <w:p>
      <w:pPr>
        <w:spacing w:after="0" w:line="1" w:lineRule="exact"/>
        <w:rPr>
          <w:sz w:val="20"/>
          <w:szCs w:val="20"/>
          <w:color w:val="auto"/>
        </w:rPr>
      </w:pPr>
    </w:p>
    <w:p>
      <w:pPr>
        <w:ind w:firstLine="8"/>
        <w:spacing w:after="0" w:line="252" w:lineRule="auto"/>
        <w:tabs>
          <w:tab w:leader="none" w:pos="255" w:val="left"/>
        </w:tabs>
        <w:numPr>
          <w:ilvl w:val="0"/>
          <w:numId w:val="672"/>
        </w:numPr>
        <w:rPr>
          <w:rFonts w:ascii="Arial" w:cs="Arial" w:eastAsia="Arial" w:hAnsi="Arial"/>
          <w:sz w:val="18"/>
          <w:szCs w:val="18"/>
          <w:color w:val="auto"/>
        </w:rPr>
      </w:pPr>
      <w:r>
        <w:rPr>
          <w:rFonts w:ascii="Arial" w:cs="Arial" w:eastAsia="Arial" w:hAnsi="Arial"/>
          <w:sz w:val="18"/>
          <w:szCs w:val="18"/>
          <w:color w:val="auto"/>
        </w:rPr>
        <w:t>Business Days after deposit in the U.S. mail, first class, registered or certified mail return receipt requested, with proper postage prepaid; (b) upon transmission, when sent by facsimile transmission, provided however, that if such transmission is not on a Business Day, on the next Business Day after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221"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If to Borrower:</w:t>
      </w:r>
      <w:r>
        <w:rPr>
          <w:sz w:val="20"/>
          <w:szCs w:val="20"/>
          <w:color w:val="auto"/>
        </w:rPr>
        <w:tab/>
      </w:r>
      <w:r>
        <w:rPr>
          <w:rFonts w:ascii="Arial" w:cs="Arial" w:eastAsia="Arial" w:hAnsi="Arial"/>
          <w:sz w:val="17"/>
          <w:szCs w:val="17"/>
          <w:color w:val="auto"/>
        </w:rPr>
        <w:t>ANAPTYSBIO, INC.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366-9055</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hsuria@anaptysbio.com</w:t>
      </w:r>
    </w:p>
    <w:p>
      <w:pPr>
        <w:sectPr>
          <w:pgSz w:w="11900" w:h="16838" w:orient="portrait"/>
          <w:cols w:equalWidth="0" w:num="1">
            <w:col w:w="11360"/>
          </w:cols>
          <w:pgMar w:left="240" w:top="274" w:right="299" w:bottom="1440" w:gutter="0" w:footer="0" w:header="0"/>
        </w:sectPr>
      </w:pPr>
    </w:p>
    <w:p>
      <w:pPr>
        <w:spacing w:after="0" w:line="116"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mrossiter@fenwick.com</w:t>
      </w:r>
    </w:p>
    <w:p>
      <w:pPr>
        <w:spacing w:after="0" w:line="139" w:lineRule="exact"/>
        <w:rPr>
          <w:sz w:val="20"/>
          <w:szCs w:val="20"/>
          <w:color w:val="auto"/>
        </w:rPr>
      </w:pPr>
    </w:p>
    <w:p>
      <w:pPr>
        <w:sectPr>
          <w:pgSz w:w="11900" w:h="16838" w:orient="portrait"/>
          <w:cols w:equalWidth="0" w:num="2">
            <w:col w:w="3080" w:space="720"/>
            <w:col w:w="7560"/>
          </w:cols>
          <w:pgMar w:left="240" w:top="274" w:right="299" w:bottom="1440" w:gutter="0" w:footer="0" w:header="0"/>
          <w:type w:val="continuous"/>
        </w:sectPr>
      </w:pPr>
    </w:p>
    <w:p>
      <w:pPr>
        <w:ind w:left="920"/>
        <w:spacing w:after="0"/>
        <w:tabs>
          <w:tab w:leader="none" w:pos="3780"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7"/>
          <w:szCs w:val="17"/>
          <w:color w:val="auto"/>
        </w:rPr>
        <w:t>OXFORD FINANCE LLC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133 North Fairfax Street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Alexandria, Virginia 22314</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(703) 519-5225</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LegalDepartment@oxfordfinance.com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8"/>
          <w:szCs w:val="18"/>
          <w:color w:val="auto"/>
        </w:rPr>
        <w:t>SILICON VALLEY BANK</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4370 La Jolla Village Drive, Suite 1050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92122</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Michael White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784-3310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mwhite@svb.com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(which shall not</w:t>
      </w:r>
      <w:r>
        <w:rPr>
          <w:sz w:val="20"/>
          <w:szCs w:val="20"/>
          <w:color w:val="auto"/>
        </w:rPr>
        <w:tab/>
      </w:r>
      <w:r>
        <w:rPr>
          <w:rFonts w:ascii="Arial" w:cs="Arial" w:eastAsia="Arial" w:hAnsi="Arial"/>
          <w:sz w:val="17"/>
          <w:szCs w:val="17"/>
          <w:color w:val="auto"/>
        </w:rPr>
        <w:t>Cooley LLP</w:t>
      </w:r>
    </w:p>
    <w:p>
      <w:pPr>
        <w:spacing w:after="0" w:line="23"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constitute notice) to:</w:t>
      </w:r>
      <w:r>
        <w:rPr>
          <w:sz w:val="20"/>
          <w:szCs w:val="20"/>
          <w:color w:val="auto"/>
        </w:rPr>
        <w:tab/>
      </w:r>
      <w:r>
        <w:rPr>
          <w:rFonts w:ascii="Arial" w:cs="Arial" w:eastAsia="Arial" w:hAnsi="Arial"/>
          <w:sz w:val="16"/>
          <w:szCs w:val="16"/>
          <w:color w:val="auto"/>
        </w:rPr>
        <w:t>4401 Eastgate Mall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92121-1909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George Samuel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550 6420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gsamuel@cooley.com</w:t>
      </w:r>
    </w:p>
    <w:p>
      <w:pPr>
        <w:spacing w:after="0" w:line="369" w:lineRule="exact"/>
        <w:rPr>
          <w:sz w:val="20"/>
          <w:szCs w:val="20"/>
          <w:color w:val="auto"/>
        </w:rPr>
      </w:pPr>
    </w:p>
    <w:p>
      <w:pPr>
        <w:ind w:left="460" w:hanging="452"/>
        <w:spacing w:after="0"/>
        <w:tabs>
          <w:tab w:leader="none" w:pos="460" w:val="left"/>
        </w:tabs>
        <w:numPr>
          <w:ilvl w:val="0"/>
          <w:numId w:val="6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California law governs the Loan Documents without regard to principles of conflicts of law. Borrower, Collateral Agent and each Lender each submit to the exclusive jurisdiction of the State and Federal courts in Santa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type w:val="continuous"/>
        </w:sectPr>
      </w:pPr>
    </w:p>
    <w:bookmarkStart w:id="717" w:name="page718"/>
    <w:bookmarkEnd w:id="71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8"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336" w:lineRule="exact"/>
        <w:rPr>
          <w:sz w:val="20"/>
          <w:szCs w:val="20"/>
          <w:color w:val="auto"/>
        </w:rPr>
      </w:pPr>
    </w:p>
    <w:p>
      <w:pPr>
        <w:ind w:left="460" w:hanging="452"/>
        <w:spacing w:after="0"/>
        <w:tabs>
          <w:tab w:leader="none" w:pos="460" w:val="left"/>
        </w:tabs>
        <w:numPr>
          <w:ilvl w:val="0"/>
          <w:numId w:val="6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718" w:name="page719"/>
    <w:bookmarkEnd w:id="71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12.5. Correction of Loan Documents</w:t>
      </w:r>
      <w:r>
        <w:rPr>
          <w:rFonts w:ascii="Arial" w:cs="Arial" w:eastAsia="Arial" w:hAnsi="Arial"/>
          <w:sz w:val="18"/>
          <w:szCs w:val="18"/>
          <w:color w:val="auto"/>
        </w:rPr>
        <w:t>. 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consistent with the agreement of the parties.</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b w:val="1"/>
          <w:bCs w:val="1"/>
          <w:color w:val="auto"/>
        </w:rPr>
        <w:t>12.6. Amendments in Writing; Integration</w:t>
      </w:r>
      <w:r>
        <w:rPr>
          <w:rFonts w:ascii="Arial" w:cs="Arial" w:eastAsia="Arial" w:hAnsi="Arial"/>
          <w:sz w:val="17"/>
          <w:szCs w:val="17"/>
          <w:color w:val="auto"/>
        </w:rPr>
        <w:t>. (a) No amendment, modification, termination or waiver of any provision of this Agreement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700" w:firstLine="1492"/>
        <w:spacing w:after="0" w:line="277" w:lineRule="auto"/>
        <w:tabs>
          <w:tab w:leader="none" w:pos="1698" w:val="left"/>
        </w:tabs>
        <w:numPr>
          <w:ilvl w:val="0"/>
          <w:numId w:val="675"/>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right="400" w:firstLine="1492"/>
        <w:spacing w:after="0" w:line="277" w:lineRule="auto"/>
        <w:tabs>
          <w:tab w:leader="none" w:pos="1748" w:val="left"/>
        </w:tabs>
        <w:numPr>
          <w:ilvl w:val="0"/>
          <w:numId w:val="675"/>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5" w:right="259" w:bottom="1440" w:gutter="0" w:footer="0" w:header="0"/>
        </w:sectPr>
      </w:pPr>
    </w:p>
    <w:bookmarkStart w:id="719" w:name="page720"/>
    <w:bookmarkEnd w:id="719"/>
    <w:p>
      <w:pPr>
        <w:ind w:firstLine="1492"/>
        <w:spacing w:after="0" w:line="285" w:lineRule="auto"/>
        <w:tabs>
          <w:tab w:leader="none" w:pos="1798" w:val="left"/>
        </w:tabs>
        <w:numPr>
          <w:ilvl w:val="1"/>
          <w:numId w:val="6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77" w:lineRule="exact"/>
        <w:rPr>
          <w:rFonts w:ascii="Arial" w:cs="Arial" w:eastAsia="Arial" w:hAnsi="Arial"/>
          <w:sz w:val="16"/>
          <w:szCs w:val="16"/>
          <w:color w:val="auto"/>
        </w:rPr>
      </w:pPr>
    </w:p>
    <w:p>
      <w:pPr>
        <w:jc w:val="both"/>
        <w:ind w:right="160" w:firstLine="1492"/>
        <w:spacing w:after="0" w:line="264" w:lineRule="auto"/>
        <w:tabs>
          <w:tab w:leader="none" w:pos="1788" w:val="left"/>
        </w:tabs>
        <w:numPr>
          <w:ilvl w:val="1"/>
          <w:numId w:val="676"/>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1"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677"/>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ind w:right="620" w:firstLine="921"/>
        <w:spacing w:after="0" w:line="264" w:lineRule="auto"/>
        <w:tabs>
          <w:tab w:leader="none" w:pos="1158"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12.7. 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All covenants, representations and warranties made in this Agreement continue in full force and effect until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pursuant to its terms and the Lien Termination Date has occurred. Without limiting the foregoing, except as otherwise provided in Section 4.1, the grant of security interest by Borrower in Section 4.1 shall survive until the termination of all Bank Services Agreements.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12.9. Confidentiality</w:t>
      </w:r>
      <w:r>
        <w:rPr>
          <w:rFonts w:ascii="Arial" w:cs="Arial" w:eastAsia="Arial" w:hAnsi="Arial"/>
          <w:sz w:val="16"/>
          <w:szCs w:val="16"/>
          <w:color w:val="auto"/>
        </w:rPr>
        <w:t>. In handling any confidential information of Borrower, the Lenders and Collateral Agent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5" w:right="259" w:bottom="1440" w:gutter="0" w:footer="0" w:header="0"/>
        </w:sectPr>
      </w:pPr>
    </w:p>
    <w:bookmarkStart w:id="720" w:name="page721"/>
    <w:bookmarkEnd w:id="720"/>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7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12.10. Right of Set Off</w:t>
      </w:r>
      <w:r>
        <w:rPr>
          <w:rFonts w:ascii="Arial" w:cs="Arial" w:eastAsia="Arial" w:hAnsi="Arial"/>
          <w:sz w:val="17"/>
          <w:szCs w:val="17"/>
          <w:color w:val="auto"/>
        </w:rPr>
        <w:t>. Borrower hereby grants to Collateral Agent and to each Lender, a lien, security interest and right of set off as security for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12.11. Silicon Valley Bank as Agent. </w:t>
      </w:r>
      <w:r>
        <w:rPr>
          <w:rFonts w:ascii="Arial" w:cs="Arial" w:eastAsia="Arial" w:hAnsi="Arial"/>
          <w:sz w:val="18"/>
          <w:szCs w:val="18"/>
          <w:color w:val="auto"/>
        </w:rPr>
        <w:t>Collateral Agent hereby appoints SVB as its agent (and SVB hereby accepts such appointment)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perfecting Collateral Agent’s Liens in assets which, in accordance with Article 8 or Article 9, as applicable, of the Code can be perfected by possession or control, including without limitation, all deposit accounts maintained at SVB.</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12.12. Cooperation of Borrower</w:t>
      </w:r>
      <w:r>
        <w:rPr>
          <w:rFonts w:ascii="Arial" w:cs="Arial" w:eastAsia="Arial" w:hAnsi="Arial"/>
          <w:sz w:val="16"/>
          <w:szCs w:val="16"/>
          <w:color w:val="auto"/>
        </w:rPr>
        <w:t>. If necessary, Borrower agrees to (i) execute any documents (including new Secured Promissory Notes)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effectuate and acknowledge each assignment of a Term Loan Commitment or Loan to an assignee in accordance with Section 12.1, (ii) make Borrower’s management available to meet with Collateral Agent and prospective participants and assignees of Term Loan Commitments or Credit Extensions (which meetings shall be conducted no more often once every six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309" w:lineRule="exact"/>
        <w:rPr>
          <w:sz w:val="20"/>
          <w:szCs w:val="20"/>
          <w:color w:val="auto"/>
        </w:rPr>
      </w:pPr>
    </w:p>
    <w:p>
      <w:pPr>
        <w:ind w:left="460" w:hanging="452"/>
        <w:spacing w:after="0"/>
        <w:tabs>
          <w:tab w:leader="none" w:pos="460" w:val="left"/>
        </w:tabs>
        <w:numPr>
          <w:ilvl w:val="0"/>
          <w:numId w:val="6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this Agreement, the following terms have the following meanings:</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721" w:name="page722"/>
    <w:bookmarkEnd w:id="7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February 1, 2016, but if the Term B Loans are advanced, such date shall be August 1, 2016 and if the Term C Loans are advanced, such date shall be February 1, 2017.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3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Australia Subsidiary</w:t>
      </w:r>
      <w:r>
        <w:rPr>
          <w:rFonts w:ascii="Arial" w:cs="Arial" w:eastAsia="Arial" w:hAnsi="Arial"/>
          <w:sz w:val="17"/>
          <w:szCs w:val="17"/>
          <w:color w:val="auto"/>
        </w:rPr>
        <w:t>” means that certain Subsidiary of Borrower to be formed under the laws of Australia in accordance with the provisions of this Agreement and based substantially on the terms and conditions as provided to Collateral Agent and Lenders in writing as of the date hereof.</w:t>
      </w:r>
    </w:p>
    <w:p>
      <w:pPr>
        <w:spacing w:after="0" w:line="13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Rate</w:t>
      </w:r>
      <w:r>
        <w:rPr>
          <w:rFonts w:ascii="Arial" w:cs="Arial" w:eastAsia="Arial" w:hAnsi="Arial"/>
          <w:sz w:val="16"/>
          <w:szCs w:val="16"/>
          <w:color w:val="auto"/>
        </w:rPr>
        <w:t>” is, with respect to a Term Loan, the per annum rate of interest (based on a year of three hundred sixty (360) days) equal to the greater of</w:t>
      </w:r>
    </w:p>
    <w:p>
      <w:pPr>
        <w:spacing w:after="0" w:line="50" w:lineRule="exact"/>
        <w:rPr>
          <w:sz w:val="20"/>
          <w:szCs w:val="20"/>
          <w:color w:val="auto"/>
        </w:rPr>
      </w:pPr>
    </w:p>
    <w:p>
      <w:pPr>
        <w:ind w:left="220" w:hanging="212"/>
        <w:spacing w:after="0"/>
        <w:tabs>
          <w:tab w:leader="none" w:pos="220" w:val="left"/>
        </w:tabs>
        <w:numPr>
          <w:ilvl w:val="0"/>
          <w:numId w:val="679"/>
        </w:numPr>
        <w:rPr>
          <w:rFonts w:ascii="Arial" w:cs="Arial" w:eastAsia="Arial" w:hAnsi="Arial"/>
          <w:sz w:val="17"/>
          <w:szCs w:val="17"/>
          <w:color w:val="auto"/>
        </w:rPr>
      </w:pPr>
      <w:r>
        <w:rPr>
          <w:rFonts w:ascii="Arial" w:cs="Arial" w:eastAsia="Arial" w:hAnsi="Arial"/>
          <w:sz w:val="17"/>
          <w:szCs w:val="17"/>
          <w:color w:val="auto"/>
        </w:rPr>
        <w:t xml:space="preserve">six and ninety five hundredths percent (6.95%) and (ii) the sum of (a) the three (3) month U.S. LIBOR rate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three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(3) Business Days prior to the Funding Date of such Term Loan (which shall not, in any case, be less than twenty three hundredths percent (0.23%), plus</w:t>
      </w:r>
    </w:p>
    <w:p>
      <w:pPr>
        <w:spacing w:after="0" w:line="32" w:lineRule="exact"/>
        <w:rPr>
          <w:rFonts w:ascii="Arial" w:cs="Arial" w:eastAsia="Arial" w:hAnsi="Arial"/>
          <w:sz w:val="17"/>
          <w:szCs w:val="17"/>
          <w:color w:val="auto"/>
        </w:rPr>
      </w:pPr>
    </w:p>
    <w:p>
      <w:pPr>
        <w:ind w:left="260" w:hanging="252"/>
        <w:spacing w:after="0"/>
        <w:tabs>
          <w:tab w:leader="none" w:pos="26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six and seventy two hundredths percent (6.72%).</w:t>
      </w:r>
    </w:p>
    <w:p>
      <w:pPr>
        <w:spacing w:after="0" w:line="20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w:t>
      </w:r>
    </w:p>
    <w:p>
      <w:pPr>
        <w:spacing w:after="0" w:line="1" w:lineRule="exact"/>
        <w:rPr>
          <w:sz w:val="20"/>
          <w:szCs w:val="20"/>
          <w:color w:val="auto"/>
        </w:rPr>
      </w:pPr>
    </w:p>
    <w:p>
      <w:pPr>
        <w:ind w:right="600" w:firstLine="8"/>
        <w:spacing w:after="0" w:line="255" w:lineRule="auto"/>
        <w:tabs>
          <w:tab w:leader="none" w:pos="245" w:val="left"/>
        </w:tabs>
        <w:numPr>
          <w:ilvl w:val="0"/>
          <w:numId w:val="681"/>
        </w:numPr>
        <w:rPr>
          <w:rFonts w:ascii="Arial" w:cs="Arial" w:eastAsia="Arial" w:hAnsi="Arial"/>
          <w:sz w:val="18"/>
          <w:szCs w:val="18"/>
          <w:color w:val="auto"/>
        </w:rPr>
      </w:pPr>
      <w:r>
        <w:rPr>
          <w:rFonts w:ascii="Arial" w:cs="Arial" w:eastAsia="Arial" w:hAnsi="Arial"/>
          <w:sz w:val="18"/>
          <w:szCs w:val="18"/>
          <w:color w:val="auto"/>
        </w:rPr>
        <w:t>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722" w:name="page723"/>
    <w:bookmarkEnd w:id="7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7"/>
          <w:szCs w:val="17"/>
          <w:b w:val="1"/>
          <w:bCs w:val="1"/>
          <w:color w:val="auto"/>
        </w:rPr>
        <w:t>Auction Rate Security</w:t>
      </w:r>
      <w:r>
        <w:rPr>
          <w:rFonts w:ascii="Arial" w:cs="Arial" w:eastAsia="Arial" w:hAnsi="Arial"/>
          <w:sz w:val="17"/>
          <w:szCs w:val="17"/>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723" w:name="page724"/>
    <w:bookmarkEnd w:id="723"/>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IP</w:t>
      </w:r>
      <w:r>
        <w:rPr>
          <w:rFonts w:ascii="Arial" w:cs="Arial" w:eastAsia="Arial" w:hAnsi="Arial"/>
          <w:sz w:val="18"/>
          <w:szCs w:val="18"/>
          <w:color w:val="auto"/>
        </w:rPr>
        <w:t>” means Intellectual Property required to protect Borrower’s (i) existing somatic hypermutation technology platform as utilized on an on-going basis for antibody development, (ii) antibody product programs actively being pursued as part of the company’s internal or partnered pipeline, including but without limitation the anti-IL-33 and anti-IL-36R antibody programs, and (iii) future acquired or developed Intellectual Property that is material to Borrower’s then-current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XXXX046061, maintained with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724" w:name="page725"/>
    <w:bookmarkEnd w:id="724"/>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w:t>
      </w:r>
    </w:p>
    <w:p>
      <w:pPr>
        <w:spacing w:after="0" w:line="2" w:lineRule="exact"/>
        <w:rPr>
          <w:sz w:val="20"/>
          <w:szCs w:val="20"/>
          <w:color w:val="auto"/>
        </w:rPr>
      </w:pPr>
    </w:p>
    <w:p>
      <w:pPr>
        <w:ind w:right="80" w:firstLine="8"/>
        <w:spacing w:after="0" w:line="268" w:lineRule="auto"/>
        <w:tabs>
          <w:tab w:leader="none" w:pos="215" w:val="left"/>
        </w:tabs>
        <w:numPr>
          <w:ilvl w:val="0"/>
          <w:numId w:val="682"/>
        </w:numPr>
        <w:rPr>
          <w:rFonts w:ascii="Arial" w:cs="Arial" w:eastAsia="Arial" w:hAnsi="Arial"/>
          <w:sz w:val="17"/>
          <w:szCs w:val="17"/>
          <w:color w:val="auto"/>
        </w:rPr>
      </w:pPr>
      <w:r>
        <w:rPr>
          <w:rFonts w:ascii="Arial" w:cs="Arial" w:eastAsia="Arial" w:hAnsi="Arial"/>
          <w:sz w:val="17"/>
          <w:szCs w:val="17"/>
          <w:color w:val="auto"/>
        </w:rPr>
        <w:t>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five percent (5.00%).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or territory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725" w:name="page726"/>
    <w:bookmarkEnd w:id="725"/>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6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1160" w:hanging="239"/>
        <w:spacing w:after="0"/>
        <w:tabs>
          <w:tab w:leader="none" w:pos="116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83"/>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160" w:hanging="239"/>
        <w:spacing w:after="0"/>
        <w:tabs>
          <w:tab w:leader="none" w:pos="116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40" w:firstLine="921"/>
        <w:spacing w:after="0" w:line="308" w:lineRule="auto"/>
        <w:tabs>
          <w:tab w:leader="none" w:pos="1158" w:val="left"/>
        </w:tabs>
        <w:numPr>
          <w:ilvl w:val="0"/>
          <w:numId w:val="684"/>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 Patents.</w:t>
      </w:r>
    </w:p>
    <w:p>
      <w:pPr>
        <w:spacing w:after="0" w:line="146" w:lineRule="exact"/>
        <w:rPr>
          <w:rFonts w:ascii="Arial" w:cs="Arial" w:eastAsia="Arial" w:hAnsi="Arial"/>
          <w:sz w:val="17"/>
          <w:szCs w:val="17"/>
          <w:color w:val="auto"/>
        </w:rPr>
      </w:pPr>
    </w:p>
    <w:p>
      <w:pPr>
        <w:ind w:left="1140" w:hanging="219"/>
        <w:spacing w:after="0"/>
        <w:tabs>
          <w:tab w:leader="none" w:pos="114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4" w:right="319" w:bottom="1440" w:gutter="0" w:footer="0" w:header="0"/>
        </w:sectPr>
      </w:pPr>
    </w:p>
    <w:bookmarkStart w:id="726" w:name="page727"/>
    <w:bookmarkEnd w:id="726"/>
    <w:p>
      <w:pPr>
        <w:ind w:right="16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Hamza Suria as of the Effective Date and (ii) Chief Development Officer, who is Marco Londei as of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 Termination Date</w:t>
      </w:r>
      <w:r>
        <w:rPr>
          <w:rFonts w:ascii="Arial" w:cs="Arial" w:eastAsia="Arial" w:hAnsi="Arial"/>
          <w:sz w:val="18"/>
          <w:szCs w:val="18"/>
          <w:color w:val="auto"/>
        </w:rPr>
        <w:t>” means the date upon which all Obligations (other than inchoate indemnity obligations and any other obligations which, by their terms, are to survive the termination of this Agreement) have been satisfied in full, and Collateral Agent and the Lenders are under no further obligation to make Credit Extensions hereunder, and the Collateral Agent is obligated to terminate the Liens on the Collateral granted under this Agreement pursuant to Section 4.2(b) or 4.2(c).</w:t>
      </w:r>
    </w:p>
    <w:p>
      <w:pPr>
        <w:spacing w:after="0" w:line="180"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the Warrants, the Perfection Certificates, each Compliance Certificate, each Disbursement Letter,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impairment in the perfection or priority of Collateral Agent’s Lien in the Collateral or in the value of such Collateral; (b) a material adverse change in the business, operations or condition (financial or otherwise) or prospects of Borrower or any Subsidiary; or</w:t>
      </w:r>
    </w:p>
    <w:p>
      <w:pPr>
        <w:spacing w:after="0" w:line="1" w:lineRule="exact"/>
        <w:rPr>
          <w:sz w:val="20"/>
          <w:szCs w:val="20"/>
          <w:color w:val="auto"/>
        </w:rPr>
      </w:pPr>
    </w:p>
    <w:p>
      <w:pPr>
        <w:ind w:left="460" w:right="4980" w:hanging="452"/>
        <w:spacing w:after="0" w:line="490" w:lineRule="auto"/>
        <w:tabs>
          <w:tab w:leader="none" w:pos="24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 material impairment of the prospect of repayment of any portion of the Obligations. “</w:t>
      </w:r>
      <w:r>
        <w:rPr>
          <w:rFonts w:ascii="Arial" w:cs="Arial" w:eastAsia="Arial" w:hAnsi="Arial"/>
          <w:sz w:val="18"/>
          <w:szCs w:val="18"/>
          <w:b w:val="1"/>
          <w:bCs w:val="1"/>
          <w:color w:val="auto"/>
        </w:rPr>
        <w:t>Maturity Date</w:t>
      </w:r>
      <w:r>
        <w:rPr>
          <w:rFonts w:ascii="Arial" w:cs="Arial" w:eastAsia="Arial" w:hAnsi="Arial"/>
          <w:sz w:val="18"/>
          <w:szCs w:val="18"/>
          <w:color w:val="auto"/>
        </w:rPr>
        <w:t>” is January 1, 2019.</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Non-Core IP</w:t>
      </w:r>
      <w:r>
        <w:rPr>
          <w:rFonts w:ascii="Arial" w:cs="Arial" w:eastAsia="Arial" w:hAnsi="Arial"/>
          <w:sz w:val="18"/>
          <w:szCs w:val="18"/>
          <w:color w:val="auto"/>
        </w:rPr>
        <w:t>” means Borrower’s Intellectual Property that is not Core IP.</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Prepayment Fee, the Final Payment, and other amounts Borrower owes the Lenders now or later, in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1" w:right="259" w:bottom="1440" w:gutter="0" w:footer="0" w:header="0"/>
        </w:sectPr>
      </w:pPr>
    </w:p>
    <w:bookmarkStart w:id="727" w:name="page728"/>
    <w:bookmarkEnd w:id="72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4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calendar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160" w:hanging="239"/>
        <w:spacing w:after="0"/>
        <w:tabs>
          <w:tab w:leader="none" w:pos="116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firstLine="921"/>
        <w:spacing w:after="0" w:line="297" w:lineRule="auto"/>
        <w:tabs>
          <w:tab w:leader="none" w:pos="1158" w:val="left"/>
        </w:tabs>
        <w:numPr>
          <w:ilvl w:val="0"/>
          <w:numId w:val="686"/>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58" w:lineRule="exact"/>
        <w:rPr>
          <w:rFonts w:ascii="Arial" w:cs="Arial" w:eastAsia="Arial" w:hAnsi="Arial"/>
          <w:sz w:val="16"/>
          <w:szCs w:val="16"/>
          <w:color w:val="auto"/>
        </w:rPr>
      </w:pPr>
    </w:p>
    <w:p>
      <w:pPr>
        <w:ind w:left="1140" w:hanging="219"/>
        <w:spacing w:after="0"/>
        <w:tabs>
          <w:tab w:leader="none" w:pos="1140" w:val="left"/>
        </w:tabs>
        <w:numPr>
          <w:ilvl w:val="0"/>
          <w:numId w:val="686"/>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 and</w:t>
      </w:r>
    </w:p>
    <w:p>
      <w:pPr>
        <w:spacing w:after="0" w:line="236" w:lineRule="exact"/>
        <w:rPr>
          <w:rFonts w:ascii="Arial" w:cs="Arial" w:eastAsia="Arial" w:hAnsi="Arial"/>
          <w:sz w:val="17"/>
          <w:szCs w:val="17"/>
          <w:color w:val="auto"/>
        </w:rPr>
      </w:pPr>
    </w:p>
    <w:p>
      <w:pPr>
        <w:ind w:firstLine="921"/>
        <w:spacing w:after="0" w:line="264" w:lineRule="auto"/>
        <w:tabs>
          <w:tab w:leader="none" w:pos="1168" w:val="left"/>
        </w:tabs>
        <w:numPr>
          <w:ilvl w:val="0"/>
          <w:numId w:val="686"/>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728" w:name="page729"/>
    <w:bookmarkEnd w:id="7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160" w:hanging="239"/>
        <w:spacing w:after="0"/>
        <w:tabs>
          <w:tab w:leader="none" w:pos="116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right="500" w:firstLine="921"/>
        <w:spacing w:after="0" w:line="342" w:lineRule="auto"/>
        <w:tabs>
          <w:tab w:leader="none" w:pos="1168" w:val="left"/>
        </w:tabs>
        <w:numPr>
          <w:ilvl w:val="0"/>
          <w:numId w:val="687"/>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0"/>
          <w:numId w:val="687"/>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ind w:right="80" w:firstLine="921"/>
        <w:spacing w:after="0" w:line="259" w:lineRule="auto"/>
        <w:tabs>
          <w:tab w:leader="none" w:pos="1138" w:val="left"/>
        </w:tabs>
        <w:numPr>
          <w:ilvl w:val="0"/>
          <w:numId w:val="687"/>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Twenty Five Thousand Dollars ($25,000.00) in the aggregate for (i) and (ii) in any fiscal year;</w:t>
      </w:r>
    </w:p>
    <w:p>
      <w:pPr>
        <w:spacing w:after="0" w:line="186" w:lineRule="exact"/>
        <w:rPr>
          <w:rFonts w:ascii="Arial" w:cs="Arial" w:eastAsia="Arial" w:hAnsi="Arial"/>
          <w:sz w:val="18"/>
          <w:szCs w:val="18"/>
          <w:color w:val="auto"/>
        </w:rPr>
      </w:pPr>
    </w:p>
    <w:p>
      <w:pPr>
        <w:ind w:right="520" w:firstLine="921"/>
        <w:spacing w:after="0" w:line="308" w:lineRule="auto"/>
        <w:tabs>
          <w:tab w:leader="none" w:pos="1168" w:val="left"/>
        </w:tabs>
        <w:numPr>
          <w:ilvl w:val="0"/>
          <w:numId w:val="687"/>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620" w:firstLine="921"/>
        <w:spacing w:after="0" w:line="342" w:lineRule="auto"/>
        <w:tabs>
          <w:tab w:leader="none" w:pos="1168" w:val="left"/>
        </w:tabs>
        <w:numPr>
          <w:ilvl w:val="0"/>
          <w:numId w:val="687"/>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 and</w:t>
      </w:r>
    </w:p>
    <w:p>
      <w:pPr>
        <w:spacing w:after="0" w:line="123" w:lineRule="exact"/>
        <w:rPr>
          <w:rFonts w:ascii="Arial" w:cs="Arial" w:eastAsia="Arial" w:hAnsi="Arial"/>
          <w:sz w:val="16"/>
          <w:szCs w:val="16"/>
          <w:color w:val="auto"/>
        </w:rPr>
      </w:pPr>
    </w:p>
    <w:p>
      <w:pPr>
        <w:ind w:right="340" w:firstLine="921"/>
        <w:spacing w:after="0" w:line="277" w:lineRule="auto"/>
        <w:tabs>
          <w:tab w:leader="none" w:pos="1128" w:val="left"/>
        </w:tabs>
        <w:numPr>
          <w:ilvl w:val="0"/>
          <w:numId w:val="687"/>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are (A) licenses of over-the-counter software that is commercially available to the public, and (B) non-exclusive and exclusive licenses for the use of the Intellectual Property of Borrower or any of its Subsidiaries entered into in the ordinary course of business or which constitute licenses approved by Borrower’s Board of Directors (whether in the ordinary course of business or otherwise), provided, that, with respect to each such license described in clause (B), (i) no Event of Default has occurred or is continuing at the time of such license and there is no breach of this Agreement as a consequence of entering into such license; (ii) the license constitutes an arms-length transaction, the terms of which, on their face, do not provide for a sale or assignment of any Core IP and do not restrict the ability of Borrower or any of its Subsidiaries, as applicable, to pledge, grant a security interest in or lien on, or assign or otherwise Transfer any Core IP; (iii) in the case of any exclusive license, (x) Borrower delivers written notice within thirty (30) days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with respect to Core IP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1" w:right="259" w:bottom="1440" w:gutter="0" w:footer="0" w:header="0"/>
        </w:sectPr>
      </w:pPr>
    </w:p>
    <w:bookmarkStart w:id="729" w:name="page730"/>
    <w:bookmarkEnd w:id="7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Liens existing on the Effective Date and disclosed on the Perfection Certificates or arising under this Agreement and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right="240" w:firstLine="921"/>
        <w:spacing w:after="0" w:line="264" w:lineRule="auto"/>
        <w:tabs>
          <w:tab w:leader="none" w:pos="1168" w:val="left"/>
        </w:tabs>
        <w:numPr>
          <w:ilvl w:val="0"/>
          <w:numId w:val="688"/>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7" w:lineRule="exact"/>
        <w:rPr>
          <w:rFonts w:ascii="Arial" w:cs="Arial" w:eastAsia="Arial" w:hAnsi="Arial"/>
          <w:sz w:val="18"/>
          <w:szCs w:val="18"/>
          <w:color w:val="auto"/>
        </w:rPr>
      </w:pPr>
    </w:p>
    <w:p>
      <w:pPr>
        <w:jc w:val="both"/>
        <w:ind w:right="20" w:firstLine="921"/>
        <w:spacing w:after="0" w:line="281" w:lineRule="auto"/>
        <w:tabs>
          <w:tab w:leader="none" w:pos="1158" w:val="left"/>
        </w:tabs>
        <w:numPr>
          <w:ilvl w:val="0"/>
          <w:numId w:val="688"/>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jc w:val="both"/>
        <w:ind w:firstLine="921"/>
        <w:spacing w:after="0" w:line="259" w:lineRule="auto"/>
        <w:tabs>
          <w:tab w:leader="none" w:pos="1168" w:val="left"/>
        </w:tabs>
        <w:numPr>
          <w:ilvl w:val="0"/>
          <w:numId w:val="688"/>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688"/>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40" w:firstLine="921"/>
        <w:spacing w:after="0" w:line="342" w:lineRule="auto"/>
        <w:tabs>
          <w:tab w:leader="none" w:pos="1138" w:val="left"/>
        </w:tabs>
        <w:numPr>
          <w:ilvl w:val="0"/>
          <w:numId w:val="688"/>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(c),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23" w:lineRule="exact"/>
        <w:rPr>
          <w:rFonts w:ascii="Arial" w:cs="Arial" w:eastAsia="Arial" w:hAnsi="Arial"/>
          <w:sz w:val="16"/>
          <w:szCs w:val="16"/>
          <w:color w:val="auto"/>
        </w:rPr>
      </w:pPr>
    </w:p>
    <w:p>
      <w:pPr>
        <w:ind w:right="100" w:firstLine="921"/>
        <w:spacing w:after="0" w:line="279" w:lineRule="auto"/>
        <w:tabs>
          <w:tab w:leader="none" w:pos="1168" w:val="left"/>
        </w:tabs>
        <w:numPr>
          <w:ilvl w:val="0"/>
          <w:numId w:val="688"/>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rFonts w:ascii="Arial" w:cs="Arial" w:eastAsia="Arial" w:hAnsi="Arial"/>
          <w:sz w:val="17"/>
          <w:szCs w:val="17"/>
          <w:color w:val="auto"/>
        </w:rPr>
      </w:pPr>
    </w:p>
    <w:p>
      <w:pPr>
        <w:ind w:firstLine="921"/>
        <w:spacing w:after="0" w:line="264" w:lineRule="auto"/>
        <w:tabs>
          <w:tab w:leader="none" w:pos="1168" w:val="left"/>
        </w:tabs>
        <w:numPr>
          <w:ilvl w:val="0"/>
          <w:numId w:val="688"/>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 and</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Closing Letter</w:t>
      </w:r>
      <w:r>
        <w:rPr>
          <w:rFonts w:ascii="Arial" w:cs="Arial" w:eastAsia="Arial" w:hAnsi="Arial"/>
          <w:sz w:val="18"/>
          <w:szCs w:val="18"/>
          <w:color w:val="auto"/>
        </w:rPr>
        <w:t>” is that certain Post Closing Letter dated as of the Effective Date by and between Collateral Agent and Borrower.</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1" w:right="279" w:bottom="1440" w:gutter="0" w:footer="0" w:header="0"/>
        </w:sectPr>
      </w:pPr>
    </w:p>
    <w:bookmarkStart w:id="730" w:name="page731"/>
    <w:bookmarkEnd w:id="730"/>
    <w:p>
      <w:pPr>
        <w:ind w:right="8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right="300" w:firstLine="1492"/>
        <w:spacing w:after="0" w:line="277" w:lineRule="auto"/>
        <w:tabs>
          <w:tab w:leader="none" w:pos="1698" w:val="left"/>
        </w:tabs>
        <w:numPr>
          <w:ilvl w:val="0"/>
          <w:numId w:val="689"/>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(3.00%) of the principal amount of such Term Loan prepaid;</w:t>
      </w:r>
    </w:p>
    <w:p>
      <w:pPr>
        <w:spacing w:after="0" w:line="170" w:lineRule="exact"/>
        <w:rPr>
          <w:rFonts w:ascii="Arial" w:cs="Arial" w:eastAsia="Arial" w:hAnsi="Arial"/>
          <w:sz w:val="18"/>
          <w:szCs w:val="18"/>
          <w:color w:val="auto"/>
        </w:rPr>
      </w:pPr>
    </w:p>
    <w:p>
      <w:pPr>
        <w:ind w:right="520" w:firstLine="1492"/>
        <w:spacing w:after="0" w:line="342" w:lineRule="auto"/>
        <w:tabs>
          <w:tab w:leader="none" w:pos="1748" w:val="left"/>
        </w:tabs>
        <w:numPr>
          <w:ilvl w:val="0"/>
          <w:numId w:val="689"/>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(2.00%) of the principal amount of the Term Loans prepaid; and</w:t>
      </w:r>
    </w:p>
    <w:p>
      <w:pPr>
        <w:spacing w:after="0" w:line="123" w:lineRule="exact"/>
        <w:rPr>
          <w:rFonts w:ascii="Arial" w:cs="Arial" w:eastAsia="Arial" w:hAnsi="Arial"/>
          <w:sz w:val="16"/>
          <w:szCs w:val="16"/>
          <w:color w:val="auto"/>
        </w:rPr>
      </w:pPr>
    </w:p>
    <w:p>
      <w:pPr>
        <w:ind w:right="180" w:firstLine="1492"/>
        <w:spacing w:after="0" w:line="277" w:lineRule="auto"/>
        <w:tabs>
          <w:tab w:leader="none" w:pos="1798" w:val="left"/>
        </w:tabs>
        <w:numPr>
          <w:ilvl w:val="0"/>
          <w:numId w:val="689"/>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Funding Date and prior to the Maturity Date, one percent (1.00%) of the principal amount of the Term Loans prepaid.</w:t>
      </w:r>
    </w:p>
    <w:p>
      <w:pPr>
        <w:spacing w:after="0" w:line="16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7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date of the occurrence of the Term B Draw Event and ending on the earlier of</w:t>
      </w:r>
    </w:p>
    <w:p>
      <w:pPr>
        <w:spacing w:after="0" w:line="27" w:lineRule="exact"/>
        <w:rPr>
          <w:sz w:val="20"/>
          <w:szCs w:val="20"/>
          <w:color w:val="auto"/>
        </w:rPr>
      </w:pPr>
    </w:p>
    <w:p>
      <w:pPr>
        <w:ind w:right="180" w:firstLine="8"/>
        <w:spacing w:after="0" w:line="261" w:lineRule="auto"/>
        <w:tabs>
          <w:tab w:leader="none" w:pos="215" w:val="left"/>
        </w:tabs>
        <w:numPr>
          <w:ilvl w:val="0"/>
          <w:numId w:val="690"/>
        </w:numPr>
        <w:rPr>
          <w:rFonts w:ascii="Arial" w:cs="Arial" w:eastAsia="Arial" w:hAnsi="Arial"/>
          <w:sz w:val="18"/>
          <w:szCs w:val="18"/>
          <w:color w:val="auto"/>
        </w:rPr>
      </w:pPr>
      <w:r>
        <w:rPr>
          <w:rFonts w:ascii="Arial" w:cs="Arial" w:eastAsia="Arial" w:hAnsi="Arial"/>
          <w:sz w:val="18"/>
          <w:szCs w:val="18"/>
          <w:color w:val="auto"/>
        </w:rPr>
        <w:t>December 31, 2015 and (ii) the occurrence of an Event of Default; provided, however, that the Second Draw Period shall not commence if on the date of the occurrence of the Term B Draw Event an Event of Default has occurred and is continuing.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2.4.</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731" w:name="page732"/>
    <w:bookmarkEnd w:id="731"/>
    <w:p>
      <w:pPr>
        <w:ind w:right="2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 is defined in Section 2.2(a)(iii) hereof.</w:t>
      </w:r>
    </w:p>
    <w:p>
      <w:pPr>
        <w:spacing w:after="0" w:line="225"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Draw Event</w:t>
      </w:r>
      <w:r>
        <w:rPr>
          <w:rFonts w:ascii="Arial" w:cs="Arial" w:eastAsia="Arial" w:hAnsi="Arial"/>
          <w:sz w:val="18"/>
          <w:szCs w:val="18"/>
          <w:color w:val="auto"/>
        </w:rPr>
        <w:t>” means the receipt by Collateral Agent and Lenders of evidence, in form and substance satisfactory to Collateral Agent and Lenders, of Borrower completing the first multi-dose PK/toxicology study relating to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Draw Event</w:t>
      </w:r>
      <w:r>
        <w:rPr>
          <w:rFonts w:ascii="Arial" w:cs="Arial" w:eastAsia="Arial" w:hAnsi="Arial"/>
          <w:sz w:val="18"/>
          <w:szCs w:val="18"/>
          <w:color w:val="auto"/>
        </w:rPr>
        <w:t>” means the receipt by Collateral Agent and Lenders of evidence, in form and substance satisfactory to Collateral Agent and Lenders, of Borrower receiving FDA approval on IND submission on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is, for any Lender, the obligation of such Lender to make a Term Loan, up to the principal amount shown on </w:t>
      </w:r>
      <w:r>
        <w:rPr>
          <w:rFonts w:ascii="Arial" w:cs="Arial" w:eastAsia="Arial" w:hAnsi="Arial"/>
          <w:sz w:val="16"/>
          <w:szCs w:val="16"/>
          <w:u w:val="single" w:color="auto"/>
          <w:color w:val="auto"/>
        </w:rPr>
        <w:t>Schedule 1.1</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207" w:lineRule="exact"/>
        <w:rPr>
          <w:sz w:val="20"/>
          <w:szCs w:val="20"/>
          <w:color w:val="auto"/>
        </w:rPr>
      </w:pPr>
    </w:p>
    <w:p>
      <w:pPr>
        <w:jc w:val="both"/>
        <w:ind w:right="2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w:t>
      </w:r>
      <w:r>
        <w:rPr>
          <w:rFonts w:ascii="Arial" w:cs="Arial" w:eastAsia="Arial" w:hAnsi="Arial"/>
          <w:sz w:val="18"/>
          <w:szCs w:val="18"/>
          <w:color w:val="auto"/>
        </w:rPr>
        <w:t>” is the period commencing on the date of the occurrence of the later of (i) the making of Term B Loans in accordance with the terms of this Agreement and (ii) the Term C Draw Event and ending on the earlier of (i) December 31, 2016 and (ii) the occurrence of an Event of Default; provided, however, that the Third Draw Period shall not commence if on the date of the occurrence of the later of (i) the advance of the Term B Loans and (ii) the Term C Draw Event, an Event of Default has occurred and is continuing.</w:t>
      </w:r>
    </w:p>
    <w:p>
      <w:pPr>
        <w:spacing w:after="0" w:line="180"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732" w:name="page733"/>
    <w:bookmarkEnd w:id="732"/>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 OXFORD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Finance, Secretary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733" w:name="page734"/>
    <w:bookmarkEnd w:id="7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 Loans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B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C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Aggregate (all Term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7,500,000.00</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7,500,000.00</w:t>
            </w:r>
          </w:p>
        </w:tc>
        <w:tc>
          <w:tcPr>
            <w:tcW w:w="102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15,000,000.00</w:t>
            </w:r>
          </w:p>
        </w:tc>
        <w:tc>
          <w:tcPr>
            <w:tcW w:w="10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734" w:name="page735"/>
    <w:bookmarkEnd w:id="7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420"/>
          </w:cols>
          <w:pgMar w:left="240" w:top="270" w:right="239" w:bottom="1440" w:gutter="0" w:footer="0" w:header="0"/>
        </w:sectPr>
      </w:pPr>
    </w:p>
    <w:bookmarkStart w:id="735" w:name="page736"/>
    <w:bookmarkEnd w:id="7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736" w:name="page737"/>
    <w:bookmarkEnd w:id="73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DISBURSEMENT LETTER</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6"/>
          <w:szCs w:val="16"/>
          <w:color w:val="auto"/>
        </w:rPr>
        <w:t>of ANAPTYSBIO, INC., a Delaware corporation with offices located at 10421 Pacific</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Center Court, Suite 200, San Diego, CA 92121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w:t>
      </w:r>
      <w:r>
        <w:rPr>
          <w:rFonts w:ascii="Arial" w:cs="Arial" w:eastAsia="Arial" w:hAnsi="Arial"/>
          <w:sz w:val="18"/>
          <w:szCs w:val="18"/>
          <w:b w:val="1"/>
          <w:bCs w:val="1"/>
          <w:color w:val="auto"/>
        </w:rPr>
        <w:t>OXFORD FINANCE LLC</w:t>
      </w:r>
      <w:r>
        <w:rPr>
          <w:rFonts w:ascii="Arial" w:cs="Arial" w:eastAsia="Arial" w:hAnsi="Arial"/>
          <w:sz w:val="18"/>
          <w:szCs w:val="18"/>
          <w:color w:val="auto"/>
        </w:rPr>
        <w:t xml:space="preserve"> (“</w:t>
      </w:r>
      <w:r>
        <w:rPr>
          <w:rFonts w:ascii="Arial" w:cs="Arial" w:eastAsia="Arial" w:hAnsi="Arial"/>
          <w:sz w:val="18"/>
          <w:szCs w:val="18"/>
          <w:b w:val="1"/>
          <w:bCs w:val="1"/>
          <w:color w:val="auto"/>
        </w:rPr>
        <w:t>Oxford</w:t>
      </w:r>
      <w:r>
        <w:rPr>
          <w:rFonts w:ascii="Arial" w:cs="Arial" w:eastAsia="Arial" w:hAnsi="Arial"/>
          <w:sz w:val="18"/>
          <w:szCs w:val="18"/>
          <w:color w:val="auto"/>
        </w:rPr>
        <w:t>” and “</w:t>
      </w:r>
      <w:r>
        <w:rPr>
          <w:rFonts w:ascii="Arial" w:cs="Arial" w:eastAsia="Arial" w:hAnsi="Arial"/>
          <w:sz w:val="18"/>
          <w:szCs w:val="18"/>
          <w:b w:val="1"/>
          <w:bCs w:val="1"/>
          <w:color w:val="auto"/>
        </w:rPr>
        <w:t>Lender</w:t>
      </w:r>
      <w:r>
        <w:rPr>
          <w:rFonts w:ascii="Arial" w:cs="Arial" w:eastAsia="Arial" w:hAnsi="Arial"/>
          <w:sz w:val="18"/>
          <w:szCs w:val="18"/>
          <w:color w:val="auto"/>
        </w:rPr>
        <w:t>”),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Loan and Security Agreement dated as of November , 2014,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0" w:lineRule="exact"/>
        <w:rPr>
          <w:sz w:val="20"/>
          <w:szCs w:val="20"/>
          <w:color w:val="auto"/>
        </w:rPr>
      </w:pPr>
    </w:p>
    <w:p>
      <w:pPr>
        <w:ind w:firstLine="464"/>
        <w:spacing w:after="0" w:line="277" w:lineRule="auto"/>
        <w:tabs>
          <w:tab w:leader="none" w:pos="636"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691"/>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640" w:hanging="176"/>
        <w:spacing w:after="0"/>
        <w:tabs>
          <w:tab w:leader="none" w:pos="64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260"/>
          </w:cols>
          <w:pgMar w:left="240" w:top="270" w:right="399" w:bottom="1440" w:gutter="0" w:footer="0" w:header="0"/>
        </w:sectPr>
      </w:pPr>
    </w:p>
    <w:bookmarkStart w:id="737" w:name="page738"/>
    <w:bookmarkEnd w:id="737"/>
    <w:tbl>
      <w:tblPr>
        <w:tblLayout w:type="fixed"/>
        <w:tblInd w:w="452"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7. The proceeds of the Term [A][B][C] Loan shall be disbursed as follows:</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Oxford:</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--Lender’s Legal Fees</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Oxford: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Disbursement from SVB:</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SVB:</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TOTAL TERM [A][B][C] LOAN NET PROCEEDS FROM LENDERS</w:t>
            </w:r>
          </w:p>
        </w:tc>
        <w:tc>
          <w:tcPr>
            <w:tcW w:w="11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32" w:hanging="176"/>
        <w:spacing w:after="0"/>
        <w:tabs>
          <w:tab w:leader="none" w:pos="632"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 Term [A][B][C] Loan shall amortize in accordance with the Amortization Table attached hereto.</w:t>
      </w:r>
    </w:p>
    <w:p>
      <w:pPr>
        <w:spacing w:after="0" w:line="225" w:lineRule="exact"/>
        <w:rPr>
          <w:rFonts w:ascii="Arial" w:cs="Arial" w:eastAsia="Arial" w:hAnsi="Arial"/>
          <w:sz w:val="18"/>
          <w:szCs w:val="18"/>
          <w:color w:val="auto"/>
        </w:rPr>
      </w:pPr>
    </w:p>
    <w:p>
      <w:pPr>
        <w:ind w:left="632" w:hanging="176"/>
        <w:spacing w:after="0"/>
        <w:tabs>
          <w:tab w:leader="none" w:pos="632" w:val="left"/>
        </w:tabs>
        <w:numPr>
          <w:ilvl w:val="0"/>
          <w:numId w:val="692"/>
        </w:numPr>
        <w:rPr>
          <w:rFonts w:ascii="Arial" w:cs="Arial" w:eastAsia="Arial" w:hAnsi="Arial"/>
          <w:sz w:val="17"/>
          <w:szCs w:val="17"/>
          <w:color w:val="auto"/>
        </w:rPr>
      </w:pPr>
      <w:r>
        <w:rPr>
          <w:rFonts w:ascii="Arial" w:cs="Arial" w:eastAsia="Arial" w:hAnsi="Arial"/>
          <w:sz w:val="17"/>
          <w:szCs w:val="17"/>
          <w:color w:val="auto"/>
        </w:rPr>
        <w:t>The aggregate net proceeds of the Term Loans shall be transferred to the Designated Deposit Account as follows:</w:t>
      </w:r>
    </w:p>
    <w:p>
      <w:pPr>
        <w:sectPr>
          <w:pgSz w:w="11900" w:h="16838" w:orient="portrait"/>
          <w:cols w:equalWidth="0" w:num="1">
            <w:col w:w="10452"/>
          </w:cols>
          <w:pgMar w:left="248" w:top="273" w:right="1199" w:bottom="1440" w:gutter="0" w:footer="0" w:header="0"/>
        </w:sectPr>
      </w:pPr>
    </w:p>
    <w:p>
      <w:pPr>
        <w:spacing w:after="0" w:line="26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Account Name:</w:t>
      </w:r>
    </w:p>
    <w:p>
      <w:pPr>
        <w:spacing w:after="0" w:line="14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Bank Name:</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7"/>
          <w:szCs w:val="17"/>
          <w:color w:val="auto"/>
        </w:rPr>
        <w:t>Bank Address: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 95054</w:t>
      </w:r>
    </w:p>
    <w:p>
      <w:pPr>
        <w:spacing w:after="0" w:line="139" w:lineRule="exact"/>
        <w:rPr>
          <w:sz w:val="20"/>
          <w:szCs w:val="20"/>
          <w:color w:val="auto"/>
        </w:rPr>
      </w:pPr>
    </w:p>
    <w:p>
      <w:pPr>
        <w:sectPr>
          <w:pgSz w:w="11900" w:h="16838" w:orient="portrait"/>
          <w:cols w:equalWidth="0" w:num="2">
            <w:col w:w="2972" w:space="720"/>
            <w:col w:w="6760"/>
          </w:cols>
          <w:pgMar w:left="248" w:top="273" w:right="1199" w:bottom="1440" w:gutter="0" w:footer="0" w:header="0"/>
          <w:type w:val="continuous"/>
        </w:sectPr>
      </w:pPr>
    </w:p>
    <w:p>
      <w:pPr>
        <w:ind w:left="912"/>
        <w:spacing w:after="0"/>
        <w:rPr>
          <w:sz w:val="20"/>
          <w:szCs w:val="20"/>
          <w:color w:val="auto"/>
        </w:rPr>
      </w:pPr>
      <w:r>
        <w:rPr>
          <w:rFonts w:ascii="Arial" w:cs="Arial" w:eastAsia="Arial" w:hAnsi="Arial"/>
          <w:sz w:val="18"/>
          <w:szCs w:val="18"/>
          <w:color w:val="auto"/>
        </w:rPr>
        <w:t>Account Number:</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ABA Number:</w:t>
      </w:r>
    </w:p>
    <w:p>
      <w:pPr>
        <w:spacing w:after="0" w:line="225" w:lineRule="exact"/>
        <w:rPr>
          <w:sz w:val="20"/>
          <w:szCs w:val="20"/>
          <w:color w:val="auto"/>
        </w:rPr>
      </w:pPr>
    </w:p>
    <w:p>
      <w:pPr>
        <w:ind w:left="4112"/>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12" w:hanging="212"/>
        <w:spacing w:after="0" w:line="277" w:lineRule="auto"/>
        <w:tabs>
          <w:tab w:leader="none" w:pos="21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52"/>
          </w:cols>
          <w:pgMar w:left="248" w:top="273" w:right="1199" w:bottom="1440" w:gutter="0" w:footer="0" w:header="0"/>
          <w:type w:val="continuous"/>
        </w:sectPr>
      </w:pPr>
    </w:p>
    <w:bookmarkStart w:id="738" w:name="page739"/>
    <w:bookmarkEnd w:id="7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jc w:val="right"/>
        <w:ind w:right="3019"/>
        <w:spacing w:after="0"/>
        <w:rPr>
          <w:sz w:val="20"/>
          <w:szCs w:val="20"/>
          <w:color w:val="auto"/>
        </w:rPr>
      </w:pPr>
      <w:r>
        <w:rPr>
          <w:rFonts w:ascii="Arial" w:cs="Arial" w:eastAsia="Arial" w:hAnsi="Arial"/>
          <w:sz w:val="18"/>
          <w:szCs w:val="18"/>
          <w:i w:val="1"/>
          <w:iCs w:val="1"/>
          <w:color w:val="auto"/>
        </w:rPr>
        <w:t>[Signature Page to Disbursement Letter]</w:t>
      </w:r>
    </w:p>
    <w:p>
      <w:pPr>
        <w:sectPr>
          <w:pgSz w:w="11900" w:h="16838" w:orient="portrait"/>
          <w:cols w:equalWidth="0" w:num="1">
            <w:col w:w="10219"/>
          </w:cols>
          <w:pgMar w:left="240" w:top="275" w:right="1440" w:bottom="1440" w:gutter="0" w:footer="0" w:header="0"/>
        </w:sectPr>
      </w:pPr>
    </w:p>
    <w:bookmarkStart w:id="739" w:name="page740"/>
    <w:bookmarkEnd w:id="7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AMORTIZATION TABLE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[A][B][C]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1" w:right="1440" w:bottom="1440" w:gutter="0" w:footer="0" w:header="0"/>
        </w:sectPr>
      </w:pPr>
    </w:p>
    <w:bookmarkStart w:id="740" w:name="page741"/>
    <w:bookmarkEnd w:id="74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Payment/Advance Request Form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Fax 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4"/>
          </w:tcPr>
          <w:p>
            <w:pPr>
              <w:ind w:left="440"/>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0"/>
                <w:szCs w:val="20"/>
                <w:color w:val="auto"/>
              </w:rPr>
            </w:pPr>
          </w:p>
        </w:tc>
      </w:tr>
      <w:tr>
        <w:trPr>
          <w:trHeight w:val="247"/>
        </w:trPr>
        <w:tc>
          <w:tcPr>
            <w:tcW w:w="1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3"/>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432"/>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900" w:type="dxa"/>
            <w:vAlign w:val="bottom"/>
            <w:gridSpan w:val="10"/>
          </w:tcPr>
          <w:p>
            <w:pPr>
              <w:ind w:left="100"/>
              <w:spacing w:after="0"/>
              <w:rPr>
                <w:sz w:val="20"/>
                <w:szCs w:val="20"/>
                <w:color w:val="auto"/>
              </w:rPr>
            </w:pPr>
            <w:r>
              <w:rPr>
                <w:rFonts w:ascii="Arial" w:cs="Arial" w:eastAsia="Arial" w:hAnsi="Arial"/>
                <w:sz w:val="18"/>
                <w:szCs w:val="18"/>
                <w:color w:val="auto"/>
              </w:rPr>
              <w:t>ANAPTYSBIO, INC.</w:t>
            </w:r>
          </w:p>
        </w:tc>
        <w:tc>
          <w:tcPr>
            <w:tcW w:w="720" w:type="dxa"/>
            <w:vAlign w:val="bottom"/>
            <w:tcBorders>
              <w:right w:val="single" w:sz="8" w:color="auto"/>
            </w:tcBorders>
          </w:tcPr>
          <w:p>
            <w:pPr>
              <w:spacing w:after="0"/>
              <w:rPr>
                <w:sz w:val="24"/>
                <w:szCs w:val="24"/>
                <w:color w:val="auto"/>
              </w:rPr>
            </w:pPr>
          </w:p>
        </w:tc>
      </w:tr>
      <w:tr>
        <w:trPr>
          <w:trHeight w:val="459"/>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From Account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240"/>
              <w:spacing w:after="0"/>
              <w:rPr>
                <w:sz w:val="20"/>
                <w:szCs w:val="20"/>
                <w:color w:val="auto"/>
              </w:rPr>
            </w:pPr>
            <w:r>
              <w:rPr>
                <w:rFonts w:ascii="Arial" w:cs="Arial" w:eastAsia="Arial" w:hAnsi="Arial"/>
                <w:sz w:val="18"/>
                <w:szCs w:val="18"/>
                <w:color w:val="auto"/>
              </w:rPr>
              <w:t>To Account #</w:t>
            </w:r>
          </w:p>
        </w:tc>
        <w:tc>
          <w:tcPr>
            <w:tcW w:w="720" w:type="dxa"/>
            <w:vAlign w:val="bottom"/>
            <w:tcBorders>
              <w:right w:val="single" w:sz="8" w:color="auto"/>
            </w:tcBorders>
          </w:tcPr>
          <w:p>
            <w:pPr>
              <w:spacing w:after="0"/>
              <w:rPr>
                <w:sz w:val="24"/>
                <w:szCs w:val="24"/>
                <w:color w:val="auto"/>
              </w:rPr>
            </w:pPr>
          </w:p>
        </w:tc>
      </w:tr>
      <w:tr>
        <w:trPr>
          <w:trHeight w:val="209"/>
        </w:trPr>
        <w:tc>
          <w:tcPr>
            <w:tcW w:w="11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(Deposit Account #)</w:t>
            </w: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(Loan Account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Principal $</w:t>
            </w:r>
          </w:p>
        </w:tc>
        <w:tc>
          <w:tcPr>
            <w:tcW w:w="3660" w:type="dxa"/>
            <w:vAlign w:val="bottom"/>
            <w:tcBorders>
              <w:bottom w:val="single" w:sz="8" w:color="auto"/>
            </w:tcBorders>
            <w:gridSpan w:val="3"/>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color w:val="auto"/>
              </w:rPr>
              <w:t>and/or Interest $</w:t>
            </w:r>
          </w:p>
        </w:tc>
        <w:tc>
          <w:tcPr>
            <w:tcW w:w="3540" w:type="dxa"/>
            <w:vAlign w:val="bottom"/>
            <w:tcBorders>
              <w:bottom w:val="single" w:sz="8" w:color="auto"/>
            </w:tcBorders>
            <w:gridSpan w:val="4"/>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439"/>
        </w:trPr>
        <w:tc>
          <w:tcPr>
            <w:tcW w:w="484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color w:val="auto"/>
              </w:rPr>
              <w:t>Authorized Signature: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940"/>
              <w:spacing w:after="0"/>
              <w:rPr>
                <w:sz w:val="20"/>
                <w:szCs w:val="20"/>
                <w:color w:val="auto"/>
              </w:rPr>
            </w:pPr>
            <w:r>
              <w:rPr>
                <w:rFonts w:ascii="Arial" w:cs="Arial" w:eastAsia="Arial" w:hAnsi="Arial"/>
                <w:sz w:val="18"/>
                <w:szCs w:val="18"/>
                <w:color w:val="auto"/>
              </w:rPr>
              <w:t>Phone Number:</w:t>
            </w:r>
          </w:p>
        </w:tc>
        <w:tc>
          <w:tcPr>
            <w:tcW w:w="720" w:type="dxa"/>
            <w:vAlign w:val="bottom"/>
            <w:tcBorders>
              <w:right w:val="single" w:sz="8" w:color="auto"/>
            </w:tcBorders>
          </w:tcPr>
          <w:p>
            <w:pPr>
              <w:spacing w:after="0"/>
              <w:rPr>
                <w:sz w:val="24"/>
                <w:szCs w:val="24"/>
                <w:color w:val="auto"/>
              </w:rPr>
            </w:pPr>
          </w:p>
        </w:tc>
      </w:tr>
      <w:tr>
        <w:trPr>
          <w:trHeight w:val="223"/>
        </w:trPr>
        <w:tc>
          <w:tcPr>
            <w:tcW w:w="20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Print Name/Title:</w:t>
            </w:r>
          </w:p>
        </w:tc>
        <w:tc>
          <w:tcPr>
            <w:tcW w:w="2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301"/>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76465" cy="25425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76465" cy="2542540"/>
                    </a:xfrm>
                    <a:prstGeom prst="rect">
                      <a:avLst/>
                    </a:prstGeom>
                    <a:noFill/>
                  </pic:spPr>
                </pic:pic>
              </a:graphicData>
            </a:graphic>
          </wp:anchor>
        </w:drawing>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860" w:type="dxa"/>
            <w:vAlign w:val="bottom"/>
            <w:gridSpan w:val="4"/>
          </w:tcPr>
          <w:p>
            <w:pPr>
              <w:ind w:left="20"/>
              <w:spacing w:after="0"/>
              <w:rPr>
                <w:sz w:val="20"/>
                <w:szCs w:val="20"/>
                <w:color w:val="auto"/>
              </w:rPr>
            </w:pPr>
            <w:r>
              <w:rPr>
                <w:rFonts w:ascii="Arial" w:cs="Arial" w:eastAsia="Arial" w:hAnsi="Arial"/>
                <w:sz w:val="18"/>
                <w:szCs w:val="18"/>
                <w:color w:val="auto"/>
              </w:rPr>
              <w:t>From Account #</w:t>
            </w: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To Account #</w:t>
            </w:r>
          </w:p>
        </w:tc>
      </w:tr>
      <w:tr>
        <w:trPr>
          <w:trHeight w:val="224"/>
        </w:trPr>
        <w:tc>
          <w:tcPr>
            <w:tcW w:w="1520" w:type="dxa"/>
            <w:vAlign w:val="bottom"/>
          </w:tcPr>
          <w:p>
            <w:pPr>
              <w:spacing w:after="0"/>
              <w:rPr>
                <w:sz w:val="19"/>
                <w:szCs w:val="19"/>
                <w:color w:val="auto"/>
              </w:rPr>
            </w:pPr>
          </w:p>
        </w:tc>
        <w:tc>
          <w:tcPr>
            <w:tcW w:w="334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(Loan Account #)</w:t>
            </w:r>
          </w:p>
        </w:tc>
        <w:tc>
          <w:tcPr>
            <w:tcW w:w="1700" w:type="dxa"/>
            <w:vAlign w:val="bottom"/>
          </w:tcPr>
          <w:p>
            <w:pPr>
              <w:spacing w:after="0"/>
              <w:rPr>
                <w:sz w:val="19"/>
                <w:szCs w:val="19"/>
                <w:color w:val="auto"/>
              </w:rPr>
            </w:pPr>
          </w:p>
        </w:tc>
        <w:tc>
          <w:tcPr>
            <w:tcW w:w="386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(Deposit Account #)</w:t>
            </w:r>
          </w:p>
        </w:tc>
      </w:tr>
      <w:tr>
        <w:trPr>
          <w:trHeight w:val="458"/>
        </w:trPr>
        <w:tc>
          <w:tcPr>
            <w:tcW w:w="198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15"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3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Pr>
          <w:p>
            <w:pPr>
              <w:ind w:left="920"/>
              <w:spacing w:after="0"/>
              <w:rPr>
                <w:sz w:val="20"/>
                <w:szCs w:val="20"/>
                <w:color w:val="auto"/>
              </w:rPr>
            </w:pPr>
            <w:r>
              <w:rPr>
                <w:rFonts w:ascii="Arial" w:cs="Arial" w:eastAsia="Arial" w:hAnsi="Arial"/>
                <w:sz w:val="18"/>
                <w:szCs w:val="18"/>
                <w:color w:val="auto"/>
                <w:w w:val="88"/>
              </w:rPr>
              <w:t>Phone Number:</w:t>
            </w:r>
          </w:p>
        </w:tc>
      </w:tr>
      <w:tr>
        <w:trPr>
          <w:trHeight w:val="223"/>
        </w:trPr>
        <w:tc>
          <w:tcPr>
            <w:tcW w:w="152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4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76465" cy="32029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76465" cy="320294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Deadline for same day processing is noon, Pacific Time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Name: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660"/>
              <w:spacing w:after="0"/>
              <w:rPr>
                <w:sz w:val="20"/>
                <w:szCs w:val="20"/>
                <w:color w:val="auto"/>
              </w:rPr>
            </w:pPr>
            <w:r>
              <w:rPr>
                <w:rFonts w:ascii="Arial" w:cs="Arial" w:eastAsia="Arial" w:hAnsi="Arial"/>
                <w:sz w:val="18"/>
                <w:szCs w:val="18"/>
                <w:color w:val="auto"/>
              </w:rPr>
              <w:t>Amount of Wire: $</w:t>
            </w:r>
          </w:p>
        </w:tc>
        <w:tc>
          <w:tcPr>
            <w:tcW w:w="140" w:type="dxa"/>
            <w:vAlign w:val="bottom"/>
          </w:tcPr>
          <w:p>
            <w:pPr>
              <w:spacing w:after="0"/>
              <w:rPr>
                <w:sz w:val="20"/>
                <w:szCs w:val="20"/>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660"/>
              <w:spacing w:after="0"/>
              <w:rPr>
                <w:sz w:val="20"/>
                <w:szCs w:val="20"/>
                <w:color w:val="auto"/>
              </w:rPr>
            </w:pPr>
            <w:r>
              <w:rPr>
                <w:rFonts w:ascii="Arial" w:cs="Arial" w:eastAsia="Arial" w:hAnsi="Arial"/>
                <w:sz w:val="18"/>
                <w:szCs w:val="18"/>
                <w:color w:val="auto"/>
              </w:rPr>
              <w:t>Account Number:</w:t>
            </w: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City and State:</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9"/>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Bank Transit (ABA)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ind w:left="560"/>
              <w:spacing w:after="0"/>
              <w:rPr>
                <w:sz w:val="20"/>
                <w:szCs w:val="20"/>
                <w:color w:val="auto"/>
              </w:rPr>
            </w:pPr>
            <w:r>
              <w:rPr>
                <w:rFonts w:ascii="Arial" w:cs="Arial" w:eastAsia="Arial" w:hAnsi="Arial"/>
                <w:sz w:val="18"/>
                <w:szCs w:val="18"/>
                <w:color w:val="auto"/>
              </w:rPr>
              <w:t>Beneficiary Bank Code (Swift, Sort, Chip, etc.):</w:t>
            </w:r>
          </w:p>
        </w:tc>
        <w:tc>
          <w:tcPr>
            <w:tcW w:w="140" w:type="dxa"/>
            <w:vAlign w:val="bottom"/>
          </w:tcPr>
          <w:p>
            <w:pPr>
              <w:spacing w:after="0"/>
              <w:rPr>
                <w:sz w:val="24"/>
                <w:szCs w:val="24"/>
                <w:color w:val="auto"/>
              </w:rPr>
            </w:pPr>
          </w:p>
        </w:tc>
      </w:tr>
      <w:tr>
        <w:trPr>
          <w:trHeight w:val="209"/>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60" w:type="dxa"/>
            <w:vAlign w:val="bottom"/>
            <w:gridSpan w:val="3"/>
          </w:tcPr>
          <w:p>
            <w:pPr>
              <w:ind w:left="1040"/>
              <w:spacing w:after="0"/>
              <w:rPr>
                <w:sz w:val="20"/>
                <w:szCs w:val="20"/>
                <w:color w:val="auto"/>
              </w:rPr>
            </w:pPr>
            <w:r>
              <w:rPr>
                <w:rFonts w:ascii="Arial" w:cs="Arial" w:eastAsia="Arial" w:hAnsi="Arial"/>
                <w:sz w:val="18"/>
                <w:szCs w:val="18"/>
                <w:b w:val="1"/>
                <w:bCs w:val="1"/>
                <w:color w:val="auto"/>
              </w:rPr>
              <w:t>(For International Wire Only)</w:t>
            </w: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Intermediary Bank:</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520"/>
              <w:spacing w:after="0"/>
              <w:rPr>
                <w:sz w:val="20"/>
                <w:szCs w:val="20"/>
                <w:color w:val="auto"/>
              </w:rPr>
            </w:pPr>
            <w:r>
              <w:rPr>
                <w:rFonts w:ascii="Arial" w:cs="Arial" w:eastAsia="Arial" w:hAnsi="Arial"/>
                <w:sz w:val="18"/>
                <w:szCs w:val="18"/>
                <w:color w:val="auto"/>
              </w:rPr>
              <w:t>Transit (ABA) #:</w:t>
            </w:r>
          </w:p>
        </w:tc>
        <w:tc>
          <w:tcPr>
            <w:tcW w:w="140" w:type="dxa"/>
            <w:vAlign w:val="bottom"/>
          </w:tcPr>
          <w:p>
            <w:pPr>
              <w:spacing w:after="0"/>
              <w:rPr>
                <w:sz w:val="20"/>
                <w:szCs w:val="20"/>
                <w:color w:val="auto"/>
              </w:rPr>
            </w:pPr>
          </w:p>
        </w:tc>
      </w:tr>
      <w:tr>
        <w:trPr>
          <w:trHeight w:val="223"/>
        </w:trPr>
        <w:tc>
          <w:tcPr>
            <w:tcW w:w="1740" w:type="dxa"/>
            <w:vAlign w:val="bottom"/>
            <w:gridSpan w:val="3"/>
          </w:tcPr>
          <w:p>
            <w:pPr>
              <w:spacing w:after="0"/>
              <w:rPr>
                <w:sz w:val="20"/>
                <w:szCs w:val="20"/>
                <w:color w:val="auto"/>
              </w:rPr>
            </w:pPr>
            <w:r>
              <w:rPr>
                <w:rFonts w:ascii="Arial" w:cs="Arial" w:eastAsia="Arial" w:hAnsi="Arial"/>
                <w:sz w:val="18"/>
                <w:szCs w:val="18"/>
                <w:color w:val="auto"/>
              </w:rPr>
              <w:t>For Further Credit to:</w:t>
            </w:r>
          </w:p>
        </w:tc>
        <w:tc>
          <w:tcPr>
            <w:tcW w:w="120" w:type="dxa"/>
            <w:vAlign w:val="bottom"/>
            <w:tcBorders>
              <w:top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Instruction:</w:t>
      </w:r>
    </w:p>
    <w:p>
      <w:pPr>
        <w:spacing w:after="0" w:line="36" w:lineRule="exact"/>
        <w:rPr>
          <w:sz w:val="20"/>
          <w:szCs w:val="20"/>
          <w:color w:val="auto"/>
        </w:rPr>
      </w:pPr>
    </w:p>
    <w:p>
      <w:pPr>
        <w:ind w:left="140" w:right="36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3"/>
          </w:tcPr>
          <w:p>
            <w:pPr>
              <w:spacing w:after="0"/>
              <w:rPr>
                <w:sz w:val="20"/>
                <w:szCs w:val="20"/>
                <w:color w:val="auto"/>
              </w:rPr>
            </w:pPr>
            <w:r>
              <w:rPr>
                <w:rFonts w:ascii="Arial" w:cs="Arial" w:eastAsia="Arial" w:hAnsi="Arial"/>
                <w:sz w:val="18"/>
                <w:szCs w:val="18"/>
                <w:color w:val="auto"/>
              </w:rPr>
              <w:t>Authorized Signature:</w:t>
            </w: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gridSpan w:val="5"/>
          </w:tcPr>
          <w:p>
            <w:pPr>
              <w:ind w:left="5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120" w:type="dxa"/>
            <w:vAlign w:val="bottom"/>
          </w:tcPr>
          <w:p>
            <w:pPr>
              <w:spacing w:after="0"/>
              <w:rPr>
                <w:sz w:val="20"/>
                <w:szCs w:val="20"/>
                <w:color w:val="auto"/>
              </w:rPr>
            </w:pPr>
          </w:p>
        </w:tc>
      </w:tr>
      <w:tr>
        <w:trPr>
          <w:trHeight w:val="223"/>
        </w:trPr>
        <w:tc>
          <w:tcPr>
            <w:tcW w:w="1980" w:type="dxa"/>
            <w:vAlign w:val="bottom"/>
            <w:gridSpan w:val="3"/>
          </w:tcPr>
          <w:p>
            <w:pPr>
              <w:ind w:left="20"/>
              <w:spacing w:after="0"/>
              <w:rPr>
                <w:sz w:val="20"/>
                <w:szCs w:val="20"/>
                <w:color w:val="auto"/>
              </w:rPr>
            </w:pPr>
            <w:r>
              <w:rPr>
                <w:rFonts w:ascii="Arial" w:cs="Arial" w:eastAsia="Arial" w:hAnsi="Arial"/>
                <w:sz w:val="18"/>
                <w:szCs w:val="18"/>
                <w:color w:val="auto"/>
              </w:rPr>
              <w:t>Print Name/Title:</w:t>
            </w:r>
          </w:p>
        </w:tc>
        <w:tc>
          <w:tcPr>
            <w:tcW w:w="1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40" w:type="dxa"/>
            <w:vAlign w:val="bottom"/>
            <w:gridSpan w:val="3"/>
          </w:tcPr>
          <w:p>
            <w:pPr>
              <w:ind w:left="560"/>
              <w:spacing w:after="0"/>
              <w:rPr>
                <w:sz w:val="20"/>
                <w:szCs w:val="20"/>
                <w:color w:val="auto"/>
              </w:rPr>
            </w:pPr>
            <w:r>
              <w:rPr>
                <w:rFonts w:ascii="Arial" w:cs="Arial" w:eastAsia="Arial" w:hAnsi="Arial"/>
                <w:sz w:val="18"/>
                <w:szCs w:val="18"/>
                <w:color w:val="auto"/>
              </w:rPr>
              <w:t>Print Name/Title:</w:t>
            </w:r>
          </w:p>
        </w:tc>
        <w:tc>
          <w:tcPr>
            <w:tcW w:w="2740" w:type="dxa"/>
            <w:vAlign w:val="bottom"/>
            <w:tcBorders>
              <w:top w:val="single" w:sz="8" w:color="auto"/>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Telephone #:</w:t>
            </w:r>
          </w:p>
        </w:tc>
        <w:tc>
          <w:tcPr>
            <w:tcW w:w="2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ind w:left="560"/>
              <w:spacing w:after="0"/>
              <w:rPr>
                <w:sz w:val="20"/>
                <w:szCs w:val="20"/>
                <w:color w:val="auto"/>
              </w:rPr>
            </w:pPr>
            <w:r>
              <w:rPr>
                <w:rFonts w:ascii="Arial" w:cs="Arial" w:eastAsia="Arial" w:hAnsi="Arial"/>
                <w:sz w:val="18"/>
                <w:szCs w:val="18"/>
                <w:color w:val="auto"/>
              </w:rPr>
              <w:t>Telephone #:</w:t>
            </w:r>
          </w:p>
        </w:tc>
        <w:tc>
          <w:tcPr>
            <w:tcW w:w="24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bl>
    <w:p>
      <w:pPr>
        <w:sectPr>
          <w:pgSz w:w="11900" w:h="16838" w:orient="portrait"/>
          <w:cols w:equalWidth="0" w:num="1">
            <w:col w:w="11460"/>
          </w:cols>
          <w:pgMar w:left="240" w:top="270" w:right="199" w:bottom="1440" w:gutter="0" w:footer="0" w:header="0"/>
        </w:sectPr>
      </w:pPr>
    </w:p>
    <w:bookmarkStart w:id="741" w:name="page742"/>
    <w:bookmarkEnd w:id="7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65"/>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OXFORD FINANCE LLC, as Collateral Agent and Lender</w:t>
            </w:r>
          </w:p>
        </w:tc>
      </w:tr>
      <w:tr>
        <w:trPr>
          <w:trHeight w:val="230"/>
        </w:trPr>
        <w:tc>
          <w:tcPr>
            <w:tcW w:w="92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SILICON VALLEY BANK, as Lender</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FROM:</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ANAPTYSBIO, INC.</w:t>
            </w:r>
          </w:p>
        </w:tc>
      </w:tr>
    </w:tbl>
    <w:p>
      <w:pPr>
        <w:spacing w:after="0" w:line="19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The undersigned authorized officer (“</w:t>
      </w:r>
      <w:r>
        <w:rPr>
          <w:rFonts w:ascii="Arial" w:cs="Arial" w:eastAsia="Arial" w:hAnsi="Arial"/>
          <w:sz w:val="17"/>
          <w:szCs w:val="17"/>
          <w:b w:val="1"/>
          <w:bCs w:val="1"/>
          <w:color w:val="auto"/>
        </w:rPr>
        <w:t>Officer</w:t>
      </w:r>
      <w:r>
        <w:rPr>
          <w:rFonts w:ascii="Arial" w:cs="Arial" w:eastAsia="Arial" w:hAnsi="Arial"/>
          <w:sz w:val="17"/>
          <w:szCs w:val="17"/>
          <w:color w:val="auto"/>
        </w:rPr>
        <w:t>”) of ANAPTYSBIO, INC. (“</w:t>
      </w:r>
      <w:r>
        <w:rPr>
          <w:rFonts w:ascii="Arial" w:cs="Arial" w:eastAsia="Arial" w:hAnsi="Arial"/>
          <w:sz w:val="17"/>
          <w:szCs w:val="17"/>
          <w:b w:val="1"/>
          <w:bCs w:val="1"/>
          <w:color w:val="auto"/>
        </w:rPr>
        <w:t>Borrower</w:t>
      </w:r>
      <w:r>
        <w:rPr>
          <w:rFonts w:ascii="Arial" w:cs="Arial" w:eastAsia="Arial" w:hAnsi="Arial"/>
          <w:sz w:val="17"/>
          <w:szCs w:val="17"/>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7"/>
          <w:szCs w:val="17"/>
          <w:b w:val="1"/>
          <w:bCs w:val="1"/>
          <w:color w:val="auto"/>
        </w:rPr>
        <w:t>Loan Agreement</w:t>
      </w:r>
      <w:r>
        <w:rPr>
          <w:rFonts w:ascii="Arial" w:cs="Arial" w:eastAsia="Arial" w:hAnsi="Arial"/>
          <w:sz w:val="17"/>
          <w:szCs w:val="17"/>
          <w:color w:val="auto"/>
        </w:rPr>
        <w:t>;” capitalized terms used but not otherwise defined herein shall have the meanings given them in the Loan Agreement),</w:t>
      </w:r>
    </w:p>
    <w:p>
      <w:pPr>
        <w:spacing w:after="0" w:line="162"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(a) 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w:t>
      </w:r>
    </w:p>
    <w:p>
      <w:pPr>
        <w:spacing w:after="0" w:line="225" w:lineRule="exact"/>
        <w:rPr>
          <w:sz w:val="20"/>
          <w:szCs w:val="20"/>
          <w:color w:val="auto"/>
        </w:rPr>
      </w:pPr>
    </w:p>
    <w:p>
      <w:pPr>
        <w:ind w:left="720" w:hanging="256"/>
        <w:spacing w:after="0"/>
        <w:tabs>
          <w:tab w:leader="none" w:pos="72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ind w:right="100" w:firstLine="464"/>
        <w:spacing w:after="0" w:line="279" w:lineRule="auto"/>
        <w:tabs>
          <w:tab w:leader="none" w:pos="701" w:val="left"/>
        </w:tabs>
        <w:numPr>
          <w:ilvl w:val="0"/>
          <w:numId w:val="694"/>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firstLine="464"/>
        <w:spacing w:after="0" w:line="264" w:lineRule="auto"/>
        <w:tabs>
          <w:tab w:leader="none" w:pos="711" w:val="left"/>
        </w:tabs>
        <w:numPr>
          <w:ilvl w:val="0"/>
          <w:numId w:val="694"/>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694"/>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040" w:type="dxa"/>
            <w:vAlign w:val="bottom"/>
          </w:tcPr>
          <w:p>
            <w:pPr>
              <w:ind w:left="1480"/>
              <w:spacing w:after="0"/>
              <w:rPr>
                <w:sz w:val="20"/>
                <w:szCs w:val="20"/>
                <w:color w:val="auto"/>
              </w:rPr>
            </w:pPr>
            <w:r>
              <w:rPr>
                <w:rFonts w:ascii="Arial" w:cs="Arial" w:eastAsia="Arial" w:hAnsi="Arial"/>
                <w:sz w:val="14"/>
                <w:szCs w:val="14"/>
                <w:b w:val="1"/>
                <w:bCs w:val="1"/>
                <w:color w:val="auto"/>
              </w:rPr>
              <w:t>Reporting Covenant</w:t>
            </w:r>
          </w:p>
        </w:tc>
        <w:tc>
          <w:tcPr>
            <w:tcW w:w="3780" w:type="dxa"/>
            <w:vAlign w:val="bottom"/>
          </w:tcPr>
          <w:p>
            <w:pPr>
              <w:ind w:left="1620"/>
              <w:spacing w:after="0"/>
              <w:rPr>
                <w:sz w:val="20"/>
                <w:szCs w:val="20"/>
                <w:color w:val="auto"/>
              </w:rPr>
            </w:pPr>
            <w:r>
              <w:rPr>
                <w:rFonts w:ascii="Arial" w:cs="Arial" w:eastAsia="Arial" w:hAnsi="Arial"/>
                <w:sz w:val="14"/>
                <w:szCs w:val="14"/>
                <w:b w:val="1"/>
                <w:bCs w:val="1"/>
                <w:color w:val="auto"/>
              </w:rPr>
              <w:t>Requirement</w:t>
            </w:r>
          </w:p>
        </w:tc>
        <w:tc>
          <w:tcPr>
            <w:tcW w:w="1680" w:type="dxa"/>
            <w:vAlign w:val="bottom"/>
          </w:tcPr>
          <w:p>
            <w:pPr>
              <w:ind w:left="38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480" w:type="dxa"/>
            <w:vAlign w:val="bottom"/>
          </w:tcPr>
          <w:p>
            <w:pPr>
              <w:spacing w:after="0"/>
              <w:rPr>
                <w:sz w:val="16"/>
                <w:szCs w:val="16"/>
                <w:color w:val="auto"/>
              </w:rPr>
            </w:pPr>
          </w:p>
        </w:tc>
      </w:tr>
      <w:tr>
        <w:trPr>
          <w:trHeight w:val="309"/>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w:t>
            </w:r>
          </w:p>
        </w:tc>
        <w:tc>
          <w:tcPr>
            <w:tcW w:w="404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Monthly within 30 days</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2)</w:t>
            </w:r>
          </w:p>
        </w:tc>
        <w:tc>
          <w:tcPr>
            <w:tcW w:w="4040" w:type="dxa"/>
            <w:vAlign w:val="bottom"/>
          </w:tcPr>
          <w:p>
            <w:pPr>
              <w:ind w:left="160"/>
              <w:spacing w:after="0"/>
              <w:rPr>
                <w:sz w:val="20"/>
                <w:szCs w:val="20"/>
                <w:color w:val="auto"/>
              </w:rPr>
            </w:pPr>
            <w:r>
              <w:rPr>
                <w:rFonts w:ascii="Arial" w:cs="Arial" w:eastAsia="Arial" w:hAnsi="Arial"/>
                <w:sz w:val="18"/>
                <w:szCs w:val="18"/>
                <w:color w:val="auto"/>
              </w:rPr>
              <w:t>Annual (CPA Audited)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Within 180 days after FYE</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w:t>
            </w:r>
          </w:p>
        </w:tc>
        <w:tc>
          <w:tcPr>
            <w:tcW w:w="4040" w:type="dxa"/>
            <w:vAlign w:val="bottom"/>
          </w:tcPr>
          <w:p>
            <w:pPr>
              <w:ind w:left="160"/>
              <w:spacing w:after="0"/>
              <w:rPr>
                <w:sz w:val="20"/>
                <w:szCs w:val="20"/>
                <w:color w:val="auto"/>
              </w:rPr>
            </w:pPr>
            <w:r>
              <w:rPr>
                <w:rFonts w:ascii="Arial" w:cs="Arial" w:eastAsia="Arial" w:hAnsi="Arial"/>
                <w:sz w:val="18"/>
                <w:szCs w:val="18"/>
                <w:color w:val="auto"/>
                <w:w w:val="93"/>
              </w:rPr>
              <w:t>Annual Financial Projections/Budget (prepared on a</w:t>
            </w:r>
          </w:p>
        </w:tc>
        <w:tc>
          <w:tcPr>
            <w:tcW w:w="3780" w:type="dxa"/>
            <w:vAlign w:val="bottom"/>
          </w:tcPr>
          <w:p>
            <w:pPr>
              <w:ind w:left="140"/>
              <w:spacing w:after="0"/>
              <w:rPr>
                <w:sz w:val="20"/>
                <w:szCs w:val="20"/>
                <w:color w:val="auto"/>
              </w:rPr>
            </w:pPr>
            <w:r>
              <w:rPr>
                <w:rFonts w:ascii="Arial" w:cs="Arial" w:eastAsia="Arial" w:hAnsi="Arial"/>
                <w:sz w:val="18"/>
                <w:szCs w:val="18"/>
                <w:color w:val="auto"/>
              </w:rPr>
              <w:t>Annually (within 10 days of FYE), and when</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monthly basis)</w:t>
            </w:r>
          </w:p>
        </w:tc>
        <w:tc>
          <w:tcPr>
            <w:tcW w:w="3780" w:type="dxa"/>
            <w:vAlign w:val="bottom"/>
          </w:tcPr>
          <w:p>
            <w:pPr>
              <w:ind w:left="140"/>
              <w:spacing w:after="0"/>
              <w:rPr>
                <w:sz w:val="20"/>
                <w:szCs w:val="20"/>
                <w:color w:val="auto"/>
              </w:rPr>
            </w:pPr>
            <w:r>
              <w:rPr>
                <w:rFonts w:ascii="Arial" w:cs="Arial" w:eastAsia="Arial" w:hAnsi="Arial"/>
                <w:sz w:val="18"/>
                <w:szCs w:val="18"/>
                <w:color w:val="auto"/>
              </w:rPr>
              <w:t>revised</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bl>
    <w:p>
      <w:pPr>
        <w:sectPr>
          <w:pgSz w:w="11900" w:h="16838" w:orient="portrait"/>
          <w:cols w:equalWidth="0" w:num="1">
            <w:col w:w="11380"/>
          </w:cols>
          <w:pgMar w:left="240" w:top="270" w:right="279" w:bottom="1440" w:gutter="0" w:footer="0" w:header="0"/>
        </w:sectPr>
      </w:pPr>
    </w:p>
    <w:bookmarkStart w:id="742" w:name="page743"/>
    <w:bookmarkEnd w:id="7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w:t>
            </w:r>
          </w:p>
        </w:tc>
        <w:tc>
          <w:tcPr>
            <w:tcW w:w="4080" w:type="dxa"/>
            <w:vAlign w:val="bottom"/>
          </w:tcPr>
          <w:p>
            <w:pPr>
              <w:ind w:left="160"/>
              <w:spacing w:after="0"/>
              <w:rPr>
                <w:sz w:val="20"/>
                <w:szCs w:val="20"/>
                <w:color w:val="auto"/>
              </w:rPr>
            </w:pPr>
            <w:r>
              <w:rPr>
                <w:rFonts w:ascii="Arial" w:cs="Arial" w:eastAsia="Arial" w:hAnsi="Arial"/>
                <w:sz w:val="18"/>
                <w:szCs w:val="18"/>
                <w:color w:val="auto"/>
              </w:rPr>
              <w:t>A/R &amp; A/P agings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w:t>
            </w:r>
          </w:p>
        </w:tc>
        <w:tc>
          <w:tcPr>
            <w:tcW w:w="120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5)</w:t>
            </w:r>
          </w:p>
        </w:tc>
        <w:tc>
          <w:tcPr>
            <w:tcW w:w="4080" w:type="dxa"/>
            <w:vAlign w:val="bottom"/>
          </w:tcPr>
          <w:p>
            <w:pPr>
              <w:ind w:left="160"/>
              <w:spacing w:after="0"/>
              <w:rPr>
                <w:sz w:val="20"/>
                <w:szCs w:val="20"/>
                <w:color w:val="auto"/>
              </w:rPr>
            </w:pPr>
            <w:r>
              <w:rPr>
                <w:rFonts w:ascii="Arial" w:cs="Arial" w:eastAsia="Arial" w:hAnsi="Arial"/>
                <w:sz w:val="18"/>
                <w:szCs w:val="18"/>
                <w:color w:val="auto"/>
              </w:rPr>
              <w:t>8-K, 10-K and 10-Q Filings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 within 5 days of filing</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6)</w:t>
            </w:r>
          </w:p>
        </w:tc>
        <w:tc>
          <w:tcPr>
            <w:tcW w:w="408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3360" w:type="dxa"/>
            <w:vAlign w:val="bottom"/>
          </w:tcPr>
          <w:p>
            <w:pPr>
              <w:ind w:left="100"/>
              <w:spacing w:after="0"/>
              <w:rPr>
                <w:sz w:val="20"/>
                <w:szCs w:val="20"/>
                <w:color w:val="auto"/>
              </w:rPr>
            </w:pPr>
            <w:r>
              <w:rPr>
                <w:rFonts w:ascii="Arial" w:cs="Arial" w:eastAsia="Arial" w:hAnsi="Arial"/>
                <w:sz w:val="18"/>
                <w:szCs w:val="18"/>
                <w:color w:val="auto"/>
              </w:rPr>
              <w:t>Monthly within 30 days</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7)</w:t>
            </w:r>
          </w:p>
        </w:tc>
        <w:tc>
          <w:tcPr>
            <w:tcW w:w="4080" w:type="dxa"/>
            <w:vAlign w:val="bottom"/>
          </w:tcPr>
          <w:p>
            <w:pPr>
              <w:ind w:left="160"/>
              <w:spacing w:after="0"/>
              <w:rPr>
                <w:sz w:val="20"/>
                <w:szCs w:val="20"/>
                <w:color w:val="auto"/>
              </w:rPr>
            </w:pPr>
            <w:r>
              <w:rPr>
                <w:rFonts w:ascii="Arial" w:cs="Arial" w:eastAsia="Arial" w:hAnsi="Arial"/>
                <w:sz w:val="18"/>
                <w:szCs w:val="18"/>
                <w:color w:val="auto"/>
              </w:rPr>
              <w:t>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When required</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8)</w:t>
            </w:r>
          </w:p>
        </w:tc>
        <w:tc>
          <w:tcPr>
            <w:tcW w:w="4080" w:type="dxa"/>
            <w:vAlign w:val="bottom"/>
          </w:tcPr>
          <w:p>
            <w:pPr>
              <w:ind w:left="160"/>
              <w:spacing w:after="0"/>
              <w:rPr>
                <w:sz w:val="20"/>
                <w:szCs w:val="20"/>
                <w:color w:val="auto"/>
              </w:rPr>
            </w:pPr>
            <w:r>
              <w:rPr>
                <w:rFonts w:ascii="Arial" w:cs="Arial" w:eastAsia="Arial" w:hAnsi="Arial"/>
                <w:sz w:val="18"/>
                <w:szCs w:val="18"/>
                <w:color w:val="auto"/>
              </w:rPr>
              <w:t>Non-Core 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Quarterly</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9)</w:t>
            </w:r>
          </w:p>
        </w:tc>
        <w:tc>
          <w:tcPr>
            <w:tcW w:w="4080" w:type="dxa"/>
            <w:vAlign w:val="bottom"/>
          </w:tcPr>
          <w:p>
            <w:pPr>
              <w:ind w:left="160"/>
              <w:spacing w:after="0"/>
              <w:rPr>
                <w:sz w:val="20"/>
                <w:szCs w:val="20"/>
                <w:color w:val="auto"/>
              </w:rPr>
            </w:pPr>
            <w:r>
              <w:rPr>
                <w:rFonts w:ascii="Arial" w:cs="Arial" w:eastAsia="Arial" w:hAnsi="Arial"/>
                <w:sz w:val="18"/>
                <w:szCs w:val="18"/>
                <w:color w:val="auto"/>
              </w:rPr>
              <w:t>Total amount of Borrower’s cash and cash</w:t>
            </w: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w w:val="91"/>
              </w:rPr>
              <w:t>equivalents at the last day of the measurement period</w:t>
            </w:r>
          </w:p>
        </w:tc>
        <w:tc>
          <w:tcPr>
            <w:tcW w:w="3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ind w:left="480" w:hanging="472"/>
        <w:spacing w:after="0"/>
        <w:tabs>
          <w:tab w:leader="none" w:pos="480" w:val="left"/>
        </w:tabs>
        <w:numPr>
          <w:ilvl w:val="0"/>
          <w:numId w:val="695"/>
        </w:numPr>
        <w:rPr>
          <w:rFonts w:ascii="Arial" w:cs="Arial" w:eastAsia="Arial" w:hAnsi="Arial"/>
          <w:sz w:val="18"/>
          <w:szCs w:val="18"/>
          <w:b w:val="1"/>
          <w:bCs w:val="1"/>
          <w:color w:val="auto"/>
        </w:rPr>
      </w:pPr>
      <w:r>
        <w:rPr>
          <w:rFonts w:ascii="Arial" w:cs="Arial" w:eastAsia="Arial" w:hAnsi="Arial"/>
          <w:sz w:val="18"/>
          <w:szCs w:val="18"/>
          <w:color w:val="auto"/>
        </w:rPr>
        <w:t>Total amount of Borrower’s Subsidiaries’ cash and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cash equivalents at the last day of the measurement</w:t>
            </w:r>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period</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Yes</w:t>
            </w:r>
          </w:p>
        </w:tc>
        <w:tc>
          <w:tcPr>
            <w:tcW w:w="500" w:type="dxa"/>
            <w:vAlign w:val="bottom"/>
          </w:tcPr>
          <w:p>
            <w:pPr>
              <w:ind w:left="4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00"/>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70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(Please list all accounts; attach separate sheet if additional space needed)</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Institution Name</w:t>
            </w:r>
          </w:p>
        </w:tc>
        <w:tc>
          <w:tcPr>
            <w:tcW w:w="2840" w:type="dxa"/>
            <w:vAlign w:val="bottom"/>
            <w:vMerge w:val="restart"/>
          </w:tcPr>
          <w:p>
            <w:pPr>
              <w:jc w:val="right"/>
              <w:ind w:right="1419"/>
              <w:spacing w:after="0"/>
              <w:rPr>
                <w:sz w:val="20"/>
                <w:szCs w:val="20"/>
                <w:color w:val="auto"/>
              </w:rPr>
            </w:pPr>
            <w:r>
              <w:rPr>
                <w:rFonts w:ascii="Arial" w:cs="Arial" w:eastAsia="Arial" w:hAnsi="Arial"/>
                <w:sz w:val="14"/>
                <w:szCs w:val="14"/>
                <w:b w:val="1"/>
                <w:bCs w:val="1"/>
                <w:color w:val="auto"/>
              </w:rPr>
              <w:t>Account Number</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New Account?</w:t>
            </w: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Account Control Agreement in</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place?</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500"/>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Other Matters</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w w:val="90"/>
              </w:rPr>
              <w:t>Have there been any transfers/sales/disposals/retirement of Collateral or IP prohibited by the Loan Agreement?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80" w:hanging="472"/>
        <w:spacing w:after="0"/>
        <w:tabs>
          <w:tab w:leader="none" w:pos="480" w:val="left"/>
        </w:tabs>
        <w:numPr>
          <w:ilvl w:val="0"/>
          <w:numId w:val="696"/>
        </w:numPr>
        <w:rPr>
          <w:rFonts w:ascii="Arial" w:cs="Arial" w:eastAsia="Arial" w:hAnsi="Arial"/>
          <w:sz w:val="18"/>
          <w:szCs w:val="18"/>
          <w:b w:val="1"/>
          <w:bCs w:val="1"/>
          <w:color w:val="auto"/>
        </w:rPr>
      </w:pPr>
      <w:r>
        <w:rPr>
          <w:rFonts w:ascii="Arial" w:cs="Arial" w:eastAsia="Arial" w:hAnsi="Arial"/>
          <w:sz w:val="18"/>
          <w:szCs w:val="18"/>
          <w:color w:val="auto"/>
        </w:rPr>
        <w:t>Have there been any new or pending claims or causes of action against Borrower that involve more than One Hundred</w:t>
      </w:r>
    </w:p>
    <w:p>
      <w:pPr>
        <w:spacing w:after="0" w:line="23" w:lineRule="exact"/>
        <w:rPr>
          <w:sz w:val="20"/>
          <w:szCs w:val="20"/>
          <w:color w:val="auto"/>
        </w:rPr>
      </w:pPr>
    </w:p>
    <w:p>
      <w:pPr>
        <w:ind w:left="480"/>
        <w:spacing w:after="0"/>
        <w:tabs>
          <w:tab w:leader="none" w:pos="9740" w:val="left"/>
          <w:tab w:leader="none" w:pos="10900" w:val="left"/>
        </w:tabs>
        <w:rPr>
          <w:sz w:val="20"/>
          <w:szCs w:val="20"/>
          <w:color w:val="auto"/>
        </w:rPr>
      </w:pPr>
      <w:r>
        <w:rPr>
          <w:rFonts w:ascii="Arial" w:cs="Arial" w:eastAsia="Arial" w:hAnsi="Arial"/>
          <w:sz w:val="18"/>
          <w:szCs w:val="18"/>
          <w:color w:val="auto"/>
        </w:rPr>
        <w:t>Thousand Dollars ($100,000.00)?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103" w:lineRule="exact"/>
        <w:rPr>
          <w:sz w:val="20"/>
          <w:szCs w:val="20"/>
          <w:color w:val="auto"/>
        </w:rPr>
      </w:pPr>
    </w:p>
    <w:p>
      <w:pPr>
        <w:ind w:left="480" w:right="2120" w:hanging="472"/>
        <w:spacing w:after="0" w:line="286" w:lineRule="auto"/>
        <w:tabs>
          <w:tab w:leader="none" w:pos="480" w:val="left"/>
        </w:tabs>
        <w:numPr>
          <w:ilvl w:val="0"/>
          <w:numId w:val="697"/>
        </w:numPr>
        <w:rPr>
          <w:rFonts w:ascii="Arial" w:cs="Arial" w:eastAsia="Arial" w:hAnsi="Arial"/>
          <w:sz w:val="16"/>
          <w:szCs w:val="16"/>
          <w:b w:val="1"/>
          <w:bCs w:val="1"/>
          <w:color w:val="auto"/>
        </w:rPr>
      </w:pPr>
      <w:r>
        <w:rPr>
          <w:rFonts w:ascii="Arial" w:cs="Arial" w:eastAsia="Arial" w:hAnsi="Arial"/>
          <w:sz w:val="16"/>
          <w:szCs w:val="16"/>
          <w:color w:val="auto"/>
        </w:rPr>
        <w:t>Have there been any (A) amendments of or other changes to the Operating Documents or (B) material changes to the capitalization table of Borrower and to the Operating Documents of Borrower or any of its Subsidiaries (other than with respect to the grant, exercise, cancellation or modification of options to purchase Borrower’s Common Stock outstanding or hereafter issued by Borrower from the option pool set forth on the capitalization table of Borrower delivered to Bank in</w:t>
      </w:r>
    </w:p>
    <w:p>
      <w:pPr>
        <w:spacing w:after="0" w:line="2" w:lineRule="exact"/>
        <w:rPr>
          <w:sz w:val="20"/>
          <w:szCs w:val="20"/>
          <w:color w:val="auto"/>
        </w:rPr>
      </w:pPr>
    </w:p>
    <w:p>
      <w:pPr>
        <w:ind w:left="480" w:right="2120"/>
        <w:spacing w:after="0" w:line="281" w:lineRule="auto"/>
        <w:rPr>
          <w:sz w:val="20"/>
          <w:szCs w:val="20"/>
          <w:color w:val="auto"/>
        </w:rPr>
      </w:pPr>
      <w:r>
        <w:rPr>
          <w:rFonts w:ascii="Arial" w:cs="Arial" w:eastAsia="Arial" w:hAnsi="Arial"/>
          <w:sz w:val="16"/>
          <w:szCs w:val="16"/>
          <w:color w:val="auto"/>
        </w:rPr>
        <w:t>connection with the Perfection Certificate or upon exercise of warrants to purchase capital stock of the Borrower reflected upon such capitalization table)? If yes, provide copies of any such amendments or changes with this Compliance</w:t>
      </w:r>
    </w:p>
    <w:p>
      <w:pPr>
        <w:sectPr>
          <w:pgSz w:w="11900" w:h="16838" w:orient="portrait"/>
          <w:cols w:equalWidth="0" w:num="1">
            <w:col w:w="11400"/>
          </w:cols>
          <w:pgMar w:left="240" w:top="378" w:right="259" w:bottom="1440" w:gutter="0" w:footer="0" w:header="0"/>
        </w:sectPr>
      </w:pP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w:t>
      </w:r>
    </w:p>
    <w:p>
      <w:pPr>
        <w:sectPr>
          <w:pgSz w:w="11900" w:h="16838" w:orient="portrait"/>
          <w:cols w:equalWidth="0" w:num="3">
            <w:col w:w="9040" w:space="720"/>
            <w:col w:w="440" w:space="720"/>
            <w:col w:w="480"/>
          </w:cols>
          <w:pgMar w:left="240" w:top="378" w:right="259" w:bottom="1440" w:gutter="0" w:footer="0" w:header="0"/>
          <w:type w:val="continuous"/>
        </w:sectPr>
      </w:pPr>
    </w:p>
    <w:bookmarkStart w:id="743" w:name="page744"/>
    <w:bookmarkEnd w:id="74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LENDER USE ONLY</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Received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220" w:type="dxa"/>
            <w:vAlign w:val="bottom"/>
          </w:tcPr>
          <w:p>
            <w:pPr>
              <w:spacing w:after="0"/>
              <w:rPr>
                <w:sz w:val="20"/>
                <w:szCs w:val="20"/>
                <w:color w:val="auto"/>
              </w:rPr>
            </w:pPr>
            <w:r>
              <w:rPr>
                <w:rFonts w:ascii="Arial" w:cs="Arial" w:eastAsia="Arial" w:hAnsi="Arial"/>
                <w:sz w:val="18"/>
                <w:szCs w:val="18"/>
                <w:color w:val="auto"/>
              </w:rPr>
              <w:t>Verified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820" w:type="dxa"/>
            <w:vAlign w:val="bottom"/>
            <w:gridSpan w:val="2"/>
          </w:tcPr>
          <w:p>
            <w:pPr>
              <w:spacing w:after="0"/>
              <w:rPr>
                <w:sz w:val="20"/>
                <w:szCs w:val="20"/>
                <w:color w:val="auto"/>
              </w:rPr>
            </w:pPr>
            <w:r>
              <w:rPr>
                <w:rFonts w:ascii="Arial" w:cs="Arial" w:eastAsia="Arial" w:hAnsi="Arial"/>
                <w:sz w:val="18"/>
                <w:szCs w:val="18"/>
                <w:color w:val="auto"/>
              </w:rPr>
              <w:t>Compliance Status:</w:t>
            </w:r>
          </w:p>
        </w:tc>
        <w:tc>
          <w:tcPr>
            <w:tcW w:w="660" w:type="dxa"/>
            <w:vAlign w:val="bottom"/>
          </w:tcPr>
          <w:p>
            <w:pPr>
              <w:ind w:left="120"/>
              <w:spacing w:after="0"/>
              <w:rPr>
                <w:sz w:val="20"/>
                <w:szCs w:val="20"/>
                <w:color w:val="auto"/>
              </w:rPr>
            </w:pPr>
            <w:r>
              <w:rPr>
                <w:rFonts w:ascii="Arial" w:cs="Arial" w:eastAsia="Arial" w:hAnsi="Arial"/>
                <w:sz w:val="18"/>
                <w:szCs w:val="18"/>
                <w:color w:val="auto"/>
              </w:rPr>
              <w:t>Yes</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-445135</wp:posOffset>
            </wp:positionV>
            <wp:extent cx="119189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-222250</wp:posOffset>
            </wp:positionV>
            <wp:extent cx="119189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ectPr>
          <w:pgSz w:w="11900" w:h="16838" w:orient="portrait"/>
          <w:cols w:equalWidth="0" w:num="1">
            <w:col w:w="11260"/>
          </w:cols>
          <w:pgMar w:left="240" w:top="270" w:right="399" w:bottom="1440" w:gutter="0" w:footer="0" w:header="0"/>
        </w:sectPr>
      </w:pPr>
    </w:p>
    <w:bookmarkStart w:id="744" w:name="page745"/>
    <w:bookmarkEnd w:id="7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745" w:name="page746"/>
    <w:bookmarkEnd w:id="7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[A][B][C] Loan)</w:t>
      </w:r>
    </w:p>
    <w:p>
      <w:pPr>
        <w:spacing w:after="0" w:line="238"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Dated: [DATE]</w:t>
      </w:r>
    </w:p>
    <w:p>
      <w:pPr>
        <w:spacing w:after="0" w:line="237" w:lineRule="exact"/>
        <w:rPr>
          <w:sz w:val="20"/>
          <w:szCs w:val="20"/>
          <w:color w:val="auto"/>
        </w:rPr>
      </w:pPr>
    </w:p>
    <w:p>
      <w:pPr>
        <w:ind w:right="240" w:firstLine="456"/>
        <w:spacing w:after="0" w:line="274" w:lineRule="auto"/>
        <w:rPr>
          <w:sz w:val="20"/>
          <w:szCs w:val="20"/>
          <w:color w:val="auto"/>
        </w:rPr>
      </w:pPr>
      <w:r>
        <w:rPr>
          <w:rFonts w:ascii="Arial" w:cs="Arial" w:eastAsia="Arial" w:hAnsi="Arial"/>
          <w:sz w:val="17"/>
          <w:szCs w:val="17"/>
          <w:color w:val="auto"/>
        </w:rPr>
        <w:t>FOR VALUE RECEIVED, the undersigned, ANAPTYSBIO, INC., a Delaware corporation with offices located at 10421 Pacific Center Court, Suite 200,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[OXFORD FINANCE LLC][SILICON VALLEY BANK]</w:t>
      </w:r>
    </w:p>
    <w:p>
      <w:pPr>
        <w:ind w:right="18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the principal amount of [ ] MILLION DOLLARS ($ ) or such lesser amount as shall equal the outstanding principal balance of the Term [A][B][C] Loan made to Borrower by Lender, plus interest on the aggregate unpaid principal amount of such Term [A][B][C] Loan, at the rates and in accordance with the terms of the Loan and Security Agreement dated December ,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Principal, interest and all other amounts due with respect to the Term [A][B][C]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[A][B][C]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[A][B][C] Loan, interest on the Term [A][B][C]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746" w:name="page747"/>
    <w:bookmarkEnd w:id="7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480"/>
          </w:cols>
          <w:pgMar w:left="700" w:top="274" w:right="719" w:bottom="1440" w:gutter="0" w:footer="0" w:header="0"/>
        </w:sectPr>
      </w:pPr>
    </w:p>
    <w:bookmarkStart w:id="747" w:name="page748"/>
    <w:bookmarkEnd w:id="7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Date</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22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Scheduled</w:t>
            </w:r>
          </w:p>
        </w:tc>
        <w:tc>
          <w:tcPr>
            <w:tcW w:w="20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Notation By</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2280" w:type="dxa"/>
            <w:vAlign w:val="bottom"/>
            <w:gridSpan w:val="2"/>
            <w:vMerge w:val="continue"/>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Payment Amount</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48" w:name="page749"/>
    <w:bookmarkEnd w:id="7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Warrant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1" w:right="1440" w:bottom="1440" w:gutter="0" w:footer="0" w:header="0"/>
        </w:sectPr>
      </w:pPr>
    </w:p>
    <w:bookmarkStart w:id="749" w:name="page750"/>
    <w:bookmarkEnd w:id="74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275"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ANAPTYSBIO, INC., a Delaware corporation</w:t>
      </w:r>
    </w:p>
    <w:p>
      <w:pPr>
        <w:spacing w:after="0" w:line="140" w:lineRule="exact"/>
        <w:rPr>
          <w:sz w:val="20"/>
          <w:szCs w:val="20"/>
          <w:color w:val="auto"/>
        </w:rPr>
      </w:pPr>
    </w:p>
    <w:p>
      <w:pPr>
        <w:sectPr>
          <w:pgSz w:w="11900" w:h="16838" w:orient="portrait"/>
          <w:cols w:equalWidth="0" w:num="2">
            <w:col w:w="1360" w:space="720"/>
            <w:col w:w="9340"/>
          </w:cols>
          <w:pgMar w:left="240" w:top="275"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[3.75% of the funded Term Loan/Warrant Price]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5" w:right="239" w:bottom="1440" w:gutter="0" w:footer="0" w:header="0"/>
          <w:type w:val="continuous"/>
        </w:sect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Series C Preferred (Subject to Section 1.7)</w:t>
      </w:r>
    </w:p>
    <w:p>
      <w:pPr>
        <w:spacing w:after="0" w:line="140" w:lineRule="exact"/>
        <w:rPr>
          <w:sz w:val="20"/>
          <w:szCs w:val="20"/>
          <w:color w:val="auto"/>
        </w:rPr>
      </w:pPr>
    </w:p>
    <w:p>
      <w:pPr>
        <w:sectPr>
          <w:pgSz w:w="11900" w:h="16838" w:orient="portrait"/>
          <w:cols w:equalWidth="0" w:num="2">
            <w:col w:w="1560" w:space="520"/>
            <w:col w:w="9340"/>
          </w:cols>
          <w:pgMar w:left="240" w:top="275" w:right="239" w:bottom="1440" w:gutter="0" w:footer="0" w:header="0"/>
          <w:type w:val="continuous"/>
        </w:sect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$0.65 per share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5"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w:t>
      </w:r>
    </w:p>
    <w:p>
      <w:pPr>
        <w:spacing w:after="0" w:line="129" w:lineRule="exact"/>
        <w:rPr>
          <w:sz w:val="20"/>
          <w:szCs w:val="20"/>
          <w:color w:val="auto"/>
        </w:rPr>
      </w:pPr>
    </w:p>
    <w:p>
      <w:pPr>
        <w:sectPr>
          <w:pgSz w:w="11900" w:h="16838" w:orient="portrait"/>
          <w:cols w:equalWidth="0" w:num="2">
            <w:col w:w="1360" w:space="720"/>
            <w:col w:w="9340"/>
          </w:cols>
          <w:pgMar w:left="240" w:top="275"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10 years after the Issue Date] See also Section 5.1(b).</w:t>
      </w:r>
    </w:p>
    <w:p>
      <w:pPr>
        <w:spacing w:after="0" w:line="136" w:lineRule="exact"/>
        <w:rPr>
          <w:sz w:val="20"/>
          <w:szCs w:val="20"/>
          <w:color w:val="auto"/>
        </w:rPr>
      </w:pPr>
    </w:p>
    <w:p>
      <w:pPr>
        <w:sectPr>
          <w:pgSz w:w="11900" w:h="16838" w:orient="portrait"/>
          <w:cols w:equalWidth="0" w:num="2">
            <w:col w:w="1360" w:space="720"/>
            <w:col w:w="9340"/>
          </w:cols>
          <w:pgMar w:left="240" w:top="275"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Arial" w:cs="Arial" w:eastAsia="Arial" w:hAnsi="Arial"/>
          <w:sz w:val="18"/>
          <w:szCs w:val="18"/>
          <w:color w:val="auto"/>
        </w:rPr>
        <w:t>This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dated as of December , 2014 among Oxford Finance LLC, as Lender and Collateral Agent, the Lenders from time to time party thereto, including Silicon Valley Bank and the Company (as modified, amended and/or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360" w:space="720"/>
            <w:col w:w="9340"/>
          </w:cols>
          <w:pgMar w:left="240" w:top="275" w:right="239" w:bottom="1440" w:gutter="0" w:footer="0" w:header="0"/>
          <w:type w:val="continuous"/>
        </w:sectPr>
      </w:pPr>
    </w:p>
    <w:p>
      <w:pPr>
        <w:ind w:firstLine="456"/>
        <w:spacing w:after="0" w:line="274" w:lineRule="auto"/>
        <w:rPr>
          <w:sz w:val="20"/>
          <w:szCs w:val="20"/>
          <w:color w:val="auto"/>
        </w:rPr>
      </w:pPr>
      <w:r>
        <w:rPr>
          <w:rFonts w:ascii="Arial" w:cs="Arial" w:eastAsia="Arial" w:hAnsi="Arial"/>
          <w:sz w:val="17"/>
          <w:szCs w:val="17"/>
          <w:color w:val="auto"/>
        </w:rPr>
        <w:t>THIS WARRANT CERTIFIES THAT, for good and valuable consideration, [SILICON VALLEY BANK][OXFORD FINANCE LLC] ([”</w:t>
      </w:r>
      <w:r>
        <w:rPr>
          <w:rFonts w:ascii="Arial" w:cs="Arial" w:eastAsia="Arial" w:hAnsi="Arial"/>
          <w:sz w:val="17"/>
          <w:szCs w:val="17"/>
          <w:b w:val="1"/>
          <w:bCs w:val="1"/>
          <w:color w:val="auto"/>
        </w:rPr>
        <w:t>Oxford</w:t>
      </w:r>
      <w:r>
        <w:rPr>
          <w:rFonts w:ascii="Arial" w:cs="Arial" w:eastAsia="Arial" w:hAnsi="Arial"/>
          <w:sz w:val="17"/>
          <w:szCs w:val="17"/>
          <w:color w:val="auto"/>
        </w:rPr>
        <w:t>” and,] together with any successor or permitted assignee or transferee of this Warrant or of any shares issued upon exercise hereof, “</w:t>
      </w:r>
      <w:r>
        <w:rPr>
          <w:rFonts w:ascii="Arial" w:cs="Arial" w:eastAsia="Arial" w:hAnsi="Arial"/>
          <w:sz w:val="17"/>
          <w:szCs w:val="17"/>
          <w:b w:val="1"/>
          <w:bCs w:val="1"/>
          <w:color w:val="auto"/>
        </w:rPr>
        <w:t>Holder</w:t>
      </w:r>
      <w:r>
        <w:rPr>
          <w:rFonts w:ascii="Arial" w:cs="Arial" w:eastAsia="Arial" w:hAnsi="Arial"/>
          <w:sz w:val="17"/>
          <w:szCs w:val="17"/>
          <w:color w:val="auto"/>
        </w:rPr>
        <w:t>”) is entitled to purchase the number 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b w:val="1"/>
          <w:bCs w:val="1"/>
          <w:color w:val="auto"/>
        </w:rPr>
        <w:t>Class</w:t>
      </w:r>
      <w:r>
        <w:rPr>
          <w:rFonts w:ascii="Arial" w:cs="Arial" w:eastAsia="Arial" w:hAnsi="Arial"/>
          <w:sz w:val="17"/>
          <w:szCs w:val="17"/>
          <w:color w:val="auto"/>
        </w:rPr>
        <w:t>”) of the above-named company (the “</w:t>
      </w:r>
      <w:r>
        <w:rPr>
          <w:rFonts w:ascii="Arial" w:cs="Arial" w:eastAsia="Arial" w:hAnsi="Arial"/>
          <w:sz w:val="17"/>
          <w:szCs w:val="17"/>
          <w:b w:val="1"/>
          <w:bCs w:val="1"/>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 [</w:t>
      </w:r>
      <w:r>
        <w:rPr>
          <w:rFonts w:ascii="Arial" w:cs="Arial" w:eastAsia="Arial" w:hAnsi="Arial"/>
          <w:sz w:val="17"/>
          <w:szCs w:val="17"/>
          <w:i w:val="1"/>
          <w:iCs w:val="1"/>
          <w:color w:val="auto"/>
        </w:rPr>
        <w:t>for SVB, add</w:t>
      </w:r>
      <w:r>
        <w:rPr>
          <w:rFonts w:ascii="Arial" w:cs="Arial" w:eastAsia="Arial" w:hAnsi="Arial"/>
          <w:sz w:val="17"/>
          <w:szCs w:val="17"/>
          <w:color w:val="auto"/>
        </w:rPr>
        <w:t>: Reference is made to Section 5.4 of this Warrant whereby Silicon Valley Bank shall transfer this Warrant to its parent company, SVB Financial Group.]</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jc w:val="both"/>
        <w:ind w:right="220" w:firstLine="1484"/>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the number of Shares to be issued to the Holder;</w:t>
      </w:r>
    </w:p>
    <w:p>
      <w:pPr>
        <w:spacing w:after="0" w:line="117" w:lineRule="exact"/>
        <w:rPr>
          <w:sz w:val="20"/>
          <w:szCs w:val="20"/>
          <w:color w:val="auto"/>
        </w:rPr>
      </w:pPr>
    </w:p>
    <w:p>
      <w:pPr>
        <w:ind w:left="1500" w:right="220"/>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ectPr>
          <w:pgSz w:w="11900" w:h="16838" w:orient="portrait"/>
          <w:cols w:equalWidth="0" w:num="1">
            <w:col w:w="11420"/>
          </w:cols>
          <w:pgMar w:left="240" w:top="275" w:right="239" w:bottom="1440" w:gutter="0" w:footer="0" w:header="0"/>
          <w:type w:val="continuous"/>
        </w:sectPr>
      </w:pPr>
    </w:p>
    <w:bookmarkStart w:id="750" w:name="page751"/>
    <w:bookmarkEnd w:id="750"/>
    <w:p>
      <w:pPr>
        <w:ind w:left="1500" w:right="338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 the Fair Market Value (as determined pursuant to Section 1.3 below) of one Share; and B = the Warrant Price.</w:t>
      </w:r>
    </w:p>
    <w:p>
      <w:pPr>
        <w:spacing w:after="0" w:line="6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ind w:right="260" w:firstLine="1484"/>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1492"/>
        <w:spacing w:after="0" w:line="271" w:lineRule="auto"/>
        <w:tabs>
          <w:tab w:leader="none" w:pos="1728" w:val="left"/>
        </w:tabs>
        <w:numPr>
          <w:ilvl w:val="0"/>
          <w:numId w:val="698"/>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60" w:firstLine="1492"/>
        <w:spacing w:after="0" w:line="257" w:lineRule="auto"/>
        <w:tabs>
          <w:tab w:leader="none" w:pos="1738" w:val="left"/>
        </w:tabs>
        <w:numPr>
          <w:ilvl w:val="0"/>
          <w:numId w:val="698"/>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260" w:firstLine="1492"/>
        <w:spacing w:after="0" w:line="257" w:lineRule="auto"/>
        <w:tabs>
          <w:tab w:leader="none" w:pos="1728"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273" w:right="239" w:bottom="1440" w:gutter="0" w:footer="0" w:header="0"/>
        </w:sectPr>
      </w:pPr>
    </w:p>
    <w:bookmarkStart w:id="751" w:name="page752"/>
    <w:bookmarkEnd w:id="751"/>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jc w:val="both"/>
        <w:ind w:right="80" w:firstLine="1492"/>
        <w:spacing w:after="0" w:line="279" w:lineRule="auto"/>
        <w:tabs>
          <w:tab w:leader="none" w:pos="1738" w:val="left"/>
        </w:tabs>
        <w:numPr>
          <w:ilvl w:val="1"/>
          <w:numId w:val="69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60" w:firstLine="1492"/>
        <w:spacing w:after="0" w:line="285" w:lineRule="auto"/>
        <w:tabs>
          <w:tab w:leader="none" w:pos="1728" w:val="left"/>
        </w:tabs>
        <w:numPr>
          <w:ilvl w:val="1"/>
          <w:numId w:val="699"/>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the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225" w:lineRule="exact"/>
        <w:rPr>
          <w:sz w:val="20"/>
          <w:szCs w:val="20"/>
          <w:color w:val="auto"/>
        </w:rPr>
      </w:pPr>
    </w:p>
    <w:p>
      <w:pPr>
        <w:ind w:right="40" w:firstLine="1484"/>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4" w:right="259" w:bottom="1440" w:gutter="0" w:footer="0" w:header="0"/>
        </w:sectPr>
      </w:pPr>
    </w:p>
    <w:bookmarkStart w:id="752" w:name="page753"/>
    <w:bookmarkEnd w:id="752"/>
    <w:p>
      <w:pPr>
        <w:ind w:right="20" w:firstLine="148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right="20" w:firstLine="1484"/>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9" w:lineRule="exact"/>
        <w:rPr>
          <w:sz w:val="20"/>
          <w:szCs w:val="20"/>
          <w:color w:val="auto"/>
        </w:rPr>
      </w:pPr>
    </w:p>
    <w:p>
      <w:pPr>
        <w:jc w:val="both"/>
        <w:ind w:right="240" w:firstLine="1484"/>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7"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484"/>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firstLine="1492"/>
        <w:spacing w:after="0" w:line="264" w:lineRule="auto"/>
        <w:tabs>
          <w:tab w:leader="none" w:pos="1728" w:val="left"/>
        </w:tabs>
        <w:numPr>
          <w:ilvl w:val="0"/>
          <w:numId w:val="701"/>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180" w:firstLine="1492"/>
        <w:spacing w:after="0" w:line="297" w:lineRule="auto"/>
        <w:tabs>
          <w:tab w:leader="none" w:pos="1738" w:val="left"/>
        </w:tabs>
        <w:numPr>
          <w:ilvl w:val="0"/>
          <w:numId w:val="701"/>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75" w:right="259" w:bottom="1440" w:gutter="0" w:footer="0" w:header="0"/>
        </w:sectPr>
      </w:pPr>
    </w:p>
    <w:bookmarkStart w:id="753" w:name="page754"/>
    <w:bookmarkEnd w:id="753"/>
    <w:p>
      <w:pPr>
        <w:ind w:left="1740" w:hanging="248"/>
        <w:spacing w:after="0"/>
        <w:tabs>
          <w:tab w:leader="none" w:pos="1740" w:val="left"/>
        </w:tabs>
        <w:numPr>
          <w:ilvl w:val="0"/>
          <w:numId w:val="7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capitalization table attached hereto as Schedule 1 is true and complete, in all material respects, as of the Issue Date.</w:t>
      </w:r>
    </w:p>
    <w:p>
      <w:pPr>
        <w:spacing w:after="0" w:line="248"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240" w:firstLine="1492"/>
        <w:spacing w:after="0" w:line="277" w:lineRule="auto"/>
        <w:tabs>
          <w:tab w:leader="none" w:pos="1728" w:val="left"/>
        </w:tabs>
        <w:numPr>
          <w:ilvl w:val="0"/>
          <w:numId w:val="703"/>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703"/>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703"/>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210" w:lineRule="exact"/>
        <w:rPr>
          <w:rFonts w:ascii="Arial" w:cs="Arial" w:eastAsia="Arial" w:hAnsi="Arial"/>
          <w:sz w:val="16"/>
          <w:szCs w:val="16"/>
          <w:color w:val="auto"/>
        </w:rPr>
      </w:pPr>
    </w:p>
    <w:p>
      <w:pPr>
        <w:ind w:left="1740" w:hanging="248"/>
        <w:spacing w:after="0"/>
        <w:tabs>
          <w:tab w:leader="none" w:pos="174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ind w:right="60" w:firstLine="1948"/>
        <w:spacing w:after="0" w:line="264" w:lineRule="auto"/>
        <w:tabs>
          <w:tab w:leader="none" w:pos="2195" w:val="left"/>
        </w:tabs>
        <w:numPr>
          <w:ilvl w:val="0"/>
          <w:numId w:val="704"/>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100" w:firstLine="1948"/>
        <w:spacing w:after="0" w:line="264" w:lineRule="auto"/>
        <w:tabs>
          <w:tab w:leader="none" w:pos="2195" w:val="left"/>
        </w:tabs>
        <w:numPr>
          <w:ilvl w:val="0"/>
          <w:numId w:val="704"/>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0" w:firstLine="1948"/>
        <w:spacing w:after="0" w:line="277" w:lineRule="auto"/>
        <w:tabs>
          <w:tab w:leader="none" w:pos="2195" w:val="left"/>
        </w:tabs>
        <w:numPr>
          <w:ilvl w:val="0"/>
          <w:numId w:val="704"/>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9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right="20" w:firstLine="1484"/>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w:t>
      </w:r>
    </w:p>
    <w:p>
      <w:pPr>
        <w:sectPr>
          <w:pgSz w:w="11900" w:h="16838" w:orient="portrait"/>
          <w:cols w:equalWidth="0" w:num="1">
            <w:col w:w="11400"/>
          </w:cols>
          <w:pgMar w:left="240" w:top="274" w:right="259" w:bottom="1440" w:gutter="0" w:footer="0" w:header="0"/>
        </w:sectPr>
      </w:pPr>
    </w:p>
    <w:bookmarkStart w:id="754" w:name="page755"/>
    <w:bookmarkEnd w:id="7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unreasonable effort or expense) necessary to verify any information furnished to Holder or to which Holder has access.</w:t>
      </w:r>
    </w:p>
    <w:p>
      <w:pPr>
        <w:spacing w:after="0" w:line="225" w:lineRule="exact"/>
        <w:rPr>
          <w:sz w:val="20"/>
          <w:szCs w:val="20"/>
          <w:color w:val="auto"/>
        </w:rPr>
      </w:pPr>
    </w:p>
    <w:p>
      <w:pPr>
        <w:ind w:right="200" w:firstLine="1484"/>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40" w:firstLine="1484"/>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3"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 that certain Third Amended and Restated Investor Rights Agreement by and among the Company and the investors party thereto, dated July 15, 2013 (as such agreement may be amended and restated) or similar agreement.</w:t>
      </w:r>
    </w:p>
    <w:p>
      <w:pPr>
        <w:spacing w:after="0" w:line="181"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 as expressly set forth in this Warrant, will not be considered a stockholder for any purpose until the exercise of this Warrant.</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5" w:lineRule="exact"/>
        <w:rPr>
          <w:sz w:val="20"/>
          <w:szCs w:val="20"/>
          <w:color w:val="auto"/>
        </w:rPr>
      </w:pPr>
    </w:p>
    <w:p>
      <w:pPr>
        <w:ind w:right="60" w:firstLine="1492"/>
        <w:spacing w:after="0" w:line="277" w:lineRule="auto"/>
        <w:tabs>
          <w:tab w:leader="none" w:pos="1728" w:val="left"/>
        </w:tabs>
        <w:numPr>
          <w:ilvl w:val="0"/>
          <w:numId w:val="70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w:t>
      </w:r>
      <w:r>
        <w:rPr>
          <w:rFonts w:ascii="Arial" w:cs="Arial" w:eastAsia="Arial" w:hAnsi="Arial"/>
          <w:sz w:val="18"/>
          <w:szCs w:val="18"/>
          <w:i w:val="1"/>
          <w:iCs w:val="1"/>
          <w:color w:val="auto"/>
        </w:rPr>
        <w:t>for SVB</w:t>
      </w:r>
      <w:r>
        <w:rPr>
          <w:rFonts w:ascii="Arial" w:cs="Arial" w:eastAsia="Arial" w:hAnsi="Arial"/>
          <w:sz w:val="18"/>
          <w:szCs w:val="18"/>
          <w:color w:val="auto"/>
        </w:rPr>
        <w:t>: Pacific][</w:t>
      </w:r>
      <w:r>
        <w:rPr>
          <w:rFonts w:ascii="Arial" w:cs="Arial" w:eastAsia="Arial" w:hAnsi="Arial"/>
          <w:sz w:val="18"/>
          <w:szCs w:val="18"/>
          <w:i w:val="1"/>
          <w:iCs w:val="1"/>
          <w:color w:val="auto"/>
        </w:rPr>
        <w:t>for Oxford</w:t>
      </w:r>
      <w:r>
        <w:rPr>
          <w:rFonts w:ascii="Arial" w:cs="Arial" w:eastAsia="Arial" w:hAnsi="Arial"/>
          <w:sz w:val="18"/>
          <w:szCs w:val="18"/>
          <w:color w:val="auto"/>
        </w:rPr>
        <w:t>: Eastern] time, on the Expiration Date and shall be void thereafter.</w:t>
      </w:r>
    </w:p>
    <w:p>
      <w:pPr>
        <w:spacing w:after="0" w:line="170" w:lineRule="exact"/>
        <w:rPr>
          <w:rFonts w:ascii="Arial" w:cs="Arial" w:eastAsia="Arial" w:hAnsi="Arial"/>
          <w:sz w:val="18"/>
          <w:szCs w:val="18"/>
          <w:color w:val="auto"/>
        </w:rPr>
      </w:pPr>
    </w:p>
    <w:p>
      <w:pPr>
        <w:ind w:right="20" w:firstLine="1492"/>
        <w:spacing w:after="0" w:line="257" w:lineRule="auto"/>
        <w:tabs>
          <w:tab w:leader="none" w:pos="1738" w:val="left"/>
        </w:tabs>
        <w:numPr>
          <w:ilvl w:val="0"/>
          <w:numId w:val="705"/>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62"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w:t>
      </w:r>
    </w:p>
    <w:p>
      <w:pPr>
        <w:sectPr>
          <w:pgSz w:w="11900" w:h="16838" w:orient="portrait"/>
          <w:cols w:equalWidth="0" w:num="1">
            <w:col w:w="11400"/>
          </w:cols>
          <w:pgMar w:left="240" w:top="274" w:right="259" w:bottom="1440" w:gutter="0" w:footer="0" w:header="0"/>
        </w:sectPr>
      </w:pPr>
    </w:p>
    <w:bookmarkStart w:id="755" w:name="page756"/>
    <w:bookmarkEnd w:id="755"/>
    <w:p>
      <w:pPr>
        <w:ind w:left="1500" w:right="4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IN THAT CERTAIN WARRANT TO PURCHASE STOCK ISSUED BY THE ISSUER TO [SILICON VALLEY BANK][OXFORD FINANCE LLC] DATED [DATE],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80"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93" w:lineRule="exact"/>
        <w:rPr>
          <w:sz w:val="20"/>
          <w:szCs w:val="20"/>
          <w:color w:val="auto"/>
        </w:rPr>
      </w:pPr>
    </w:p>
    <w:p>
      <w:pPr>
        <w:ind w:right="80" w:firstLine="1484"/>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w:t>
      </w:r>
      <w:r>
        <w:rPr>
          <w:rFonts w:ascii="Arial" w:cs="Arial" w:eastAsia="Arial" w:hAnsi="Arial"/>
          <w:sz w:val="16"/>
          <w:szCs w:val="16"/>
          <w:i w:val="1"/>
          <w:iCs w:val="1"/>
          <w:color w:val="auto"/>
        </w:rPr>
        <w:t>for SVB</w:t>
      </w:r>
      <w:r>
        <w:rPr>
          <w:rFonts w:ascii="Arial" w:cs="Arial" w:eastAsia="Arial" w:hAnsi="Arial"/>
          <w:sz w:val="16"/>
          <w:szCs w:val="16"/>
          <w:color w:val="auto"/>
        </w:rPr>
        <w:t>: SVB Financial Group (Silicon Valley Bank’s parent company) or any other][</w:t>
      </w:r>
      <w:r>
        <w:rPr>
          <w:rFonts w:ascii="Arial" w:cs="Arial" w:eastAsia="Arial" w:hAnsi="Arial"/>
          <w:sz w:val="16"/>
          <w:szCs w:val="16"/>
          <w:i w:val="1"/>
          <w:iCs w:val="1"/>
          <w:color w:val="auto"/>
        </w:rPr>
        <w:t>for Oxford</w:t>
      </w:r>
      <w:r>
        <w:rPr>
          <w:rFonts w:ascii="Arial" w:cs="Arial" w:eastAsia="Arial" w:hAnsi="Arial"/>
          <w:sz w:val="16"/>
          <w:szCs w:val="16"/>
          <w:color w:val="auto"/>
        </w:rPr>
        <w:t>: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7"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for SVB</w:t>
      </w:r>
      <w:r>
        <w:rPr>
          <w:rFonts w:ascii="Arial" w:cs="Arial" w:eastAsia="Arial" w:hAnsi="Arial"/>
          <w:sz w:val="16"/>
          <w:szCs w:val="16"/>
          <w:u w:val="single" w:color="auto"/>
          <w:color w:val="auto"/>
        </w:rPr>
        <w:t>: 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the representations, warranties and covenants set forth in Section 4 hereof).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5"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for Oxford</w:t>
      </w:r>
      <w:r>
        <w:rPr>
          <w:rFonts w:ascii="Arial" w:cs="Arial" w:eastAsia="Arial" w:hAnsi="Arial"/>
          <w:sz w:val="18"/>
          <w:szCs w:val="18"/>
          <w:u w:val="single" w:color="auto"/>
          <w:color w:val="auto"/>
        </w:rPr>
        <w:t>: Transfer Procedure</w:t>
      </w:r>
      <w:r>
        <w:rPr>
          <w:rFonts w:ascii="Arial" w:cs="Arial" w:eastAsia="Arial" w:hAnsi="Arial"/>
          <w:sz w:val="18"/>
          <w:szCs w:val="18"/>
          <w:color w:val="auto"/>
        </w:rPr>
        <w:t>. After receipt by Oxford of the executed Warrant, Oxford may transfer all or part of this Warrant to one or more of Oxford’s affiliates (each, an “</w:t>
      </w:r>
      <w:r>
        <w:rPr>
          <w:rFonts w:ascii="Arial" w:cs="Arial" w:eastAsia="Arial" w:hAnsi="Arial"/>
          <w:sz w:val="18"/>
          <w:szCs w:val="18"/>
          <w:b w:val="1"/>
          <w:bCs w:val="1"/>
          <w:color w:val="auto"/>
        </w:rPr>
        <w:t>Oxford Affiliate</w:t>
      </w:r>
      <w:r>
        <w:rPr>
          <w:rFonts w:ascii="Arial" w:cs="Arial" w:eastAsia="Arial" w:hAnsi="Arial"/>
          <w:sz w:val="18"/>
          <w:szCs w:val="18"/>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w:t>
      </w:r>
    </w:p>
    <w:p>
      <w:pPr>
        <w:sectPr>
          <w:pgSz w:w="11900" w:h="16838" w:orient="portrait"/>
          <w:cols w:equalWidth="0" w:num="1">
            <w:col w:w="11400"/>
          </w:cols>
          <w:pgMar w:left="240" w:top="274" w:right="259" w:bottom="1440" w:gutter="0" w:footer="0" w:header="0"/>
        </w:sectPr>
      </w:pPr>
    </w:p>
    <w:bookmarkStart w:id="756" w:name="page757"/>
    <w:bookmarkEnd w:id="75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3"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60" w:firstLine="8"/>
        <w:spacing w:after="0" w:line="295" w:lineRule="auto"/>
        <w:tabs>
          <w:tab w:leader="none" w:pos="315" w:val="left"/>
        </w:tabs>
        <w:numPr>
          <w:ilvl w:val="0"/>
          <w:numId w:val="706"/>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408-496-2405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warradmi@svb.com]</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hsuria@anaptysbio.com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11"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w:t>
      </w:r>
    </w:p>
    <w:p>
      <w:pPr>
        <w:sectPr>
          <w:pgSz w:w="11900" w:h="16838" w:orient="portrait"/>
          <w:cols w:equalWidth="0" w:num="1">
            <w:col w:w="11320"/>
          </w:cols>
          <w:pgMar w:left="240" w:top="274" w:right="339" w:bottom="1440" w:gutter="0" w:footer="0" w:header="0"/>
        </w:sectPr>
      </w:pPr>
    </w:p>
    <w:bookmarkStart w:id="757" w:name="page758"/>
    <w:bookmarkEnd w:id="7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instrument in writing signed by the party against which enforcement of such change, waiver, discharge or termination is sought.</w:t>
      </w:r>
    </w:p>
    <w:p>
      <w:pPr>
        <w:spacing w:after="0" w:line="225" w:lineRule="exact"/>
        <w:rPr>
          <w:sz w:val="20"/>
          <w:szCs w:val="20"/>
          <w:color w:val="auto"/>
        </w:rPr>
      </w:pPr>
    </w:p>
    <w:p>
      <w:pPr>
        <w:ind w:right="580" w:firstLine="1484"/>
        <w:spacing w:after="0" w:line="34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ind w:right="300" w:firstLine="1484"/>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right="520" w:firstLine="1484"/>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is][banks in California are] closed.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758" w:name="page759"/>
    <w:bookmarkEnd w:id="758"/>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 [OXFORD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0820"/>
          </w:cols>
          <w:pgMar w:left="240" w:top="274" w:right="839" w:bottom="1440" w:gutter="0" w:footer="0" w:header="0"/>
        </w:sectPr>
      </w:pPr>
    </w:p>
    <w:bookmarkStart w:id="759" w:name="page760"/>
    <w:bookmarkEnd w:id="759"/>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2"/>
          </w:tcPr>
          <w:p>
            <w:pPr>
              <w:jc w:val="center"/>
              <w:ind w:right="1700"/>
              <w:spacing w:after="0"/>
              <w:rPr>
                <w:sz w:val="20"/>
                <w:szCs w:val="20"/>
                <w:color w:val="auto"/>
              </w:rPr>
            </w:pPr>
            <w:r>
              <w:rPr>
                <w:rFonts w:ascii="Arial" w:cs="Arial" w:eastAsia="Arial" w:hAnsi="Arial"/>
                <w:sz w:val="18"/>
                <w:szCs w:val="18"/>
                <w:color w:val="auto"/>
                <w:w w:val="96"/>
              </w:rPr>
              <w:t>APPENDIX 1</w:t>
            </w:r>
          </w:p>
        </w:tc>
        <w:tc>
          <w:tcPr>
            <w:tcW w:w="242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14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w w:val="92"/>
              </w:rPr>
              <w:t>1. The undersigned Holder hereby exercises its right purchase</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w w:val="97"/>
              </w:rPr>
              <w:t>shares of the Common/Series</w:t>
            </w:r>
          </w:p>
        </w:tc>
        <w:tc>
          <w:tcPr>
            <w:tcW w:w="2420" w:type="dxa"/>
            <w:vAlign w:val="bottom"/>
          </w:tcPr>
          <w:p>
            <w:pPr>
              <w:ind w:left="220"/>
              <w:spacing w:after="0"/>
              <w:rPr>
                <w:sz w:val="20"/>
                <w:szCs w:val="20"/>
                <w:color w:val="auto"/>
              </w:rPr>
            </w:pPr>
            <w:r>
              <w:rPr>
                <w:rFonts w:ascii="Arial" w:cs="Arial" w:eastAsia="Arial" w:hAnsi="Arial"/>
                <w:sz w:val="18"/>
                <w:szCs w:val="18"/>
                <w:color w:val="auto"/>
                <w:w w:val="91"/>
              </w:rPr>
              <w:t>Preferred [circle one] Stock of</w:t>
            </w:r>
          </w:p>
        </w:tc>
      </w:tr>
    </w:tbl>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ectPr>
          <w:pgSz w:w="11900" w:h="16838" w:orient="portrait"/>
          <w:cols w:equalWidth="0" w:num="1">
            <w:col w:w="11320"/>
          </w:cols>
          <w:pgMar w:left="240" w:top="275" w:right="33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check in the amount of $</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payable to order of the Company enclosed herewith</w:t>
      </w:r>
    </w:p>
    <w:p>
      <w:pPr>
        <w:spacing w:after="0" w:line="153" w:lineRule="exact"/>
        <w:rPr>
          <w:sz w:val="20"/>
          <w:szCs w:val="20"/>
          <w:color w:val="auto"/>
        </w:rPr>
      </w:pPr>
    </w:p>
    <w:p>
      <w:pPr>
        <w:sectPr>
          <w:pgSz w:w="11900" w:h="16838" w:orient="portrait"/>
          <w:cols w:equalWidth="0" w:num="3">
            <w:col w:w="520" w:space="180"/>
            <w:col w:w="1980" w:space="400"/>
            <w:col w:w="8240"/>
          </w:cols>
          <w:pgMar w:left="240" w:top="275"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Wire transfer of immediately available funds to the Company’s account</w:t>
      </w:r>
    </w:p>
    <w:p>
      <w:pPr>
        <w:spacing w:after="0" w:line="131" w:lineRule="exact"/>
        <w:rPr>
          <w:sz w:val="20"/>
          <w:szCs w:val="20"/>
          <w:color w:val="auto"/>
        </w:rPr>
      </w:pPr>
    </w:p>
    <w:p>
      <w:pPr>
        <w:sectPr>
          <w:pgSz w:w="11900" w:h="16838" w:orient="portrait"/>
          <w:cols w:equalWidth="0" w:num="2">
            <w:col w:w="520" w:space="180"/>
            <w:col w:w="10620"/>
          </w:cols>
          <w:pgMar w:left="240" w:top="275" w:right="339" w:bottom="1440" w:gutter="0" w:footer="0" w:header="0"/>
          <w:type w:val="continuous"/>
        </w:sectPr>
      </w:pPr>
    </w:p>
    <w:p>
      <w:pPr>
        <w:ind w:left="700" w:hanging="246"/>
        <w:spacing w:after="0"/>
        <w:tabs>
          <w:tab w:leader="none" w:pos="70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20" w:firstLine="464"/>
        <w:spacing w:after="0" w:line="277" w:lineRule="auto"/>
        <w:tabs>
          <w:tab w:leader="none" w:pos="636" w:val="left"/>
        </w:tabs>
        <w:numPr>
          <w:ilvl w:val="0"/>
          <w:numId w:val="708"/>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320"/>
          </w:cols>
          <w:pgMar w:left="240" w:top="275" w:right="339" w:bottom="1440" w:gutter="0" w:footer="0" w:header="0"/>
          <w:type w:val="continuous"/>
        </w:sectPr>
      </w:pPr>
    </w:p>
    <w:bookmarkStart w:id="760" w:name="page761"/>
    <w:bookmarkEnd w:id="76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Appendix 2 for Oxford Warrants: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right"/>
        <w:ind w:right="5060"/>
        <w:spacing w:after="0"/>
        <w:rPr>
          <w:sz w:val="20"/>
          <w:szCs w:val="20"/>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jc w:val="right"/>
        <w:ind w:right="5120"/>
        <w:spacing w:after="0"/>
        <w:rPr>
          <w:sz w:val="20"/>
          <w:szCs w:val="20"/>
          <w:color w:val="auto"/>
        </w:rPr>
      </w:pPr>
      <w:r>
        <w:rPr>
          <w:rFonts w:ascii="Arial" w:cs="Arial" w:eastAsia="Arial" w:hAnsi="Arial"/>
          <w:sz w:val="17"/>
          <w:szCs w:val="17"/>
          <w:color w:val="auto"/>
        </w:rPr>
        <w:t>For value received, Oxford Finance LLC hereby sells, assigns and transfers unto</w:t>
      </w:r>
    </w:p>
    <w:p>
      <w:pPr>
        <w:spacing w:after="0" w:line="264" w:lineRule="exact"/>
        <w:rPr>
          <w:sz w:val="20"/>
          <w:szCs w:val="20"/>
          <w:color w:val="auto"/>
        </w:rPr>
      </w:pPr>
    </w:p>
    <w:p>
      <w:pPr>
        <w:ind w:left="3440"/>
        <w:spacing w:after="0"/>
        <w:tabs>
          <w:tab w:leader="none" w:pos="4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[OXFORD TRANSFEREE]</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0"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that certain Warrant to Purchase Stock issued by ANAPTYSBIO, INC. (the “Company”), on [DATE]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2</w:t>
      </w:r>
    </w:p>
    <w:p>
      <w:pPr>
        <w:sectPr>
          <w:pgSz w:w="11900" w:h="16838" w:orient="portrait"/>
          <w:cols w:equalWidth="0" w:num="1">
            <w:col w:w="11380"/>
          </w:cols>
          <w:pgMar w:left="240" w:top="274" w:right="279" w:bottom="1440" w:gutter="0" w:footer="0" w:header="0"/>
        </w:sectPr>
      </w:pPr>
    </w:p>
    <w:bookmarkStart w:id="761" w:name="page762"/>
    <w:bookmarkEnd w:id="76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3" w:right="1440" w:bottom="1440" w:gutter="0" w:footer="0" w:header="0"/>
        </w:sectPr>
      </w:pPr>
    </w:p>
    <w:bookmarkStart w:id="762" w:name="page763"/>
    <w:bookmarkEnd w:id="762"/>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ANAPTYSBIO, INC.</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OXFORD FINANCE LLC,</w:t>
            </w:r>
          </w:p>
        </w:tc>
      </w:tr>
      <w:tr>
        <w:trPr>
          <w:trHeight w:val="234"/>
        </w:trPr>
        <w:tc>
          <w:tcPr>
            <w:tcW w:w="1920" w:type="dxa"/>
            <w:vAlign w:val="bottom"/>
          </w:tcPr>
          <w:p>
            <w:pPr>
              <w:spacing w:after="0"/>
              <w:rPr>
                <w:sz w:val="20"/>
                <w:szCs w:val="20"/>
                <w:color w:val="auto"/>
              </w:rPr>
            </w:pP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as Collateral Agent</w:t>
            </w:r>
          </w:p>
        </w:tc>
      </w:tr>
      <w:tr>
        <w:trPr>
          <w:trHeight w:val="648"/>
        </w:trPr>
        <w:tc>
          <w:tcPr>
            <w:tcW w:w="1920" w:type="dxa"/>
            <w:vAlign w:val="bottom"/>
          </w:tcPr>
          <w:p>
            <w:pPr>
              <w:spacing w:after="0"/>
              <w:rPr>
                <w:sz w:val="24"/>
                <w:szCs w:val="24"/>
                <w:color w:val="auto"/>
              </w:rPr>
            </w:pPr>
          </w:p>
        </w:tc>
        <w:tc>
          <w:tcPr>
            <w:tcW w:w="576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Description of Collateral</w:t>
            </w:r>
          </w:p>
        </w:tc>
      </w:tr>
      <w:tr>
        <w:trPr>
          <w:trHeight w:val="20"/>
        </w:trPr>
        <w:tc>
          <w:tcPr>
            <w:tcW w:w="1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ectPr>
          <w:pgSz w:w="11900" w:h="16838" w:orient="portrait"/>
          <w:cols w:equalWidth="0" w:num="1">
            <w:col w:w="11420"/>
          </w:cols>
          <w:pgMar w:left="240" w:top="271" w:right="239" w:bottom="1440" w:gutter="0" w:footer="0" w:header="0"/>
        </w:sectPr>
      </w:pPr>
    </w:p>
    <w:bookmarkStart w:id="763" w:name="page764"/>
    <w:bookmarkEnd w:id="76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100" w:type="dxa"/>
            <w:vAlign w:val="bottom"/>
            <w:gridSpan w:val="3"/>
          </w:tcPr>
          <w:p>
            <w:pPr>
              <w:ind w:left="1320"/>
              <w:spacing w:after="0"/>
              <w:rPr>
                <w:sz w:val="20"/>
                <w:szCs w:val="20"/>
                <w:color w:val="auto"/>
              </w:rPr>
            </w:pPr>
            <w:r>
              <w:rPr>
                <w:rFonts w:ascii="Arial" w:cs="Arial" w:eastAsia="Arial" w:hAnsi="Arial"/>
                <w:sz w:val="18"/>
                <w:szCs w:val="18"/>
                <w:b w:val="1"/>
                <w:bCs w:val="1"/>
                <w:color w:val="auto"/>
              </w:rPr>
              <w:t>SUBSIDIARIES OF THE REGISTRANT</w:t>
            </w:r>
          </w:p>
        </w:tc>
      </w:tr>
      <w:tr>
        <w:trPr>
          <w:trHeight w:val="392"/>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28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224"/>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AnaptysBio Pty</w:t>
            </w:r>
          </w:p>
        </w:tc>
        <w:tc>
          <w:tcPr>
            <w:tcW w:w="1560" w:type="dxa"/>
            <w:vAlign w:val="bottom"/>
          </w:tcPr>
          <w:p>
            <w:pPr>
              <w:spacing w:after="0"/>
              <w:rPr>
                <w:sz w:val="20"/>
                <w:szCs w:val="20"/>
                <w:color w:val="auto"/>
              </w:rPr>
            </w:pPr>
            <w:r>
              <w:rPr>
                <w:rFonts w:ascii="Arial" w:cs="Arial" w:eastAsia="Arial" w:hAnsi="Arial"/>
                <w:sz w:val="18"/>
                <w:szCs w:val="18"/>
                <w:color w:val="auto"/>
              </w:rPr>
              <w:t>Ltd</w:t>
            </w:r>
          </w:p>
        </w:tc>
        <w:tc>
          <w:tcPr>
            <w:tcW w:w="3280" w:type="dxa"/>
            <w:vAlign w:val="bottom"/>
          </w:tcPr>
          <w:p>
            <w:pPr>
              <w:spacing w:after="0"/>
              <w:rPr>
                <w:sz w:val="19"/>
                <w:szCs w:val="19"/>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764" w:name="page765"/>
    <w:bookmarkEnd w:id="76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use of our report, dated June 5, 2015, except for earnings per share information and Note 12, which are dated July 13, 2015, included herein and to the reference to our firm under the heading “Experts” in the prospectus.</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FC7321"/>
    <w:multiLevelType w:val="hybridMultilevel"/>
    <w:lvl w:ilvl="0">
      <w:lvlJc w:val="left"/>
      <w:lvlText w:val="(%1)"/>
      <w:numFmt w:val="decimal"/>
      <w:start w:val="1"/>
    </w:lvl>
  </w:abstractNum>
  <w:abstractNum w:abstractNumId="1">
    <w:nsid w:val="1421971B"/>
    <w:multiLevelType w:val="hybridMultilevel"/>
    <w:lvl w:ilvl="0">
      <w:lvlJc w:val="left"/>
      <w:lvlText w:val="$"/>
      <w:numFmt w:val="bullet"/>
      <w:start w:val="1"/>
    </w:lvl>
  </w:abstractNum>
  <w:abstractNum w:abstractNumId="2">
    <w:nsid w:val="1F404301"/>
    <w:multiLevelType w:val="hybridMultilevel"/>
    <w:lvl w:ilvl="0">
      <w:lvlJc w:val="left"/>
      <w:lvlText w:val="•"/>
      <w:numFmt w:val="bullet"/>
      <w:start w:val="1"/>
    </w:lvl>
  </w:abstractNum>
  <w:abstractNum w:abstractNumId="3">
    <w:nsid w:val="116E0907"/>
    <w:multiLevelType w:val="hybridMultilevel"/>
    <w:lvl w:ilvl="0">
      <w:lvlJc w:val="left"/>
      <w:lvlText w:val="•"/>
      <w:numFmt w:val="bullet"/>
      <w:start w:val="1"/>
    </w:lvl>
  </w:abstractNum>
  <w:abstractNum w:abstractNumId="4">
    <w:nsid w:val="4B683D0D"/>
    <w:multiLevelType w:val="hybridMultilevel"/>
    <w:lvl w:ilvl="0">
      <w:lvlJc w:val="left"/>
      <w:lvlText w:val="•"/>
      <w:numFmt w:val="bullet"/>
      <w:start w:val="1"/>
    </w:lvl>
  </w:abstractNum>
  <w:abstractNum w:abstractNumId="5">
    <w:nsid w:val="76E41D8"/>
    <w:multiLevelType w:val="hybridMultilevel"/>
    <w:lvl w:ilvl="0">
      <w:lvlJc w:val="left"/>
      <w:lvlText w:val="•"/>
      <w:numFmt w:val="bullet"/>
      <w:start w:val="1"/>
    </w:lvl>
  </w:abstractNum>
  <w:abstractNum w:abstractNumId="6">
    <w:nsid w:val="71DCE0FD"/>
    <w:multiLevelType w:val="hybridMultilevel"/>
    <w:lvl w:ilvl="0">
      <w:lvlJc w:val="left"/>
      <w:lvlText w:val="•"/>
      <w:numFmt w:val="bullet"/>
      <w:start w:val="1"/>
    </w:lvl>
  </w:abstractNum>
  <w:abstractNum w:abstractNumId="7">
    <w:nsid w:val="7906328B"/>
    <w:multiLevelType w:val="hybridMultilevel"/>
    <w:lvl w:ilvl="0">
      <w:lvlJc w:val="left"/>
      <w:lvlText w:val="•"/>
      <w:numFmt w:val="bullet"/>
      <w:start w:val="1"/>
    </w:lvl>
  </w:abstractNum>
  <w:abstractNum w:abstractNumId="8">
    <w:nsid w:val="72BBC16"/>
    <w:multiLevelType w:val="hybridMultilevel"/>
    <w:lvl w:ilvl="0">
      <w:lvlJc w:val="left"/>
      <w:lvlText w:val="•"/>
      <w:numFmt w:val="bullet"/>
      <w:start w:val="1"/>
    </w:lvl>
  </w:abstractNum>
  <w:abstractNum w:abstractNumId="9">
    <w:nsid w:val="766D98C2"/>
    <w:multiLevelType w:val="hybridMultilevel"/>
    <w:lvl w:ilvl="0">
      <w:lvlJc w:val="left"/>
      <w:lvlText w:val="•"/>
      <w:numFmt w:val="bullet"/>
      <w:start w:val="1"/>
    </w:lvl>
  </w:abstractNum>
  <w:abstractNum w:abstractNumId="10">
    <w:nsid w:val="3C09D4A1"/>
    <w:multiLevelType w:val="hybridMultilevel"/>
    <w:lvl w:ilvl="0">
      <w:lvlJc w:val="left"/>
      <w:lvlText w:val="•"/>
      <w:numFmt w:val="bullet"/>
      <w:start w:val="1"/>
    </w:lvl>
  </w:abstractNum>
  <w:abstractNum w:abstractNumId="11">
    <w:nsid w:val="20E45CA4"/>
    <w:multiLevelType w:val="hybridMultilevel"/>
    <w:lvl w:ilvl="0">
      <w:lvlJc w:val="left"/>
      <w:lvlText w:val="•"/>
      <w:numFmt w:val="bullet"/>
      <w:start w:val="1"/>
    </w:lvl>
  </w:abstractNum>
  <w:abstractNum w:abstractNumId="12">
    <w:nsid w:val="4B232EE3"/>
    <w:multiLevelType w:val="hybridMultilevel"/>
    <w:lvl w:ilvl="0">
      <w:lvlJc w:val="left"/>
      <w:lvlText w:val="•"/>
      <w:numFmt w:val="bullet"/>
      <w:start w:val="1"/>
    </w:lvl>
  </w:abstractNum>
  <w:abstractNum w:abstractNumId="13">
    <w:nsid w:val="159C74CF"/>
    <w:multiLevelType w:val="hybridMultilevel"/>
    <w:lvl w:ilvl="0">
      <w:lvlJc w:val="left"/>
      <w:lvlText w:val="•"/>
      <w:numFmt w:val="bullet"/>
      <w:start w:val="1"/>
    </w:lvl>
  </w:abstractNum>
  <w:abstractNum w:abstractNumId="14">
    <w:nsid w:val="4AD3AFD2"/>
    <w:multiLevelType w:val="hybridMultilevel"/>
    <w:lvl w:ilvl="0">
      <w:lvlJc w:val="left"/>
      <w:lvlText w:val="•"/>
      <w:numFmt w:val="bullet"/>
      <w:start w:val="1"/>
    </w:lvl>
  </w:abstractNum>
  <w:abstractNum w:abstractNumId="15">
    <w:nsid w:val="3CF93092"/>
    <w:multiLevelType w:val="hybridMultilevel"/>
    <w:lvl w:ilvl="0">
      <w:lvlJc w:val="left"/>
      <w:lvlText w:val="•"/>
      <w:numFmt w:val="bullet"/>
      <w:start w:val="1"/>
    </w:lvl>
  </w:abstractNum>
  <w:abstractNum w:abstractNumId="16">
    <w:nsid w:val="6863E8D2"/>
    <w:multiLevelType w:val="hybridMultilevel"/>
    <w:lvl w:ilvl="0">
      <w:lvlJc w:val="left"/>
      <w:lvlText w:val="(%1)"/>
      <w:numFmt w:val="decimal"/>
      <w:start w:val="1"/>
    </w:lvl>
  </w:abstractNum>
  <w:abstractNum w:abstractNumId="17">
    <w:nsid w:val="76896198"/>
    <w:multiLevelType w:val="hybridMultilevel"/>
    <w:lvl w:ilvl="0">
      <w:lvlJc w:val="left"/>
      <w:lvlText w:val="(%1)"/>
      <w:numFmt w:val="decimal"/>
      <w:start w:val="1"/>
    </w:lvl>
  </w:abstractNum>
  <w:abstractNum w:abstractNumId="18">
    <w:nsid w:val="4365174B"/>
    <w:multiLevelType w:val="hybridMultilevel"/>
    <w:lvl w:ilvl="0">
      <w:lvlJc w:val="left"/>
      <w:lvlText w:val="•"/>
      <w:numFmt w:val="bullet"/>
      <w:start w:val="1"/>
    </w:lvl>
  </w:abstractNum>
  <w:abstractNum w:abstractNumId="19">
    <w:nsid w:val="4A872C35"/>
    <w:multiLevelType w:val="hybridMultilevel"/>
    <w:lvl w:ilvl="0">
      <w:lvlJc w:val="left"/>
      <w:lvlText w:val="•"/>
      <w:numFmt w:val="bullet"/>
      <w:start w:val="1"/>
    </w:lvl>
  </w:abstractNum>
  <w:abstractNum w:abstractNumId="20">
    <w:nsid w:val="5D5CE761"/>
    <w:multiLevelType w:val="hybridMultilevel"/>
    <w:lvl w:ilvl="0">
      <w:lvlJc w:val="left"/>
      <w:lvlText w:val="•"/>
      <w:numFmt w:val="bullet"/>
      <w:start w:val="1"/>
    </w:lvl>
  </w:abstractNum>
  <w:abstractNum w:abstractNumId="21">
    <w:nsid w:val="1CD484D5"/>
    <w:multiLevelType w:val="hybridMultilevel"/>
    <w:lvl w:ilvl="0">
      <w:lvlJc w:val="left"/>
      <w:lvlText w:val="•"/>
      <w:numFmt w:val="bullet"/>
      <w:start w:val="1"/>
    </w:lvl>
  </w:abstractNum>
  <w:abstractNum w:abstractNumId="22">
    <w:nsid w:val="21D06255"/>
    <w:multiLevelType w:val="hybridMultilevel"/>
    <w:lvl w:ilvl="0">
      <w:lvlJc w:val="left"/>
      <w:lvlText w:val="•"/>
      <w:numFmt w:val="bullet"/>
      <w:start w:val="1"/>
    </w:lvl>
  </w:abstractNum>
  <w:abstractNum w:abstractNumId="23">
    <w:nsid w:val="51194ED1"/>
    <w:multiLevelType w:val="hybridMultilevel"/>
    <w:lvl w:ilvl="0">
      <w:lvlJc w:val="left"/>
      <w:lvlText w:val="•"/>
      <w:numFmt w:val="bullet"/>
      <w:start w:val="1"/>
    </w:lvl>
  </w:abstractNum>
  <w:abstractNum w:abstractNumId="24">
    <w:nsid w:val="44E2ED6C"/>
    <w:multiLevelType w:val="hybridMultilevel"/>
    <w:lvl w:ilvl="0">
      <w:lvlJc w:val="left"/>
      <w:lvlText w:val="•"/>
      <w:numFmt w:val="bullet"/>
      <w:start w:val="1"/>
    </w:lvl>
  </w:abstractNum>
  <w:abstractNum w:abstractNumId="25">
    <w:nsid w:val="2219B33"/>
    <w:multiLevelType w:val="hybridMultilevel"/>
    <w:lvl w:ilvl="0">
      <w:lvlJc w:val="left"/>
      <w:lvlText w:val="•"/>
      <w:numFmt w:val="bullet"/>
      <w:start w:val="1"/>
    </w:lvl>
  </w:abstractNum>
  <w:abstractNum w:abstractNumId="26">
    <w:nsid w:val="773BFBDD"/>
    <w:multiLevelType w:val="hybridMultilevel"/>
    <w:lvl w:ilvl="0">
      <w:lvlJc w:val="left"/>
      <w:lvlText w:val="•"/>
      <w:numFmt w:val="bullet"/>
      <w:start w:val="1"/>
    </w:lvl>
  </w:abstractNum>
  <w:abstractNum w:abstractNumId="27">
    <w:nsid w:val="2C7C62C2"/>
    <w:multiLevelType w:val="hybridMultilevel"/>
    <w:lvl w:ilvl="0">
      <w:lvlJc w:val="left"/>
      <w:lvlText w:val="•"/>
      <w:numFmt w:val="bullet"/>
      <w:start w:val="1"/>
    </w:lvl>
  </w:abstractNum>
  <w:abstractNum w:abstractNumId="28">
    <w:nsid w:val="1A54D7BC"/>
    <w:multiLevelType w:val="hybridMultilevel"/>
    <w:lvl w:ilvl="0">
      <w:lvlJc w:val="left"/>
      <w:lvlText w:val="•"/>
      <w:numFmt w:val="bullet"/>
      <w:start w:val="1"/>
    </w:lvl>
  </w:abstractNum>
  <w:abstractNum w:abstractNumId="29">
    <w:nsid w:val="42E57EF7"/>
    <w:multiLevelType w:val="hybridMultilevel"/>
    <w:lvl w:ilvl="0">
      <w:lvlJc w:val="left"/>
      <w:lvlText w:val="•"/>
      <w:numFmt w:val="bullet"/>
      <w:start w:val="1"/>
    </w:lvl>
  </w:abstractNum>
  <w:abstractNum w:abstractNumId="30">
    <w:nsid w:val="33537CED"/>
    <w:multiLevelType w:val="hybridMultilevel"/>
    <w:lvl w:ilvl="0">
      <w:lvlJc w:val="left"/>
      <w:lvlText w:val="•"/>
      <w:numFmt w:val="bullet"/>
      <w:start w:val="1"/>
    </w:lvl>
  </w:abstractNum>
  <w:abstractNum w:abstractNumId="31">
    <w:nsid w:val="27514ADE"/>
    <w:multiLevelType w:val="hybridMultilevel"/>
    <w:lvl w:ilvl="0">
      <w:lvlJc w:val="left"/>
      <w:lvlText w:val="•"/>
      <w:numFmt w:val="bullet"/>
      <w:start w:val="1"/>
    </w:lvl>
  </w:abstractNum>
  <w:abstractNum w:abstractNumId="32">
    <w:nsid w:val="57071613"/>
    <w:multiLevelType w:val="hybridMultilevel"/>
    <w:lvl w:ilvl="0">
      <w:lvlJc w:val="left"/>
      <w:lvlText w:val="•"/>
      <w:numFmt w:val="bullet"/>
      <w:start w:val="1"/>
    </w:lvl>
  </w:abstractNum>
  <w:abstractNum w:abstractNumId="33">
    <w:nsid w:val="5293BFEF"/>
    <w:multiLevelType w:val="hybridMultilevel"/>
    <w:lvl w:ilvl="0">
      <w:lvlJc w:val="left"/>
      <w:lvlText w:val="•"/>
      <w:numFmt w:val="bullet"/>
      <w:start w:val="1"/>
    </w:lvl>
  </w:abstractNum>
  <w:abstractNum w:abstractNumId="34">
    <w:nsid w:val="38BF53E5"/>
    <w:multiLevelType w:val="hybridMultilevel"/>
    <w:lvl w:ilvl="0">
      <w:lvlJc w:val="left"/>
      <w:lvlText w:val="•"/>
      <w:numFmt w:val="bullet"/>
      <w:start w:val="1"/>
    </w:lvl>
  </w:abstractNum>
  <w:abstractNum w:abstractNumId="35">
    <w:nsid w:val="226F5320"/>
    <w:multiLevelType w:val="hybridMultilevel"/>
    <w:lvl w:ilvl="0">
      <w:lvlJc w:val="left"/>
      <w:lvlText w:val="•"/>
      <w:numFmt w:val="bullet"/>
      <w:start w:val="1"/>
    </w:lvl>
  </w:abstractNum>
  <w:abstractNum w:abstractNumId="36">
    <w:nsid w:val="5A0201C7"/>
    <w:multiLevelType w:val="hybridMultilevel"/>
    <w:lvl w:ilvl="0">
      <w:lvlJc w:val="left"/>
      <w:lvlText w:val="•"/>
      <w:numFmt w:val="bullet"/>
      <w:start w:val="1"/>
    </w:lvl>
  </w:abstractNum>
  <w:abstractNum w:abstractNumId="37">
    <w:nsid w:val="2A9C34E2"/>
    <w:multiLevelType w:val="hybridMultilevel"/>
    <w:lvl w:ilvl="0">
      <w:lvlJc w:val="left"/>
      <w:lvlText w:val="•"/>
      <w:numFmt w:val="bullet"/>
      <w:start w:val="1"/>
    </w:lvl>
  </w:abstractNum>
  <w:abstractNum w:abstractNumId="38">
    <w:nsid w:val="1B7585AB"/>
    <w:multiLevelType w:val="hybridMultilevel"/>
    <w:lvl w:ilvl="0">
      <w:lvlJc w:val="left"/>
      <w:lvlText w:val="•"/>
      <w:numFmt w:val="bullet"/>
      <w:start w:val="1"/>
    </w:lvl>
  </w:abstractNum>
  <w:abstractNum w:abstractNumId="39">
    <w:nsid w:val="612DBDDD"/>
    <w:multiLevelType w:val="hybridMultilevel"/>
    <w:lvl w:ilvl="0">
      <w:lvlJc w:val="left"/>
      <w:lvlText w:val="•"/>
      <w:numFmt w:val="bullet"/>
      <w:start w:val="1"/>
    </w:lvl>
  </w:abstractNum>
  <w:abstractNum w:abstractNumId="40">
    <w:nsid w:val="2109CDA4"/>
    <w:multiLevelType w:val="hybridMultilevel"/>
    <w:lvl w:ilvl="0">
      <w:lvlJc w:val="left"/>
      <w:lvlText w:val="•"/>
      <w:numFmt w:val="bullet"/>
      <w:start w:val="1"/>
    </w:lvl>
  </w:abstractNum>
  <w:abstractNum w:abstractNumId="41">
    <w:nsid w:val="577F5A4D"/>
    <w:multiLevelType w:val="hybridMultilevel"/>
    <w:lvl w:ilvl="0">
      <w:lvlJc w:val="left"/>
      <w:lvlText w:val="•"/>
      <w:numFmt w:val="bullet"/>
      <w:start w:val="1"/>
    </w:lvl>
  </w:abstractNum>
  <w:abstractNum w:abstractNumId="42">
    <w:nsid w:val="2121A81"/>
    <w:multiLevelType w:val="hybridMultilevel"/>
    <w:lvl w:ilvl="0">
      <w:lvlJc w:val="left"/>
      <w:lvlText w:val="$"/>
      <w:numFmt w:val="bullet"/>
      <w:start w:val="1"/>
    </w:lvl>
  </w:abstractNum>
  <w:abstractNum w:abstractNumId="43">
    <w:nsid w:val="6C2CFC88"/>
    <w:multiLevelType w:val="hybridMultilevel"/>
    <w:lvl w:ilvl="0">
      <w:lvlJc w:val="left"/>
      <w:lvlText w:val="$"/>
      <w:numFmt w:val="bullet"/>
      <w:start w:val="1"/>
    </w:lvl>
  </w:abstractNum>
  <w:abstractNum w:abstractNumId="44">
    <w:nsid w:val="6D1BCF1C"/>
    <w:multiLevelType w:val="hybridMultilevel"/>
    <w:lvl w:ilvl="0">
      <w:lvlJc w:val="left"/>
      <w:lvlText w:val="•"/>
      <w:numFmt w:val="bullet"/>
      <w:start w:val="1"/>
    </w:lvl>
  </w:abstractNum>
  <w:abstractNum w:abstractNumId="45">
    <w:nsid w:val="4CE5CA53"/>
    <w:multiLevelType w:val="hybridMultilevel"/>
    <w:lvl w:ilvl="0">
      <w:lvlJc w:val="left"/>
      <w:lvlText w:val="•"/>
      <w:numFmt w:val="bullet"/>
      <w:start w:val="1"/>
    </w:lvl>
  </w:abstractNum>
  <w:abstractNum w:abstractNumId="46">
    <w:nsid w:val="29262D1A"/>
    <w:multiLevelType w:val="hybridMultilevel"/>
    <w:lvl w:ilvl="0">
      <w:lvlJc w:val="left"/>
      <w:lvlText w:val="(%1)"/>
      <w:numFmt w:val="decimal"/>
      <w:start w:val="1"/>
    </w:lvl>
  </w:abstractNum>
  <w:abstractNum w:abstractNumId="47">
    <w:nsid w:val="557FB7EE"/>
    <w:multiLevelType w:val="hybridMultilevel"/>
    <w:lvl w:ilvl="0">
      <w:lvlJc w:val="left"/>
      <w:lvlText w:val="•"/>
      <w:numFmt w:val="bullet"/>
      <w:start w:val="1"/>
    </w:lvl>
  </w:abstractNum>
  <w:abstractNum w:abstractNumId="48">
    <w:nsid w:val="436F2BEB"/>
    <w:multiLevelType w:val="hybridMultilevel"/>
    <w:lvl w:ilvl="0">
      <w:lvlJc w:val="left"/>
      <w:lvlText w:val="•"/>
      <w:numFmt w:val="bullet"/>
      <w:start w:val="1"/>
    </w:lvl>
  </w:abstractNum>
  <w:abstractNum w:abstractNumId="49">
    <w:nsid w:val="6C8B4466"/>
    <w:multiLevelType w:val="hybridMultilevel"/>
    <w:lvl w:ilvl="0">
      <w:lvlJc w:val="left"/>
      <w:lvlText w:val="$"/>
      <w:numFmt w:val="bullet"/>
      <w:start w:val="1"/>
    </w:lvl>
  </w:abstractNum>
  <w:abstractNum w:abstractNumId="50">
    <w:nsid w:val="2006E424"/>
    <w:multiLevelType w:val="hybridMultilevel"/>
    <w:lvl w:ilvl="0">
      <w:lvlJc w:val="left"/>
      <w:lvlText w:val="•"/>
      <w:numFmt w:val="bullet"/>
      <w:start w:val="1"/>
    </w:lvl>
  </w:abstractNum>
  <w:abstractNum w:abstractNumId="51">
    <w:nsid w:val="20CC134C"/>
    <w:multiLevelType w:val="hybridMultilevel"/>
    <w:lvl w:ilvl="0">
      <w:lvlJc w:val="left"/>
      <w:lvlText w:val="•"/>
      <w:numFmt w:val="bullet"/>
      <w:start w:val="1"/>
    </w:lvl>
  </w:abstractNum>
  <w:abstractNum w:abstractNumId="52">
    <w:nsid w:val="95FC93B"/>
    <w:multiLevelType w:val="hybridMultilevel"/>
    <w:lvl w:ilvl="0">
      <w:lvlJc w:val="left"/>
      <w:lvlText w:val="(%1)"/>
      <w:numFmt w:val="decimal"/>
      <w:start w:val="1"/>
    </w:lvl>
  </w:abstractNum>
  <w:abstractNum w:abstractNumId="53">
    <w:nsid w:val="41D74679"/>
    <w:multiLevelType w:val="hybridMultilevel"/>
    <w:lvl w:ilvl="0">
      <w:lvlJc w:val="left"/>
      <w:lvlText w:val="•"/>
      <w:numFmt w:val="bullet"/>
      <w:start w:val="1"/>
    </w:lvl>
  </w:abstractNum>
  <w:abstractNum w:abstractNumId="54">
    <w:nsid w:val="71E5621E"/>
    <w:multiLevelType w:val="hybridMultilevel"/>
    <w:lvl w:ilvl="0">
      <w:lvlJc w:val="left"/>
      <w:lvlText w:val="•"/>
      <w:numFmt w:val="bullet"/>
      <w:start w:val="1"/>
    </w:lvl>
  </w:abstractNum>
  <w:abstractNum w:abstractNumId="55">
    <w:nsid w:val="4E42B6A8"/>
    <w:multiLevelType w:val="hybridMultilevel"/>
    <w:lvl w:ilvl="0">
      <w:lvlJc w:val="left"/>
      <w:lvlText w:val="•"/>
      <w:numFmt w:val="bullet"/>
      <w:start w:val="1"/>
    </w:lvl>
  </w:abstractNum>
  <w:abstractNum w:abstractNumId="56">
    <w:nsid w:val="43F8E1AC"/>
    <w:multiLevelType w:val="hybridMultilevel"/>
    <w:lvl w:ilvl="0">
      <w:lvlJc w:val="left"/>
      <w:lvlText w:val="•"/>
      <w:numFmt w:val="bullet"/>
      <w:start w:val="1"/>
    </w:lvl>
  </w:abstractNum>
  <w:abstractNum w:abstractNumId="57">
    <w:nsid w:val="69215DFB"/>
    <w:multiLevelType w:val="hybridMultilevel"/>
    <w:lvl w:ilvl="0">
      <w:lvlJc w:val="left"/>
      <w:lvlText w:val="•"/>
      <w:numFmt w:val="bullet"/>
      <w:start w:val="1"/>
    </w:lvl>
  </w:abstractNum>
  <w:abstractNum w:abstractNumId="58">
    <w:nsid w:val="7ABF196A"/>
    <w:multiLevelType w:val="hybridMultilevel"/>
    <w:lvl w:ilvl="0">
      <w:lvlJc w:val="left"/>
      <w:lvlText w:val="•"/>
      <w:numFmt w:val="bullet"/>
      <w:start w:val="1"/>
    </w:lvl>
  </w:abstractNum>
  <w:abstractNum w:abstractNumId="59">
    <w:nsid w:val="5E4DB968"/>
    <w:multiLevelType w:val="hybridMultilevel"/>
    <w:lvl w:ilvl="0">
      <w:lvlJc w:val="left"/>
      <w:lvlText w:val="•"/>
      <w:numFmt w:val="bullet"/>
      <w:start w:val="1"/>
    </w:lvl>
  </w:abstractNum>
  <w:abstractNum w:abstractNumId="60">
    <w:nsid w:val="2C06DCF3"/>
    <w:multiLevelType w:val="hybridMultilevel"/>
    <w:lvl w:ilvl="0">
      <w:lvlJc w:val="left"/>
      <w:lvlText w:val="(%1)"/>
      <w:numFmt w:val="decimal"/>
      <w:start w:val="1"/>
    </w:lvl>
  </w:abstractNum>
  <w:abstractNum w:abstractNumId="61">
    <w:nsid w:val="2E129658"/>
    <w:multiLevelType w:val="hybridMultilevel"/>
    <w:lvl w:ilvl="0">
      <w:lvlJc w:val="left"/>
      <w:lvlText w:val="•"/>
      <w:numFmt w:val="bullet"/>
      <w:start w:val="1"/>
    </w:lvl>
  </w:abstractNum>
  <w:abstractNum w:abstractNumId="62">
    <w:nsid w:val="59F0446"/>
    <w:multiLevelType w:val="hybridMultilevel"/>
    <w:lvl w:ilvl="0">
      <w:lvlJc w:val="left"/>
      <w:lvlText w:val="•"/>
      <w:numFmt w:val="bullet"/>
      <w:start w:val="1"/>
    </w:lvl>
  </w:abstractNum>
  <w:abstractNum w:abstractNumId="63">
    <w:nsid w:val="30DF306"/>
    <w:multiLevelType w:val="hybridMultilevel"/>
    <w:lvl w:ilvl="0">
      <w:lvlJc w:val="left"/>
      <w:lvlText w:val="•"/>
      <w:numFmt w:val="bullet"/>
      <w:start w:val="1"/>
    </w:lvl>
  </w:abstractNum>
  <w:abstractNum w:abstractNumId="64">
    <w:nsid w:val="A65647"/>
    <w:multiLevelType w:val="hybridMultilevel"/>
    <w:lvl w:ilvl="0">
      <w:lvlJc w:val="left"/>
      <w:lvlText w:val="•"/>
      <w:numFmt w:val="bullet"/>
      <w:start w:val="1"/>
    </w:lvl>
  </w:abstractNum>
  <w:abstractNum w:abstractNumId="65">
    <w:nsid w:val="3E5E582B"/>
    <w:multiLevelType w:val="hybridMultilevel"/>
    <w:lvl w:ilvl="0">
      <w:lvlJc w:val="left"/>
      <w:lvlText w:val="•"/>
      <w:numFmt w:val="bullet"/>
      <w:start w:val="1"/>
    </w:lvl>
  </w:abstractNum>
  <w:abstractNum w:abstractNumId="66">
    <w:nsid w:val="257D4626"/>
    <w:multiLevelType w:val="hybridMultilevel"/>
    <w:lvl w:ilvl="0">
      <w:lvlJc w:val="left"/>
      <w:lvlText w:val="•"/>
      <w:numFmt w:val="bullet"/>
      <w:start w:val="1"/>
    </w:lvl>
  </w:abstractNum>
  <w:abstractNum w:abstractNumId="67">
    <w:nsid w:val="5AA8580E"/>
    <w:multiLevelType w:val="hybridMultilevel"/>
    <w:lvl w:ilvl="0">
      <w:lvlJc w:val="left"/>
      <w:lvlText w:val="•"/>
      <w:numFmt w:val="bullet"/>
      <w:start w:val="1"/>
    </w:lvl>
  </w:abstractNum>
  <w:abstractNum w:abstractNumId="68">
    <w:nsid w:val="68FA8D0D"/>
    <w:multiLevelType w:val="hybridMultilevel"/>
    <w:lvl w:ilvl="0">
      <w:lvlJc w:val="left"/>
      <w:lvlText w:val="•"/>
      <w:numFmt w:val="bullet"/>
      <w:start w:val="1"/>
    </w:lvl>
  </w:abstractNum>
  <w:abstractNum w:abstractNumId="69">
    <w:nsid w:val="40F2CBD2"/>
    <w:multiLevelType w:val="hybridMultilevel"/>
    <w:lvl w:ilvl="0">
      <w:lvlJc w:val="left"/>
      <w:lvlText w:val="•"/>
      <w:numFmt w:val="bullet"/>
      <w:start w:val="1"/>
    </w:lvl>
  </w:abstractNum>
  <w:abstractNum w:abstractNumId="70">
    <w:nsid w:val="3BD615EB"/>
    <w:multiLevelType w:val="hybridMultilevel"/>
    <w:lvl w:ilvl="0">
      <w:lvlJc w:val="left"/>
      <w:lvlText w:val="•"/>
      <w:numFmt w:val="bullet"/>
      <w:start w:val="1"/>
    </w:lvl>
  </w:abstractNum>
  <w:abstractNum w:abstractNumId="71">
    <w:nsid w:val="A045AB2"/>
    <w:multiLevelType w:val="hybridMultilevel"/>
    <w:lvl w:ilvl="0">
      <w:lvlJc w:val="left"/>
      <w:lvlText w:val="•"/>
      <w:numFmt w:val="bullet"/>
      <w:start w:val="1"/>
    </w:lvl>
  </w:abstractNum>
  <w:abstractNum w:abstractNumId="72">
    <w:nsid w:val="1872261F"/>
    <w:multiLevelType w:val="hybridMultilevel"/>
    <w:lvl w:ilvl="0">
      <w:lvlJc w:val="left"/>
      <w:lvlText w:val="•"/>
      <w:numFmt w:val="bullet"/>
      <w:start w:val="1"/>
    </w:lvl>
  </w:abstractNum>
  <w:abstractNum w:abstractNumId="73">
    <w:nsid w:val="3DE8306C"/>
    <w:multiLevelType w:val="hybridMultilevel"/>
    <w:lvl w:ilvl="0">
      <w:lvlJc w:val="left"/>
      <w:lvlText w:val="•"/>
      <w:numFmt w:val="bullet"/>
      <w:start w:val="1"/>
    </w:lvl>
  </w:abstractNum>
  <w:abstractNum w:abstractNumId="74">
    <w:nsid w:val="7631573A"/>
    <w:multiLevelType w:val="hybridMultilevel"/>
    <w:lvl w:ilvl="0">
      <w:lvlJc w:val="left"/>
      <w:lvlText w:val="•"/>
      <w:numFmt w:val="bullet"/>
      <w:start w:val="1"/>
    </w:lvl>
  </w:abstractNum>
  <w:abstractNum w:abstractNumId="75">
    <w:nsid w:val="58DF53B"/>
    <w:multiLevelType w:val="hybridMultilevel"/>
    <w:lvl w:ilvl="0">
      <w:lvlJc w:val="left"/>
      <w:lvlText w:val="•"/>
      <w:numFmt w:val="bullet"/>
      <w:start w:val="1"/>
    </w:lvl>
  </w:abstractNum>
  <w:abstractNum w:abstractNumId="76">
    <w:nsid w:val="ACDFAC0"/>
    <w:multiLevelType w:val="hybridMultilevel"/>
    <w:lvl w:ilvl="0">
      <w:lvlJc w:val="left"/>
      <w:lvlText w:val="•"/>
      <w:numFmt w:val="bullet"/>
      <w:start w:val="1"/>
    </w:lvl>
  </w:abstractNum>
  <w:abstractNum w:abstractNumId="77">
    <w:nsid w:val="1F578454"/>
    <w:multiLevelType w:val="hybridMultilevel"/>
    <w:lvl w:ilvl="0">
      <w:lvlJc w:val="left"/>
      <w:lvlText w:val="•"/>
      <w:numFmt w:val="bullet"/>
      <w:start w:val="1"/>
    </w:lvl>
  </w:abstractNum>
  <w:abstractNum w:abstractNumId="78">
    <w:nsid w:val="5B0DAD2A"/>
    <w:multiLevelType w:val="hybridMultilevel"/>
    <w:lvl w:ilvl="0">
      <w:lvlJc w:val="left"/>
      <w:lvlText w:val="*"/>
      <w:numFmt w:val="bullet"/>
      <w:start w:val="1"/>
    </w:lvl>
  </w:abstractNum>
  <w:abstractNum w:abstractNumId="79">
    <w:nsid w:val="4E3D26AB"/>
    <w:multiLevelType w:val="hybridMultilevel"/>
    <w:lvl w:ilvl="0">
      <w:lvlJc w:val="left"/>
      <w:lvlText w:val="(%1)"/>
      <w:numFmt w:val="decimal"/>
      <w:start w:val="1"/>
    </w:lvl>
  </w:abstractNum>
  <w:abstractNum w:abstractNumId="80">
    <w:nsid w:val="BE2C8BA"/>
    <w:multiLevelType w:val="hybridMultilevel"/>
    <w:lvl w:ilvl="0">
      <w:lvlJc w:val="left"/>
      <w:lvlText w:val="•"/>
      <w:numFmt w:val="bullet"/>
      <w:start w:val="1"/>
    </w:lvl>
  </w:abstractNum>
  <w:abstractNum w:abstractNumId="81">
    <w:nsid w:val="7B14914E"/>
    <w:multiLevelType w:val="hybridMultilevel"/>
    <w:lvl w:ilvl="0">
      <w:lvlJc w:val="left"/>
      <w:lvlText w:val="•"/>
      <w:numFmt w:val="bullet"/>
      <w:start w:val="1"/>
    </w:lvl>
  </w:abstractNum>
  <w:abstractNum w:abstractNumId="82">
    <w:nsid w:val="6F0939F8"/>
    <w:multiLevelType w:val="hybridMultilevel"/>
    <w:lvl w:ilvl="0">
      <w:lvlJc w:val="left"/>
      <w:lvlText w:val="•"/>
      <w:numFmt w:val="bullet"/>
      <w:start w:val="1"/>
    </w:lvl>
  </w:abstractNum>
  <w:abstractNum w:abstractNumId="83">
    <w:nsid w:val="154291F6"/>
    <w:multiLevelType w:val="hybridMultilevel"/>
    <w:lvl w:ilvl="0">
      <w:lvlJc w:val="left"/>
      <w:lvlText w:val="•"/>
      <w:numFmt w:val="bullet"/>
      <w:start w:val="1"/>
    </w:lvl>
  </w:abstractNum>
  <w:abstractNum w:abstractNumId="84">
    <w:nsid w:val="3CEBD7C7"/>
    <w:multiLevelType w:val="hybridMultilevel"/>
    <w:lvl w:ilvl="0">
      <w:lvlJc w:val="left"/>
      <w:lvlText w:val="•"/>
      <w:numFmt w:val="bullet"/>
      <w:start w:val="1"/>
    </w:lvl>
  </w:abstractNum>
  <w:abstractNum w:abstractNumId="85">
    <w:nsid w:val="60EE9C16"/>
    <w:multiLevelType w:val="hybridMultilevel"/>
    <w:lvl w:ilvl="0">
      <w:lvlJc w:val="left"/>
      <w:lvlText w:val="(%1)"/>
      <w:numFmt w:val="decimal"/>
      <w:start w:val="1"/>
    </w:lvl>
  </w:abstractNum>
  <w:abstractNum w:abstractNumId="86">
    <w:nsid w:val="6385489E"/>
    <w:multiLevelType w:val="hybridMultilevel"/>
    <w:lvl w:ilvl="0">
      <w:lvlJc w:val="left"/>
      <w:lvlText w:val="(%1)"/>
      <w:numFmt w:val="decimal"/>
      <w:start w:val="5"/>
    </w:lvl>
  </w:abstractNum>
  <w:abstractNum w:abstractNumId="87">
    <w:nsid w:val="E4B973"/>
    <w:multiLevelType w:val="hybridMultilevel"/>
    <w:lvl w:ilvl="0">
      <w:lvlJc w:val="left"/>
      <w:lvlText w:val="•"/>
      <w:numFmt w:val="bullet"/>
      <w:start w:val="1"/>
    </w:lvl>
  </w:abstractNum>
  <w:abstractNum w:abstractNumId="88">
    <w:nsid w:val="4A0FFA11"/>
    <w:multiLevelType w:val="hybridMultilevel"/>
    <w:lvl w:ilvl="0">
      <w:lvlJc w:val="left"/>
      <w:lvlText w:val="(%1)"/>
      <w:numFmt w:val="decimal"/>
      <w:start w:val="1"/>
    </w:lvl>
  </w:abstractNum>
  <w:abstractNum w:abstractNumId="89">
    <w:nsid w:val="5E446208"/>
    <w:multiLevelType w:val="hybridMultilevel"/>
    <w:lvl w:ilvl="0">
      <w:lvlJc w:val="left"/>
      <w:lvlText w:val="(%1)"/>
      <w:numFmt w:val="decimal"/>
      <w:start w:val="1"/>
    </w:lvl>
  </w:abstractNum>
  <w:abstractNum w:abstractNumId="90">
    <w:nsid w:val="5F3272DB"/>
    <w:multiLevelType w:val="hybridMultilevel"/>
    <w:lvl w:ilvl="0">
      <w:lvlJc w:val="left"/>
      <w:lvlText w:val="(%1)"/>
      <w:numFmt w:val="decimal"/>
      <w:start w:val="3"/>
    </w:lvl>
  </w:abstractNum>
  <w:abstractNum w:abstractNumId="91">
    <w:nsid w:val="7616D704"/>
    <w:multiLevelType w:val="hybridMultilevel"/>
    <w:lvl w:ilvl="0">
      <w:lvlJc w:val="left"/>
      <w:lvlText w:val="(%1)"/>
      <w:numFmt w:val="lowerRoman"/>
      <w:start w:val="1"/>
    </w:lvl>
  </w:abstractNum>
  <w:abstractNum w:abstractNumId="92">
    <w:nsid w:val="C56F860"/>
    <w:multiLevelType w:val="hybridMultilevel"/>
    <w:lvl w:ilvl="0">
      <w:lvlJc w:val="left"/>
      <w:lvlText w:val="(%1)"/>
      <w:numFmt w:val="lowerRoman"/>
      <w:start w:val="1"/>
    </w:lvl>
  </w:abstractNum>
  <w:abstractNum w:abstractNumId="93">
    <w:nsid w:val="64D17722"/>
    <w:multiLevelType w:val="hybridMultilevel"/>
    <w:lvl w:ilvl="0">
      <w:lvlJc w:val="left"/>
      <w:lvlText w:val="•"/>
      <w:numFmt w:val="bullet"/>
      <w:start w:val="1"/>
    </w:lvl>
  </w:abstractNum>
  <w:abstractNum w:abstractNumId="94">
    <w:nsid w:val="7924CA0A"/>
    <w:multiLevelType w:val="hybridMultilevel"/>
    <w:lvl w:ilvl="0">
      <w:lvlJc w:val="left"/>
      <w:lvlText w:val="•"/>
      <w:numFmt w:val="bullet"/>
      <w:start w:val="1"/>
    </w:lvl>
  </w:abstractNum>
  <w:abstractNum w:abstractNumId="95">
    <w:nsid w:val="CFD4EA7"/>
    <w:multiLevelType w:val="hybridMultilevel"/>
    <w:lvl w:ilvl="0">
      <w:lvlJc w:val="left"/>
      <w:lvlText w:val="•"/>
      <w:numFmt w:val="bullet"/>
      <w:start w:val="1"/>
    </w:lvl>
  </w:abstractNum>
  <w:abstractNum w:abstractNumId="96">
    <w:nsid w:val="232FCF4D"/>
    <w:multiLevelType w:val="hybridMultilevel"/>
    <w:lvl w:ilvl="0">
      <w:lvlJc w:val="left"/>
      <w:lvlText w:val="•"/>
      <w:numFmt w:val="bullet"/>
      <w:start w:val="1"/>
    </w:lvl>
  </w:abstractNum>
  <w:abstractNum w:abstractNumId="97">
    <w:nsid w:val="1EA21031"/>
    <w:multiLevelType w:val="hybridMultilevel"/>
    <w:lvl w:ilvl="0">
      <w:lvlJc w:val="left"/>
      <w:lvlText w:val="(%1)"/>
      <w:numFmt w:val="decimal"/>
      <w:start w:val="1"/>
    </w:lvl>
  </w:abstractNum>
  <w:abstractNum w:abstractNumId="98">
    <w:nsid w:val="67A5A6B5"/>
    <w:multiLevelType w:val="hybridMultilevel"/>
    <w:lvl w:ilvl="0">
      <w:lvlJc w:val="left"/>
      <w:lvlText w:val="(%1)"/>
      <w:numFmt w:val="decimal"/>
      <w:start w:val="1"/>
    </w:lvl>
  </w:abstractNum>
  <w:abstractNum w:abstractNumId="99">
    <w:nsid w:val="C2A5C5B"/>
    <w:multiLevelType w:val="hybridMultilevel"/>
    <w:lvl w:ilvl="0">
      <w:lvlJc w:val="left"/>
      <w:lvlText w:val="•"/>
      <w:numFmt w:val="bullet"/>
      <w:start w:val="1"/>
    </w:lvl>
  </w:abstractNum>
  <w:abstractNum w:abstractNumId="100">
    <w:nsid w:val="5F94DC03"/>
    <w:multiLevelType w:val="hybridMultilevel"/>
    <w:lvl w:ilvl="0">
      <w:lvlJc w:val="left"/>
      <w:lvlText w:val="*"/>
      <w:numFmt w:val="bullet"/>
      <w:start w:val="1"/>
    </w:lvl>
  </w:abstractNum>
  <w:abstractNum w:abstractNumId="101">
    <w:nsid w:val="237BBCA0"/>
    <w:multiLevelType w:val="hybridMultilevel"/>
    <w:lvl w:ilvl="0">
      <w:lvlJc w:val="left"/>
      <w:lvlText w:val="(%1)"/>
      <w:numFmt w:val="decimal"/>
      <w:start w:val="1"/>
    </w:lvl>
    <w:lvl w:ilvl="1">
      <w:lvlJc w:val="left"/>
      <w:lvlText w:val="(%2)"/>
      <w:numFmt w:val="lowerLetter"/>
      <w:start w:val="2"/>
    </w:lvl>
  </w:abstractNum>
  <w:abstractNum w:abstractNumId="102">
    <w:nsid w:val="162EB70D"/>
    <w:multiLevelType w:val="hybridMultilevel"/>
    <w:lvl w:ilvl="0">
      <w:lvlJc w:val="left"/>
      <w:lvlText w:val="(%1)"/>
      <w:numFmt w:val="decimal"/>
      <w:start w:val="9"/>
    </w:lvl>
    <w:lvl w:ilvl="1">
      <w:lvlJc w:val="left"/>
      <w:lvlText w:val="(%2)"/>
      <w:numFmt w:val="lowerLetter"/>
      <w:start w:val="4"/>
    </w:lvl>
  </w:abstractNum>
  <w:abstractNum w:abstractNumId="103">
    <w:nsid w:val="78070222"/>
    <w:multiLevelType w:val="hybridMultilevel"/>
    <w:lvl w:ilvl="0">
      <w:lvlJc w:val="left"/>
      <w:lvlText w:val="%1"/>
      <w:numFmt w:val="decimal"/>
      <w:start w:val="1"/>
    </w:lvl>
    <w:lvl w:ilvl="1">
      <w:lvlJc w:val="left"/>
      <w:lvlText w:val="(%2)"/>
      <w:numFmt w:val="lowerLetter"/>
      <w:start w:val="2"/>
    </w:lvl>
  </w:abstractNum>
  <w:abstractNum w:abstractNumId="104">
    <w:nsid w:val="6163ED0D"/>
    <w:multiLevelType w:val="hybridMultilevel"/>
    <w:lvl w:ilvl="0">
      <w:lvlJc w:val="left"/>
      <w:lvlText w:val="•"/>
      <w:numFmt w:val="bullet"/>
      <w:start w:val="1"/>
    </w:lvl>
  </w:abstractNum>
  <w:abstractNum w:abstractNumId="105">
    <w:nsid w:val="C600E47"/>
    <w:multiLevelType w:val="hybridMultilevel"/>
    <w:lvl w:ilvl="0">
      <w:lvlJc w:val="left"/>
      <w:lvlText w:val="•"/>
      <w:numFmt w:val="bullet"/>
      <w:start w:val="1"/>
    </w:lvl>
  </w:abstractNum>
  <w:abstractNum w:abstractNumId="106">
    <w:nsid w:val="7D94F75D"/>
    <w:multiLevelType w:val="hybridMultilevel"/>
    <w:lvl w:ilvl="0">
      <w:lvlJc w:val="left"/>
      <w:lvlText w:val="•"/>
      <w:numFmt w:val="bullet"/>
      <w:start w:val="1"/>
    </w:lvl>
  </w:abstractNum>
  <w:abstractNum w:abstractNumId="107">
    <w:nsid w:val="6C31E7CD"/>
    <w:multiLevelType w:val="hybridMultilevel"/>
    <w:lvl w:ilvl="0">
      <w:lvlJc w:val="left"/>
      <w:lvlText w:val="•"/>
      <w:numFmt w:val="bullet"/>
      <w:start w:val="1"/>
    </w:lvl>
  </w:abstractNum>
  <w:abstractNum w:abstractNumId="108">
    <w:nsid w:val="2BB7929B"/>
    <w:multiLevelType w:val="hybridMultilevel"/>
    <w:lvl w:ilvl="0">
      <w:lvlJc w:val="left"/>
      <w:lvlText w:val="•"/>
      <w:numFmt w:val="bullet"/>
      <w:start w:val="1"/>
    </w:lvl>
  </w:abstractNum>
  <w:abstractNum w:abstractNumId="109">
    <w:nsid w:val="58A2A487"/>
    <w:multiLevelType w:val="hybridMultilevel"/>
    <w:lvl w:ilvl="0">
      <w:lvlJc w:val="left"/>
      <w:lvlText w:val="•"/>
      <w:numFmt w:val="bullet"/>
      <w:start w:val="1"/>
    </w:lvl>
  </w:abstractNum>
  <w:abstractNum w:abstractNumId="110">
    <w:nsid w:val="3A6F0E78"/>
    <w:multiLevelType w:val="hybridMultilevel"/>
    <w:lvl w:ilvl="0">
      <w:lvlJc w:val="left"/>
      <w:lvlText w:val="•"/>
      <w:numFmt w:val="bullet"/>
      <w:start w:val="1"/>
    </w:lvl>
  </w:abstractNum>
  <w:abstractNum w:abstractNumId="111">
    <w:nsid w:val="379A5B56"/>
    <w:multiLevelType w:val="hybridMultilevel"/>
    <w:lvl w:ilvl="0">
      <w:lvlJc w:val="left"/>
      <w:lvlText w:val="•"/>
      <w:numFmt w:val="bullet"/>
      <w:start w:val="1"/>
    </w:lvl>
  </w:abstractNum>
  <w:abstractNum w:abstractNumId="112">
    <w:nsid w:val="53B735D5"/>
    <w:multiLevelType w:val="hybridMultilevel"/>
    <w:lvl w:ilvl="0">
      <w:lvlJc w:val="left"/>
      <w:lvlText w:val="•"/>
      <w:numFmt w:val="bullet"/>
      <w:start w:val="1"/>
    </w:lvl>
  </w:abstractNum>
  <w:abstractNum w:abstractNumId="113">
    <w:nsid w:val="29784870"/>
    <w:multiLevelType w:val="hybridMultilevel"/>
    <w:lvl w:ilvl="0">
      <w:lvlJc w:val="left"/>
      <w:lvlText w:val="•"/>
      <w:numFmt w:val="bullet"/>
      <w:start w:val="1"/>
    </w:lvl>
  </w:abstractNum>
  <w:abstractNum w:abstractNumId="114">
    <w:nsid w:val="4CDCED4C"/>
    <w:multiLevelType w:val="hybridMultilevel"/>
    <w:lvl w:ilvl="0">
      <w:lvlJc w:val="left"/>
      <w:lvlText w:val="•"/>
      <w:numFmt w:val="bullet"/>
      <w:start w:val="1"/>
    </w:lvl>
  </w:abstractNum>
  <w:abstractNum w:abstractNumId="115">
    <w:nsid w:val="10A30D9C"/>
    <w:multiLevelType w:val="hybridMultilevel"/>
    <w:lvl w:ilvl="0">
      <w:lvlJc w:val="left"/>
      <w:lvlText w:val="•"/>
      <w:numFmt w:val="bullet"/>
      <w:start w:val="1"/>
    </w:lvl>
  </w:abstractNum>
  <w:abstractNum w:abstractNumId="116">
    <w:nsid w:val="A66E486"/>
    <w:multiLevelType w:val="hybridMultilevel"/>
    <w:lvl w:ilvl="0">
      <w:lvlJc w:val="left"/>
      <w:lvlText w:val="•"/>
      <w:numFmt w:val="bullet"/>
      <w:start w:val="1"/>
    </w:lvl>
  </w:abstractNum>
  <w:abstractNum w:abstractNumId="117">
    <w:nsid w:val="306235EA"/>
    <w:multiLevelType w:val="hybridMultilevel"/>
    <w:lvl w:ilvl="0">
      <w:lvlJc w:val="left"/>
      <w:lvlText w:val="(%1)"/>
      <w:numFmt w:val="lowerLetter"/>
      <w:start w:val="2"/>
    </w:lvl>
  </w:abstractNum>
  <w:abstractNum w:abstractNumId="118">
    <w:nsid w:val="1187C70F"/>
    <w:multiLevelType w:val="hybridMultilevel"/>
    <w:lvl w:ilvl="0">
      <w:lvlJc w:val="left"/>
      <w:lvlText w:val="•"/>
      <w:numFmt w:val="bullet"/>
      <w:start w:val="1"/>
    </w:lvl>
  </w:abstractNum>
  <w:abstractNum w:abstractNumId="119">
    <w:nsid w:val="5476DE98"/>
    <w:multiLevelType w:val="hybridMultilevel"/>
    <w:lvl w:ilvl="0">
      <w:lvlJc w:val="left"/>
      <w:lvlText w:val="•"/>
      <w:numFmt w:val="bullet"/>
      <w:start w:val="1"/>
    </w:lvl>
    <w:lvl w:ilvl="1">
      <w:lvlJc w:val="left"/>
      <w:lvlText w:val="•"/>
      <w:numFmt w:val="bullet"/>
      <w:start w:val="1"/>
    </w:lvl>
  </w:abstractNum>
  <w:abstractNum w:abstractNumId="120">
    <w:nsid w:val="EA697F2"/>
    <w:multiLevelType w:val="hybridMultilevel"/>
    <w:lvl w:ilvl="0">
      <w:lvlJc w:val="left"/>
      <w:lvlText w:val="(%1)"/>
      <w:numFmt w:val="lowerLetter"/>
      <w:start w:val="2"/>
    </w:lvl>
  </w:abstractNum>
  <w:abstractNum w:abstractNumId="121">
    <w:nsid w:val="70BA39EB"/>
    <w:multiLevelType w:val="hybridMultilevel"/>
    <w:lvl w:ilvl="0">
      <w:lvlJc w:val="left"/>
      <w:lvlText w:val="•"/>
      <w:numFmt w:val="bullet"/>
      <w:start w:val="1"/>
    </w:lvl>
  </w:abstractNum>
  <w:abstractNum w:abstractNumId="122">
    <w:nsid w:val="4A8DB59C"/>
    <w:multiLevelType w:val="hybridMultilevel"/>
    <w:lvl w:ilvl="0">
      <w:lvlJc w:val="left"/>
      <w:lvlText w:val="%1."/>
      <w:numFmt w:val="decimal"/>
      <w:start w:val="1"/>
    </w:lvl>
  </w:abstractNum>
  <w:abstractNum w:abstractNumId="123">
    <w:nsid w:val="1AFD9053"/>
    <w:multiLevelType w:val="hybridMultilevel"/>
    <w:lvl w:ilvl="0">
      <w:lvlJc w:val="left"/>
      <w:lvlText w:val="%1."/>
      <w:numFmt w:val="decimal"/>
      <w:start w:val="2"/>
    </w:lvl>
  </w:abstractNum>
  <w:abstractNum w:abstractNumId="124">
    <w:nsid w:val="558BB10D"/>
    <w:multiLevelType w:val="hybridMultilevel"/>
    <w:lvl w:ilvl="0">
      <w:lvlJc w:val="left"/>
      <w:lvlText w:val="•"/>
      <w:numFmt w:val="bullet"/>
      <w:start w:val="1"/>
    </w:lvl>
  </w:abstractNum>
  <w:abstractNum w:abstractNumId="125">
    <w:nsid w:val="43B27FA7"/>
    <w:multiLevelType w:val="hybridMultilevel"/>
    <w:lvl w:ilvl="0">
      <w:lvlJc w:val="left"/>
      <w:lvlText w:val="%1."/>
      <w:numFmt w:val="decimal"/>
      <w:start w:val="4"/>
    </w:lvl>
  </w:abstractNum>
  <w:abstractNum w:abstractNumId="126">
    <w:nsid w:val="27FADEFA"/>
    <w:multiLevelType w:val="hybridMultilevel"/>
    <w:lvl w:ilvl="0">
      <w:lvlJc w:val="left"/>
      <w:lvlText w:val="%1."/>
      <w:numFmt w:val="decimal"/>
      <w:start w:val="5"/>
    </w:lvl>
  </w:abstractNum>
  <w:abstractNum w:abstractNumId="127">
    <w:nsid w:val="78BB805A"/>
    <w:multiLevelType w:val="hybridMultilevel"/>
    <w:lvl w:ilvl="0">
      <w:lvlJc w:val="left"/>
      <w:lvlText w:val="%1."/>
      <w:numFmt w:val="decimal"/>
      <w:start w:val="6"/>
    </w:lvl>
  </w:abstractNum>
  <w:abstractNum w:abstractNumId="128">
    <w:nsid w:val="62548FD8"/>
    <w:multiLevelType w:val="hybridMultilevel"/>
    <w:lvl w:ilvl="0">
      <w:lvlJc w:val="left"/>
      <w:lvlText w:val="(%1)"/>
      <w:numFmt w:val="decimal"/>
      <w:start w:val="1"/>
    </w:lvl>
  </w:abstractNum>
  <w:abstractNum w:abstractNumId="129">
    <w:nsid w:val="FA085B0"/>
    <w:multiLevelType w:val="hybridMultilevel"/>
    <w:lvl w:ilvl="0">
      <w:lvlJc w:val="left"/>
      <w:lvlText w:val="%1."/>
      <w:numFmt w:val="decimal"/>
      <w:start w:val="7"/>
    </w:lvl>
  </w:abstractNum>
  <w:abstractNum w:abstractNumId="130">
    <w:nsid w:val="4E5DCB5"/>
    <w:multiLevelType w:val="hybridMultilevel"/>
    <w:lvl w:ilvl="0">
      <w:lvlJc w:val="left"/>
      <w:lvlText w:val="%1."/>
      <w:numFmt w:val="decimal"/>
      <w:start w:val="8"/>
    </w:lvl>
  </w:abstractNum>
  <w:abstractNum w:abstractNumId="131">
    <w:nsid w:val="41E96BDB"/>
    <w:multiLevelType w:val="hybridMultilevel"/>
    <w:lvl w:ilvl="0">
      <w:lvlJc w:val="left"/>
      <w:lvlText w:val="%1."/>
      <w:numFmt w:val="decimal"/>
      <w:start w:val="9"/>
    </w:lvl>
  </w:abstractNum>
  <w:abstractNum w:abstractNumId="132">
    <w:nsid w:val="331C4250"/>
    <w:multiLevelType w:val="hybridMultilevel"/>
    <w:lvl w:ilvl="0">
      <w:lvlJc w:val="left"/>
      <w:lvlText w:val="%1."/>
      <w:numFmt w:val="decimal"/>
      <w:start w:val="10"/>
    </w:lvl>
  </w:abstractNum>
  <w:abstractNum w:abstractNumId="133">
    <w:nsid w:val="1B1493C2"/>
    <w:multiLevelType w:val="hybridMultilevel"/>
    <w:lvl w:ilvl="0">
      <w:lvlJc w:val="left"/>
      <w:lvlText w:val="%1."/>
      <w:numFmt w:val="decimal"/>
      <w:start w:val="11"/>
    </w:lvl>
  </w:abstractNum>
  <w:abstractNum w:abstractNumId="134">
    <w:nsid w:val="39F06DFD"/>
    <w:multiLevelType w:val="hybridMultilevel"/>
    <w:lvl w:ilvl="0">
      <w:lvlJc w:val="left"/>
      <w:lvlText w:val="%1."/>
      <w:numFmt w:val="decimal"/>
      <w:start w:val="12"/>
    </w:lvl>
  </w:abstractNum>
  <w:abstractNum w:abstractNumId="135">
    <w:nsid w:val="14802F5D"/>
    <w:multiLevelType w:val="hybridMultilevel"/>
    <w:lvl w:ilvl="0">
      <w:lvlJc w:val="left"/>
      <w:lvlText w:val="%1."/>
      <w:numFmt w:val="decimal"/>
      <w:start w:val="1"/>
    </w:lvl>
  </w:abstractNum>
  <w:abstractNum w:abstractNumId="136">
    <w:nsid w:val="2774A209"/>
    <w:multiLevelType w:val="hybridMultilevel"/>
    <w:lvl w:ilvl="0">
      <w:lvlJc w:val="left"/>
      <w:lvlText w:val="%1."/>
      <w:numFmt w:val="decimal"/>
      <w:start w:val="2"/>
    </w:lvl>
  </w:abstractNum>
  <w:abstractNum w:abstractNumId="137">
    <w:nsid w:val="3785655A"/>
    <w:multiLevelType w:val="hybridMultilevel"/>
    <w:lvl w:ilvl="0">
      <w:lvlJc w:val="left"/>
      <w:lvlText w:val="•"/>
      <w:numFmt w:val="bullet"/>
      <w:start w:val="1"/>
    </w:lvl>
  </w:abstractNum>
  <w:abstractNum w:abstractNumId="138">
    <w:nsid w:val="B2172A"/>
    <w:multiLevelType w:val="hybridMultilevel"/>
    <w:lvl w:ilvl="0">
      <w:lvlJc w:val="left"/>
      <w:lvlText w:val="•"/>
      <w:numFmt w:val="bullet"/>
      <w:start w:val="1"/>
    </w:lvl>
  </w:abstractNum>
  <w:abstractNum w:abstractNumId="139">
    <w:nsid w:val="532C34A5"/>
    <w:multiLevelType w:val="hybridMultilevel"/>
    <w:lvl w:ilvl="0">
      <w:lvlJc w:val="left"/>
      <w:lvlText w:val="%1."/>
      <w:numFmt w:val="decimal"/>
      <w:start w:val="4"/>
    </w:lvl>
  </w:abstractNum>
  <w:abstractNum w:abstractNumId="140">
    <w:nsid w:val="102809E2"/>
    <w:multiLevelType w:val="hybridMultilevel"/>
    <w:lvl w:ilvl="0">
      <w:lvlJc w:val="left"/>
      <w:lvlText w:val="%1."/>
      <w:numFmt w:val="decimal"/>
      <w:start w:val="5"/>
    </w:lvl>
  </w:abstractNum>
  <w:abstractNum w:abstractNumId="141">
    <w:nsid w:val="3B2125A3"/>
    <w:multiLevelType w:val="hybridMultilevel"/>
    <w:lvl w:ilvl="0">
      <w:lvlJc w:val="left"/>
      <w:lvlText w:val="%1."/>
      <w:numFmt w:val="decimal"/>
      <w:start w:val="6"/>
    </w:lvl>
  </w:abstractNum>
  <w:abstractNum w:abstractNumId="142">
    <w:nsid w:val="AC68FFB"/>
    <w:multiLevelType w:val="hybridMultilevel"/>
    <w:lvl w:ilvl="0">
      <w:lvlJc w:val="left"/>
      <w:lvlText w:val="(%1)"/>
      <w:numFmt w:val="decimal"/>
      <w:start w:val="1"/>
    </w:lvl>
  </w:abstractNum>
  <w:abstractNum w:abstractNumId="143">
    <w:nsid w:val="63DF3FB7"/>
    <w:multiLevelType w:val="hybridMultilevel"/>
    <w:lvl w:ilvl="0">
      <w:lvlJc w:val="left"/>
      <w:lvlText w:val="%1."/>
      <w:numFmt w:val="decimal"/>
      <w:start w:val="7"/>
    </w:lvl>
  </w:abstractNum>
  <w:abstractNum w:abstractNumId="144">
    <w:nsid w:val="64996E13"/>
    <w:multiLevelType w:val="hybridMultilevel"/>
    <w:lvl w:ilvl="0">
      <w:lvlJc w:val="left"/>
      <w:lvlText w:val="%1."/>
      <w:numFmt w:val="decimal"/>
      <w:start w:val="8"/>
    </w:lvl>
  </w:abstractNum>
  <w:abstractNum w:abstractNumId="145">
    <w:nsid w:val="57A37D47"/>
    <w:multiLevelType w:val="hybridMultilevel"/>
    <w:lvl w:ilvl="0">
      <w:lvlJc w:val="left"/>
      <w:lvlText w:val="•"/>
      <w:numFmt w:val="bullet"/>
      <w:start w:val="1"/>
    </w:lvl>
  </w:abstractNum>
  <w:abstractNum w:abstractNumId="146">
    <w:nsid w:val="74824D54"/>
    <w:multiLevelType w:val="hybridMultilevel"/>
    <w:lvl w:ilvl="0">
      <w:lvlJc w:val="left"/>
      <w:lvlText w:val="•"/>
      <w:numFmt w:val="bullet"/>
      <w:start w:val="1"/>
    </w:lvl>
  </w:abstractNum>
  <w:abstractNum w:abstractNumId="147">
    <w:nsid w:val="6F00529A"/>
    <w:multiLevelType w:val="hybridMultilevel"/>
    <w:lvl w:ilvl="0">
      <w:lvlJc w:val="left"/>
      <w:lvlText w:val="•"/>
      <w:numFmt w:val="bullet"/>
      <w:start w:val="1"/>
    </w:lvl>
  </w:abstractNum>
  <w:abstractNum w:abstractNumId="148">
    <w:nsid w:val="805B331"/>
    <w:multiLevelType w:val="hybridMultilevel"/>
    <w:lvl w:ilvl="0">
      <w:lvlJc w:val="left"/>
      <w:lvlText w:val="•"/>
      <w:numFmt w:val="bullet"/>
      <w:start w:val="1"/>
    </w:lvl>
  </w:abstractNum>
  <w:abstractNum w:abstractNumId="149">
    <w:nsid w:val="60A1463"/>
    <w:multiLevelType w:val="hybridMultilevel"/>
    <w:lvl w:ilvl="0">
      <w:lvlJc w:val="left"/>
      <w:lvlText w:val="%1."/>
      <w:numFmt w:val="decimal"/>
      <w:start w:val="1"/>
    </w:lvl>
  </w:abstractNum>
  <w:abstractNum w:abstractNumId="150">
    <w:nsid w:val="43773132"/>
    <w:multiLevelType w:val="hybridMultilevel"/>
    <w:lvl w:ilvl="0">
      <w:lvlJc w:val="left"/>
      <w:lvlText w:val="(%1)"/>
      <w:numFmt w:val="lowerLetter"/>
      <w:start w:val="2"/>
    </w:lvl>
  </w:abstractNum>
  <w:abstractNum w:abstractNumId="151">
    <w:nsid w:val="16AC4B23"/>
    <w:multiLevelType w:val="hybridMultilevel"/>
    <w:lvl w:ilvl="0">
      <w:lvlJc w:val="left"/>
      <w:lvlText w:val="(%1)"/>
      <w:numFmt w:val="lowerLetter"/>
      <w:start w:val="1"/>
    </w:lvl>
  </w:abstractNum>
  <w:abstractNum w:abstractNumId="152">
    <w:nsid w:val="76C44E4E"/>
    <w:multiLevelType w:val="hybridMultilevel"/>
    <w:lvl w:ilvl="0">
      <w:lvlJc w:val="left"/>
      <w:lvlText w:val="+"/>
      <w:numFmt w:val="bullet"/>
      <w:start w:val="1"/>
    </w:lvl>
  </w:abstractNum>
  <w:abstractNum w:abstractNumId="153">
    <w:nsid w:val="E04E6CE"/>
    <w:multiLevelType w:val="hybridMultilevel"/>
    <w:lvl w:ilvl="0">
      <w:lvlJc w:val="left"/>
      <w:lvlText w:val="%1."/>
      <w:numFmt w:val="decimal"/>
      <w:start w:val="1"/>
    </w:lvl>
    <w:lvl w:ilvl="1">
      <w:lvlJc w:val="left"/>
      <w:lvlText w:val="(%2)"/>
      <w:numFmt w:val="lowerLetter"/>
      <w:start w:val="1"/>
    </w:lvl>
  </w:abstractNum>
  <w:abstractNum w:abstractNumId="154">
    <w:nsid w:val="31A9DB76"/>
    <w:multiLevelType w:val="hybridMultilevel"/>
    <w:lvl w:ilvl="0">
      <w:lvlJc w:val="left"/>
      <w:lvlText w:val="(%1)"/>
      <w:numFmt w:val="lowerLetter"/>
      <w:start w:val="2"/>
    </w:lvl>
  </w:abstractNum>
  <w:abstractNum w:abstractNumId="155">
    <w:nsid w:val="4C4FFF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6">
    <w:nsid w:val="51B76675"/>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57">
    <w:nsid w:val="59A4BA7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8">
    <w:nsid w:val="450B7FB6"/>
    <w:multiLevelType w:val="hybridMultilevel"/>
    <w:lvl w:ilvl="0">
      <w:lvlJc w:val="left"/>
      <w:lvlText w:val="%1"/>
      <w:numFmt w:val="lowerLetter"/>
      <w:start w:val="1"/>
    </w:lvl>
    <w:lvl w:ilvl="1">
      <w:lvlJc w:val="left"/>
      <w:lvlText w:val="(%2)"/>
      <w:numFmt w:val="lowerRoman"/>
      <w:start w:val="1"/>
    </w:lvl>
  </w:abstractNum>
  <w:abstractNum w:abstractNumId="159">
    <w:nsid w:val="340BF64D"/>
    <w:multiLevelType w:val="hybridMultilevel"/>
    <w:lvl w:ilvl="0">
      <w:lvlJc w:val="left"/>
      <w:lvlText w:val="(%1)"/>
      <w:numFmt w:val="lowerLetter"/>
      <w:start w:val="3"/>
    </w:lvl>
    <w:lvl w:ilvl="1">
      <w:lvlJc w:val="left"/>
      <w:lvlText w:val="(%2)"/>
      <w:numFmt w:val="lowerRoman"/>
      <w:start w:val="1"/>
    </w:lvl>
  </w:abstractNum>
  <w:abstractNum w:abstractNumId="160">
    <w:nsid w:val="69454021"/>
    <w:multiLevelType w:val="hybridMultilevel"/>
    <w:lvl w:ilvl="0">
      <w:lvlJc w:val="left"/>
      <w:lvlText w:val="%1"/>
      <w:numFmt w:val="lowerLetter"/>
      <w:start w:val="1"/>
    </w:lvl>
    <w:lvl w:ilvl="1">
      <w:lvlJc w:val="left"/>
      <w:lvlText w:val="(%2)"/>
      <w:numFmt w:val="lowerRoman"/>
      <w:start w:val="1"/>
    </w:lvl>
  </w:abstractNum>
  <w:abstractNum w:abstractNumId="161">
    <w:nsid w:val="49F15C6B"/>
    <w:multiLevelType w:val="hybridMultilevel"/>
    <w:lvl w:ilvl="0">
      <w:lvlJc w:val="left"/>
      <w:lvlText w:val="(%1)"/>
      <w:numFmt w:val="lowerLetter"/>
      <w:start w:val="5"/>
    </w:lvl>
    <w:lvl w:ilvl="1">
      <w:lvlJc w:val="left"/>
      <w:lvlText w:val="(%2)"/>
      <w:numFmt w:val="lowerRoman"/>
      <w:start w:val="1"/>
    </w:lvl>
  </w:abstractNum>
  <w:abstractNum w:abstractNumId="162">
    <w:nsid w:val="75F56228"/>
    <w:multiLevelType w:val="hybridMultilevel"/>
    <w:lvl w:ilvl="0">
      <w:lvlJc w:val="left"/>
      <w:lvlText w:val="%1"/>
      <w:numFmt w:val="lowerLetter"/>
      <w:start w:val="1"/>
    </w:lvl>
    <w:lvl w:ilvl="1">
      <w:lvlJc w:val="left"/>
      <w:lvlText w:val="(%2)"/>
      <w:numFmt w:val="lowerRoman"/>
      <w:start w:val="1"/>
    </w:lvl>
  </w:abstractNum>
  <w:abstractNum w:abstractNumId="163">
    <w:nsid w:val="1C618271"/>
    <w:multiLevelType w:val="hybridMultilevel"/>
    <w:lvl w:ilvl="0">
      <w:lvlJc w:val="left"/>
      <w:lvlText w:val="(%1)"/>
      <w:numFmt w:val="lowerLetter"/>
      <w:start w:val="7"/>
    </w:lvl>
    <w:lvl w:ilvl="1">
      <w:lvlJc w:val="left"/>
      <w:lvlText w:val="(%2)"/>
      <w:numFmt w:val="lowerRoman"/>
      <w:start w:val="1"/>
    </w:lvl>
  </w:abstractNum>
  <w:abstractNum w:abstractNumId="164">
    <w:nsid w:val="6505F0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65">
    <w:nsid w:val="2FE5D02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66">
    <w:nsid w:val="30E1B1CF"/>
    <w:multiLevelType w:val="hybridMultilevel"/>
    <w:lvl w:ilvl="0">
      <w:lvlJc w:val="left"/>
      <w:lvlText w:val="(%1)"/>
      <w:numFmt w:val="lowerRoman"/>
      <w:start w:val="2"/>
    </w:lvl>
  </w:abstractNum>
  <w:abstractNum w:abstractNumId="167">
    <w:nsid w:val="C7A9237"/>
    <w:multiLevelType w:val="hybridMultilevel"/>
    <w:lvl w:ilvl="0">
      <w:lvlJc w:val="left"/>
      <w:lvlText w:val="%1"/>
      <w:numFmt w:val="lowerLetter"/>
      <w:start w:val="1"/>
    </w:lvl>
    <w:lvl w:ilvl="1">
      <w:lvlJc w:val="left"/>
      <w:lvlText w:val="(%2)"/>
      <w:numFmt w:val="lowerRoman"/>
      <w:start w:val="4"/>
    </w:lvl>
  </w:abstractNum>
  <w:abstractNum w:abstractNumId="168">
    <w:nsid w:val="676B3580"/>
    <w:multiLevelType w:val="hybridMultilevel"/>
    <w:lvl w:ilvl="0">
      <w:lvlJc w:val="left"/>
      <w:lvlText w:val="(%1)"/>
      <w:numFmt w:val="lowerLetter"/>
      <w:start w:val="2"/>
    </w:lvl>
    <w:lvl w:ilvl="1">
      <w:lvlJc w:val="left"/>
      <w:lvlText w:val="%2"/>
      <w:numFmt w:val="lowerRoman"/>
      <w:start w:val="1"/>
    </w:lvl>
  </w:abstractNum>
  <w:abstractNum w:abstractNumId="169">
    <w:nsid w:val="3193C8F9"/>
    <w:multiLevelType w:val="hybridMultilevel"/>
    <w:lvl w:ilvl="0">
      <w:lvlJc w:val="left"/>
      <w:lvlText w:val="%1"/>
      <w:numFmt w:val="decimal"/>
      <w:start w:val="1"/>
    </w:lvl>
    <w:lvl w:ilvl="1">
      <w:lvlJc w:val="left"/>
      <w:lvlText w:val="(%2)"/>
      <w:numFmt w:val="lowerLetter"/>
      <w:start w:val="3"/>
    </w:lvl>
  </w:abstractNum>
  <w:abstractNum w:abstractNumId="170">
    <w:nsid w:val="5FA6C6DC"/>
    <w:multiLevelType w:val="hybridMultilevel"/>
    <w:lvl w:ilvl="0">
      <w:lvlJc w:val="left"/>
      <w:lvlText w:val="%1."/>
      <w:numFmt w:val="decimal"/>
      <w:start w:val="4"/>
    </w:lvl>
    <w:lvl w:ilvl="1">
      <w:lvlJc w:val="left"/>
      <w:lvlText w:val="(%2)"/>
      <w:numFmt w:val="lowerLetter"/>
      <w:start w:val="1"/>
    </w:lvl>
  </w:abstractNum>
  <w:abstractNum w:abstractNumId="171">
    <w:nsid w:val="77933F62"/>
    <w:multiLevelType w:val="hybridMultilevel"/>
    <w:lvl w:ilvl="0">
      <w:lvlJc w:val="left"/>
      <w:lvlText w:val="%1."/>
      <w:numFmt w:val="decimal"/>
      <w:start w:val="5"/>
    </w:lvl>
  </w:abstractNum>
  <w:abstractNum w:abstractNumId="172">
    <w:nsid w:val="6CB4EE9C"/>
    <w:multiLevelType w:val="hybridMultilevel"/>
    <w:lvl w:ilvl="0">
      <w:lvlJc w:val="left"/>
      <w:lvlText w:val="(%1)"/>
      <w:numFmt w:val="lowerLetter"/>
      <w:start w:val="1"/>
    </w:lvl>
  </w:abstractNum>
  <w:abstractNum w:abstractNumId="173">
    <w:nsid w:val="6A6D56D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4">
    <w:nsid w:val="5B727F1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75">
    <w:nsid w:val="514E5CB0"/>
    <w:multiLevelType w:val="hybridMultilevel"/>
    <w:lvl w:ilvl="0">
      <w:lvlJc w:val="left"/>
      <w:lvlText w:val="(%1)"/>
      <w:numFmt w:val="lowerRoman"/>
      <w:start w:val="2"/>
    </w:lvl>
  </w:abstractNum>
  <w:abstractNum w:abstractNumId="176">
    <w:nsid w:val="4210D41E"/>
    <w:multiLevelType w:val="hybridMultilevel"/>
    <w:lvl w:ilvl="0">
      <w:lvlJc w:val="left"/>
      <w:lvlText w:val="(%1)"/>
      <w:numFmt w:val="upperLetter"/>
      <w:start w:val="1"/>
    </w:lvl>
  </w:abstractNum>
  <w:abstractNum w:abstractNumId="177">
    <w:nsid w:val="4FF4CC6D"/>
    <w:multiLevelType w:val="hybridMultilevel"/>
    <w:lvl w:ilvl="0">
      <w:lvlJc w:val="left"/>
      <w:lvlText w:val="%1"/>
      <w:numFmt w:val="lowerRoman"/>
      <w:start w:val="1"/>
    </w:lvl>
    <w:lvl w:ilvl="1">
      <w:lvlJc w:val="left"/>
      <w:lvlText w:val="(%2)"/>
      <w:numFmt w:val="upperLetter"/>
      <w:start w:val="2"/>
    </w:lvl>
  </w:abstractNum>
  <w:abstractNum w:abstractNumId="178">
    <w:nsid w:val="404EAF4A"/>
    <w:multiLevelType w:val="hybridMultilevel"/>
    <w:lvl w:ilvl="0">
      <w:lvlJc w:val="left"/>
      <w:lvlText w:val="(%1)"/>
      <w:numFmt w:val="lowerRoman"/>
      <w:start w:val="5"/>
    </w:lvl>
    <w:lvl w:ilvl="1">
      <w:lvlJc w:val="left"/>
      <w:lvlText w:val="%2"/>
      <w:numFmt w:val="upperLetter"/>
      <w:start w:val="1"/>
    </w:lvl>
  </w:abstractNum>
  <w:abstractNum w:abstractNumId="179">
    <w:nsid w:val="4A16874F"/>
    <w:multiLevelType w:val="hybridMultilevel"/>
    <w:lvl w:ilvl="0">
      <w:lvlJc w:val="left"/>
      <w:lvlText w:val="(%1)"/>
      <w:numFmt w:val="upperLetter"/>
      <w:start w:val="1"/>
    </w:lvl>
  </w:abstractNum>
  <w:abstractNum w:abstractNumId="180">
    <w:nsid w:val="55FEE0D1"/>
    <w:multiLevelType w:val="hybridMultilevel"/>
    <w:lvl w:ilvl="0">
      <w:lvlJc w:val="left"/>
      <w:lvlText w:val="(%1)"/>
      <w:numFmt w:val="upperLetter"/>
      <w:start w:val="2"/>
    </w:lvl>
  </w:abstractNum>
  <w:abstractNum w:abstractNumId="181">
    <w:nsid w:val="3C5E07C"/>
    <w:multiLevelType w:val="hybridMultilevel"/>
    <w:lvl w:ilvl="0">
      <w:lvlJc w:val="left"/>
      <w:lvlText w:val="(%1)"/>
      <w:numFmt w:val="upperLetter"/>
      <w:start w:val="7"/>
    </w:lvl>
  </w:abstractNum>
  <w:abstractNum w:abstractNumId="182">
    <w:nsid w:val="60C2D273"/>
    <w:multiLevelType w:val="hybridMultilevel"/>
    <w:lvl w:ilvl="0">
      <w:lvlJc w:val="left"/>
      <w:lvlText w:val="%1"/>
      <w:numFmt w:val="lowerLetter"/>
      <w:start w:val="1"/>
    </w:lvl>
    <w:lvl w:ilvl="1">
      <w:lvlJc w:val="left"/>
      <w:lvlText w:val="(%2)"/>
      <w:numFmt w:val="lowerRoman"/>
      <w:start w:val="6"/>
    </w:lvl>
  </w:abstractNum>
  <w:abstractNum w:abstractNumId="183">
    <w:nsid w:val="4CC32F1F"/>
    <w:multiLevelType w:val="hybridMultilevel"/>
    <w:lvl w:ilvl="0">
      <w:lvlJc w:val="left"/>
      <w:lvlText w:val="(%1)"/>
      <w:numFmt w:val="lowerLetter"/>
      <w:start w:val="9"/>
    </w:lvl>
    <w:lvl w:ilvl="1">
      <w:lvlJc w:val="left"/>
      <w:lvlText w:val="%2"/>
      <w:numFmt w:val="lowerRoman"/>
      <w:start w:val="1"/>
    </w:lvl>
  </w:abstractNum>
  <w:abstractNum w:abstractNumId="184">
    <w:nsid w:val="11CAC74A"/>
    <w:multiLevelType w:val="hybridMultilevel"/>
    <w:lvl w:ilvl="0">
      <w:lvlJc w:val="left"/>
      <w:lvlText w:val="(%1)"/>
      <w:numFmt w:val="lowerLetter"/>
      <w:start w:val="11"/>
    </w:lvl>
    <w:lvl w:ilvl="1">
      <w:lvlJc w:val="left"/>
      <w:lvlText w:val="(%2)"/>
      <w:numFmt w:val="lowerRoman"/>
      <w:start w:val="1"/>
    </w:lvl>
  </w:abstractNum>
  <w:abstractNum w:abstractNumId="185">
    <w:nsid w:val="126CADE9"/>
    <w:multiLevelType w:val="hybridMultilevel"/>
    <w:lvl w:ilvl="0">
      <w:lvlJc w:val="left"/>
      <w:lvlText w:val="(%1)"/>
      <w:numFmt w:val="lowerLetter"/>
      <w:start w:val="13"/>
    </w:lvl>
  </w:abstractNum>
  <w:abstractNum w:abstractNumId="186">
    <w:nsid w:val="19132E7B"/>
    <w:multiLevelType w:val="hybridMultilevel"/>
    <w:lvl w:ilvl="0">
      <w:lvlJc w:val="left"/>
      <w:lvlText w:val="%1."/>
      <w:numFmt w:val="decimal"/>
      <w:start w:val="6"/>
    </w:lvl>
  </w:abstractNum>
  <w:abstractNum w:abstractNumId="187">
    <w:nsid w:val="63822DC0"/>
    <w:multiLevelType w:val="hybridMultilevel"/>
    <w:lvl w:ilvl="0">
      <w:lvlJc w:val="left"/>
      <w:lvlText w:val="(%1)"/>
      <w:numFmt w:val="lowerRoman"/>
      <w:start w:val="2"/>
    </w:lvl>
    <w:lvl w:ilvl="1">
      <w:lvlJc w:val="left"/>
      <w:lvlText w:val="*"/>
      <w:numFmt w:val="bullet"/>
      <w:start w:val="1"/>
    </w:lvl>
  </w:abstractNum>
  <w:abstractNum w:abstractNumId="188">
    <w:nsid w:val="6C11685A"/>
    <w:multiLevelType w:val="hybridMultilevel"/>
    <w:lvl w:ilvl="0">
      <w:lvlJc w:val="left"/>
      <w:lvlText w:val="%1."/>
      <w:numFmt w:val="decimal"/>
      <w:start w:val="1"/>
    </w:lvl>
  </w:abstractNum>
  <w:abstractNum w:abstractNumId="189">
    <w:nsid w:val="5E1EAE31"/>
    <w:multiLevelType w:val="hybridMultilevel"/>
    <w:lvl w:ilvl="0">
      <w:lvlJc w:val="left"/>
      <w:lvlText w:val="%1."/>
      <w:numFmt w:val="decimal"/>
      <w:start w:val="1"/>
    </w:lvl>
  </w:abstractNum>
  <w:abstractNum w:abstractNumId="190">
    <w:nsid w:val="178E240D"/>
    <w:multiLevelType w:val="hybridMultilevel"/>
    <w:lvl w:ilvl="0">
      <w:lvlJc w:val="left"/>
      <w:lvlText w:val="%1."/>
      <w:numFmt w:val="decimal"/>
      <w:start w:val="1"/>
    </w:lvl>
  </w:abstractNum>
  <w:abstractNum w:abstractNumId="191">
    <w:nsid w:val="5556A87B"/>
    <w:multiLevelType w:val="hybridMultilevel"/>
    <w:lvl w:ilvl="0">
      <w:lvlJc w:val="left"/>
      <w:lvlText w:val="%1."/>
      <w:numFmt w:val="decimal"/>
      <w:start w:val="2"/>
    </w:lvl>
  </w:abstractNum>
  <w:abstractNum w:abstractNumId="192">
    <w:nsid w:val="28100A9C"/>
    <w:multiLevelType w:val="hybridMultilevel"/>
    <w:lvl w:ilvl="0">
      <w:lvlJc w:val="left"/>
      <w:lvlText w:val="%1."/>
      <w:numFmt w:val="decimal"/>
      <w:start w:val="6"/>
    </w:lvl>
  </w:abstractNum>
  <w:abstractNum w:abstractNumId="193">
    <w:nsid w:val="D838636"/>
    <w:multiLevelType w:val="hybridMultilevel"/>
    <w:lvl w:ilvl="0">
      <w:lvlJc w:val="left"/>
      <w:lvlText w:val="%1."/>
      <w:numFmt w:val="decimal"/>
      <w:start w:val="1"/>
    </w:lvl>
  </w:abstractNum>
  <w:abstractNum w:abstractNumId="194">
    <w:nsid w:val="71B82AED"/>
    <w:multiLevelType w:val="hybridMultilevel"/>
    <w:lvl w:ilvl="0">
      <w:lvlJc w:val="left"/>
      <w:lvlText w:val="%1."/>
      <w:numFmt w:val="decimal"/>
      <w:start w:val="1"/>
    </w:lvl>
  </w:abstractNum>
  <w:abstractNum w:abstractNumId="195">
    <w:nsid w:val="D15FACA"/>
    <w:multiLevelType w:val="hybridMultilevel"/>
    <w:lvl w:ilvl="0">
      <w:lvlJc w:val="left"/>
      <w:lvlText w:val="(%1)"/>
      <w:numFmt w:val="lowerLetter"/>
      <w:start w:val="1"/>
    </w:lvl>
  </w:abstractNum>
  <w:abstractNum w:abstractNumId="196">
    <w:nsid w:val="3D69565B"/>
    <w:multiLevelType w:val="hybridMultilevel"/>
    <w:lvl w:ilvl="0">
      <w:lvlJc w:val="left"/>
      <w:lvlText w:val="(%1)"/>
      <w:numFmt w:val="lowerLetter"/>
      <w:start w:val="2"/>
    </w:lvl>
  </w:abstractNum>
  <w:abstractNum w:abstractNumId="197">
    <w:nsid w:val="2299DCBC"/>
    <w:multiLevelType w:val="hybridMultilevel"/>
    <w:lvl w:ilvl="0">
      <w:lvlJc w:val="left"/>
      <w:lvlText w:val="(%1)"/>
      <w:numFmt w:val="lowerLetter"/>
      <w:start w:val="3"/>
    </w:lvl>
  </w:abstractNum>
  <w:abstractNum w:abstractNumId="198">
    <w:nsid w:val="19908D02"/>
    <w:multiLevelType w:val="hybridMultilevel"/>
    <w:lvl w:ilvl="0">
      <w:lvlJc w:val="left"/>
      <w:lvlText w:val="(%1)"/>
      <w:numFmt w:val="lowerLetter"/>
      <w:start w:val="1"/>
    </w:lvl>
  </w:abstractNum>
  <w:abstractNum w:abstractNumId="199">
    <w:nsid w:val="24D48BDB"/>
    <w:multiLevelType w:val="hybridMultilevel"/>
    <w:lvl w:ilvl="0">
      <w:lvlJc w:val="left"/>
      <w:lvlText w:val="(%1)"/>
      <w:numFmt w:val="decimal"/>
      <w:start w:val="1"/>
    </w:lvl>
  </w:abstractNum>
  <w:abstractNum w:abstractNumId="200">
    <w:nsid w:val="542DA5B5"/>
    <w:multiLevelType w:val="hybridMultilevel"/>
    <w:lvl w:ilvl="0">
      <w:lvlJc w:val="left"/>
      <w:lvlText w:val="(%1)"/>
      <w:numFmt w:val="lowerLetter"/>
      <w:start w:val="1"/>
    </w:lvl>
  </w:abstractNum>
  <w:abstractNum w:abstractNumId="201">
    <w:nsid w:val="793753DE"/>
    <w:multiLevelType w:val="hybridMultilevel"/>
    <w:lvl w:ilvl="0">
      <w:lvlJc w:val="left"/>
      <w:lvlText w:val="(%1)"/>
      <w:numFmt w:val="lowerLetter"/>
      <w:start w:val="3"/>
    </w:lvl>
  </w:abstractNum>
  <w:abstractNum w:abstractNumId="202">
    <w:nsid w:val="1C67CB3D"/>
    <w:multiLevelType w:val="hybridMultilevel"/>
    <w:lvl w:ilvl="0">
      <w:lvlJc w:val="left"/>
      <w:lvlText w:val="(%1)"/>
      <w:numFmt w:val="lowerLetter"/>
      <w:start w:val="1"/>
    </w:lvl>
  </w:abstractNum>
  <w:abstractNum w:abstractNumId="203">
    <w:nsid w:val="40E29452"/>
    <w:multiLevelType w:val="hybridMultilevel"/>
    <w:lvl w:ilvl="0">
      <w:lvlJc w:val="left"/>
      <w:lvlText w:val="(%1)"/>
      <w:numFmt w:val="lowerLetter"/>
      <w:start w:val="2"/>
    </w:lvl>
  </w:abstractNum>
  <w:abstractNum w:abstractNumId="204">
    <w:nsid w:val="63A4AAB6"/>
    <w:multiLevelType w:val="hybridMultilevel"/>
    <w:lvl w:ilvl="0">
      <w:lvlJc w:val="left"/>
      <w:lvlText w:val="(%1)"/>
      <w:numFmt w:val="lowerLetter"/>
      <w:start w:val="1"/>
    </w:lvl>
  </w:abstractNum>
  <w:abstractNum w:abstractNumId="205">
    <w:nsid w:val="77DA4A57"/>
    <w:multiLevelType w:val="hybridMultilevel"/>
    <w:lvl w:ilvl="0">
      <w:lvlJc w:val="left"/>
      <w:lvlText w:val="(%1)"/>
      <w:numFmt w:val="lowerLetter"/>
      <w:start w:val="1"/>
    </w:lvl>
    <w:lvl w:ilvl="1">
      <w:lvlJc w:val="left"/>
      <w:lvlText w:val="(%2)"/>
      <w:numFmt w:val="lowerRoman"/>
      <w:start w:val="1"/>
    </w:lvl>
  </w:abstractNum>
  <w:abstractNum w:abstractNumId="206">
    <w:nsid w:val="1230F102"/>
    <w:multiLevelType w:val="hybridMultilevel"/>
    <w:lvl w:ilvl="0">
      <w:lvlJc w:val="left"/>
      <w:lvlText w:val="(%1)"/>
      <w:numFmt w:val="lowerLetter"/>
      <w:start w:val="1"/>
    </w:lvl>
  </w:abstractNum>
  <w:abstractNum w:abstractNumId="207">
    <w:nsid w:val="25B57ED4"/>
    <w:multiLevelType w:val="hybridMultilevel"/>
    <w:lvl w:ilvl="0">
      <w:lvlJc w:val="left"/>
      <w:lvlText w:val="(%1)"/>
      <w:numFmt w:val="lowerLetter"/>
      <w:start w:val="1"/>
    </w:lvl>
  </w:abstractNum>
  <w:abstractNum w:abstractNumId="208">
    <w:nsid w:val="47CF16C4"/>
    <w:multiLevelType w:val="hybridMultilevel"/>
    <w:lvl w:ilvl="0">
      <w:lvlJc w:val="left"/>
      <w:lvlText w:val="(%1)"/>
      <w:numFmt w:val="lowerLetter"/>
      <w:start w:val="3"/>
    </w:lvl>
  </w:abstractNum>
  <w:abstractNum w:abstractNumId="209">
    <w:nsid w:val="527FA04C"/>
    <w:multiLevelType w:val="hybridMultilevel"/>
    <w:lvl w:ilvl="0">
      <w:lvlJc w:val="left"/>
      <w:lvlText w:val="(%1)"/>
      <w:numFmt w:val="lowerLetter"/>
      <w:start w:val="1"/>
    </w:lvl>
  </w:abstractNum>
  <w:abstractNum w:abstractNumId="210">
    <w:nsid w:val="6FCC0624"/>
    <w:multiLevelType w:val="hybridMultilevel"/>
    <w:lvl w:ilvl="0">
      <w:lvlJc w:val="left"/>
      <w:lvlText w:val="%1"/>
      <w:numFmt w:val="lowerLetter"/>
      <w:start w:val="1"/>
    </w:lvl>
    <w:lvl w:ilvl="1">
      <w:lvlJc w:val="left"/>
      <w:lvlText w:val="(%2)"/>
      <w:numFmt w:val="lowerLetter"/>
      <w:start w:val="1"/>
    </w:lvl>
  </w:abstractNum>
  <w:abstractNum w:abstractNumId="211">
    <w:nsid w:val="1DCDF795"/>
    <w:multiLevelType w:val="hybridMultilevel"/>
    <w:lvl w:ilvl="0">
      <w:lvlJc w:val="left"/>
      <w:lvlText w:val="(%1)"/>
      <w:numFmt w:val="lowerLetter"/>
      <w:start w:val="1"/>
    </w:lvl>
    <w:lvl w:ilvl="1">
      <w:lvlJc w:val="left"/>
      <w:lvlText w:val="%2"/>
      <w:numFmt w:val="lowerLetter"/>
      <w:start w:val="1"/>
    </w:lvl>
  </w:abstractNum>
  <w:abstractNum w:abstractNumId="212">
    <w:nsid w:val="564580C8"/>
    <w:multiLevelType w:val="hybridMultilevel"/>
    <w:lvl w:ilvl="0">
      <w:lvlJc w:val="left"/>
      <w:lvlText w:val="(%1)"/>
      <w:numFmt w:val="lowerLetter"/>
      <w:start w:val="4"/>
    </w:lvl>
  </w:abstractNum>
  <w:abstractNum w:abstractNumId="213">
    <w:nsid w:val="508ED897"/>
    <w:multiLevelType w:val="hybridMultilevel"/>
    <w:lvl w:ilvl="0">
      <w:lvlJc w:val="left"/>
      <w:lvlText w:val="(%1)"/>
      <w:numFmt w:val="lowerLetter"/>
      <w:start w:val="1"/>
    </w:lvl>
  </w:abstractNum>
  <w:abstractNum w:abstractNumId="214">
    <w:nsid w:val="6A9126B5"/>
    <w:multiLevelType w:val="hybridMultilevel"/>
    <w:lvl w:ilvl="0">
      <w:lvlJc w:val="left"/>
      <w:lvlText w:val="%1"/>
      <w:numFmt w:val="lowerLetter"/>
      <w:start w:val="1"/>
    </w:lvl>
    <w:lvl w:ilvl="1">
      <w:lvlJc w:val="left"/>
      <w:lvlText w:val="(%2)"/>
      <w:numFmt w:val="lowerLetter"/>
      <w:start w:val="2"/>
    </w:lvl>
  </w:abstractNum>
  <w:abstractNum w:abstractNumId="215">
    <w:nsid w:val="68104812"/>
    <w:multiLevelType w:val="hybridMultilevel"/>
    <w:lvl w:ilvl="0">
      <w:lvlJc w:val="left"/>
      <w:lvlText w:val="(%1)"/>
      <w:numFmt w:val="lowerLetter"/>
      <w:start w:val="3"/>
    </w:lvl>
    <w:lvl w:ilvl="1">
      <w:lvlJc w:val="left"/>
      <w:lvlText w:val="(%2)"/>
      <w:numFmt w:val="lowerLetter"/>
      <w:start w:val="3"/>
    </w:lvl>
  </w:abstractNum>
  <w:abstractNum w:abstractNumId="216">
    <w:nsid w:val="62FB8680"/>
    <w:multiLevelType w:val="hybridMultilevel"/>
    <w:lvl w:ilvl="0">
      <w:lvlJc w:val="left"/>
      <w:lvlText w:val="(%1)"/>
      <w:numFmt w:val="lowerLetter"/>
      <w:start w:val="1"/>
    </w:lvl>
  </w:abstractNum>
  <w:abstractNum w:abstractNumId="217">
    <w:nsid w:val="3A45530"/>
    <w:multiLevelType w:val="hybridMultilevel"/>
    <w:lvl w:ilvl="0">
      <w:lvlJc w:val="left"/>
      <w:lvlText w:val="%1"/>
      <w:numFmt w:val="decimal"/>
      <w:start w:val="1"/>
    </w:lvl>
    <w:lvl w:ilvl="1">
      <w:lvlJc w:val="left"/>
      <w:lvlText w:val="(%2)"/>
      <w:numFmt w:val="lowerLetter"/>
      <w:start w:val="1"/>
    </w:lvl>
  </w:abstractNum>
  <w:abstractNum w:abstractNumId="218">
    <w:nsid w:val="4B9275D2"/>
    <w:multiLevelType w:val="hybridMultilevel"/>
    <w:lvl w:ilvl="0">
      <w:lvlJc w:val="left"/>
      <w:lvlText w:val="(%1)"/>
      <w:numFmt w:val="decimal"/>
      <w:start w:val="10"/>
    </w:lvl>
    <w:lvl w:ilvl="1">
      <w:lvlJc w:val="left"/>
      <w:lvlText w:val="(%2)"/>
      <w:numFmt w:val="lowerLetter"/>
      <w:start w:val="2"/>
    </w:lvl>
  </w:abstractNum>
  <w:abstractNum w:abstractNumId="219">
    <w:nsid w:val="4F0CEEDB"/>
    <w:multiLevelType w:val="hybridMultilevel"/>
    <w:lvl w:ilvl="0">
      <w:lvlJc w:val="left"/>
      <w:lvlText w:val="(%1)"/>
      <w:numFmt w:val="lowerLetter"/>
      <w:start w:val="3"/>
    </w:lvl>
  </w:abstractNum>
  <w:abstractNum w:abstractNumId="220">
    <w:nsid w:val="61C30361"/>
    <w:multiLevelType w:val="hybridMultilevel"/>
    <w:lvl w:ilvl="0">
      <w:lvlJc w:val="left"/>
      <w:lvlText w:val="(%1)"/>
      <w:numFmt w:val="lowerLetter"/>
      <w:start w:val="1"/>
    </w:lvl>
  </w:abstractNum>
  <w:abstractNum w:abstractNumId="221">
    <w:nsid w:val="632099E0"/>
    <w:multiLevelType w:val="hybridMultilevel"/>
    <w:lvl w:ilvl="0">
      <w:lvlJc w:val="left"/>
      <w:lvlText w:val="(%1)"/>
      <w:numFmt w:val="lowerLetter"/>
      <w:start w:val="2"/>
    </w:lvl>
  </w:abstractNum>
  <w:abstractNum w:abstractNumId="222">
    <w:nsid w:val="24639756"/>
    <w:multiLevelType w:val="hybridMultilevel"/>
    <w:lvl w:ilvl="0">
      <w:lvlJc w:val="left"/>
      <w:lvlText w:val="(%1)"/>
      <w:numFmt w:val="lowerLetter"/>
      <w:start w:val="4"/>
    </w:lvl>
  </w:abstractNum>
  <w:abstractNum w:abstractNumId="223">
    <w:nsid w:val="9D30DFD"/>
    <w:multiLevelType w:val="hybridMultilevel"/>
    <w:lvl w:ilvl="0">
      <w:lvlJc w:val="left"/>
      <w:lvlText w:val="(%1)"/>
      <w:numFmt w:val="lowerLetter"/>
      <w:start w:val="5"/>
    </w:lvl>
  </w:abstractNum>
  <w:abstractNum w:abstractNumId="224">
    <w:nsid w:val="70A42016"/>
    <w:multiLevelType w:val="hybridMultilevel"/>
    <w:lvl w:ilvl="0">
      <w:lvlJc w:val="left"/>
      <w:lvlText w:val="(%1)"/>
      <w:numFmt w:val="lowerLetter"/>
      <w:start w:val="10"/>
    </w:lvl>
    <w:lvl w:ilvl="1">
      <w:lvlJc w:val="left"/>
      <w:lvlText w:val="(%2)"/>
      <w:numFmt w:val="decimal"/>
      <w:start w:val="1"/>
    </w:lvl>
  </w:abstractNum>
  <w:abstractNum w:abstractNumId="225">
    <w:nsid w:val="161BC243"/>
    <w:multiLevelType w:val="hybridMultilevel"/>
    <w:lvl w:ilvl="0">
      <w:lvlJc w:val="left"/>
      <w:lvlText w:val="(%1)"/>
      <w:numFmt w:val="lowerLetter"/>
      <w:start w:val="1"/>
    </w:lvl>
  </w:abstractNum>
  <w:abstractNum w:abstractNumId="226">
    <w:nsid w:val="16E908C8"/>
    <w:multiLevelType w:val="hybridMultilevel"/>
    <w:lvl w:ilvl="0">
      <w:lvlJc w:val="left"/>
      <w:lvlText w:val="(%1)"/>
      <w:numFmt w:val="lowerLetter"/>
      <w:start w:val="1"/>
    </w:lvl>
  </w:abstractNum>
  <w:abstractNum w:abstractNumId="227">
    <w:nsid w:val="2E0D7671"/>
    <w:multiLevelType w:val="hybridMultilevel"/>
    <w:lvl w:ilvl="0">
      <w:lvlJc w:val="left"/>
      <w:lvlText w:val="(%1)"/>
      <w:numFmt w:val="lowerLetter"/>
      <w:start w:val="3"/>
    </w:lvl>
    <w:lvl w:ilvl="1">
      <w:lvlJc w:val="left"/>
      <w:lvlText w:val="(%2)"/>
      <w:numFmt w:val="decimal"/>
      <w:start w:val="1"/>
    </w:lvl>
  </w:abstractNum>
  <w:abstractNum w:abstractNumId="228">
    <w:nsid w:val="38B59EFF"/>
    <w:multiLevelType w:val="hybridMultilevel"/>
    <w:lvl w:ilvl="0">
      <w:lvlJc w:val="left"/>
      <w:lvlText w:val="(%1)"/>
      <w:numFmt w:val="decimal"/>
      <w:start w:val="6"/>
    </w:lvl>
  </w:abstractNum>
  <w:abstractNum w:abstractNumId="229">
    <w:nsid w:val="307995CA"/>
    <w:multiLevelType w:val="hybridMultilevel"/>
    <w:lvl w:ilvl="0">
      <w:lvlJc w:val="left"/>
      <w:lvlText w:val="(%1)"/>
      <w:numFmt w:val="lowerLetter"/>
      <w:start w:val="7"/>
    </w:lvl>
    <w:lvl w:ilvl="1">
      <w:lvlJc w:val="left"/>
      <w:lvlText w:val="(%2)"/>
      <w:numFmt w:val="decimal"/>
      <w:start w:val="1"/>
    </w:lvl>
  </w:abstractNum>
  <w:abstractNum w:abstractNumId="230">
    <w:nsid w:val="52E2024D"/>
    <w:multiLevelType w:val="hybridMultilevel"/>
    <w:lvl w:ilvl="0">
      <w:lvlJc w:val="left"/>
      <w:lvlText w:val="%1"/>
      <w:numFmt w:val="decimal"/>
      <w:start w:val="1"/>
    </w:lvl>
    <w:lvl w:ilvl="1">
      <w:lvlJc w:val="left"/>
      <w:lvlText w:val="(%2)"/>
      <w:numFmt w:val="lowerLetter"/>
      <w:start w:val="1"/>
    </w:lvl>
  </w:abstractNum>
  <w:abstractNum w:abstractNumId="231">
    <w:nsid w:val="CE344B5"/>
    <w:multiLevelType w:val="hybridMultilevel"/>
    <w:lvl w:ilvl="0">
      <w:lvlJc w:val="left"/>
      <w:lvlText w:val="(%1)"/>
      <w:numFmt w:val="decimal"/>
      <w:start w:val="15"/>
    </w:lvl>
    <w:lvl w:ilvl="1">
      <w:lvlJc w:val="left"/>
      <w:lvlText w:val="(%2)"/>
      <w:numFmt w:val="lowerLetter"/>
      <w:start w:val="2"/>
    </w:lvl>
  </w:abstractNum>
  <w:abstractNum w:abstractNumId="232">
    <w:nsid w:val="29B0E9A8"/>
    <w:multiLevelType w:val="hybridMultilevel"/>
    <w:lvl w:ilvl="0">
      <w:lvlJc w:val="left"/>
      <w:lvlText w:val="(%1)"/>
      <w:numFmt w:val="decimal"/>
      <w:start w:val="30"/>
    </w:lvl>
  </w:abstractNum>
  <w:abstractNum w:abstractNumId="233">
    <w:nsid w:val="6F49CD8A"/>
    <w:multiLevelType w:val="hybridMultilevel"/>
    <w:lvl w:ilvl="0">
      <w:lvlJc w:val="left"/>
      <w:lvlText w:val="(%1)"/>
      <w:numFmt w:val="lowerLetter"/>
      <w:start w:val="1"/>
    </w:lvl>
    <w:lvl w:ilvl="1">
      <w:lvlJc w:val="left"/>
      <w:lvlText w:val="(%2)"/>
      <w:numFmt w:val="lowerRoman"/>
      <w:start w:val="1"/>
    </w:lvl>
  </w:abstractNum>
  <w:abstractNum w:abstractNumId="234">
    <w:nsid w:val="4DC5D907"/>
    <w:multiLevelType w:val="hybridMultilevel"/>
    <w:lvl w:ilvl="0">
      <w:lvlJc w:val="left"/>
      <w:lvlText w:val="(%1)"/>
      <w:numFmt w:val="lowerRoman"/>
      <w:start w:val="4"/>
    </w:lvl>
  </w:abstractNum>
  <w:abstractNum w:abstractNumId="235">
    <w:nsid w:val="D55945E"/>
    <w:multiLevelType w:val="hybridMultilevel"/>
    <w:lvl w:ilvl="0">
      <w:lvlJc w:val="left"/>
      <w:lvlText w:val="(%1)"/>
      <w:numFmt w:val="lowerLetter"/>
      <w:start w:val="24"/>
    </w:lvl>
  </w:abstractNum>
  <w:abstractNum w:abstractNumId="236">
    <w:nsid w:val="672417E1"/>
    <w:multiLevelType w:val="hybridMultilevel"/>
    <w:lvl w:ilvl="0">
      <w:lvlJc w:val="left"/>
      <w:lvlText w:val="%1"/>
      <w:numFmt w:val="decimal"/>
      <w:start w:val="1"/>
    </w:lvl>
    <w:lvl w:ilvl="1">
      <w:lvlJc w:val="left"/>
      <w:lvlText w:val="(%2)"/>
      <w:numFmt w:val="lowerLetter"/>
      <w:start w:val="3"/>
    </w:lvl>
  </w:abstractNum>
  <w:abstractNum w:abstractNumId="237">
    <w:nsid w:val="5FF6CA09"/>
    <w:multiLevelType w:val="hybridMultilevel"/>
    <w:lvl w:ilvl="0">
      <w:lvlJc w:val="left"/>
      <w:lvlText w:val="(%1)"/>
      <w:numFmt w:val="decimal"/>
      <w:start w:val="30"/>
    </w:lvl>
    <w:lvl w:ilvl="1">
      <w:lvlJc w:val="left"/>
      <w:lvlText w:val="%2"/>
      <w:numFmt w:val="lowerLetter"/>
      <w:start w:val="1"/>
    </w:lvl>
  </w:abstractNum>
  <w:abstractNum w:abstractNumId="238">
    <w:nsid w:val="330B1333"/>
    <w:multiLevelType w:val="hybridMultilevel"/>
    <w:lvl w:ilvl="0">
      <w:lvlJc w:val="left"/>
      <w:lvlText w:val="(%1)"/>
      <w:numFmt w:val="lowerLetter"/>
      <w:start w:val="1"/>
    </w:lvl>
  </w:abstractNum>
  <w:abstractNum w:abstractNumId="239">
    <w:nsid w:val="2EF32EA6"/>
    <w:multiLevelType w:val="hybridMultilevel"/>
    <w:lvl w:ilvl="0">
      <w:lvlJc w:val="left"/>
      <w:lvlText w:val="(%1)"/>
      <w:numFmt w:val="lowerLetter"/>
      <w:start w:val="1"/>
    </w:lvl>
  </w:abstractNum>
  <w:abstractNum w:abstractNumId="240">
    <w:nsid w:val="32766A55"/>
    <w:multiLevelType w:val="hybridMultilevel"/>
    <w:lvl w:ilvl="0">
      <w:lvlJc w:val="left"/>
      <w:lvlText w:val="(%1)"/>
      <w:numFmt w:val="lowerLetter"/>
      <w:start w:val="5"/>
    </w:lvl>
  </w:abstractNum>
  <w:abstractNum w:abstractNumId="241">
    <w:nsid w:val="22D71957"/>
    <w:multiLevelType w:val="hybridMultilevel"/>
    <w:lvl w:ilvl="0">
      <w:lvlJc w:val="left"/>
      <w:lvlText w:val="(%1)"/>
      <w:numFmt w:val="lowerLetter"/>
      <w:start w:val="3"/>
    </w:lvl>
  </w:abstractNum>
  <w:abstractNum w:abstractNumId="242">
    <w:nsid w:val="4CC1263B"/>
    <w:multiLevelType w:val="hybridMultilevel"/>
    <w:lvl w:ilvl="0">
      <w:lvlJc w:val="left"/>
      <w:lvlText w:val="(%1)"/>
      <w:numFmt w:val="lowerLetter"/>
      <w:start w:val="1"/>
    </w:lvl>
  </w:abstractNum>
  <w:abstractNum w:abstractNumId="243">
    <w:nsid w:val="8BBEB1D"/>
    <w:multiLevelType w:val="hybridMultilevel"/>
    <w:lvl w:ilvl="0">
      <w:lvlJc w:val="left"/>
      <w:lvlText w:val="(%1)"/>
      <w:numFmt w:val="lowerLetter"/>
      <w:start w:val="9"/>
    </w:lvl>
  </w:abstractNum>
  <w:abstractNum w:abstractNumId="244">
    <w:nsid w:val="7365F1EE"/>
    <w:multiLevelType w:val="hybridMultilevel"/>
    <w:lvl w:ilvl="0">
      <w:lvlJc w:val="left"/>
      <w:lvlText w:val="(%1)"/>
      <w:numFmt w:val="lowerLetter"/>
      <w:start w:val="1"/>
    </w:lvl>
    <w:lvl w:ilvl="1">
      <w:lvlJc w:val="left"/>
      <w:lvlText w:val="(%2)"/>
      <w:numFmt w:val="lowerRoman"/>
      <w:start w:val="1"/>
    </w:lvl>
  </w:abstractNum>
  <w:abstractNum w:abstractNumId="245">
    <w:nsid w:val="37524CF0"/>
    <w:multiLevelType w:val="hybridMultilevel"/>
    <w:lvl w:ilvl="0">
      <w:lvlJc w:val="left"/>
      <w:lvlText w:val="(%1)"/>
      <w:numFmt w:val="lowerLetter"/>
      <w:start w:val="2"/>
    </w:lvl>
  </w:abstractNum>
  <w:abstractNum w:abstractNumId="246">
    <w:nsid w:val="70CC332F"/>
    <w:multiLevelType w:val="hybridMultilevel"/>
    <w:lvl w:ilvl="0">
      <w:lvlJc w:val="left"/>
      <w:lvlText w:val="(%1)"/>
      <w:numFmt w:val="lowerLetter"/>
      <w:start w:val="4"/>
    </w:lvl>
  </w:abstractNum>
  <w:abstractNum w:abstractNumId="247">
    <w:nsid w:val="5661786E"/>
    <w:multiLevelType w:val="hybridMultilevel"/>
    <w:lvl w:ilvl="0">
      <w:lvlJc w:val="left"/>
      <w:lvlText w:val="(%1)"/>
      <w:numFmt w:val="lowerLetter"/>
      <w:start w:val="5"/>
    </w:lvl>
  </w:abstractNum>
  <w:abstractNum w:abstractNumId="248">
    <w:nsid w:val="3AF6A220"/>
    <w:multiLevelType w:val="hybridMultilevel"/>
    <w:lvl w:ilvl="0">
      <w:lvlJc w:val="left"/>
      <w:lvlText w:val="(%1)"/>
      <w:numFmt w:val="lowerLetter"/>
      <w:start w:val="1"/>
    </w:lvl>
  </w:abstractNum>
  <w:abstractNum w:abstractNumId="249">
    <w:nsid w:val="3C5EA902"/>
    <w:multiLevelType w:val="hybridMultilevel"/>
    <w:lvl w:ilvl="0">
      <w:lvlJc w:val="left"/>
      <w:lvlText w:val="(%1)"/>
      <w:numFmt w:val="lowerLetter"/>
      <w:start w:val="3"/>
    </w:lvl>
    <w:lvl w:ilvl="1">
      <w:lvlJc w:val="left"/>
      <w:lvlText w:val="(%2)"/>
      <w:numFmt w:val="lowerRoman"/>
      <w:start w:val="1"/>
    </w:lvl>
  </w:abstractNum>
  <w:abstractNum w:abstractNumId="250">
    <w:nsid w:val="256E6749"/>
    <w:multiLevelType w:val="hybridMultilevel"/>
    <w:lvl w:ilvl="0">
      <w:lvlJc w:val="left"/>
      <w:lvlText w:val="(%1)"/>
      <w:numFmt w:val="lowerLetter"/>
      <w:start w:val="1"/>
    </w:lvl>
  </w:abstractNum>
  <w:abstractNum w:abstractNumId="251">
    <w:nsid w:val="1CB9A581"/>
    <w:multiLevelType w:val="hybridMultilevel"/>
    <w:lvl w:ilvl="0">
      <w:lvlJc w:val="left"/>
      <w:lvlText w:val="(%1)"/>
      <w:numFmt w:val="lowerLetter"/>
      <w:start w:val="1"/>
    </w:lvl>
    <w:lvl w:ilvl="1">
      <w:lvlJc w:val="left"/>
      <w:lvlText w:val="(%2)"/>
      <w:numFmt w:val="lowerRoman"/>
      <w:start w:val="1"/>
    </w:lvl>
  </w:abstractNum>
  <w:abstractNum w:abstractNumId="252">
    <w:nsid w:val="1F7F42E2"/>
    <w:multiLevelType w:val="hybridMultilevel"/>
    <w:lvl w:ilvl="0">
      <w:lvlJc w:val="left"/>
      <w:lvlText w:val="(%1)"/>
      <w:numFmt w:val="lowerLetter"/>
      <w:start w:val="1"/>
    </w:lvl>
  </w:abstractNum>
  <w:abstractNum w:abstractNumId="253">
    <w:nsid w:val="49D1FEA0"/>
    <w:multiLevelType w:val="hybridMultilevel"/>
    <w:lvl w:ilvl="0">
      <w:lvlJc w:val="left"/>
      <w:lvlText w:val="(%1)"/>
      <w:numFmt w:val="lowerLetter"/>
      <w:start w:val="2"/>
    </w:lvl>
  </w:abstractNum>
  <w:abstractNum w:abstractNumId="254">
    <w:nsid w:val="268CB37F"/>
    <w:multiLevelType w:val="hybridMultilevel"/>
    <w:lvl w:ilvl="0">
      <w:lvlJc w:val="left"/>
      <w:lvlText w:val="(%1)"/>
      <w:numFmt w:val="lowerLetter"/>
      <w:start w:val="1"/>
    </w:lvl>
  </w:abstractNum>
  <w:abstractNum w:abstractNumId="255">
    <w:nsid w:val="102362F8"/>
    <w:multiLevelType w:val="hybridMultilevel"/>
    <w:lvl w:ilvl="0">
      <w:lvlJc w:val="left"/>
      <w:lvlText w:val="(%1)"/>
      <w:numFmt w:val="lowerLetter"/>
      <w:start w:val="1"/>
    </w:lvl>
  </w:abstractNum>
  <w:abstractNum w:abstractNumId="256">
    <w:nsid w:val="5FEDC0E3"/>
    <w:multiLevelType w:val="hybridMultilevel"/>
    <w:lvl w:ilvl="0">
      <w:lvlJc w:val="left"/>
      <w:lvlText w:val="(%1)"/>
      <w:numFmt w:val="lowerLetter"/>
      <w:start w:val="2"/>
    </w:lvl>
  </w:abstractNum>
  <w:abstractNum w:abstractNumId="257">
    <w:nsid w:val="3D75BC47"/>
    <w:multiLevelType w:val="hybridMultilevel"/>
    <w:lvl w:ilvl="0">
      <w:lvlJc w:val="left"/>
      <w:lvlText w:val="(%1)"/>
      <w:numFmt w:val="lowerLetter"/>
      <w:start w:val="4"/>
    </w:lvl>
  </w:abstractNum>
  <w:abstractNum w:abstractNumId="258">
    <w:nsid w:val="3E30D969"/>
    <w:multiLevelType w:val="hybridMultilevel"/>
    <w:lvl w:ilvl="0">
      <w:lvlJc w:val="left"/>
      <w:lvlText w:val="(%1)"/>
      <w:numFmt w:val="lowerLetter"/>
      <w:start w:val="1"/>
    </w:lvl>
  </w:abstractNum>
  <w:abstractNum w:abstractNumId="259">
    <w:nsid w:val="18A35FE3"/>
    <w:multiLevelType w:val="hybridMultilevel"/>
    <w:lvl w:ilvl="0">
      <w:lvlJc w:val="left"/>
      <w:lvlText w:val="(%1)"/>
      <w:numFmt w:val="lowerLetter"/>
      <w:start w:val="2"/>
    </w:lvl>
  </w:abstractNum>
  <w:abstractNum w:abstractNumId="260">
    <w:nsid w:val="6DEF5211"/>
    <w:multiLevelType w:val="hybridMultilevel"/>
    <w:lvl w:ilvl="0">
      <w:lvlJc w:val="left"/>
      <w:lvlText w:val="(%1)"/>
      <w:numFmt w:val="lowerLetter"/>
      <w:start w:val="1"/>
    </w:lvl>
  </w:abstractNum>
  <w:abstractNum w:abstractNumId="261">
    <w:nsid w:val="1112DBB6"/>
    <w:multiLevelType w:val="hybridMultilevel"/>
    <w:lvl w:ilvl="0">
      <w:lvlJc w:val="left"/>
      <w:lvlText w:val="(%1)"/>
      <w:numFmt w:val="lowerLetter"/>
      <w:start w:val="4"/>
    </w:lvl>
  </w:abstractNum>
  <w:abstractNum w:abstractNumId="262">
    <w:nsid w:val="2586A498"/>
    <w:multiLevelType w:val="hybridMultilevel"/>
    <w:lvl w:ilvl="0">
      <w:lvlJc w:val="left"/>
      <w:lvlText w:val="(%1)"/>
      <w:numFmt w:val="lowerLetter"/>
      <w:start w:val="1"/>
    </w:lvl>
  </w:abstractNum>
  <w:abstractNum w:abstractNumId="263">
    <w:nsid w:val="17A03BB9"/>
    <w:multiLevelType w:val="hybridMultilevel"/>
    <w:lvl w:ilvl="0">
      <w:lvlJc w:val="left"/>
      <w:lvlText w:val="(%1)"/>
      <w:numFmt w:val="lowerLetter"/>
      <w:start w:val="1"/>
    </w:lvl>
  </w:abstractNum>
  <w:abstractNum w:abstractNumId="264">
    <w:nsid w:val="5CA941"/>
    <w:multiLevelType w:val="hybridMultilevel"/>
    <w:lvl w:ilvl="0">
      <w:lvlJc w:val="left"/>
      <w:lvlText w:val="%1"/>
      <w:numFmt w:val="lowerLetter"/>
      <w:start w:val="1"/>
    </w:lvl>
    <w:lvl w:ilvl="1">
      <w:lvlJc w:val="left"/>
      <w:lvlText w:val="(%2)"/>
      <w:numFmt w:val="lowerLetter"/>
      <w:start w:val="4"/>
    </w:lvl>
  </w:abstractNum>
  <w:abstractNum w:abstractNumId="265">
    <w:nsid w:val="734C7D9F"/>
    <w:multiLevelType w:val="hybridMultilevel"/>
    <w:lvl w:ilvl="0">
      <w:lvlJc w:val="left"/>
      <w:lvlText w:val="(%1)"/>
      <w:numFmt w:val="lowerLetter"/>
      <w:start w:val="9"/>
    </w:lvl>
    <w:lvl w:ilvl="1">
      <w:lvlJc w:val="left"/>
      <w:lvlText w:val="(%2)"/>
      <w:numFmt w:val="lowerLetter"/>
      <w:start w:val="10"/>
    </w:lvl>
  </w:abstractNum>
  <w:abstractNum w:abstractNumId="266">
    <w:nsid w:val="24F5D018"/>
    <w:multiLevelType w:val="hybridMultilevel"/>
    <w:lvl w:ilvl="0">
      <w:lvlJc w:val="left"/>
      <w:lvlText w:val="(%1)"/>
      <w:numFmt w:val="lowerLetter"/>
      <w:start w:val="7"/>
    </w:lvl>
  </w:abstractNum>
  <w:abstractNum w:abstractNumId="267">
    <w:nsid w:val="6780C122"/>
    <w:multiLevelType w:val="hybridMultilevel"/>
    <w:lvl w:ilvl="0">
      <w:lvlJc w:val="left"/>
      <w:lvlText w:val="%1"/>
      <w:numFmt w:val="lowerLetter"/>
      <w:start w:val="1"/>
    </w:lvl>
    <w:lvl w:ilvl="1">
      <w:lvlJc w:val="left"/>
      <w:lvlText w:val="(%2)"/>
      <w:numFmt w:val="lowerLetter"/>
      <w:start w:val="1"/>
    </w:lvl>
  </w:abstractNum>
  <w:abstractNum w:abstractNumId="268">
    <w:nsid w:val="534347A8"/>
    <w:multiLevelType w:val="hybridMultilevel"/>
    <w:lvl w:ilvl="0">
      <w:lvlJc w:val="left"/>
      <w:lvlText w:val="(%1)"/>
      <w:numFmt w:val="lowerLetter"/>
      <w:start w:val="9"/>
    </w:lvl>
    <w:lvl w:ilvl="1">
      <w:lvlJc w:val="left"/>
      <w:lvlText w:val="(%2)"/>
      <w:numFmt w:val="lowerLetter"/>
      <w:start w:val="4"/>
    </w:lvl>
  </w:abstractNum>
  <w:abstractNum w:abstractNumId="269">
    <w:nsid w:val="5800E34B"/>
    <w:multiLevelType w:val="hybridMultilevel"/>
    <w:lvl w:ilvl="0">
      <w:lvlJc w:val="left"/>
      <w:lvlText w:val="(%1)"/>
      <w:numFmt w:val="lowerRoman"/>
      <w:start w:val="2"/>
    </w:lvl>
  </w:abstractNum>
  <w:abstractNum w:abstractNumId="270">
    <w:nsid w:val="1673EFC8"/>
    <w:multiLevelType w:val="hybridMultilevel"/>
    <w:lvl w:ilvl="0">
      <w:lvlJc w:val="left"/>
      <w:lvlText w:val="%1."/>
      <w:numFmt w:val="decimal"/>
      <w:start w:val="1"/>
    </w:lvl>
    <w:lvl w:ilvl="1">
      <w:lvlJc w:val="left"/>
      <w:lvlText w:val="(%2)"/>
      <w:numFmt w:val="lowerLetter"/>
      <w:start w:val="1"/>
    </w:lvl>
  </w:abstractNum>
  <w:abstractNum w:abstractNumId="271">
    <w:nsid w:val="5B9B1FD"/>
    <w:multiLevelType w:val="hybridMultilevel"/>
    <w:lvl w:ilvl="0">
      <w:lvlJc w:val="left"/>
      <w:lvlText w:val="(%1)"/>
      <w:numFmt w:val="lowerLetter"/>
      <w:start w:val="2"/>
    </w:lvl>
  </w:abstractNum>
  <w:abstractNum w:abstractNumId="272">
    <w:nsid w:val="7AD7FCA2"/>
    <w:multiLevelType w:val="hybridMultilevel"/>
    <w:lvl w:ilvl="0">
      <w:lvlJc w:val="left"/>
      <w:lvlText w:val="%1"/>
      <w:numFmt w:val="decimal"/>
      <w:start w:val="1"/>
    </w:lvl>
    <w:lvl w:ilvl="1">
      <w:lvlJc w:val="left"/>
      <w:lvlText w:val="(%2)"/>
      <w:numFmt w:val="lowerLetter"/>
      <w:start w:val="7"/>
    </w:lvl>
  </w:abstractNum>
  <w:abstractNum w:abstractNumId="273">
    <w:nsid w:val="63351604"/>
    <w:multiLevelType w:val="hybridMultilevel"/>
    <w:lvl w:ilvl="0">
      <w:lvlJc w:val="left"/>
      <w:lvlText w:val="%1."/>
      <w:numFmt w:val="decimal"/>
      <w:start w:val="2"/>
    </w:lvl>
    <w:lvl w:ilvl="1">
      <w:lvlJc w:val="left"/>
      <w:lvlText w:val="(%2)"/>
      <w:numFmt w:val="lowerLetter"/>
      <w:start w:val="1"/>
    </w:lvl>
  </w:abstractNum>
  <w:abstractNum w:abstractNumId="274">
    <w:nsid w:val="E759D1A"/>
    <w:multiLevelType w:val="hybridMultilevel"/>
    <w:lvl w:ilvl="0">
      <w:lvlJc w:val="left"/>
      <w:lvlText w:val="(%1)"/>
      <w:numFmt w:val="lowerLetter"/>
      <w:start w:val="2"/>
    </w:lvl>
  </w:abstractNum>
  <w:abstractNum w:abstractNumId="275">
    <w:nsid w:val="6E3DEE90"/>
    <w:multiLevelType w:val="hybridMultilevel"/>
    <w:lvl w:ilvl="0">
      <w:lvlJc w:val="left"/>
      <w:lvlText w:val="%1."/>
      <w:numFmt w:val="decimal"/>
      <w:start w:val="4"/>
    </w:lvl>
  </w:abstractNum>
  <w:abstractNum w:abstractNumId="276">
    <w:nsid w:val="1A8762F4"/>
    <w:multiLevelType w:val="hybridMultilevel"/>
    <w:lvl w:ilvl="0">
      <w:lvlJc w:val="left"/>
      <w:lvlText w:val="%1"/>
      <w:numFmt w:val="lowerLetter"/>
      <w:start w:val="1"/>
    </w:lvl>
    <w:lvl w:ilvl="1">
      <w:lvlJc w:val="left"/>
      <w:lvlText w:val="(%2)"/>
      <w:numFmt w:val="lowerLetter"/>
      <w:start w:val="1"/>
    </w:lvl>
  </w:abstractNum>
  <w:abstractNum w:abstractNumId="277">
    <w:nsid w:val="7F41D049"/>
    <w:multiLevelType w:val="hybridMultilevel"/>
    <w:lvl w:ilvl="0">
      <w:lvlJc w:val="left"/>
      <w:lvlText w:val="(%1)"/>
      <w:numFmt w:val="lowerLetter"/>
      <w:start w:val="35"/>
    </w:lvl>
    <w:lvl w:ilvl="1">
      <w:lvlJc w:val="left"/>
      <w:lvlText w:val="(%2)"/>
      <w:numFmt w:val="lowerLetter"/>
      <w:start w:val="4"/>
    </w:lvl>
  </w:abstractNum>
  <w:abstractNum w:abstractNumId="278">
    <w:nsid w:val="449F66FE"/>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79">
    <w:nsid w:val="557E0515"/>
    <w:multiLevelType w:val="hybridMultilevel"/>
    <w:lvl w:ilvl="0">
      <w:lvlJc w:val="left"/>
      <w:lvlText w:val="(%1)"/>
      <w:numFmt w:val="lowerLetter"/>
      <w:start w:val="4"/>
    </w:lvl>
  </w:abstractNum>
  <w:abstractNum w:abstractNumId="280">
    <w:nsid w:val="3BA0794B"/>
    <w:multiLevelType w:val="hybridMultilevel"/>
    <w:lvl w:ilvl="0">
      <w:lvlJc w:val="left"/>
      <w:lvlText w:val="(%1)"/>
      <w:numFmt w:val="lowerLetter"/>
      <w:start w:val="5"/>
    </w:lvl>
  </w:abstractNum>
  <w:abstractNum w:abstractNumId="281">
    <w:nsid w:val="6A0DCE48"/>
    <w:multiLevelType w:val="hybridMultilevel"/>
    <w:lvl w:ilvl="0">
      <w:lvlJc w:val="left"/>
      <w:lvlText w:val="%1."/>
      <w:numFmt w:val="decimal"/>
      <w:start w:val="9"/>
    </w:lvl>
    <w:lvl w:ilvl="1">
      <w:lvlJc w:val="left"/>
      <w:lvlText w:val="(%2)"/>
      <w:numFmt w:val="lowerLetter"/>
      <w:start w:val="1"/>
    </w:lvl>
  </w:abstractNum>
  <w:abstractNum w:abstractNumId="282">
    <w:nsid w:val="7237AA96"/>
    <w:multiLevelType w:val="hybridMultilevel"/>
    <w:lvl w:ilvl="0">
      <w:lvlJc w:val="left"/>
      <w:lvlText w:val="%1"/>
      <w:numFmt w:val="lowerRoman"/>
      <w:start w:val="1"/>
    </w:lvl>
    <w:lvl w:ilvl="1">
      <w:lvlJc w:val="left"/>
      <w:lvlText w:val="%2."/>
      <w:numFmt w:val="decimal"/>
      <w:start w:val="10"/>
    </w:lvl>
  </w:abstractNum>
  <w:abstractNum w:abstractNumId="283">
    <w:nsid w:val="5B1FBC2D"/>
    <w:multiLevelType w:val="hybridMultilevel"/>
    <w:lvl w:ilvl="0">
      <w:lvlJc w:val="left"/>
      <w:lvlText w:val="(%1)"/>
      <w:numFmt w:val="lowerRoman"/>
      <w:start w:val="3"/>
    </w:lvl>
    <w:lvl w:ilvl="1">
      <w:lvlJc w:val="left"/>
      <w:lvlText w:val="%2"/>
      <w:numFmt w:val="decimal"/>
      <w:start w:val="1"/>
    </w:lvl>
  </w:abstractNum>
  <w:abstractNum w:abstractNumId="284">
    <w:nsid w:val="33DFCCE8"/>
    <w:multiLevelType w:val="hybridMultilevel"/>
    <w:lvl w:ilvl="0">
      <w:lvlJc w:val="left"/>
      <w:lvlText w:val="%1."/>
      <w:numFmt w:val="decimal"/>
      <w:start w:val="15"/>
    </w:lvl>
    <w:lvl w:ilvl="1">
      <w:lvlJc w:val="left"/>
      <w:lvlText w:val="(%2)"/>
      <w:numFmt w:val="lowerLetter"/>
      <w:start w:val="1"/>
    </w:lvl>
  </w:abstractNum>
  <w:abstractNum w:abstractNumId="285">
    <w:nsid w:val="18C45E15"/>
    <w:multiLevelType w:val="hybridMultilevel"/>
    <w:lvl w:ilvl="0">
      <w:lvlJc w:val="left"/>
      <w:lvlText w:val="%1."/>
      <w:numFmt w:val="decimal"/>
      <w:start w:val="18"/>
    </w:lvl>
  </w:abstractNum>
  <w:abstractNum w:abstractNumId="286">
    <w:nsid w:val="6B431F25"/>
    <w:multiLevelType w:val="hybridMultilevel"/>
    <w:lvl w:ilvl="0">
      <w:lvlJc w:val="left"/>
      <w:lvlText w:val="%1."/>
      <w:numFmt w:val="decimal"/>
      <w:start w:val="1"/>
    </w:lvl>
    <w:lvl w:ilvl="1">
      <w:lvlJc w:val="left"/>
      <w:lvlText w:val="(%2)"/>
      <w:numFmt w:val="lowerLetter"/>
      <w:start w:val="1"/>
    </w:lvl>
  </w:abstractNum>
  <w:abstractNum w:abstractNumId="287">
    <w:nsid w:val="13CD8DCB"/>
    <w:multiLevelType w:val="hybridMultilevel"/>
    <w:lvl w:ilvl="0">
      <w:lvlJc w:val="left"/>
      <w:lvlText w:val="(%1)"/>
      <w:numFmt w:val="lowerRoman"/>
      <w:start w:val="1"/>
    </w:lvl>
  </w:abstractNum>
  <w:abstractNum w:abstractNumId="288">
    <w:nsid w:val="563A1A5C"/>
    <w:multiLevelType w:val="hybridMultilevel"/>
    <w:lvl w:ilvl="0">
      <w:lvlJc w:val="left"/>
      <w:lvlText w:val="(%1)"/>
      <w:numFmt w:val="lowerLetter"/>
      <w:start w:val="5"/>
    </w:lvl>
    <w:lvl w:ilvl="1">
      <w:lvlJc w:val="left"/>
      <w:lvlText w:val="(%2)"/>
      <w:numFmt w:val="lowerRoman"/>
      <w:start w:val="1"/>
    </w:lvl>
  </w:abstractNum>
  <w:abstractNum w:abstractNumId="289">
    <w:nsid w:val="2973F8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0">
    <w:nsid w:val="2C70EDA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291">
    <w:nsid w:val="44296C6D"/>
    <w:multiLevelType w:val="hybridMultilevel"/>
    <w:lvl w:ilvl="0">
      <w:lvlJc w:val="left"/>
      <w:lvlText w:val="(%1)"/>
      <w:numFmt w:val="decimal"/>
      <w:start w:val="12"/>
    </w:lvl>
    <w:lvl w:ilvl="1">
      <w:lvlJc w:val="left"/>
      <w:lvlText w:val="(%2)"/>
      <w:numFmt w:val="lowerLetter"/>
      <w:start w:val="14"/>
    </w:lvl>
    <w:lvl w:ilvl="2">
      <w:lvlJc w:val="left"/>
      <w:lvlText w:val="%3"/>
      <w:numFmt w:val="lowerRoman"/>
      <w:start w:val="1"/>
    </w:lvl>
  </w:abstractNum>
  <w:abstractNum w:abstractNumId="292">
    <w:nsid w:val="3A86D445"/>
    <w:multiLevelType w:val="hybridMultilevel"/>
    <w:lvl w:ilvl="0">
      <w:lvlJc w:val="left"/>
      <w:lvlText w:val="(%1)"/>
      <w:numFmt w:val="lowerLetter"/>
      <w:start w:val="19"/>
    </w:lvl>
  </w:abstractNum>
  <w:abstractNum w:abstractNumId="293">
    <w:nsid w:val="51F79246"/>
    <w:multiLevelType w:val="hybridMultilevel"/>
    <w:lvl w:ilvl="0">
      <w:lvlJc w:val="left"/>
      <w:lvlText w:val="(%1)"/>
      <w:numFmt w:val="lowerLetter"/>
      <w:start w:val="27"/>
    </w:lvl>
  </w:abstractNum>
  <w:abstractNum w:abstractNumId="294">
    <w:nsid w:val="5BC9A827"/>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295">
    <w:nsid w:val="3AE37D8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6">
    <w:nsid w:val="45440F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7">
    <w:nsid w:val="BF783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8">
    <w:nsid w:val="22643EA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9">
    <w:nsid w:val="1887578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0">
    <w:nsid w:val="58C05B8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1">
    <w:nsid w:val="38D82E71"/>
    <w:multiLevelType w:val="hybridMultilevel"/>
    <w:lvl w:ilvl="0">
      <w:lvlJc w:val="left"/>
      <w:lvlText w:val="%1"/>
      <w:numFmt w:val="decimal"/>
      <w:start w:val="1"/>
    </w:lvl>
    <w:lvl w:ilvl="1">
      <w:lvlJc w:val="left"/>
      <w:lvlText w:val="(%2)"/>
      <w:numFmt w:val="lowerLetter"/>
      <w:start w:val="3"/>
    </w:lvl>
  </w:abstractNum>
  <w:abstractNum w:abstractNumId="302">
    <w:nsid w:val="1E41098A"/>
    <w:multiLevelType w:val="hybridMultilevel"/>
    <w:lvl w:ilvl="0">
      <w:lvlJc w:val="left"/>
      <w:lvlText w:val="%1."/>
      <w:numFmt w:val="decimal"/>
      <w:start w:val="6"/>
    </w:lvl>
    <w:lvl w:ilvl="1">
      <w:lvlJc w:val="left"/>
      <w:lvlText w:val="%2"/>
      <w:numFmt w:val="lowerLetter"/>
      <w:start w:val="1"/>
    </w:lvl>
  </w:abstractNum>
  <w:abstractNum w:abstractNumId="303">
    <w:nsid w:val="5398582C"/>
    <w:multiLevelType w:val="hybridMultilevel"/>
    <w:lvl w:ilvl="0">
      <w:lvlJc w:val="left"/>
      <w:lvlText w:val="%1"/>
      <w:numFmt w:val="decimal"/>
      <w:start w:val="1"/>
    </w:lvl>
    <w:lvl w:ilvl="1">
      <w:lvlJc w:val="left"/>
      <w:lvlText w:val="(%2)"/>
      <w:numFmt w:val="lowerLetter"/>
      <w:start w:val="1"/>
    </w:lvl>
  </w:abstractNum>
  <w:abstractNum w:abstractNumId="304">
    <w:nsid w:val="1C0D4475"/>
    <w:multiLevelType w:val="hybridMultilevel"/>
    <w:lvl w:ilvl="0">
      <w:lvlJc w:val="left"/>
      <w:lvlText w:val="(%1)"/>
      <w:numFmt w:val="decimal"/>
      <w:start w:val="10"/>
    </w:lvl>
    <w:lvl w:ilvl="1">
      <w:lvlJc w:val="left"/>
      <w:lvlText w:val="(%2)"/>
      <w:numFmt w:val="lowerLetter"/>
      <w:start w:val="2"/>
    </w:lvl>
  </w:abstractNum>
  <w:abstractNum w:abstractNumId="305">
    <w:nsid w:val="2CB6A6A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06">
    <w:nsid w:val="41D646BC"/>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07">
    <w:nsid w:val="3694A76A"/>
    <w:multiLevelType w:val="hybridMultilevel"/>
    <w:lvl w:ilvl="0">
      <w:lvlJc w:val="left"/>
      <w:lvlText w:val="(%1)"/>
      <w:numFmt w:val="lowerRoman"/>
      <w:start w:val="3"/>
    </w:lvl>
    <w:lvl w:ilvl="1">
      <w:lvlJc w:val="left"/>
      <w:lvlText w:val="(%2)"/>
      <w:numFmt w:val="lowerLetter"/>
      <w:start w:val="4"/>
    </w:lvl>
    <w:lvl w:ilvl="2">
      <w:lvlJc w:val="left"/>
      <w:lvlText w:val="(%3)"/>
      <w:numFmt w:val="lowerRoman"/>
      <w:start w:val="5"/>
    </w:lvl>
  </w:abstractNum>
  <w:abstractNum w:abstractNumId="308">
    <w:nsid w:val="2BF876E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09">
    <w:nsid w:val="675ADBA"/>
    <w:multiLevelType w:val="hybridMultilevel"/>
    <w:lvl w:ilvl="0">
      <w:lvlJc w:val="left"/>
      <w:lvlText w:val="%1"/>
      <w:numFmt w:val="lowerLetter"/>
      <w:start w:val="1"/>
    </w:lvl>
    <w:lvl w:ilvl="1">
      <w:lvlJc w:val="left"/>
      <w:lvlText w:val="(%2)"/>
      <w:numFmt w:val="lowerRoman"/>
      <w:start w:val="2"/>
    </w:lvl>
  </w:abstractNum>
  <w:abstractNum w:abstractNumId="310">
    <w:nsid w:val="C12AC7F"/>
    <w:multiLevelType w:val="hybridMultilevel"/>
    <w:lvl w:ilvl="0">
      <w:lvlJc w:val="left"/>
      <w:lvlText w:val="(%1)"/>
      <w:numFmt w:val="lowerLetter"/>
      <w:start w:val="6"/>
    </w:lvl>
    <w:lvl w:ilvl="1">
      <w:lvlJc w:val="left"/>
      <w:lvlText w:val="%2"/>
      <w:numFmt w:val="lowerRoman"/>
      <w:start w:val="1"/>
    </w:lvl>
  </w:abstractNum>
  <w:abstractNum w:abstractNumId="311">
    <w:nsid w:val="6798F039"/>
    <w:multiLevelType w:val="hybridMultilevel"/>
    <w:lvl w:ilvl="0">
      <w:lvlJc w:val="left"/>
      <w:lvlText w:val="%1"/>
      <w:numFmt w:val="lowerLetter"/>
      <w:start w:val="1"/>
    </w:lvl>
    <w:lvl w:ilvl="1">
      <w:lvlJc w:val="left"/>
      <w:lvlText w:val="(%2)"/>
      <w:numFmt w:val="lowerRoman"/>
      <w:start w:val="1"/>
    </w:lvl>
  </w:abstractNum>
  <w:abstractNum w:abstractNumId="312">
    <w:nsid w:val="70837C02"/>
    <w:multiLevelType w:val="hybridMultilevel"/>
    <w:lvl w:ilvl="0">
      <w:lvlJc w:val="left"/>
      <w:lvlText w:val="(%1)"/>
      <w:numFmt w:val="lowerLetter"/>
      <w:start w:val="8"/>
    </w:lvl>
    <w:lvl w:ilvl="1">
      <w:lvlJc w:val="left"/>
      <w:lvlText w:val="%2"/>
      <w:numFmt w:val="lowerRoman"/>
      <w:start w:val="1"/>
    </w:lvl>
  </w:abstractNum>
  <w:abstractNum w:abstractNumId="313">
    <w:nsid w:val="7E4A5715"/>
    <w:multiLevelType w:val="hybridMultilevel"/>
    <w:lvl w:ilvl="0">
      <w:lvlJc w:val="left"/>
      <w:lvlText w:val="%1"/>
      <w:numFmt w:val="lowerLetter"/>
      <w:start w:val="1"/>
    </w:lvl>
    <w:lvl w:ilvl="1">
      <w:lvlJc w:val="left"/>
      <w:lvlText w:val="(%2)"/>
      <w:numFmt w:val="lowerLetter"/>
      <w:start w:val="9"/>
    </w:lvl>
  </w:abstractNum>
  <w:abstractNum w:abstractNumId="314">
    <w:nsid w:val="42B8AC67"/>
    <w:multiLevelType w:val="hybridMultilevel"/>
    <w:lvl w:ilvl="0">
      <w:lvlJc w:val="left"/>
      <w:lvlText w:val="(%1)"/>
      <w:numFmt w:val="lowerLetter"/>
      <w:start w:val="9"/>
    </w:lvl>
    <w:lvl w:ilvl="1">
      <w:lvlJc w:val="left"/>
      <w:lvlText w:val="(%2)"/>
      <w:numFmt w:val="lowerLetter"/>
      <w:start w:val="10"/>
    </w:lvl>
  </w:abstractNum>
  <w:abstractNum w:abstractNumId="315">
    <w:nsid w:val="246348EA"/>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316">
    <w:nsid w:val="170EB52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17">
    <w:nsid w:val="2DFBCB8C"/>
    <w:multiLevelType w:val="hybridMultilevel"/>
    <w:lvl w:ilvl="0">
      <w:lvlJc w:val="left"/>
      <w:lvlText w:val="%1"/>
      <w:numFmt w:val="lowerLetter"/>
      <w:start w:val="1"/>
    </w:lvl>
    <w:lvl w:ilvl="1">
      <w:lvlJc w:val="left"/>
      <w:lvlText w:val="(%2)"/>
      <w:numFmt w:val="lowerRoman"/>
      <w:start w:val="2"/>
    </w:lvl>
  </w:abstractNum>
  <w:abstractNum w:abstractNumId="318">
    <w:nsid w:val="3830D6B6"/>
    <w:multiLevelType w:val="hybridMultilevel"/>
    <w:lvl w:ilvl="0">
      <w:lvlJc w:val="left"/>
      <w:lvlText w:val="(%1)"/>
      <w:numFmt w:val="lowerLetter"/>
      <w:start w:val="2"/>
    </w:lvl>
    <w:lvl w:ilvl="1">
      <w:lvlJc w:val="left"/>
      <w:lvlText w:val="(%2)"/>
      <w:numFmt w:val="lowerRoman"/>
      <w:start w:val="1"/>
    </w:lvl>
  </w:abstractNum>
  <w:abstractNum w:abstractNumId="319">
    <w:nsid w:val="6D48CF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20">
    <w:nsid w:val="576FC41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1">
    <w:nsid w:val="64A1C464"/>
    <w:multiLevelType w:val="hybridMultilevel"/>
    <w:lvl w:ilvl="0">
      <w:lvlJc w:val="left"/>
      <w:lvlText w:val="%1"/>
      <w:numFmt w:val="decimal"/>
      <w:start w:val="1"/>
    </w:lvl>
    <w:lvl w:ilvl="1">
      <w:lvlJc w:val="left"/>
      <w:lvlText w:val="(%2)"/>
      <w:numFmt w:val="lowerLetter"/>
      <w:start w:val="2"/>
    </w:lvl>
  </w:abstractNum>
  <w:abstractNum w:abstractNumId="322">
    <w:nsid w:val="31723BF5"/>
    <w:multiLevelType w:val="hybridMultilevel"/>
    <w:lvl w:ilvl="0">
      <w:lvlJc w:val="left"/>
      <w:lvlText w:val="%1."/>
      <w:numFmt w:val="decimal"/>
      <w:start w:val="9"/>
    </w:lvl>
    <w:lvl w:ilvl="1">
      <w:lvlJc w:val="left"/>
      <w:lvlText w:val="(%2)"/>
      <w:numFmt w:val="lowerLetter"/>
      <w:start w:val="1"/>
    </w:lvl>
  </w:abstractNum>
  <w:abstractNum w:abstractNumId="323">
    <w:nsid w:val="11F69861"/>
    <w:multiLevelType w:val="hybridMultilevel"/>
    <w:lvl w:ilvl="0">
      <w:lvlJc w:val="left"/>
      <w:lvlText w:val="%1"/>
      <w:numFmt w:val="lowerLetter"/>
      <w:start w:val="1"/>
    </w:lvl>
    <w:lvl w:ilvl="1">
      <w:lvlJc w:val="left"/>
      <w:lvlText w:val="(%2)"/>
      <w:numFmt w:val="lowerLetter"/>
      <w:start w:val="6"/>
    </w:lvl>
  </w:abstractNum>
  <w:abstractNum w:abstractNumId="324">
    <w:nsid w:val="369956AB"/>
    <w:multiLevelType w:val="hybridMultilevel"/>
    <w:lvl w:ilvl="0">
      <w:lvlJc w:val="left"/>
      <w:lvlText w:val="(%1)"/>
      <w:numFmt w:val="lowerLetter"/>
      <w:start w:val="9"/>
    </w:lvl>
    <w:lvl w:ilvl="1">
      <w:lvlJc w:val="left"/>
      <w:lvlText w:val="(%2)"/>
      <w:numFmt w:val="lowerLetter"/>
      <w:start w:val="7"/>
    </w:lvl>
  </w:abstractNum>
  <w:abstractNum w:abstractNumId="325">
    <w:nsid w:val="D3BE41C"/>
    <w:multiLevelType w:val="hybridMultilevel"/>
    <w:lvl w:ilvl="0">
      <w:lvlJc w:val="left"/>
      <w:lvlText w:val="(%1)"/>
      <w:numFmt w:val="lowerLetter"/>
      <w:start w:val="35"/>
    </w:lvl>
    <w:lvl w:ilvl="1">
      <w:lvlJc w:val="left"/>
      <w:lvlText w:val="(%2)"/>
      <w:numFmt w:val="lowerLetter"/>
      <w:start w:val="8"/>
    </w:lvl>
  </w:abstractNum>
  <w:abstractNum w:abstractNumId="326">
    <w:nsid w:val="4CDA15E7"/>
    <w:multiLevelType w:val="hybridMultilevel"/>
    <w:lvl w:ilvl="0">
      <w:lvlJc w:val="left"/>
      <w:lvlText w:val="%1"/>
      <w:numFmt w:val="decimal"/>
      <w:start w:val="1"/>
    </w:lvl>
    <w:lvl w:ilvl="1">
      <w:lvlJc w:val="left"/>
      <w:lvlText w:val="(%2)"/>
      <w:numFmt w:val="lowerRoman"/>
      <w:start w:val="1"/>
    </w:lvl>
  </w:abstractNum>
  <w:abstractNum w:abstractNumId="327">
    <w:nsid w:val="7BDD6690"/>
    <w:multiLevelType w:val="hybridMultilevel"/>
    <w:lvl w:ilvl="0">
      <w:lvlJc w:val="left"/>
      <w:lvlText w:val="(%1)"/>
      <w:numFmt w:val="decimal"/>
      <w:start w:val="90"/>
    </w:lvl>
    <w:lvl w:ilvl="1">
      <w:lvlJc w:val="left"/>
      <w:lvlText w:val="(%2)"/>
      <w:numFmt w:val="lowerRoman"/>
      <w:start w:val="2"/>
    </w:lvl>
  </w:abstractNum>
  <w:abstractNum w:abstractNumId="328">
    <w:nsid w:val="DFB5C5B"/>
    <w:multiLevelType w:val="hybridMultilevel"/>
    <w:lvl w:ilvl="0">
      <w:lvlJc w:val="left"/>
      <w:lvlText w:val="(%1)"/>
      <w:numFmt w:val="decimal"/>
      <w:start w:val="90"/>
    </w:lvl>
    <w:lvl w:ilvl="1">
      <w:lvlJc w:val="left"/>
      <w:lvlText w:val="%2"/>
      <w:numFmt w:val="lowerRoman"/>
      <w:start w:val="1"/>
    </w:lvl>
  </w:abstractNum>
  <w:abstractNum w:abstractNumId="329">
    <w:nsid w:val="6F3E549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330">
    <w:nsid w:val="1464BE1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31">
    <w:nsid w:val="66BBB7E5"/>
    <w:multiLevelType w:val="hybridMultilevel"/>
    <w:lvl w:ilvl="0">
      <w:lvlJc w:val="left"/>
      <w:lvlText w:val="(%1)"/>
      <w:numFmt w:val="lowerLetter"/>
      <w:start w:val="2"/>
    </w:lvl>
    <w:lvl w:ilvl="1">
      <w:lvlJc w:val="left"/>
      <w:lvlText w:val="(%2)"/>
      <w:numFmt w:val="lowerRoman"/>
      <w:start w:val="1"/>
    </w:lvl>
  </w:abstractNum>
  <w:abstractNum w:abstractNumId="332">
    <w:nsid w:val="2816830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33">
    <w:nsid w:val="32A5C7A8"/>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334">
    <w:nsid w:val="3A541011"/>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35">
    <w:nsid w:val="4423C777"/>
    <w:multiLevelType w:val="hybridMultilevel"/>
    <w:lvl w:ilvl="0">
      <w:lvlJc w:val="left"/>
      <w:lvlText w:val="%1."/>
      <w:numFmt w:val="decimal"/>
      <w:start w:val="11"/>
    </w:lvl>
    <w:lvl w:ilvl="1">
      <w:lvlJc w:val="left"/>
      <w:lvlText w:val="(%2)"/>
      <w:numFmt w:val="lowerLetter"/>
      <w:start w:val="1"/>
    </w:lvl>
  </w:abstractNum>
  <w:abstractNum w:abstractNumId="336">
    <w:nsid w:val="5F5C6E4D"/>
    <w:multiLevelType w:val="hybridMultilevel"/>
    <w:lvl w:ilvl="0">
      <w:lvlJc w:val="left"/>
      <w:lvlText w:val="%1"/>
      <w:numFmt w:val="decimal"/>
      <w:start w:val="1"/>
    </w:lvl>
    <w:lvl w:ilvl="1">
      <w:lvlJc w:val="left"/>
      <w:lvlText w:val="(%2)"/>
      <w:numFmt w:val="lowerLetter"/>
      <w:start w:val="4"/>
    </w:lvl>
  </w:abstractNum>
  <w:abstractNum w:abstractNumId="337">
    <w:nsid w:val="7C2A56CD"/>
    <w:multiLevelType w:val="hybridMultilevel"/>
    <w:lvl w:ilvl="0">
      <w:lvlJc w:val="left"/>
      <w:lvlText w:val="%1."/>
      <w:numFmt w:val="decimal"/>
      <w:start w:val="12"/>
    </w:lvl>
    <w:lvl w:ilvl="1">
      <w:lvlJc w:val="left"/>
      <w:lvlText w:val="(%2)"/>
      <w:numFmt w:val="lowerLetter"/>
      <w:start w:val="1"/>
    </w:lvl>
  </w:abstractNum>
  <w:abstractNum w:abstractNumId="338">
    <w:nsid w:val="7AB86EE1"/>
    <w:multiLevelType w:val="hybridMultilevel"/>
    <w:lvl w:ilvl="0">
      <w:lvlJc w:val="left"/>
      <w:lvlText w:val="%1."/>
      <w:numFmt w:val="decimal"/>
      <w:start w:val="14"/>
    </w:lvl>
  </w:abstractNum>
  <w:abstractNum w:abstractNumId="339">
    <w:nsid w:val="B54E5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40">
    <w:nsid w:val="2A00487"/>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abstractNum>
  <w:abstractNum w:abstractNumId="341">
    <w:nsid w:val="6CB1B60"/>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42">
    <w:nsid w:val="72EDD57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43">
    <w:nsid w:val="7323808A"/>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344">
    <w:nsid w:val="5157276"/>
    <w:multiLevelType w:val="hybridMultilevel"/>
    <w:lvl w:ilvl="0">
      <w:lvlJc w:val="left"/>
      <w:lvlText w:val="%1."/>
      <w:numFmt w:val="decimal"/>
      <w:start w:val="8"/>
    </w:lvl>
    <w:lvl w:ilvl="1">
      <w:lvlJc w:val="left"/>
      <w:lvlText w:val="(%2)"/>
      <w:numFmt w:val="lowerLetter"/>
      <w:start w:val="1"/>
    </w:lvl>
  </w:abstractNum>
  <w:abstractNum w:abstractNumId="345">
    <w:nsid w:val="35A681DB"/>
    <w:multiLevelType w:val="hybridMultilevel"/>
    <w:lvl w:ilvl="0">
      <w:lvlJc w:val="left"/>
      <w:lvlText w:val="%1."/>
      <w:numFmt w:val="decimal"/>
      <w:start w:val="9"/>
    </w:lvl>
    <w:lvl w:ilvl="1">
      <w:lvlJc w:val="left"/>
      <w:lvlText w:val="(%2)"/>
      <w:numFmt w:val="lowerLetter"/>
      <w:start w:val="1"/>
    </w:lvl>
  </w:abstractNum>
  <w:abstractNum w:abstractNumId="346">
    <w:nsid w:val="1786C9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47">
    <w:nsid w:val="1C2427A1"/>
    <w:multiLevelType w:val="hybridMultilevel"/>
    <w:lvl w:ilvl="0">
      <w:lvlJc w:val="left"/>
      <w:lvlText w:val="(%1)"/>
      <w:numFmt w:val="decimal"/>
      <w:start w:val="15"/>
    </w:lvl>
    <w:lvl w:ilvl="1">
      <w:lvlJc w:val="left"/>
      <w:lvlText w:val="%2."/>
      <w:numFmt w:val="decimal"/>
      <w:start w:val="9"/>
    </w:lvl>
    <w:lvl w:ilvl="2">
      <w:lvlJc w:val="left"/>
      <w:lvlText w:val="(%3)"/>
      <w:numFmt w:val="lowerLetter"/>
      <w:start w:val="4"/>
    </w:lvl>
  </w:abstractNum>
  <w:abstractNum w:abstractNumId="348">
    <w:nsid w:val="63A24D6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49">
    <w:nsid w:val="4FB7A02A"/>
    <w:multiLevelType w:val="hybridMultilevel"/>
    <w:lvl w:ilvl="0">
      <w:lvlJc w:val="left"/>
      <w:lvlText w:val="%1"/>
      <w:numFmt w:val="lowerLetter"/>
      <w:start w:val="1"/>
    </w:lvl>
    <w:lvl w:ilvl="1">
      <w:lvlJc w:val="left"/>
      <w:lvlText w:val="(%2)"/>
      <w:numFmt w:val="lowerLetter"/>
      <w:start w:val="3"/>
    </w:lvl>
  </w:abstractNum>
  <w:abstractNum w:abstractNumId="350">
    <w:nsid w:val="96CF728"/>
    <w:multiLevelType w:val="hybridMultilevel"/>
    <w:lvl w:ilvl="0">
      <w:lvlJc w:val="left"/>
      <w:lvlText w:val="(%1)"/>
      <w:numFmt w:val="lowerLetter"/>
      <w:start w:val="9"/>
    </w:lvl>
    <w:lvl w:ilvl="1">
      <w:lvlJc w:val="left"/>
      <w:lvlText w:val="%2"/>
      <w:numFmt w:val="lowerLetter"/>
      <w:start w:val="1"/>
    </w:lvl>
  </w:abstractNum>
  <w:abstractNum w:abstractNumId="351">
    <w:nsid w:val="3B121183"/>
    <w:multiLevelType w:val="hybridMultilevel"/>
    <w:lvl w:ilvl="0">
      <w:lvlJc w:val="left"/>
      <w:lvlText w:val="%1."/>
      <w:numFmt w:val="decimal"/>
      <w:start w:val="12"/>
    </w:lvl>
    <w:lvl w:ilvl="1">
      <w:lvlJc w:val="left"/>
      <w:lvlText w:val="(%2)"/>
      <w:numFmt w:val="lowerLetter"/>
      <w:start w:val="1"/>
    </w:lvl>
  </w:abstractNum>
  <w:abstractNum w:abstractNumId="352">
    <w:nsid w:val="3459648F"/>
    <w:multiLevelType w:val="hybridMultilevel"/>
    <w:lvl w:ilvl="0">
      <w:lvlJc w:val="left"/>
      <w:lvlText w:val="%1"/>
      <w:numFmt w:val="decimal"/>
      <w:start w:val="1"/>
    </w:lvl>
    <w:lvl w:ilvl="1">
      <w:lvlJc w:val="left"/>
      <w:lvlText w:val="(%2)"/>
      <w:numFmt w:val="lowerLetter"/>
      <w:start w:val="2"/>
    </w:lvl>
  </w:abstractNum>
  <w:abstractNum w:abstractNumId="353">
    <w:nsid w:val="3ADF331D"/>
    <w:multiLevelType w:val="hybridMultilevel"/>
    <w:lvl w:ilvl="0">
      <w:lvlJc w:val="left"/>
      <w:lvlText w:val="%1."/>
      <w:numFmt w:val="decimal"/>
      <w:start w:val="16"/>
    </w:lvl>
    <w:lvl w:ilvl="1">
      <w:lvlJc w:val="left"/>
      <w:lvlText w:val="%2"/>
      <w:numFmt w:val="lowerLetter"/>
      <w:start w:val="1"/>
    </w:lvl>
  </w:abstractNum>
  <w:abstractNum w:abstractNumId="354">
    <w:nsid w:val="4D08A9E4"/>
    <w:multiLevelType w:val="hybridMultilevel"/>
    <w:lvl w:ilvl="0">
      <w:lvlJc w:val="left"/>
      <w:lvlText w:val="1"/>
      <w:numFmt w:val="bullet"/>
      <w:start w:val="1"/>
    </w:lvl>
  </w:abstractNum>
  <w:abstractNum w:abstractNumId="355">
    <w:nsid w:val="6AF2BB3A"/>
    <w:multiLevelType w:val="hybridMultilevel"/>
    <w:lvl w:ilvl="0">
      <w:lvlJc w:val="left"/>
      <w:lvlText w:val="2"/>
      <w:numFmt w:val="bullet"/>
      <w:start w:val="1"/>
    </w:lvl>
  </w:abstractNum>
  <w:abstractNum w:abstractNumId="356">
    <w:nsid w:val="481B1739"/>
    <w:multiLevelType w:val="hybridMultilevel"/>
    <w:lvl w:ilvl="0">
      <w:lvlJc w:val="left"/>
      <w:lvlText w:val="3"/>
      <w:numFmt w:val="bullet"/>
      <w:start w:val="1"/>
    </w:lvl>
  </w:abstractNum>
  <w:abstractNum w:abstractNumId="357">
    <w:nsid w:val="19E2BFCC"/>
    <w:multiLevelType w:val="hybridMultilevel"/>
    <w:lvl w:ilvl="0">
      <w:lvlJc w:val="left"/>
      <w:lvlText w:val="%1."/>
      <w:numFmt w:val="decimal"/>
      <w:start w:val="1"/>
    </w:lvl>
  </w:abstractNum>
  <w:abstractNum w:abstractNumId="358">
    <w:nsid w:val="66D021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9">
    <w:nsid w:val="56167394"/>
    <w:multiLevelType w:val="hybridMultilevel"/>
    <w:lvl w:ilvl="0">
      <w:lvlJc w:val="left"/>
      <w:lvlText w:val="%1"/>
      <w:numFmt w:val="decimal"/>
      <w:start w:val="1"/>
    </w:lvl>
    <w:lvl w:ilvl="1">
      <w:lvlJc w:val="left"/>
      <w:lvlText w:val="(%2)"/>
      <w:numFmt w:val="lowerRoman"/>
      <w:start w:val="5"/>
    </w:lvl>
  </w:abstractNum>
  <w:abstractNum w:abstractNumId="360">
    <w:nsid w:val="921145C"/>
    <w:multiLevelType w:val="hybridMultilevel"/>
    <w:lvl w:ilvl="0">
      <w:lvlJc w:val="left"/>
      <w:lvlText w:val="%1."/>
      <w:numFmt w:val="decimal"/>
      <w:start w:val="7"/>
    </w:lvl>
    <w:lvl w:ilvl="1">
      <w:lvlJc w:val="left"/>
      <w:lvlText w:val="%2"/>
      <w:numFmt w:val="lowerRoman"/>
      <w:start w:val="1"/>
    </w:lvl>
  </w:abstractNum>
  <w:abstractNum w:abstractNumId="361">
    <w:nsid w:val="7B34DFE8"/>
    <w:multiLevelType w:val="hybridMultilevel"/>
    <w:lvl w:ilvl="0">
      <w:lvlJc w:val="left"/>
      <w:lvlText w:val="%1."/>
      <w:numFmt w:val="decimal"/>
      <w:start w:val="9"/>
    </w:lvl>
    <w:lvl w:ilvl="1">
      <w:lvlJc w:val="left"/>
      <w:lvlText w:val="(%2)"/>
      <w:numFmt w:val="lowerLetter"/>
      <w:start w:val="1"/>
    </w:lvl>
  </w:abstractNum>
  <w:abstractNum w:abstractNumId="362">
    <w:nsid w:val="3CD22B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63">
    <w:nsid w:val="3137975E"/>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364">
    <w:nsid w:val="2DDAA791"/>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365">
    <w:nsid w:val="77263B8A"/>
    <w:multiLevelType w:val="hybridMultilevel"/>
    <w:lvl w:ilvl="0">
      <w:lvlJc w:val="left"/>
      <w:lvlText w:val="%1."/>
      <w:numFmt w:val="decimal"/>
      <w:start w:val="1"/>
    </w:lvl>
  </w:abstractNum>
  <w:abstractNum w:abstractNumId="366">
    <w:nsid w:val="755B5ED6"/>
    <w:multiLevelType w:val="hybridMultilevel"/>
    <w:lvl w:ilvl="0">
      <w:lvlJc w:val="left"/>
      <w:lvlText w:val="%1."/>
      <w:numFmt w:val="decimal"/>
      <w:start w:val="5"/>
    </w:lvl>
  </w:abstractNum>
  <w:abstractNum w:abstractNumId="367">
    <w:nsid w:val="D3715DE"/>
    <w:multiLevelType w:val="hybridMultilevel"/>
    <w:lvl w:ilvl="0">
      <w:lvlJc w:val="left"/>
      <w:lvlText w:val="%1."/>
      <w:numFmt w:val="decimal"/>
      <w:start w:val="14"/>
    </w:lvl>
  </w:abstractNum>
  <w:abstractNum w:abstractNumId="368">
    <w:nsid w:val="73509257"/>
    <w:multiLevelType w:val="hybridMultilevel"/>
    <w:lvl w:ilvl="0">
      <w:lvlJc w:val="left"/>
      <w:lvlText w:val="%1."/>
      <w:numFmt w:val="decimal"/>
      <w:start w:val="16"/>
    </w:lvl>
  </w:abstractNum>
  <w:abstractNum w:abstractNumId="369">
    <w:nsid w:val="7013CDB7"/>
    <w:multiLevelType w:val="hybridMultilevel"/>
    <w:lvl w:ilvl="0">
      <w:lvlJc w:val="left"/>
      <w:lvlText w:val="%1."/>
      <w:numFmt w:val="decimal"/>
      <w:start w:val="1"/>
    </w:lvl>
  </w:abstractNum>
  <w:abstractNum w:abstractNumId="370">
    <w:nsid w:val="188BFB19"/>
    <w:multiLevelType w:val="hybridMultilevel"/>
    <w:lvl w:ilvl="0">
      <w:lvlJc w:val="left"/>
      <w:lvlText w:val="%1."/>
      <w:numFmt w:val="decimal"/>
      <w:start w:val="2"/>
    </w:lvl>
  </w:abstractNum>
  <w:abstractNum w:abstractNumId="371">
    <w:nsid w:val="75F096DF"/>
    <w:multiLevelType w:val="hybridMultilevel"/>
    <w:lvl w:ilvl="0">
      <w:lvlJc w:val="left"/>
      <w:lvlText w:val="%1."/>
      <w:numFmt w:val="decimal"/>
      <w:start w:val="3"/>
    </w:lvl>
  </w:abstractNum>
  <w:abstractNum w:abstractNumId="372">
    <w:nsid w:val="76DEE918"/>
    <w:multiLevelType w:val="hybridMultilevel"/>
    <w:lvl w:ilvl="0">
      <w:lvlJc w:val="left"/>
      <w:lvlText w:val="%1."/>
      <w:numFmt w:val="decimal"/>
      <w:start w:val="4"/>
    </w:lvl>
  </w:abstractNum>
  <w:abstractNum w:abstractNumId="373">
    <w:nsid w:val="B79D08D"/>
    <w:multiLevelType w:val="hybridMultilevel"/>
    <w:lvl w:ilvl="0">
      <w:lvlJc w:val="left"/>
      <w:lvlText w:val="(%1)"/>
      <w:numFmt w:val="lowerLetter"/>
      <w:start w:val="24"/>
    </w:lvl>
  </w:abstractNum>
  <w:abstractNum w:abstractNumId="374">
    <w:nsid w:val="69141769"/>
    <w:multiLevelType w:val="hybridMultilevel"/>
    <w:lvl w:ilvl="0">
      <w:lvlJc w:val="left"/>
      <w:lvlText w:val="%1."/>
      <w:numFmt w:val="decimal"/>
      <w:start w:val="5"/>
    </w:lvl>
  </w:abstractNum>
  <w:abstractNum w:abstractNumId="375">
    <w:nsid w:val="7BF45B8E"/>
    <w:multiLevelType w:val="hybridMultilevel"/>
    <w:lvl w:ilvl="0">
      <w:lvlJc w:val="left"/>
      <w:lvlText w:val="%1."/>
      <w:numFmt w:val="decimal"/>
      <w:start w:val="6"/>
    </w:lvl>
  </w:abstractNum>
  <w:abstractNum w:abstractNumId="376">
    <w:nsid w:val="41205269"/>
    <w:multiLevelType w:val="hybridMultilevel"/>
    <w:lvl w:ilvl="0">
      <w:lvlJc w:val="left"/>
      <w:lvlText w:val="%1."/>
      <w:numFmt w:val="decimal"/>
      <w:start w:val="7"/>
    </w:lvl>
  </w:abstractNum>
  <w:abstractNum w:abstractNumId="377">
    <w:nsid w:val="9AE0DD"/>
    <w:multiLevelType w:val="hybridMultilevel"/>
    <w:lvl w:ilvl="0">
      <w:lvlJc w:val="left"/>
      <w:lvlText w:val="%1."/>
      <w:numFmt w:val="decimal"/>
      <w:start w:val="8"/>
    </w:lvl>
  </w:abstractNum>
  <w:abstractNum w:abstractNumId="378">
    <w:nsid w:val="1818832F"/>
    <w:multiLevelType w:val="hybridMultilevel"/>
    <w:lvl w:ilvl="0">
      <w:lvlJc w:val="left"/>
      <w:lvlText w:val="%1."/>
      <w:numFmt w:val="decimal"/>
      <w:start w:val="9"/>
    </w:lvl>
  </w:abstractNum>
  <w:abstractNum w:abstractNumId="379">
    <w:nsid w:val="24C29FD1"/>
    <w:multiLevelType w:val="hybridMultilevel"/>
    <w:lvl w:ilvl="0">
      <w:lvlJc w:val="left"/>
      <w:lvlText w:val="%1."/>
      <w:numFmt w:val="decimal"/>
      <w:start w:val="10"/>
    </w:lvl>
  </w:abstractNum>
  <w:abstractNum w:abstractNumId="380">
    <w:nsid w:val="50528108"/>
    <w:multiLevelType w:val="hybridMultilevel"/>
    <w:lvl w:ilvl="0">
      <w:lvlJc w:val="left"/>
      <w:lvlText w:val="%1."/>
      <w:numFmt w:val="decimal"/>
      <w:start w:val="11"/>
    </w:lvl>
  </w:abstractNum>
  <w:abstractNum w:abstractNumId="381">
    <w:nsid w:val="21857A57"/>
    <w:multiLevelType w:val="hybridMultilevel"/>
    <w:lvl w:ilvl="0">
      <w:lvlJc w:val="left"/>
      <w:lvlText w:val="%1."/>
      <w:numFmt w:val="decimal"/>
      <w:start w:val="12"/>
    </w:lvl>
  </w:abstractNum>
  <w:abstractNum w:abstractNumId="382">
    <w:nsid w:val="5FD4B154"/>
    <w:multiLevelType w:val="hybridMultilevel"/>
    <w:lvl w:ilvl="0">
      <w:lvlJc w:val="left"/>
      <w:lvlText w:val="%1."/>
      <w:numFmt w:val="decimal"/>
      <w:start w:val="13"/>
    </w:lvl>
  </w:abstractNum>
  <w:abstractNum w:abstractNumId="383">
    <w:nsid w:val="4ABE597"/>
    <w:multiLevelType w:val="hybridMultilevel"/>
    <w:lvl w:ilvl="0">
      <w:lvlJc w:val="left"/>
      <w:lvlText w:val="%1."/>
      <w:numFmt w:val="decimal"/>
      <w:start w:val="14"/>
    </w:lvl>
  </w:abstractNum>
  <w:abstractNum w:abstractNumId="384">
    <w:nsid w:val="5C64AD75"/>
    <w:multiLevelType w:val="hybridMultilevel"/>
    <w:lvl w:ilvl="0">
      <w:lvlJc w:val="left"/>
      <w:lvlText w:val="%1."/>
      <w:numFmt w:val="decimal"/>
      <w:start w:val="15"/>
    </w:lvl>
  </w:abstractNum>
  <w:abstractNum w:abstractNumId="385">
    <w:nsid w:val="2CDD5B39"/>
    <w:multiLevelType w:val="hybridMultilevel"/>
    <w:lvl w:ilvl="0">
      <w:lvlJc w:val="left"/>
      <w:lvlText w:val="%1."/>
      <w:numFmt w:val="decimal"/>
      <w:start w:val="16"/>
    </w:lvl>
  </w:abstractNum>
  <w:abstractNum w:abstractNumId="386">
    <w:nsid w:val="6F9EA0D1"/>
    <w:multiLevelType w:val="hybridMultilevel"/>
    <w:lvl w:ilvl="0">
      <w:lvlJc w:val="left"/>
      <w:lvlText w:val="(%1)"/>
      <w:numFmt w:val="lowerLetter"/>
      <w:start w:val="1"/>
    </w:lvl>
  </w:abstractNum>
  <w:abstractNum w:abstractNumId="387">
    <w:nsid w:val="247FC4AE"/>
    <w:multiLevelType w:val="hybridMultilevel"/>
    <w:lvl w:ilvl="0">
      <w:lvlJc w:val="left"/>
      <w:lvlText w:val="%1."/>
      <w:numFmt w:val="decimal"/>
      <w:start w:val="17"/>
    </w:lvl>
  </w:abstractNum>
  <w:abstractNum w:abstractNumId="388">
    <w:nsid w:val="46C01B05"/>
    <w:multiLevelType w:val="hybridMultilevel"/>
    <w:lvl w:ilvl="0">
      <w:lvlJc w:val="left"/>
      <w:lvlText w:val="%1."/>
      <w:numFmt w:val="decimal"/>
      <w:start w:val="18"/>
    </w:lvl>
  </w:abstractNum>
  <w:abstractNum w:abstractNumId="389">
    <w:nsid w:val="566EC29B"/>
    <w:multiLevelType w:val="hybridMultilevel"/>
    <w:lvl w:ilvl="0">
      <w:lvlJc w:val="left"/>
      <w:lvlText w:val="%1."/>
      <w:numFmt w:val="decimal"/>
      <w:start w:val="1"/>
    </w:lvl>
  </w:abstractNum>
  <w:abstractNum w:abstractNumId="390">
    <w:nsid w:val="7A963843"/>
    <w:multiLevelType w:val="hybridMultilevel"/>
    <w:lvl w:ilvl="0">
      <w:lvlJc w:val="left"/>
      <w:lvlText w:val="%1."/>
      <w:numFmt w:val="decimal"/>
      <w:start w:val="1"/>
    </w:lvl>
  </w:abstractNum>
  <w:abstractNum w:abstractNumId="391">
    <w:nsid w:val="4FE12F61"/>
    <w:multiLevelType w:val="hybridMultilevel"/>
    <w:lvl w:ilvl="0">
      <w:lvlJc w:val="left"/>
      <w:lvlText w:val="%1."/>
      <w:numFmt w:val="decimal"/>
      <w:start w:val="2"/>
    </w:lvl>
  </w:abstractNum>
  <w:abstractNum w:abstractNumId="392">
    <w:nsid w:val="51A3A284"/>
    <w:multiLevelType w:val="hybridMultilevel"/>
    <w:lvl w:ilvl="0">
      <w:lvlJc w:val="left"/>
      <w:lvlText w:val="(%1)"/>
      <w:numFmt w:val="lowerLetter"/>
      <w:start w:val="24"/>
    </w:lvl>
  </w:abstractNum>
  <w:abstractNum w:abstractNumId="393">
    <w:nsid w:val="376863BC"/>
    <w:multiLevelType w:val="hybridMultilevel"/>
    <w:lvl w:ilvl="0">
      <w:lvlJc w:val="left"/>
      <w:lvlText w:val="(%1)"/>
      <w:numFmt w:val="lowerLetter"/>
      <w:start w:val="1"/>
    </w:lvl>
  </w:abstractNum>
  <w:abstractNum w:abstractNumId="394">
    <w:nsid w:val="118C6C0"/>
    <w:multiLevelType w:val="hybridMultilevel"/>
    <w:lvl w:ilvl="0">
      <w:lvlJc w:val="left"/>
      <w:lvlText w:val="%1."/>
      <w:numFmt w:val="decimal"/>
      <w:start w:val="1"/>
    </w:lvl>
  </w:abstractNum>
  <w:abstractNum w:abstractNumId="395">
    <w:nsid w:val="7F7E4A15"/>
    <w:multiLevelType w:val="hybridMultilevel"/>
    <w:lvl w:ilvl="0">
      <w:lvlJc w:val="left"/>
      <w:lvlText w:val="%1."/>
      <w:numFmt w:val="decimal"/>
      <w:start w:val="1"/>
    </w:lvl>
  </w:abstractNum>
  <w:abstractNum w:abstractNumId="396">
    <w:nsid w:val="2E8E9F47"/>
    <w:multiLevelType w:val="hybridMultilevel"/>
    <w:lvl w:ilvl="0">
      <w:lvlJc w:val="left"/>
      <w:lvlText w:val="%1."/>
      <w:numFmt w:val="decimal"/>
      <w:start w:val="2"/>
    </w:lvl>
  </w:abstractNum>
  <w:abstractNum w:abstractNumId="397">
    <w:nsid w:val="76742596"/>
    <w:multiLevelType w:val="hybridMultilevel"/>
    <w:lvl w:ilvl="0">
      <w:lvlJc w:val="left"/>
      <w:lvlText w:val="%1."/>
      <w:numFmt w:val="decimal"/>
      <w:start w:val="3"/>
    </w:lvl>
  </w:abstractNum>
  <w:abstractNum w:abstractNumId="398">
    <w:nsid w:val="CB55FF3"/>
    <w:multiLevelType w:val="hybridMultilevel"/>
    <w:lvl w:ilvl="0">
      <w:lvlJc w:val="left"/>
      <w:lvlText w:val="%1."/>
      <w:numFmt w:val="decimal"/>
      <w:start w:val="4"/>
    </w:lvl>
  </w:abstractNum>
  <w:abstractNum w:abstractNumId="399">
    <w:nsid w:val="21DF319E"/>
    <w:multiLevelType w:val="hybridMultilevel"/>
    <w:lvl w:ilvl="0">
      <w:lvlJc w:val="left"/>
      <w:lvlText w:val="%1."/>
      <w:numFmt w:val="decimal"/>
      <w:start w:val="5"/>
    </w:lvl>
  </w:abstractNum>
  <w:abstractNum w:abstractNumId="400">
    <w:nsid w:val="6687F34D"/>
    <w:multiLevelType w:val="hybridMultilevel"/>
    <w:lvl w:ilvl="0">
      <w:lvlJc w:val="left"/>
      <w:lvlText w:val="(%1)"/>
      <w:numFmt w:val="lowerRoman"/>
      <w:start w:val="3"/>
    </w:lvl>
  </w:abstractNum>
  <w:abstractNum w:abstractNumId="401">
    <w:nsid w:val="25415B0C"/>
    <w:multiLevelType w:val="hybridMultilevel"/>
    <w:lvl w:ilvl="0">
      <w:lvlJc w:val="left"/>
      <w:lvlText w:val="%1."/>
      <w:numFmt w:val="decimal"/>
      <w:start w:val="6"/>
    </w:lvl>
  </w:abstractNum>
  <w:abstractNum w:abstractNumId="402">
    <w:nsid w:val="17CFC87D"/>
    <w:multiLevelType w:val="hybridMultilevel"/>
    <w:lvl w:ilvl="0">
      <w:lvlJc w:val="left"/>
      <w:lvlText w:val="%1."/>
      <w:numFmt w:val="decimal"/>
      <w:start w:val="7"/>
    </w:lvl>
  </w:abstractNum>
  <w:abstractNum w:abstractNumId="403">
    <w:nsid w:val="5D66DC65"/>
    <w:multiLevelType w:val="hybridMultilevel"/>
    <w:lvl w:ilvl="0">
      <w:lvlJc w:val="left"/>
      <w:lvlText w:val="%1"/>
      <w:numFmt w:val="lowerLetter"/>
      <w:start w:val="1"/>
    </w:lvl>
    <w:lvl w:ilvl="1">
      <w:lvlJc w:val="left"/>
      <w:lvlText w:val="(%2)"/>
      <w:numFmt w:val="lowerLetter"/>
      <w:start w:val="1"/>
    </w:lvl>
  </w:abstractNum>
  <w:abstractNum w:abstractNumId="404">
    <w:nsid w:val="30BB2B99"/>
    <w:multiLevelType w:val="hybridMultilevel"/>
    <w:lvl w:ilvl="0">
      <w:lvlJc w:val="left"/>
      <w:lvlText w:val="(%1)"/>
      <w:numFmt w:val="lowerLetter"/>
      <w:start w:val="35"/>
    </w:lvl>
    <w:lvl w:ilvl="1">
      <w:lvlJc w:val="left"/>
      <w:lvlText w:val="%2"/>
      <w:numFmt w:val="lowerLetter"/>
      <w:start w:val="1"/>
    </w:lvl>
  </w:abstractNum>
  <w:abstractNum w:abstractNumId="405">
    <w:nsid w:val="E3DFE6"/>
    <w:multiLevelType w:val="hybridMultilevel"/>
    <w:lvl w:ilvl="0">
      <w:lvlJc w:val="left"/>
      <w:lvlText w:val="%1."/>
      <w:numFmt w:val="decimal"/>
      <w:start w:val="8"/>
    </w:lvl>
  </w:abstractNum>
  <w:abstractNum w:abstractNumId="406">
    <w:nsid w:val="595B37F3"/>
    <w:multiLevelType w:val="hybridMultilevel"/>
    <w:lvl w:ilvl="0">
      <w:lvlJc w:val="left"/>
      <w:lvlText w:val="(%1)"/>
      <w:numFmt w:val="lowerRoman"/>
      <w:start w:val="2"/>
    </w:lvl>
  </w:abstractNum>
  <w:abstractNum w:abstractNumId="407">
    <w:nsid w:val="71DB7E02"/>
    <w:multiLevelType w:val="hybridMultilevel"/>
    <w:lvl w:ilvl="0">
      <w:lvlJc w:val="left"/>
      <w:lvlText w:val="%1."/>
      <w:numFmt w:val="decimal"/>
      <w:start w:val="9"/>
    </w:lvl>
  </w:abstractNum>
  <w:abstractNum w:abstractNumId="408">
    <w:nsid w:val="17EC0C4"/>
    <w:multiLevelType w:val="hybridMultilevel"/>
    <w:lvl w:ilvl="0">
      <w:lvlJc w:val="left"/>
      <w:lvlText w:val="(%1)"/>
      <w:numFmt w:val="lowerRoman"/>
      <w:start w:val="1"/>
    </w:lvl>
  </w:abstractNum>
  <w:abstractNum w:abstractNumId="409">
    <w:nsid w:val="7173BB22"/>
    <w:multiLevelType w:val="hybridMultilevel"/>
    <w:lvl w:ilvl="0">
      <w:lvlJc w:val="left"/>
      <w:lvlText w:val="%1."/>
      <w:numFmt w:val="decimal"/>
      <w:start w:val="1"/>
    </w:lvl>
  </w:abstractNum>
  <w:abstractNum w:abstractNumId="410">
    <w:nsid w:val="169E1DD3"/>
    <w:multiLevelType w:val="hybridMultilevel"/>
    <w:lvl w:ilvl="0">
      <w:lvlJc w:val="left"/>
      <w:lvlText w:val="%1."/>
      <w:numFmt w:val="decimal"/>
      <w:start w:val="2"/>
    </w:lvl>
  </w:abstractNum>
  <w:abstractNum w:abstractNumId="411">
    <w:nsid w:val="51D141CC"/>
    <w:multiLevelType w:val="hybridMultilevel"/>
    <w:lvl w:ilvl="0">
      <w:lvlJc w:val="left"/>
      <w:lvlText w:val="%1."/>
      <w:numFmt w:val="decimal"/>
      <w:start w:val="1"/>
    </w:lvl>
  </w:abstractNum>
  <w:abstractNum w:abstractNumId="412">
    <w:nsid w:val="12F9357A"/>
    <w:multiLevelType w:val="hybridMultilevel"/>
    <w:lvl w:ilvl="0">
      <w:lvlJc w:val="left"/>
      <w:lvlText w:val="%1."/>
      <w:numFmt w:val="decimal"/>
      <w:start w:val="2"/>
    </w:lvl>
  </w:abstractNum>
  <w:abstractNum w:abstractNumId="413">
    <w:nsid w:val="7672CF28"/>
    <w:multiLevelType w:val="hybridMultilevel"/>
    <w:lvl w:ilvl="0">
      <w:lvlJc w:val="left"/>
      <w:lvlText w:val="%1."/>
      <w:numFmt w:val="decimal"/>
      <w:start w:val="3"/>
    </w:lvl>
  </w:abstractNum>
  <w:abstractNum w:abstractNumId="414">
    <w:nsid w:val="567D2763"/>
    <w:multiLevelType w:val="hybridMultilevel"/>
    <w:lvl w:ilvl="0">
      <w:lvlJc w:val="left"/>
      <w:lvlText w:val="%1."/>
      <w:numFmt w:val="decimal"/>
      <w:start w:val="4"/>
    </w:lvl>
  </w:abstractNum>
  <w:abstractNum w:abstractNumId="415">
    <w:nsid w:val="6F5DE2EF"/>
    <w:multiLevelType w:val="hybridMultilevel"/>
    <w:lvl w:ilvl="0">
      <w:lvlJc w:val="left"/>
      <w:lvlText w:val="(%1)"/>
      <w:numFmt w:val="lowerLetter"/>
      <w:start w:val="24"/>
    </w:lvl>
  </w:abstractNum>
  <w:abstractNum w:abstractNumId="416">
    <w:nsid w:val="23502A61"/>
    <w:multiLevelType w:val="hybridMultilevel"/>
    <w:lvl w:ilvl="0">
      <w:lvlJc w:val="left"/>
      <w:lvlText w:val="(%1)"/>
      <w:numFmt w:val="decimal"/>
      <w:start w:val="5"/>
    </w:lvl>
  </w:abstractNum>
  <w:abstractNum w:abstractNumId="417">
    <w:nsid w:val="461BC834"/>
    <w:multiLevelType w:val="hybridMultilevel"/>
    <w:lvl w:ilvl="0">
      <w:lvlJc w:val="left"/>
      <w:lvlText w:val="%1."/>
      <w:numFmt w:val="decimal"/>
      <w:start w:val="5"/>
    </w:lvl>
  </w:abstractNum>
  <w:abstractNum w:abstractNumId="418">
    <w:nsid w:val="13DDA79D"/>
    <w:multiLevelType w:val="hybridMultilevel"/>
    <w:lvl w:ilvl="0">
      <w:lvlJc w:val="left"/>
      <w:lvlText w:val="%1."/>
      <w:numFmt w:val="decimal"/>
      <w:start w:val="6"/>
    </w:lvl>
  </w:abstractNum>
  <w:abstractNum w:abstractNumId="419">
    <w:nsid w:val="6A104566"/>
    <w:multiLevelType w:val="hybridMultilevel"/>
    <w:lvl w:ilvl="0">
      <w:lvlJc w:val="left"/>
      <w:lvlText w:val="%1."/>
      <w:numFmt w:val="decimal"/>
      <w:start w:val="7"/>
    </w:lvl>
  </w:abstractNum>
  <w:abstractNum w:abstractNumId="420">
    <w:nsid w:val="1C8A8ACF"/>
    <w:multiLevelType w:val="hybridMultilevel"/>
    <w:lvl w:ilvl="0">
      <w:lvlJc w:val="left"/>
      <w:lvlText w:val="%1."/>
      <w:numFmt w:val="decimal"/>
      <w:start w:val="8"/>
    </w:lvl>
  </w:abstractNum>
  <w:abstractNum w:abstractNumId="421">
    <w:nsid w:val="E73DFE0"/>
    <w:multiLevelType w:val="hybridMultilevel"/>
    <w:lvl w:ilvl="0">
      <w:lvlJc w:val="left"/>
      <w:lvlText w:val="%1."/>
      <w:numFmt w:val="decimal"/>
      <w:start w:val="9"/>
    </w:lvl>
  </w:abstractNum>
  <w:abstractNum w:abstractNumId="422">
    <w:nsid w:val="39F174C7"/>
    <w:multiLevelType w:val="hybridMultilevel"/>
    <w:lvl w:ilvl="0">
      <w:lvlJc w:val="left"/>
      <w:lvlText w:val="%1."/>
      <w:numFmt w:val="decimal"/>
      <w:start w:val="10"/>
    </w:lvl>
  </w:abstractNum>
  <w:abstractNum w:abstractNumId="423">
    <w:nsid w:val="6E2E2D53"/>
    <w:multiLevelType w:val="hybridMultilevel"/>
    <w:lvl w:ilvl="0">
      <w:lvlJc w:val="left"/>
      <w:lvlText w:val="%1."/>
      <w:numFmt w:val="decimal"/>
      <w:start w:val="11"/>
    </w:lvl>
  </w:abstractNum>
  <w:abstractNum w:abstractNumId="424">
    <w:nsid w:val="45DC439D"/>
    <w:multiLevelType w:val="hybridMultilevel"/>
    <w:lvl w:ilvl="0">
      <w:lvlJc w:val="left"/>
      <w:lvlText w:val="%1."/>
      <w:numFmt w:val="decimal"/>
      <w:start w:val="12"/>
    </w:lvl>
  </w:abstractNum>
  <w:abstractNum w:abstractNumId="425">
    <w:nsid w:val="3B0A3B87"/>
    <w:multiLevelType w:val="hybridMultilevel"/>
    <w:lvl w:ilvl="0">
      <w:lvlJc w:val="left"/>
      <w:lvlText w:val="%1."/>
      <w:numFmt w:val="decimal"/>
      <w:start w:val="13"/>
    </w:lvl>
  </w:abstractNum>
  <w:abstractNum w:abstractNumId="426">
    <w:nsid w:val="6DAC7768"/>
    <w:multiLevelType w:val="hybridMultilevel"/>
    <w:lvl w:ilvl="0">
      <w:lvlJc w:val="left"/>
      <w:lvlText w:val="%1."/>
      <w:numFmt w:val="decimal"/>
      <w:start w:val="14"/>
    </w:lvl>
  </w:abstractNum>
  <w:abstractNum w:abstractNumId="427">
    <w:nsid w:val="746AE2E4"/>
    <w:multiLevelType w:val="hybridMultilevel"/>
    <w:lvl w:ilvl="0">
      <w:lvlJc w:val="left"/>
      <w:lvlText w:val="%1."/>
      <w:numFmt w:val="decimal"/>
      <w:start w:val="15"/>
    </w:lvl>
  </w:abstractNum>
  <w:abstractNum w:abstractNumId="428">
    <w:nsid w:val="317E611D"/>
    <w:multiLevelType w:val="hybridMultilevel"/>
    <w:lvl w:ilvl="0">
      <w:lvlJc w:val="left"/>
      <w:lvlText w:val="%1."/>
      <w:numFmt w:val="decimal"/>
      <w:start w:val="16"/>
    </w:lvl>
  </w:abstractNum>
  <w:abstractNum w:abstractNumId="429">
    <w:nsid w:val="7A61D75B"/>
    <w:multiLevelType w:val="hybridMultilevel"/>
    <w:lvl w:ilvl="0">
      <w:lvlJc w:val="left"/>
      <w:lvlText w:val="%1."/>
      <w:numFmt w:val="decimal"/>
      <w:start w:val="17"/>
    </w:lvl>
  </w:abstractNum>
  <w:abstractNum w:abstractNumId="430">
    <w:nsid w:val="164A1482"/>
    <w:multiLevelType w:val="hybridMultilevel"/>
    <w:lvl w:ilvl="0">
      <w:lvlJc w:val="left"/>
      <w:lvlText w:val="%1."/>
      <w:numFmt w:val="decimal"/>
      <w:start w:val="18"/>
    </w:lvl>
  </w:abstractNum>
  <w:abstractNum w:abstractNumId="431">
    <w:nsid w:val="1806546B"/>
    <w:multiLevelType w:val="hybridMultilevel"/>
    <w:lvl w:ilvl="0">
      <w:lvlJc w:val="left"/>
      <w:lvlText w:val="%1."/>
      <w:numFmt w:val="decimal"/>
      <w:start w:val="3"/>
    </w:lvl>
  </w:abstractNum>
  <w:abstractNum w:abstractNumId="432">
    <w:nsid w:val="1FA33267"/>
    <w:multiLevelType w:val="hybridMultilevel"/>
    <w:lvl w:ilvl="0">
      <w:lvlJc w:val="left"/>
      <w:lvlText w:val="%1."/>
      <w:numFmt w:val="decimal"/>
      <w:start w:val="4"/>
    </w:lvl>
  </w:abstractNum>
  <w:abstractNum w:abstractNumId="433">
    <w:nsid w:val="2E19DD00"/>
    <w:multiLevelType w:val="hybridMultilevel"/>
    <w:lvl w:ilvl="0">
      <w:lvlJc w:val="left"/>
      <w:lvlText w:val="*"/>
      <w:numFmt w:val="bullet"/>
      <w:start w:val="1"/>
    </w:lvl>
  </w:abstractNum>
  <w:abstractNum w:abstractNumId="434">
    <w:nsid w:val="756D30D0"/>
    <w:multiLevelType w:val="hybridMultilevel"/>
    <w:lvl w:ilvl="0">
      <w:lvlJc w:val="left"/>
      <w:lvlText w:val="**"/>
      <w:numFmt w:val="bullet"/>
      <w:start w:val="1"/>
    </w:lvl>
  </w:abstractNum>
  <w:abstractNum w:abstractNumId="435">
    <w:nsid w:val="505E5E01"/>
    <w:multiLevelType w:val="hybridMultilevel"/>
    <w:lvl w:ilvl="0">
      <w:lvlJc w:val="left"/>
      <w:lvlText w:val="%1."/>
      <w:numFmt w:val="decimal"/>
      <w:start w:val="5"/>
    </w:lvl>
  </w:abstractNum>
  <w:abstractNum w:abstractNumId="436">
    <w:nsid w:val="2EFDBCE6"/>
    <w:multiLevelType w:val="hybridMultilevel"/>
    <w:lvl w:ilvl="0">
      <w:lvlJc w:val="left"/>
      <w:lvlText w:val="%1."/>
      <w:numFmt w:val="decimal"/>
      <w:start w:val="8"/>
    </w:lvl>
  </w:abstractNum>
  <w:abstractNum w:abstractNumId="437">
    <w:nsid w:val="4EC868C4"/>
    <w:multiLevelType w:val="hybridMultilevel"/>
    <w:lvl w:ilvl="0">
      <w:lvlJc w:val="left"/>
      <w:lvlText w:val="(%1)"/>
      <w:numFmt w:val="decimal"/>
      <w:start w:val="6"/>
    </w:lvl>
  </w:abstractNum>
  <w:abstractNum w:abstractNumId="438">
    <w:nsid w:val="4239DC03"/>
    <w:multiLevelType w:val="hybridMultilevel"/>
    <w:lvl w:ilvl="0">
      <w:lvlJc w:val="left"/>
      <w:lvlText w:val="(%1)"/>
      <w:numFmt w:val="lowerRoman"/>
      <w:start w:val="10"/>
    </w:lvl>
  </w:abstractNum>
  <w:abstractNum w:abstractNumId="439">
    <w:nsid w:val="307C7DAA"/>
    <w:multiLevelType w:val="hybridMultilevel"/>
    <w:lvl w:ilvl="0">
      <w:lvlJc w:val="left"/>
      <w:lvlText w:val="(%1)"/>
      <w:numFmt w:val="lowerLetter"/>
      <w:start w:val="1"/>
    </w:lvl>
  </w:abstractNum>
  <w:abstractNum w:abstractNumId="440">
    <w:nsid w:val="403C23E6"/>
    <w:multiLevelType w:val="hybridMultilevel"/>
    <w:lvl w:ilvl="0">
      <w:lvlJc w:val="left"/>
      <w:lvlText w:val="(%1)"/>
      <w:numFmt w:val="lowerLetter"/>
      <w:start w:val="6"/>
    </w:lvl>
  </w:abstractNum>
  <w:abstractNum w:abstractNumId="441">
    <w:nsid w:val="58D7F9D7"/>
    <w:multiLevelType w:val="hybridMultilevel"/>
    <w:lvl w:ilvl="0">
      <w:lvlJc w:val="left"/>
      <w:lvlText w:val="(%1)"/>
      <w:numFmt w:val="lowerLetter"/>
      <w:start w:val="15"/>
    </w:lvl>
  </w:abstractNum>
  <w:abstractNum w:abstractNumId="442">
    <w:nsid w:val="24DBF76"/>
    <w:multiLevelType w:val="hybridMultilevel"/>
    <w:lvl w:ilvl="0">
      <w:lvlJc w:val="left"/>
      <w:lvlText w:val="(%1)"/>
      <w:numFmt w:val="lowerLetter"/>
      <w:start w:val="25"/>
    </w:lvl>
  </w:abstractNum>
  <w:abstractNum w:abstractNumId="443">
    <w:nsid w:val="53355960"/>
    <w:multiLevelType w:val="hybridMultilevel"/>
    <w:lvl w:ilvl="0">
      <w:lvlJc w:val="left"/>
      <w:lvlText w:val="(%1)"/>
      <w:numFmt w:val="lowerLetter"/>
      <w:start w:val="27"/>
    </w:lvl>
  </w:abstractNum>
  <w:abstractNum w:abstractNumId="444">
    <w:nsid w:val="4F4AC8FF"/>
    <w:multiLevelType w:val="hybridMultilevel"/>
    <w:lvl w:ilvl="0">
      <w:lvlJc w:val="left"/>
      <w:lvlText w:val="(%1)"/>
      <w:numFmt w:val="lowerRoman"/>
      <w:start w:val="1"/>
    </w:lvl>
  </w:abstractNum>
  <w:abstractNum w:abstractNumId="445">
    <w:nsid w:val="58CAE6D9"/>
    <w:multiLevelType w:val="hybridMultilevel"/>
    <w:lvl w:ilvl="0">
      <w:lvlJc w:val="left"/>
      <w:lvlText w:val="(%1)"/>
      <w:numFmt w:val="lowerLetter"/>
      <w:start w:val="2"/>
    </w:lvl>
  </w:abstractNum>
  <w:abstractNum w:abstractNumId="446">
    <w:nsid w:val="42933C4F"/>
    <w:multiLevelType w:val="hybridMultilevel"/>
    <w:lvl w:ilvl="0">
      <w:lvlJc w:val="left"/>
      <w:lvlText w:val="(%1)"/>
      <w:numFmt w:val="decimal"/>
      <w:start w:val="3"/>
    </w:lvl>
  </w:abstractNum>
  <w:abstractNum w:abstractNumId="447">
    <w:nsid w:val="729AF360"/>
    <w:multiLevelType w:val="hybridMultilevel"/>
    <w:lvl w:ilvl="0">
      <w:lvlJc w:val="left"/>
      <w:lvlText w:val="(%1)"/>
      <w:numFmt w:val="lowerRoman"/>
      <w:start w:val="3"/>
    </w:lvl>
  </w:abstractNum>
  <w:abstractNum w:abstractNumId="448">
    <w:nsid w:val="1EE6AF0D"/>
    <w:multiLevelType w:val="hybridMultilevel"/>
    <w:lvl w:ilvl="0">
      <w:lvlJc w:val="left"/>
      <w:lvlText w:val="(%1)"/>
      <w:numFmt w:val="decimal"/>
      <w:start w:val="60"/>
    </w:lvl>
  </w:abstractNum>
  <w:abstractNum w:abstractNumId="449">
    <w:nsid w:val="5670E3ED"/>
    <w:multiLevelType w:val="hybridMultilevel"/>
    <w:lvl w:ilvl="0">
      <w:lvlJc w:val="left"/>
      <w:lvlText w:val="(%1)"/>
      <w:numFmt w:val="decimal"/>
      <w:start w:val="180"/>
    </w:lvl>
  </w:abstractNum>
  <w:abstractNum w:abstractNumId="450">
    <w:nsid w:val="5CAB38C6"/>
    <w:multiLevelType w:val="hybridMultilevel"/>
    <w:lvl w:ilvl="0">
      <w:lvlJc w:val="left"/>
      <w:lvlText w:val="(%1)"/>
      <w:numFmt w:val="decimal"/>
      <w:start w:val="10"/>
    </w:lvl>
  </w:abstractNum>
  <w:abstractNum w:abstractNumId="451">
    <w:nsid w:val="3B7139DD"/>
    <w:multiLevelType w:val="hybridMultilevel"/>
    <w:lvl w:ilvl="0">
      <w:lvlJc w:val="left"/>
      <w:lvlText w:val="(%1)"/>
      <w:numFmt w:val="decimal"/>
      <w:start w:val="60"/>
    </w:lvl>
  </w:abstractNum>
  <w:abstractNum w:abstractNumId="452">
    <w:nsid w:val="64E4C3CD"/>
    <w:multiLevelType w:val="hybridMultilevel"/>
    <w:lvl w:ilvl="0">
      <w:lvlJc w:val="left"/>
      <w:lvlText w:val="(%1)"/>
      <w:numFmt w:val="lowerRoman"/>
      <w:start w:val="2"/>
    </w:lvl>
  </w:abstractNum>
  <w:abstractNum w:abstractNumId="453">
    <w:nsid w:val="169CAD8D"/>
    <w:multiLevelType w:val="hybridMultilevel"/>
    <w:lvl w:ilvl="0">
      <w:lvlJc w:val="left"/>
      <w:lvlText w:val="(%1)"/>
      <w:numFmt w:val="lowerRoman"/>
      <w:start w:val="3"/>
    </w:lvl>
  </w:abstractNum>
  <w:abstractNum w:abstractNumId="454">
    <w:nsid w:val="299F6730"/>
    <w:multiLevelType w:val="hybridMultilevel"/>
    <w:lvl w:ilvl="0">
      <w:lvlJc w:val="left"/>
      <w:lvlText w:val="(%1)"/>
      <w:numFmt w:val="lowerLetter"/>
      <w:start w:val="1"/>
    </w:lvl>
  </w:abstractNum>
  <w:abstractNum w:abstractNumId="455">
    <w:nsid w:val="2AC1076A"/>
    <w:multiLevelType w:val="hybridMultilevel"/>
    <w:lvl w:ilvl="0">
      <w:lvlJc w:val="left"/>
      <w:lvlText w:val="(%1)"/>
      <w:numFmt w:val="decimal"/>
      <w:start w:val="30"/>
    </w:lvl>
  </w:abstractNum>
  <w:abstractNum w:abstractNumId="456">
    <w:nsid w:val="51A6E915"/>
    <w:multiLevelType w:val="hybridMultilevel"/>
    <w:lvl w:ilvl="0">
      <w:lvlJc w:val="left"/>
      <w:lvlText w:val="(%1)"/>
      <w:numFmt w:val="decimal"/>
      <w:start w:val="30"/>
    </w:lvl>
  </w:abstractNum>
  <w:abstractNum w:abstractNumId="457">
    <w:nsid w:val="174BDE99"/>
    <w:multiLevelType w:val="hybridMultilevel"/>
    <w:lvl w:ilvl="0">
      <w:lvlJc w:val="left"/>
      <w:lvlText w:val="(%1)"/>
      <w:numFmt w:val="upperLetter"/>
      <w:start w:val="6"/>
    </w:lvl>
  </w:abstractNum>
  <w:abstractNum w:abstractNumId="458">
    <w:nsid w:val="1F2BEA4E"/>
    <w:multiLevelType w:val="hybridMultilevel"/>
    <w:lvl w:ilvl="0">
      <w:lvlJc w:val="left"/>
      <w:lvlText w:val="(%1)"/>
      <w:numFmt w:val="lowerRoman"/>
      <w:start w:val="4"/>
    </w:lvl>
  </w:abstractNum>
  <w:abstractNum w:abstractNumId="459">
    <w:nsid w:val="3254A32"/>
    <w:multiLevelType w:val="hybridMultilevel"/>
    <w:lvl w:ilvl="0">
      <w:lvlJc w:val="left"/>
      <w:lvlText w:val="(%1)"/>
      <w:numFmt w:val="lowerLetter"/>
      <w:start w:val="24"/>
    </w:lvl>
  </w:abstractNum>
  <w:abstractNum w:abstractNumId="460">
    <w:nsid w:val="11ADB5F4"/>
    <w:multiLevelType w:val="hybridMultilevel"/>
    <w:lvl w:ilvl="0">
      <w:lvlJc w:val="left"/>
      <w:lvlText w:val="(%1)"/>
      <w:numFmt w:val="lowerLetter"/>
      <w:start w:val="2"/>
    </w:lvl>
  </w:abstractNum>
  <w:abstractNum w:abstractNumId="461">
    <w:nsid w:val="3575FED1"/>
    <w:multiLevelType w:val="hybridMultilevel"/>
    <w:lvl w:ilvl="0">
      <w:lvlJc w:val="left"/>
      <w:lvlText w:val="(%1)"/>
      <w:numFmt w:val="lowerRoman"/>
      <w:start w:val="2"/>
    </w:lvl>
  </w:abstractNum>
  <w:abstractNum w:abstractNumId="462">
    <w:nsid w:val="1B2B9E9D"/>
    <w:multiLevelType w:val="hybridMultilevel"/>
    <w:lvl w:ilvl="0">
      <w:lvlJc w:val="left"/>
      <w:lvlText w:val="(%1)"/>
      <w:numFmt w:val="decimal"/>
      <w:start w:val="24"/>
    </w:lvl>
  </w:abstractNum>
  <w:abstractNum w:abstractNumId="463">
    <w:nsid w:val="3150E85C"/>
    <w:multiLevelType w:val="hybridMultilevel"/>
    <w:lvl w:ilvl="0">
      <w:lvlJc w:val="left"/>
      <w:lvlText w:val="(%1)"/>
      <w:numFmt w:val="lowerRoman"/>
      <w:start w:val="1"/>
    </w:lvl>
  </w:abstractNum>
  <w:abstractNum w:abstractNumId="464">
    <w:nsid w:val="638FDBD1"/>
    <w:multiLevelType w:val="hybridMultilevel"/>
    <w:lvl w:ilvl="0">
      <w:lvlJc w:val="left"/>
      <w:lvlText w:val="(%1)"/>
      <w:numFmt w:val="lowerRoman"/>
      <w:start w:val="4"/>
    </w:lvl>
  </w:abstractNum>
  <w:abstractNum w:abstractNumId="465">
    <w:nsid w:val="1098CF6E"/>
    <w:multiLevelType w:val="hybridMultilevel"/>
    <w:lvl w:ilvl="0">
      <w:lvlJc w:val="left"/>
      <w:lvlText w:val="(%1)"/>
      <w:numFmt w:val="lowerRoman"/>
      <w:start w:val="6"/>
    </w:lvl>
  </w:abstractNum>
  <w:abstractNum w:abstractNumId="466">
    <w:nsid w:val="1AF465D"/>
    <w:multiLevelType w:val="hybridMultilevel"/>
    <w:lvl w:ilvl="0">
      <w:lvlJc w:val="left"/>
      <w:lvlText w:val="(%1)"/>
      <w:numFmt w:val="lowerRoman"/>
      <w:start w:val="7"/>
    </w:lvl>
  </w:abstractNum>
  <w:abstractNum w:abstractNumId="467">
    <w:nsid w:val="128D98B7"/>
    <w:multiLevelType w:val="hybridMultilevel"/>
    <w:lvl w:ilvl="0">
      <w:lvlJc w:val="left"/>
      <w:lvlText w:val="(%1)"/>
      <w:numFmt w:val="lowerRoman"/>
      <w:start w:val="1"/>
    </w:lvl>
  </w:abstractNum>
  <w:abstractNum w:abstractNumId="468">
    <w:nsid w:val="5F613832"/>
    <w:multiLevelType w:val="hybridMultilevel"/>
    <w:lvl w:ilvl="0">
      <w:lvlJc w:val="left"/>
      <w:lvlText w:val="(%1)"/>
      <w:numFmt w:val="decimal"/>
      <w:start w:val="30"/>
    </w:lvl>
  </w:abstractNum>
  <w:abstractNum w:abstractNumId="469">
    <w:nsid w:val="43E92260"/>
    <w:multiLevelType w:val="hybridMultilevel"/>
    <w:lvl w:ilvl="0">
      <w:lvlJc w:val="left"/>
      <w:lvlText w:val="%1."/>
      <w:numFmt w:val="upperLetter"/>
      <w:start w:val="3"/>
    </w:lvl>
  </w:abstractNum>
  <w:abstractNum w:abstractNumId="470">
    <w:nsid w:val="430A1662"/>
    <w:multiLevelType w:val="hybridMultilevel"/>
    <w:lvl w:ilvl="0">
      <w:lvlJc w:val="left"/>
      <w:lvlText w:val="%1."/>
      <w:numFmt w:val="decimal"/>
      <w:start w:val="3"/>
    </w:lvl>
  </w:abstractNum>
  <w:abstractNum w:abstractNumId="471">
    <w:nsid w:val="1F9D5C18"/>
    <w:multiLevelType w:val="hybridMultilevel"/>
    <w:lvl w:ilvl="0">
      <w:lvlJc w:val="left"/>
      <w:lvlText w:val="%1."/>
      <w:numFmt w:val="decimal"/>
      <w:start w:val="1"/>
    </w:lvl>
  </w:abstractNum>
  <w:abstractNum w:abstractNumId="472">
    <w:nsid w:val="1CC11C37"/>
    <w:multiLevelType w:val="hybridMultilevel"/>
    <w:lvl w:ilvl="0">
      <w:lvlJc w:val="left"/>
      <w:lvlText w:val="%1."/>
      <w:numFmt w:val="decimal"/>
      <w:start w:val="4"/>
    </w:lvl>
  </w:abstractNum>
  <w:abstractNum w:abstractNumId="473">
    <w:nsid w:val="4557D5D8"/>
    <w:multiLevelType w:val="hybridMultilevel"/>
    <w:lvl w:ilvl="0">
      <w:lvlJc w:val="left"/>
      <w:lvlText w:val="%1."/>
      <w:numFmt w:val="decimal"/>
      <w:start w:val="13"/>
    </w:lvl>
  </w:abstractNum>
  <w:abstractNum w:abstractNumId="474">
    <w:nsid w:val="72D2B579"/>
    <w:multiLevelType w:val="hybridMultilevel"/>
    <w:lvl w:ilvl="0">
      <w:lvlJc w:val="left"/>
      <w:lvlText w:val="%1."/>
      <w:numFmt w:val="decimal"/>
      <w:start w:val="19"/>
    </w:lvl>
  </w:abstractNum>
  <w:abstractNum w:abstractNumId="475">
    <w:nsid w:val="6C0BE536"/>
    <w:multiLevelType w:val="hybridMultilevel"/>
    <w:lvl w:ilvl="0">
      <w:lvlJc w:val="left"/>
      <w:lvlText w:val="%1."/>
      <w:numFmt w:val="decimal"/>
      <w:start w:val="25"/>
    </w:lvl>
  </w:abstractNum>
  <w:abstractNum w:abstractNumId="476">
    <w:nsid w:val="1E22BCB2"/>
    <w:multiLevelType w:val="hybridMultilevel"/>
    <w:lvl w:ilvl="0">
      <w:lvlJc w:val="left"/>
      <w:lvlText w:val="%1."/>
      <w:numFmt w:val="decimal"/>
      <w:start w:val="1"/>
    </w:lvl>
  </w:abstractNum>
  <w:abstractNum w:abstractNumId="477">
    <w:nsid w:val="3565F1C8"/>
    <w:multiLevelType w:val="hybridMultilevel"/>
    <w:lvl w:ilvl="0">
      <w:lvlJc w:val="left"/>
      <w:lvlText w:val="%1."/>
      <w:numFmt w:val="decimal"/>
      <w:start w:val="4"/>
    </w:lvl>
  </w:abstractNum>
  <w:abstractNum w:abstractNumId="478">
    <w:nsid w:val="5EA6D896"/>
    <w:multiLevelType w:val="hybridMultilevel"/>
    <w:lvl w:ilvl="0">
      <w:lvlJc w:val="left"/>
      <w:lvlText w:val="%1."/>
      <w:numFmt w:val="decimal"/>
      <w:start w:val="8"/>
    </w:lvl>
  </w:abstractNum>
  <w:abstractNum w:abstractNumId="479">
    <w:nsid w:val="3D096BBF"/>
    <w:multiLevelType w:val="hybridMultilevel"/>
    <w:lvl w:ilvl="0">
      <w:lvlJc w:val="left"/>
      <w:lvlText w:val="%1."/>
      <w:numFmt w:val="decimal"/>
      <w:start w:val="10"/>
    </w:lvl>
  </w:abstractNum>
  <w:abstractNum w:abstractNumId="480">
    <w:nsid w:val="BD6D5B5"/>
    <w:multiLevelType w:val="hybridMultilevel"/>
    <w:lvl w:ilvl="0">
      <w:lvlJc w:val="left"/>
      <w:lvlText w:val="%1."/>
      <w:numFmt w:val="decimal"/>
      <w:start w:val="1"/>
    </w:lvl>
  </w:abstractNum>
  <w:abstractNum w:abstractNumId="481">
    <w:nsid w:val="3B52115C"/>
    <w:multiLevelType w:val="hybridMultilevel"/>
    <w:lvl w:ilvl="0">
      <w:lvlJc w:val="left"/>
      <w:lvlText w:val="%1."/>
      <w:numFmt w:val="decimal"/>
      <w:start w:val="2"/>
    </w:lvl>
  </w:abstractNum>
  <w:abstractNum w:abstractNumId="482">
    <w:nsid w:val="787AA59C"/>
    <w:multiLevelType w:val="hybridMultilevel"/>
    <w:lvl w:ilvl="0">
      <w:lvlJc w:val="left"/>
      <w:lvlText w:val="%1."/>
      <w:numFmt w:val="decimal"/>
      <w:start w:val="1"/>
    </w:lvl>
  </w:abstractNum>
  <w:abstractNum w:abstractNumId="483">
    <w:nsid w:val="70BB9983"/>
    <w:multiLevelType w:val="hybridMultilevel"/>
    <w:lvl w:ilvl="0">
      <w:lvlJc w:val="left"/>
      <w:lvlText w:val="(%1)"/>
      <w:numFmt w:val="decimal"/>
      <w:start w:val="60"/>
    </w:lvl>
  </w:abstractNum>
  <w:abstractNum w:abstractNumId="484">
    <w:nsid w:val="51EEBEEA"/>
    <w:multiLevelType w:val="hybridMultilevel"/>
    <w:lvl w:ilvl="0">
      <w:lvlJc w:val="left"/>
      <w:lvlText w:val="%1."/>
      <w:numFmt w:val="decimal"/>
      <w:start w:val="1"/>
    </w:lvl>
    <w:lvl w:ilvl="1">
      <w:lvlJc w:val="left"/>
      <w:lvlText w:val="-"/>
      <w:numFmt w:val="bullet"/>
      <w:start w:val="1"/>
    </w:lvl>
  </w:abstractNum>
  <w:abstractNum w:abstractNumId="485">
    <w:nsid w:val="221A0CCD"/>
    <w:multiLevelType w:val="hybridMultilevel"/>
    <w:lvl w:ilvl="0">
      <w:lvlJc w:val="left"/>
      <w:lvlText w:val="%1."/>
      <w:numFmt w:val="decimal"/>
      <w:start w:val="3"/>
    </w:lvl>
    <w:lvl w:ilvl="1">
      <w:lvlJc w:val="left"/>
      <w:lvlText w:val="-"/>
      <w:numFmt w:val="bullet"/>
      <w:start w:val="1"/>
    </w:lvl>
  </w:abstractNum>
  <w:abstractNum w:abstractNumId="486">
    <w:nsid w:val="1B7CA0ED"/>
    <w:multiLevelType w:val="hybridMultilevel"/>
    <w:lvl w:ilvl="0">
      <w:lvlJc w:val="left"/>
      <w:lvlText w:val="%1."/>
      <w:numFmt w:val="decimal"/>
      <w:start w:val="1"/>
    </w:lvl>
  </w:abstractNum>
  <w:abstractNum w:abstractNumId="487">
    <w:nsid w:val="2395A7FF"/>
    <w:multiLevelType w:val="hybridMultilevel"/>
    <w:lvl w:ilvl="0">
      <w:lvlJc w:val="left"/>
      <w:lvlText w:val="(%1)"/>
      <w:numFmt w:val="lowerLetter"/>
      <w:start w:val="1"/>
    </w:lvl>
  </w:abstractNum>
  <w:abstractNum w:abstractNumId="488">
    <w:nsid w:val="3965EB66"/>
    <w:multiLevelType w:val="hybridMultilevel"/>
    <w:lvl w:ilvl="0">
      <w:lvlJc w:val="left"/>
      <w:lvlText w:val="%1"/>
      <w:numFmt w:val="lowerLetter"/>
      <w:start w:val="1"/>
    </w:lvl>
    <w:lvl w:ilvl="1">
      <w:lvlJc w:val="left"/>
      <w:lvlText w:val="(%2)"/>
      <w:numFmt w:val="lowerLetter"/>
      <w:start w:val="1"/>
    </w:lvl>
  </w:abstractNum>
  <w:abstractNum w:abstractNumId="489">
    <w:nsid w:val="3AA88B3C"/>
    <w:multiLevelType w:val="hybridMultilevel"/>
    <w:lvl w:ilvl="0">
      <w:lvlJc w:val="left"/>
      <w:lvlText w:val="(%1)"/>
      <w:numFmt w:val="lowerLetter"/>
      <w:start w:val="35"/>
    </w:lvl>
    <w:lvl w:ilvl="1">
      <w:lvlJc w:val="left"/>
      <w:lvlText w:val="(%2)"/>
      <w:numFmt w:val="lowerLetter"/>
      <w:start w:val="2"/>
    </w:lvl>
  </w:abstractNum>
  <w:abstractNum w:abstractNumId="490">
    <w:nsid w:val="26BAF231"/>
    <w:multiLevelType w:val="hybridMultilevel"/>
    <w:lvl w:ilvl="0">
      <w:lvlJc w:val="left"/>
      <w:lvlText w:val="%1."/>
      <w:numFmt w:val="decimal"/>
      <w:start w:val="2"/>
    </w:lvl>
  </w:abstractNum>
  <w:abstractNum w:abstractNumId="491">
    <w:nsid w:val="4B13A15A"/>
    <w:multiLevelType w:val="hybridMultilevel"/>
    <w:lvl w:ilvl="0">
      <w:lvlJc w:val="left"/>
      <w:lvlText w:val="(%1)"/>
      <w:numFmt w:val="lowerLetter"/>
      <w:start w:val="1"/>
    </w:lvl>
  </w:abstractNum>
  <w:abstractNum w:abstractNumId="492">
    <w:nsid w:val="701E8A0D"/>
    <w:multiLevelType w:val="hybridMultilevel"/>
    <w:lvl w:ilvl="0">
      <w:lvlJc w:val="left"/>
      <w:lvlText w:val="(%1)"/>
      <w:numFmt w:val="lowerLetter"/>
      <w:start w:val="3"/>
    </w:lvl>
  </w:abstractNum>
  <w:abstractNum w:abstractNumId="493">
    <w:nsid w:val="41E690CF"/>
    <w:multiLevelType w:val="hybridMultilevel"/>
    <w:lvl w:ilvl="0">
      <w:lvlJc w:val="left"/>
      <w:lvlText w:val="(%1)"/>
      <w:numFmt w:val="lowerLetter"/>
      <w:start w:val="1"/>
    </w:lvl>
  </w:abstractNum>
  <w:abstractNum w:abstractNumId="494">
    <w:nsid w:val="7C6489B6"/>
    <w:multiLevelType w:val="hybridMultilevel"/>
    <w:lvl w:ilvl="0">
      <w:lvlJc w:val="left"/>
      <w:lvlText w:val="(%1)"/>
      <w:numFmt w:val="lowerLetter"/>
      <w:start w:val="1"/>
    </w:lvl>
  </w:abstractNum>
  <w:abstractNum w:abstractNumId="495">
    <w:nsid w:val="53AE65DE"/>
    <w:multiLevelType w:val="hybridMultilevel"/>
    <w:lvl w:ilvl="0">
      <w:lvlJc w:val="left"/>
      <w:lvlText w:val="(%1)"/>
      <w:numFmt w:val="lowerLetter"/>
      <w:start w:val="2"/>
    </w:lvl>
  </w:abstractNum>
  <w:abstractNum w:abstractNumId="496">
    <w:nsid w:val="527F603D"/>
    <w:multiLevelType w:val="hybridMultilevel"/>
    <w:lvl w:ilvl="0">
      <w:lvlJc w:val="left"/>
      <w:lvlText w:val="(%1)"/>
      <w:numFmt w:val="lowerLetter"/>
      <w:start w:val="1"/>
    </w:lvl>
    <w:lvl w:ilvl="1">
      <w:lvlJc w:val="left"/>
      <w:lvlText w:val="(%2)"/>
      <w:numFmt w:val="lowerRoman"/>
      <w:start w:val="1"/>
    </w:lvl>
  </w:abstractNum>
  <w:abstractNum w:abstractNumId="497">
    <w:nsid w:val="7E13D013"/>
    <w:multiLevelType w:val="hybridMultilevel"/>
    <w:lvl w:ilvl="0">
      <w:lvlJc w:val="left"/>
      <w:lvlText w:val="%1"/>
      <w:numFmt w:val="lowerLetter"/>
      <w:start w:val="1"/>
    </w:lvl>
    <w:lvl w:ilvl="1">
      <w:lvlJc w:val="left"/>
      <w:lvlText w:val="(%2)"/>
      <w:numFmt w:val="lowerRoman"/>
      <w:start w:val="1"/>
    </w:lvl>
  </w:abstractNum>
  <w:abstractNum w:abstractNumId="498">
    <w:nsid w:val="663BFE95"/>
    <w:multiLevelType w:val="hybridMultilevel"/>
    <w:lvl w:ilvl="0">
      <w:lvlJc w:val="left"/>
      <w:lvlText w:val="(%1)"/>
      <w:numFmt w:val="lowerLetter"/>
      <w:start w:val="3"/>
    </w:lvl>
    <w:lvl w:ilvl="1">
      <w:lvlJc w:val="left"/>
      <w:lvlText w:val="(%2)"/>
      <w:numFmt w:val="lowerRoman"/>
      <w:start w:val="1"/>
    </w:lvl>
  </w:abstractNum>
  <w:abstractNum w:abstractNumId="499">
    <w:nsid w:val="31E0986F"/>
    <w:multiLevelType w:val="hybridMultilevel"/>
    <w:lvl w:ilvl="0">
      <w:lvlJc w:val="left"/>
      <w:lvlText w:val="%1."/>
      <w:numFmt w:val="decimal"/>
      <w:start w:val="3"/>
    </w:lvl>
  </w:abstractNum>
  <w:abstractNum w:abstractNumId="500">
    <w:nsid w:val="41FCF274"/>
    <w:multiLevelType w:val="hybridMultilevel"/>
    <w:lvl w:ilvl="0">
      <w:lvlJc w:val="left"/>
      <w:lvlText w:val="(%1)"/>
      <w:numFmt w:val="lowerLetter"/>
      <w:start w:val="1"/>
    </w:lvl>
  </w:abstractNum>
  <w:abstractNum w:abstractNumId="501">
    <w:nsid w:val="294614F7"/>
    <w:multiLevelType w:val="hybridMultilevel"/>
    <w:lvl w:ilvl="0">
      <w:lvlJc w:val="left"/>
      <w:lvlText w:val="%1."/>
      <w:numFmt w:val="decimal"/>
      <w:start w:val="4"/>
    </w:lvl>
  </w:abstractNum>
  <w:abstractNum w:abstractNumId="502">
    <w:nsid w:val="517DF487"/>
    <w:multiLevelType w:val="hybridMultilevel"/>
    <w:lvl w:ilvl="0">
      <w:lvlJc w:val="left"/>
      <w:lvlText w:val="(%1)"/>
      <w:numFmt w:val="lowerLetter"/>
      <w:start w:val="1"/>
    </w:lvl>
  </w:abstractNum>
  <w:abstractNum w:abstractNumId="503">
    <w:nsid w:val="5EBE0EAB"/>
    <w:multiLevelType w:val="hybridMultilevel"/>
    <w:lvl w:ilvl="0">
      <w:lvlJc w:val="left"/>
      <w:lvlText w:val="(%1)"/>
      <w:numFmt w:val="lowerLetter"/>
      <w:start w:val="1"/>
    </w:lvl>
  </w:abstractNum>
  <w:abstractNum w:abstractNumId="504">
    <w:nsid w:val="6E9DEAD0"/>
    <w:multiLevelType w:val="hybridMultilevel"/>
    <w:lvl w:ilvl="0">
      <w:lvlJc w:val="left"/>
      <w:lvlText w:val="%1."/>
      <w:numFmt w:val="decimal"/>
      <w:start w:val="5"/>
    </w:lvl>
  </w:abstractNum>
  <w:abstractNum w:abstractNumId="505">
    <w:nsid w:val="4450AA00"/>
    <w:multiLevelType w:val="hybridMultilevel"/>
    <w:lvl w:ilvl="0">
      <w:lvlJc w:val="left"/>
      <w:lvlText w:val="(%1)"/>
      <w:numFmt w:val="lowerLetter"/>
      <w:start w:val="1"/>
    </w:lvl>
  </w:abstractNum>
  <w:abstractNum w:abstractNumId="506">
    <w:nsid w:val="4AC9F3E2"/>
    <w:multiLevelType w:val="hybridMultilevel"/>
    <w:lvl w:ilvl="0">
      <w:lvlJc w:val="left"/>
      <w:lvlText w:val="%1."/>
      <w:numFmt w:val="decimal"/>
      <w:start w:val="6"/>
    </w:lvl>
  </w:abstractNum>
  <w:abstractNum w:abstractNumId="507">
    <w:nsid w:val="CC0A782"/>
    <w:multiLevelType w:val="hybridMultilevel"/>
    <w:lvl w:ilvl="0">
      <w:lvlJc w:val="left"/>
      <w:lvlText w:val="%1."/>
      <w:numFmt w:val="decimal"/>
      <w:start w:val="7"/>
    </w:lvl>
  </w:abstractNum>
  <w:abstractNum w:abstractNumId="508">
    <w:nsid w:val="79B69BC9"/>
    <w:multiLevelType w:val="hybridMultilevel"/>
    <w:lvl w:ilvl="0">
      <w:lvlJc w:val="left"/>
      <w:lvlText w:val="(%1)"/>
      <w:numFmt w:val="lowerLetter"/>
      <w:start w:val="1"/>
    </w:lvl>
  </w:abstractNum>
  <w:abstractNum w:abstractNumId="509">
    <w:nsid w:val="2970CC78"/>
    <w:multiLevelType w:val="hybridMultilevel"/>
    <w:lvl w:ilvl="0">
      <w:lvlJc w:val="left"/>
      <w:lvlText w:val="(%1)"/>
      <w:numFmt w:val="lowerLetter"/>
      <w:start w:val="1"/>
    </w:lvl>
  </w:abstractNum>
  <w:abstractNum w:abstractNumId="510">
    <w:nsid w:val="49CA1341"/>
    <w:multiLevelType w:val="hybridMultilevel"/>
    <w:lvl w:ilvl="0">
      <w:lvlJc w:val="left"/>
      <w:lvlText w:val="(%1)"/>
      <w:numFmt w:val="lowerLetter"/>
      <w:start w:val="2"/>
    </w:lvl>
  </w:abstractNum>
  <w:abstractNum w:abstractNumId="511">
    <w:nsid w:val="58D717E"/>
    <w:multiLevelType w:val="hybridMultilevel"/>
    <w:lvl w:ilvl="0">
      <w:lvlJc w:val="left"/>
      <w:lvlText w:val="(%1)"/>
      <w:numFmt w:val="lowerLetter"/>
      <w:start w:val="1"/>
    </w:lvl>
  </w:abstractNum>
  <w:abstractNum w:abstractNumId="512">
    <w:nsid w:val="64C2DDD5"/>
    <w:multiLevelType w:val="hybridMultilevel"/>
    <w:lvl w:ilvl="0">
      <w:lvlJc w:val="left"/>
      <w:lvlText w:val="%1."/>
      <w:numFmt w:val="decimal"/>
      <w:start w:val="8"/>
    </w:lvl>
  </w:abstractNum>
  <w:abstractNum w:abstractNumId="513">
    <w:nsid w:val="4244B8DE"/>
    <w:multiLevelType w:val="hybridMultilevel"/>
    <w:lvl w:ilvl="0">
      <w:lvlJc w:val="left"/>
      <w:lvlText w:val="%1."/>
      <w:numFmt w:val="decimal"/>
      <w:start w:val="9"/>
    </w:lvl>
  </w:abstractNum>
  <w:abstractNum w:abstractNumId="514">
    <w:nsid w:val="76490B01"/>
    <w:multiLevelType w:val="hybridMultilevel"/>
    <w:lvl w:ilvl="0">
      <w:lvlJc w:val="left"/>
      <w:lvlText w:val="(%1)"/>
      <w:numFmt w:val="lowerLetter"/>
      <w:start w:val="1"/>
    </w:lvl>
  </w:abstractNum>
  <w:abstractNum w:abstractNumId="515">
    <w:nsid w:val="36B19CBF"/>
    <w:multiLevelType w:val="hybridMultilevel"/>
    <w:lvl w:ilvl="0">
      <w:lvlJc w:val="left"/>
      <w:lvlText w:val="(%1)"/>
      <w:numFmt w:val="lowerLetter"/>
      <w:start w:val="2"/>
    </w:lvl>
  </w:abstractNum>
  <w:abstractNum w:abstractNumId="516">
    <w:nsid w:val="645EC5AB"/>
    <w:multiLevelType w:val="hybridMultilevel"/>
    <w:lvl w:ilvl="0">
      <w:lvlJc w:val="left"/>
      <w:lvlText w:val="%1."/>
      <w:numFmt w:val="decimal"/>
      <w:start w:val="1"/>
    </w:lvl>
  </w:abstractNum>
  <w:abstractNum w:abstractNumId="517">
    <w:nsid w:val="11C5ABEF"/>
    <w:multiLevelType w:val="hybridMultilevel"/>
    <w:lvl w:ilvl="0">
      <w:lvlJc w:val="left"/>
      <w:lvlText w:val="(%1)"/>
      <w:numFmt w:val="lowerLetter"/>
      <w:start w:val="1"/>
    </w:lvl>
  </w:abstractNum>
  <w:abstractNum w:abstractNumId="518">
    <w:nsid w:val="5A4744BE"/>
    <w:multiLevelType w:val="hybridMultilevel"/>
    <w:lvl w:ilvl="0">
      <w:lvlJc w:val="left"/>
      <w:lvlText w:val="%1."/>
      <w:numFmt w:val="decimal"/>
      <w:start w:val="2"/>
    </w:lvl>
  </w:abstractNum>
  <w:abstractNum w:abstractNumId="519">
    <w:nsid w:val="1DC4B111"/>
    <w:multiLevelType w:val="hybridMultilevel"/>
    <w:lvl w:ilvl="0">
      <w:lvlJc w:val="left"/>
      <w:lvlText w:val="(%1)"/>
      <w:numFmt w:val="lowerLetter"/>
      <w:start w:val="1"/>
    </w:lvl>
  </w:abstractNum>
  <w:abstractNum w:abstractNumId="520">
    <w:nsid w:val="4C6E372B"/>
    <w:multiLevelType w:val="hybridMultilevel"/>
    <w:lvl w:ilvl="0">
      <w:lvlJc w:val="left"/>
      <w:lvlText w:val="(%1)"/>
      <w:numFmt w:val="lowerLetter"/>
      <w:start w:val="2"/>
    </w:lvl>
  </w:abstractNum>
  <w:abstractNum w:abstractNumId="521">
    <w:nsid w:val="10236EF"/>
    <w:multiLevelType w:val="hybridMultilevel"/>
    <w:lvl w:ilvl="0">
      <w:lvlJc w:val="left"/>
      <w:lvlText w:val="(%1)"/>
      <w:numFmt w:val="lowerLetter"/>
      <w:start w:val="1"/>
    </w:lvl>
  </w:abstractNum>
  <w:abstractNum w:abstractNumId="522">
    <w:nsid w:val="68D8526B"/>
    <w:multiLevelType w:val="hybridMultilevel"/>
    <w:lvl w:ilvl="0">
      <w:lvlJc w:val="left"/>
      <w:lvlText w:val="(%1)"/>
      <w:numFmt w:val="upperLetter"/>
      <w:start w:val="1"/>
    </w:lvl>
  </w:abstractNum>
  <w:abstractNum w:abstractNumId="523">
    <w:nsid w:val="3C8CC138"/>
    <w:multiLevelType w:val="hybridMultilevel"/>
    <w:lvl w:ilvl="0">
      <w:lvlJc w:val="left"/>
      <w:lvlText w:val="%1."/>
      <w:numFmt w:val="decimal"/>
      <w:start w:val="3"/>
    </w:lvl>
  </w:abstractNum>
  <w:abstractNum w:abstractNumId="524">
    <w:nsid w:val="42E8C7BE"/>
    <w:multiLevelType w:val="hybridMultilevel"/>
    <w:lvl w:ilvl="0">
      <w:lvlJc w:val="left"/>
      <w:lvlText w:val="(%1)"/>
      <w:numFmt w:val="lowerLetter"/>
      <w:start w:val="1"/>
    </w:lvl>
  </w:abstractNum>
  <w:abstractNum w:abstractNumId="525">
    <w:nsid w:val="653CDC22"/>
    <w:multiLevelType w:val="hybridMultilevel"/>
    <w:lvl w:ilvl="0">
      <w:lvlJc w:val="left"/>
      <w:lvlText w:val="%1."/>
      <w:numFmt w:val="decimal"/>
      <w:start w:val="4"/>
    </w:lvl>
  </w:abstractNum>
  <w:abstractNum w:abstractNumId="526">
    <w:nsid w:val="103B2716"/>
    <w:multiLevelType w:val="hybridMultilevel"/>
    <w:lvl w:ilvl="0">
      <w:lvlJc w:val="left"/>
      <w:lvlText w:val="%1."/>
      <w:numFmt w:val="decimal"/>
      <w:start w:val="5"/>
    </w:lvl>
    <w:lvl w:ilvl="1">
      <w:lvlJc w:val="left"/>
      <w:lvlText w:val="(%2)"/>
      <w:numFmt w:val="lowerLetter"/>
      <w:start w:val="1"/>
    </w:lvl>
  </w:abstractNum>
  <w:abstractNum w:abstractNumId="527">
    <w:nsid w:val="156827FB"/>
    <w:multiLevelType w:val="hybridMultilevel"/>
    <w:lvl w:ilvl="0">
      <w:lvlJc w:val="left"/>
      <w:lvlText w:val="(%1)"/>
      <w:numFmt w:val="lowerLetter"/>
      <w:start w:val="2"/>
    </w:lvl>
  </w:abstractNum>
  <w:abstractNum w:abstractNumId="528">
    <w:nsid w:val="6350AC35"/>
    <w:multiLevelType w:val="hybridMultilevel"/>
    <w:lvl w:ilvl="0">
      <w:lvlJc w:val="left"/>
      <w:lvlText w:val="(%1)"/>
      <w:numFmt w:val="lowerLetter"/>
      <w:start w:val="1"/>
    </w:lvl>
  </w:abstractNum>
  <w:abstractNum w:abstractNumId="529">
    <w:nsid w:val="767725AB"/>
    <w:multiLevelType w:val="hybridMultilevel"/>
    <w:lvl w:ilvl="0">
      <w:lvlJc w:val="left"/>
      <w:lvlText w:val="%1"/>
      <w:numFmt w:val="decimal"/>
      <w:start w:val="1"/>
    </w:lvl>
    <w:lvl w:ilvl="1">
      <w:lvlJc w:val="left"/>
      <w:lvlText w:val="(%2)"/>
      <w:numFmt w:val="lowerLetter"/>
      <w:start w:val="5"/>
    </w:lvl>
  </w:abstractNum>
  <w:abstractNum w:abstractNumId="530">
    <w:nsid w:val="4748C06A"/>
    <w:multiLevelType w:val="hybridMultilevel"/>
    <w:lvl w:ilvl="0">
      <w:lvlJc w:val="left"/>
      <w:lvlText w:val="%1."/>
      <w:numFmt w:val="decimal"/>
      <w:start w:val="6"/>
    </w:lvl>
    <w:lvl w:ilvl="1">
      <w:lvlJc w:val="left"/>
      <w:lvlText w:val="%2"/>
      <w:numFmt w:val="lowerLetter"/>
      <w:start w:val="1"/>
    </w:lvl>
  </w:abstractNum>
  <w:abstractNum w:abstractNumId="531">
    <w:nsid w:val="254D9EA9"/>
    <w:multiLevelType w:val="hybridMultilevel"/>
    <w:lvl w:ilvl="0">
      <w:lvlJc w:val="left"/>
      <w:lvlText w:val="(%1)"/>
      <w:numFmt w:val="lowerLetter"/>
      <w:start w:val="1"/>
    </w:lvl>
  </w:abstractNum>
  <w:abstractNum w:abstractNumId="532">
    <w:nsid w:val="1FBD3AA3"/>
    <w:multiLevelType w:val="hybridMultilevel"/>
    <w:lvl w:ilvl="0">
      <w:lvlJc w:val="left"/>
      <w:lvlText w:val="%1"/>
      <w:numFmt w:val="decimal"/>
      <w:start w:val="1"/>
    </w:lvl>
    <w:lvl w:ilvl="1">
      <w:lvlJc w:val="left"/>
      <w:lvlText w:val="(%2)"/>
      <w:numFmt w:val="lowerLetter"/>
      <w:start w:val="2"/>
    </w:lvl>
  </w:abstractNum>
  <w:abstractNum w:abstractNumId="533">
    <w:nsid w:val="18C6B4F2"/>
    <w:multiLevelType w:val="hybridMultilevel"/>
    <w:lvl w:ilvl="0">
      <w:lvlJc w:val="left"/>
      <w:lvlText w:val="%1."/>
      <w:numFmt w:val="decimal"/>
      <w:start w:val="7"/>
    </w:lvl>
    <w:lvl w:ilvl="1">
      <w:lvlJc w:val="left"/>
      <w:lvlText w:val="%2"/>
      <w:numFmt w:val="lowerLetter"/>
      <w:start w:val="1"/>
    </w:lvl>
  </w:abstractNum>
  <w:abstractNum w:abstractNumId="534">
    <w:nsid w:val="40BAD55"/>
    <w:multiLevelType w:val="hybridMultilevel"/>
    <w:lvl w:ilvl="0">
      <w:lvlJc w:val="left"/>
      <w:lvlText w:val="(%1)"/>
      <w:numFmt w:val="lowerRoman"/>
      <w:start w:val="1"/>
    </w:lvl>
  </w:abstractNum>
  <w:abstractNum w:abstractNumId="535">
    <w:nsid w:val="E5B2573"/>
    <w:multiLevelType w:val="hybridMultilevel"/>
    <w:lvl w:ilvl="0">
      <w:lvlJc w:val="left"/>
      <w:lvlText w:val="%1."/>
      <w:numFmt w:val="decimal"/>
      <w:start w:val="8"/>
    </w:lvl>
  </w:abstractNum>
  <w:abstractNum w:abstractNumId="536">
    <w:nsid w:val="5D175EF2"/>
    <w:multiLevelType w:val="hybridMultilevel"/>
    <w:lvl w:ilvl="0">
      <w:lvlJc w:val="left"/>
      <w:lvlText w:val="%1."/>
      <w:numFmt w:val="decimal"/>
      <w:start w:val="9"/>
    </w:lvl>
    <w:lvl w:ilvl="1">
      <w:lvlJc w:val="left"/>
      <w:lvlText w:val="(%2)"/>
      <w:numFmt w:val="lowerLetter"/>
      <w:start w:val="1"/>
    </w:lvl>
  </w:abstractNum>
  <w:abstractNum w:abstractNumId="537">
    <w:nsid w:val="4ED5A137"/>
    <w:multiLevelType w:val="hybridMultilevel"/>
    <w:lvl w:ilvl="0">
      <w:lvlJc w:val="left"/>
      <w:lvlText w:val="(%1)"/>
      <w:numFmt w:val="lowerLetter"/>
      <w:start w:val="2"/>
    </w:lvl>
  </w:abstractNum>
  <w:abstractNum w:abstractNumId="538">
    <w:nsid w:val="1B1BCCF5"/>
    <w:multiLevelType w:val="hybridMultilevel"/>
    <w:lvl w:ilvl="0">
      <w:lvlJc w:val="left"/>
      <w:lvlText w:val="(%1)"/>
      <w:numFmt w:val="lowerLetter"/>
      <w:start w:val="1"/>
    </w:lvl>
  </w:abstractNum>
  <w:abstractNum w:abstractNumId="539">
    <w:nsid w:val="56CDFABB"/>
    <w:multiLevelType w:val="hybridMultilevel"/>
    <w:lvl w:ilvl="0">
      <w:lvlJc w:val="left"/>
      <w:lvlText w:val="(%1)"/>
      <w:numFmt w:val="lowerLetter"/>
      <w:start w:val="2"/>
    </w:lvl>
  </w:abstractNum>
  <w:abstractNum w:abstractNumId="540">
    <w:nsid w:val="78466DAF"/>
    <w:multiLevelType w:val="hybridMultilevel"/>
    <w:lvl w:ilvl="0">
      <w:lvlJc w:val="left"/>
      <w:lvlText w:val="%1."/>
      <w:numFmt w:val="decimal"/>
      <w:start w:val="10"/>
    </w:lvl>
  </w:abstractNum>
  <w:abstractNum w:abstractNumId="541">
    <w:nsid w:val="64E5E036"/>
    <w:multiLevelType w:val="hybridMultilevel"/>
    <w:lvl w:ilvl="0">
      <w:lvlJc w:val="left"/>
      <w:lvlText w:val="(%1)"/>
      <w:numFmt w:val="decimal"/>
      <w:start w:val="10"/>
    </w:lvl>
    <w:lvl w:ilvl="1">
      <w:lvlJc w:val="left"/>
      <w:lvlText w:val="(%2)"/>
      <w:numFmt w:val="lowerLetter"/>
      <w:start w:val="1"/>
    </w:lvl>
  </w:abstractNum>
  <w:abstractNum w:abstractNumId="542">
    <w:nsid w:val="5C5B6C3A"/>
    <w:multiLevelType w:val="hybridMultilevel"/>
    <w:lvl w:ilvl="0">
      <w:lvlJc w:val="left"/>
      <w:lvlText w:val="%1."/>
      <w:numFmt w:val="decimal"/>
      <w:start w:val="11"/>
    </w:lvl>
  </w:abstractNum>
  <w:abstractNum w:abstractNumId="543">
    <w:nsid w:val="5D094B84"/>
    <w:multiLevelType w:val="hybridMultilevel"/>
    <w:lvl w:ilvl="0">
      <w:lvlJc w:val="left"/>
      <w:lvlText w:val="%1."/>
      <w:numFmt w:val="decimal"/>
      <w:start w:val="12"/>
    </w:lvl>
    <w:lvl w:ilvl="1">
      <w:lvlJc w:val="left"/>
      <w:lvlText w:val="(%2)"/>
      <w:numFmt w:val="lowerLetter"/>
      <w:start w:val="1"/>
    </w:lvl>
  </w:abstractNum>
  <w:abstractNum w:abstractNumId="544">
    <w:nsid w:val="272A9914"/>
    <w:multiLevelType w:val="hybridMultilevel"/>
    <w:lvl w:ilvl="0">
      <w:lvlJc w:val="left"/>
      <w:lvlText w:val="(%1)"/>
      <w:numFmt w:val="lowerLetter"/>
      <w:start w:val="3"/>
    </w:lvl>
  </w:abstractNum>
  <w:abstractNum w:abstractNumId="545">
    <w:nsid w:val="52A4773B"/>
    <w:multiLevelType w:val="hybridMultilevel"/>
    <w:lvl w:ilvl="0">
      <w:lvlJc w:val="left"/>
      <w:lvlText w:val="(%1)"/>
      <w:numFmt w:val="lowerLetter"/>
      <w:start w:val="1"/>
    </w:lvl>
  </w:abstractNum>
  <w:abstractNum w:abstractNumId="546">
    <w:nsid w:val="13BAE843"/>
    <w:multiLevelType w:val="hybridMultilevel"/>
    <w:lvl w:ilvl="0">
      <w:lvlJc w:val="left"/>
      <w:lvlText w:val="(%1)"/>
      <w:numFmt w:val="lowerLetter"/>
      <w:start w:val="8"/>
    </w:lvl>
  </w:abstractNum>
  <w:abstractNum w:abstractNumId="547">
    <w:nsid w:val="B895EBF"/>
    <w:multiLevelType w:val="hybridMultilevel"/>
    <w:lvl w:ilvl="0">
      <w:lvlJc w:val="left"/>
      <w:lvlText w:val="%1."/>
      <w:numFmt w:val="decimal"/>
      <w:start w:val="13"/>
    </w:lvl>
  </w:abstractNum>
  <w:abstractNum w:abstractNumId="548">
    <w:nsid w:val="646A232A"/>
    <w:multiLevelType w:val="hybridMultilevel"/>
    <w:lvl w:ilvl="0">
      <w:lvlJc w:val="left"/>
      <w:lvlText w:val="%1."/>
      <w:numFmt w:val="decimal"/>
      <w:start w:val="14"/>
    </w:lvl>
  </w:abstractNum>
  <w:abstractNum w:abstractNumId="549">
    <w:nsid w:val="6E022D01"/>
    <w:multiLevelType w:val="hybridMultilevel"/>
    <w:lvl w:ilvl="0">
      <w:lvlJc w:val="left"/>
      <w:lvlText w:val="(%1)"/>
      <w:numFmt w:val="lowerLetter"/>
      <w:start w:val="1"/>
    </w:lvl>
  </w:abstractNum>
  <w:abstractNum w:abstractNumId="550">
    <w:nsid w:val="294E0FD0"/>
    <w:multiLevelType w:val="hybridMultilevel"/>
    <w:lvl w:ilvl="0">
      <w:lvlJc w:val="left"/>
      <w:lvlText w:val="(%1)"/>
      <w:numFmt w:val="lowerLetter"/>
      <w:start w:val="2"/>
    </w:lvl>
    <w:lvl w:ilvl="1">
      <w:lvlJc w:val="left"/>
      <w:lvlText w:val="(%2)"/>
      <w:numFmt w:val="lowerRoman"/>
      <w:start w:val="1"/>
    </w:lvl>
  </w:abstractNum>
  <w:abstractNum w:abstractNumId="551">
    <w:nsid w:val="30D85A55"/>
    <w:multiLevelType w:val="hybridMultilevel"/>
    <w:lvl w:ilvl="0">
      <w:lvlJc w:val="left"/>
      <w:lvlText w:val="(%1)"/>
      <w:numFmt w:val="lowerLetter"/>
      <w:start w:val="4"/>
    </w:lvl>
    <w:lvl w:ilvl="1">
      <w:lvlJc w:val="left"/>
      <w:lvlText w:val="(%2)"/>
      <w:numFmt w:val="lowerRoman"/>
      <w:start w:val="1"/>
    </w:lvl>
  </w:abstractNum>
  <w:abstractNum w:abstractNumId="552">
    <w:nsid w:val="6F0463F1"/>
    <w:multiLevelType w:val="hybridMultilevel"/>
    <w:lvl w:ilvl="0">
      <w:lvlJc w:val="left"/>
      <w:lvlText w:val="%1"/>
      <w:numFmt w:val="lowerLetter"/>
      <w:start w:val="1"/>
    </w:lvl>
    <w:lvl w:ilvl="1">
      <w:lvlJc w:val="left"/>
      <w:lvlText w:val="(%2)"/>
      <w:numFmt w:val="lowerRoman"/>
      <w:start w:val="1"/>
    </w:lvl>
  </w:abstractNum>
  <w:abstractNum w:abstractNumId="553">
    <w:nsid w:val="1226623C"/>
    <w:multiLevelType w:val="hybridMultilevel"/>
    <w:lvl w:ilvl="0">
      <w:lvlJc w:val="left"/>
      <w:lvlText w:val="(%1)"/>
      <w:numFmt w:val="lowerLetter"/>
      <w:start w:val="6"/>
    </w:lvl>
    <w:lvl w:ilvl="1">
      <w:lvlJc w:val="left"/>
      <w:lvlText w:val="(%2)"/>
      <w:numFmt w:val="lowerRoman"/>
      <w:start w:val="1"/>
    </w:lvl>
  </w:abstractNum>
  <w:abstractNum w:abstractNumId="554">
    <w:nsid w:val="6D651B8D"/>
    <w:multiLevelType w:val="hybridMultilevel"/>
    <w:lvl w:ilvl="0">
      <w:lvlJc w:val="left"/>
      <w:lvlText w:val="(%1)"/>
      <w:numFmt w:val="lowerRoman"/>
      <w:start w:val="2"/>
    </w:lvl>
  </w:abstractNum>
  <w:abstractNum w:abstractNumId="555">
    <w:nsid w:val="31ED2BAF"/>
    <w:multiLevelType w:val="hybridMultilevel"/>
    <w:lvl w:ilvl="0">
      <w:lvlJc w:val="left"/>
      <w:lvlText w:val="%1."/>
      <w:numFmt w:val="decimal"/>
      <w:start w:val="15"/>
    </w:lvl>
  </w:abstractNum>
  <w:abstractNum w:abstractNumId="556">
    <w:nsid w:val="77633E5E"/>
    <w:multiLevelType w:val="hybridMultilevel"/>
    <w:lvl w:ilvl="0">
      <w:lvlJc w:val="left"/>
      <w:lvlText w:val="%1."/>
      <w:numFmt w:val="decimal"/>
      <w:start w:val="1"/>
    </w:lvl>
  </w:abstractNum>
  <w:abstractNum w:abstractNumId="557">
    <w:nsid w:val="7DA042A3"/>
    <w:multiLevelType w:val="hybridMultilevel"/>
    <w:lvl w:ilvl="0">
      <w:lvlJc w:val="left"/>
      <w:lvlText w:val="(%1)"/>
      <w:numFmt w:val="lowerLetter"/>
      <w:start w:val="1"/>
    </w:lvl>
  </w:abstractNum>
  <w:abstractNum w:abstractNumId="558">
    <w:nsid w:val="475553AB"/>
    <w:multiLevelType w:val="hybridMultilevel"/>
    <w:lvl w:ilvl="0">
      <w:lvlJc w:val="left"/>
      <w:lvlText w:val="%1."/>
      <w:numFmt w:val="decimal"/>
      <w:start w:val="3"/>
    </w:lvl>
  </w:abstractNum>
  <w:abstractNum w:abstractNumId="559">
    <w:nsid w:val="5AB3EA93"/>
    <w:multiLevelType w:val="hybridMultilevel"/>
    <w:lvl w:ilvl="0">
      <w:lvlJc w:val="left"/>
      <w:lvlText w:val="%1."/>
      <w:numFmt w:val="decimal"/>
      <w:start w:val="1"/>
    </w:lvl>
  </w:abstractNum>
  <w:abstractNum w:abstractNumId="560">
    <w:nsid w:val="7417684F"/>
    <w:multiLevelType w:val="hybridMultilevel"/>
    <w:lvl w:ilvl="0">
      <w:lvlJc w:val="left"/>
      <w:lvlText w:val="\endash "/>
      <w:numFmt w:val="bullet"/>
      <w:start w:val="1"/>
    </w:lvl>
  </w:abstractNum>
  <w:abstractNum w:abstractNumId="561">
    <w:nsid w:val="E9E1415"/>
    <w:multiLevelType w:val="hybridMultilevel"/>
    <w:lvl w:ilvl="0">
      <w:lvlJc w:val="left"/>
      <w:lvlText w:val="%1."/>
      <w:numFmt w:val="decimal"/>
      <w:start w:val="2"/>
    </w:lvl>
  </w:abstractNum>
  <w:abstractNum w:abstractNumId="562">
    <w:nsid w:val="1893D"/>
    <w:multiLevelType w:val="hybridMultilevel"/>
    <w:lvl w:ilvl="0">
      <w:lvlJc w:val="left"/>
      <w:lvlText w:val="(%1)"/>
      <w:numFmt w:val="lowerLetter"/>
      <w:start w:val="1"/>
    </w:lvl>
  </w:abstractNum>
  <w:abstractNum w:abstractNumId="563">
    <w:nsid w:val="13D4A2F2"/>
    <w:multiLevelType w:val="hybridMultilevel"/>
    <w:lvl w:ilvl="0">
      <w:lvlJc w:val="left"/>
      <w:lvlText w:val="%1."/>
      <w:numFmt w:val="decimal"/>
      <w:start w:val="3"/>
    </w:lvl>
  </w:abstractNum>
  <w:abstractNum w:abstractNumId="564">
    <w:nsid w:val="2764C907"/>
    <w:multiLevelType w:val="hybridMultilevel"/>
    <w:lvl w:ilvl="0">
      <w:lvlJc w:val="left"/>
      <w:lvlText w:val="%1."/>
      <w:numFmt w:val="decimal"/>
      <w:start w:val="4"/>
    </w:lvl>
  </w:abstractNum>
  <w:abstractNum w:abstractNumId="565">
    <w:nsid w:val="40D3692"/>
    <w:multiLevelType w:val="hybridMultilevel"/>
    <w:lvl w:ilvl="0">
      <w:lvlJc w:val="left"/>
      <w:lvlText w:val="(%1)"/>
      <w:numFmt w:val="lowerRoman"/>
      <w:start w:val="1"/>
    </w:lvl>
  </w:abstractNum>
  <w:abstractNum w:abstractNumId="566">
    <w:nsid w:val="222FC865"/>
    <w:multiLevelType w:val="hybridMultilevel"/>
    <w:lvl w:ilvl="0">
      <w:lvlJc w:val="left"/>
      <w:lvlText w:val="(%1)"/>
      <w:numFmt w:val="lowerLetter"/>
      <w:start w:val="2"/>
    </w:lvl>
    <w:lvl w:ilvl="1">
      <w:lvlJc w:val="left"/>
      <w:lvlText w:val="(%2)"/>
      <w:numFmt w:val="lowerRoman"/>
      <w:start w:val="1"/>
    </w:lvl>
  </w:abstractNum>
  <w:abstractNum w:abstractNumId="567">
    <w:nsid w:val="47C27FA"/>
    <w:multiLevelType w:val="hybridMultilevel"/>
    <w:lvl w:ilvl="0">
      <w:lvlJc w:val="left"/>
      <w:lvlText w:val="(%1)"/>
      <w:numFmt w:val="decimal"/>
      <w:start w:val="1"/>
    </w:lvl>
  </w:abstractNum>
  <w:abstractNum w:abstractNumId="568">
    <w:nsid w:val="52E2D7C9"/>
    <w:multiLevelType w:val="hybridMultilevel"/>
    <w:lvl w:ilvl="0">
      <w:lvlJc w:val="left"/>
      <w:lvlText w:val="(%1)"/>
      <w:numFmt w:val="lowerRoman"/>
      <w:start w:val="3"/>
    </w:lvl>
  </w:abstractNum>
  <w:abstractNum w:abstractNumId="569">
    <w:nsid w:val="3D4B955A"/>
    <w:multiLevelType w:val="hybridMultilevel"/>
    <w:lvl w:ilvl="0">
      <w:lvlJc w:val="left"/>
      <w:lvlText w:val="(%1)"/>
      <w:numFmt w:val="lowerLetter"/>
      <w:start w:val="1"/>
    </w:lvl>
  </w:abstractNum>
  <w:abstractNum w:abstractNumId="570">
    <w:nsid w:val="5B4A22B5"/>
    <w:multiLevelType w:val="hybridMultilevel"/>
    <w:lvl w:ilvl="0">
      <w:lvlJc w:val="left"/>
      <w:lvlText w:val="(%1)"/>
      <w:numFmt w:val="lowerLetter"/>
      <w:start w:val="1"/>
    </w:lvl>
  </w:abstractNum>
  <w:abstractNum w:abstractNumId="571">
    <w:nsid w:val="4B294578"/>
    <w:multiLevelType w:val="hybridMultilevel"/>
    <w:lvl w:ilvl="0">
      <w:lvlJc w:val="left"/>
      <w:lvlText w:val="%1."/>
      <w:numFmt w:val="decimal"/>
      <w:start w:val="5"/>
    </w:lvl>
  </w:abstractNum>
  <w:abstractNum w:abstractNumId="572">
    <w:nsid w:val="22317590"/>
    <w:multiLevelType w:val="hybridMultilevel"/>
    <w:lvl w:ilvl="0">
      <w:lvlJc w:val="left"/>
      <w:lvlText w:val="%1."/>
      <w:numFmt w:val="decimal"/>
      <w:start w:val="6"/>
    </w:lvl>
  </w:abstractNum>
  <w:abstractNum w:abstractNumId="573">
    <w:nsid w:val="37A58EEF"/>
    <w:multiLevelType w:val="hybridMultilevel"/>
    <w:lvl w:ilvl="0">
      <w:lvlJc w:val="left"/>
      <w:lvlText w:val="(%1)"/>
      <w:numFmt w:val="lowerLetter"/>
      <w:start w:val="1"/>
    </w:lvl>
  </w:abstractNum>
  <w:abstractNum w:abstractNumId="574">
    <w:nsid w:val="283290FD"/>
    <w:multiLevelType w:val="hybridMultilevel"/>
    <w:lvl w:ilvl="0">
      <w:lvlJc w:val="left"/>
      <w:lvlText w:val="%1"/>
      <w:numFmt w:val="decimal"/>
      <w:start w:val="1"/>
    </w:lvl>
    <w:lvl w:ilvl="1">
      <w:lvlJc w:val="left"/>
      <w:lvlText w:val="(%2)"/>
      <w:numFmt w:val="lowerLetter"/>
      <w:start w:val="2"/>
    </w:lvl>
  </w:abstractNum>
  <w:abstractNum w:abstractNumId="575">
    <w:nsid w:val="495C0EA5"/>
    <w:multiLevelType w:val="hybridMultilevel"/>
    <w:lvl w:ilvl="0">
      <w:lvlJc w:val="left"/>
      <w:lvlText w:val="(%1)"/>
      <w:numFmt w:val="decimal"/>
      <w:start w:val="30"/>
    </w:lvl>
    <w:lvl w:ilvl="1">
      <w:lvlJc w:val="left"/>
      <w:lvlText w:val="%2"/>
      <w:numFmt w:val="lowerLetter"/>
      <w:start w:val="1"/>
    </w:lvl>
  </w:abstractNum>
  <w:abstractNum w:abstractNumId="576">
    <w:nsid w:val="A4A062B"/>
    <w:multiLevelType w:val="hybridMultilevel"/>
    <w:lvl w:ilvl="0">
      <w:lvlJc w:val="left"/>
      <w:lvlText w:val="(%1)"/>
      <w:numFmt w:val="lowerLetter"/>
      <w:start w:val="1"/>
    </w:lvl>
  </w:abstractNum>
  <w:abstractNum w:abstractNumId="577">
    <w:nsid w:val="3BED7940"/>
    <w:multiLevelType w:val="hybridMultilevel"/>
    <w:lvl w:ilvl="0">
      <w:lvlJc w:val="left"/>
      <w:lvlText w:val="%1."/>
      <w:numFmt w:val="decimal"/>
      <w:start w:val="7"/>
    </w:lvl>
  </w:abstractNum>
  <w:abstractNum w:abstractNumId="578">
    <w:nsid w:val="54E56D64"/>
    <w:multiLevelType w:val="hybridMultilevel"/>
    <w:lvl w:ilvl="0">
      <w:lvlJc w:val="left"/>
      <w:lvlText w:val="(%1)"/>
      <w:numFmt w:val="lowerLetter"/>
      <w:start w:val="1"/>
    </w:lvl>
  </w:abstractNum>
  <w:abstractNum w:abstractNumId="579">
    <w:nsid w:val="6EB42955"/>
    <w:multiLevelType w:val="hybridMultilevel"/>
    <w:lvl w:ilvl="0">
      <w:lvlJc w:val="left"/>
      <w:lvlText w:val="%1."/>
      <w:numFmt w:val="decimal"/>
      <w:start w:val="8"/>
    </w:lvl>
  </w:abstractNum>
  <w:abstractNum w:abstractNumId="580">
    <w:nsid w:val="29EFA642"/>
    <w:multiLevelType w:val="hybridMultilevel"/>
    <w:lvl w:ilvl="0">
      <w:lvlJc w:val="left"/>
      <w:lvlText w:val="(%1)"/>
      <w:numFmt w:val="lowerLetter"/>
      <w:start w:val="1"/>
    </w:lvl>
  </w:abstractNum>
  <w:abstractNum w:abstractNumId="581">
    <w:nsid w:val="7E337D35"/>
    <w:multiLevelType w:val="hybridMultilevel"/>
    <w:lvl w:ilvl="0">
      <w:lvlJc w:val="left"/>
      <w:lvlText w:val="%1."/>
      <w:numFmt w:val="decimal"/>
      <w:start w:val="9"/>
    </w:lvl>
  </w:abstractNum>
  <w:abstractNum w:abstractNumId="582">
    <w:nsid w:val="1F8C83AB"/>
    <w:multiLevelType w:val="hybridMultilevel"/>
    <w:lvl w:ilvl="0">
      <w:lvlJc w:val="left"/>
      <w:lvlText w:val="%1."/>
      <w:numFmt w:val="decimal"/>
      <w:start w:val="10"/>
    </w:lvl>
  </w:abstractNum>
  <w:abstractNum w:abstractNumId="583">
    <w:nsid w:val="18F40A33"/>
    <w:multiLevelType w:val="hybridMultilevel"/>
    <w:lvl w:ilvl="0">
      <w:lvlJc w:val="left"/>
      <w:lvlText w:val="%1."/>
      <w:numFmt w:val="decimal"/>
      <w:start w:val="11"/>
    </w:lvl>
  </w:abstractNum>
  <w:abstractNum w:abstractNumId="584">
    <w:nsid w:val="1059DF71"/>
    <w:multiLevelType w:val="hybridMultilevel"/>
    <w:lvl w:ilvl="0">
      <w:lvlJc w:val="left"/>
      <w:lvlText w:val="%1."/>
      <w:numFmt w:val="decimal"/>
      <w:start w:val="12"/>
    </w:lvl>
  </w:abstractNum>
  <w:abstractNum w:abstractNumId="585">
    <w:nsid w:val="CF19F38"/>
    <w:multiLevelType w:val="hybridMultilevel"/>
    <w:lvl w:ilvl="0">
      <w:lvlJc w:val="left"/>
      <w:lvlText w:val="%1."/>
      <w:numFmt w:val="decimal"/>
      <w:start w:val="13"/>
    </w:lvl>
  </w:abstractNum>
  <w:abstractNum w:abstractNumId="586">
    <w:nsid w:val="4AE135E2"/>
    <w:multiLevelType w:val="hybridMultilevel"/>
    <w:lvl w:ilvl="0">
      <w:lvlJc w:val="left"/>
      <w:lvlText w:val="%1."/>
      <w:numFmt w:val="decimal"/>
      <w:start w:val="14"/>
    </w:lvl>
  </w:abstractNum>
  <w:abstractNum w:abstractNumId="587">
    <w:nsid w:val="7BD1DCF"/>
    <w:multiLevelType w:val="hybridMultilevel"/>
    <w:lvl w:ilvl="0">
      <w:lvlJc w:val="left"/>
      <w:lvlText w:val="%1."/>
      <w:numFmt w:val="decimal"/>
      <w:start w:val="15"/>
    </w:lvl>
  </w:abstractNum>
  <w:abstractNum w:abstractNumId="588">
    <w:nsid w:val="A91E1DC"/>
    <w:multiLevelType w:val="hybridMultilevel"/>
    <w:lvl w:ilvl="0">
      <w:lvlJc w:val="left"/>
      <w:lvlText w:val="%1."/>
      <w:numFmt w:val="decimal"/>
      <w:start w:val="16"/>
    </w:lvl>
  </w:abstractNum>
  <w:abstractNum w:abstractNumId="589">
    <w:nsid w:val="1236898D"/>
    <w:multiLevelType w:val="hybridMultilevel"/>
    <w:lvl w:ilvl="0">
      <w:lvlJc w:val="left"/>
      <w:lvlText w:val="%1."/>
      <w:numFmt w:val="decimal"/>
      <w:start w:val="17"/>
    </w:lvl>
  </w:abstractNum>
  <w:abstractNum w:abstractNumId="590">
    <w:nsid w:val="62710862"/>
    <w:multiLevelType w:val="hybridMultilevel"/>
    <w:lvl w:ilvl="0">
      <w:lvlJc w:val="left"/>
      <w:lvlText w:val="%1."/>
      <w:numFmt w:val="decimal"/>
      <w:start w:val="1"/>
    </w:lvl>
    <w:lvl w:ilvl="1">
      <w:lvlJc w:val="left"/>
      <w:lvlText w:val="(%2)"/>
      <w:numFmt w:val="lowerLetter"/>
      <w:start w:val="1"/>
    </w:lvl>
  </w:abstractNum>
  <w:abstractNum w:abstractNumId="591">
    <w:nsid w:val="7EA94A2B"/>
    <w:multiLevelType w:val="hybridMultilevel"/>
    <w:lvl w:ilvl="0">
      <w:lvlJc w:val="left"/>
      <w:lvlText w:val="%1."/>
      <w:numFmt w:val="decimal"/>
      <w:start w:val="3"/>
    </w:lvl>
  </w:abstractNum>
  <w:abstractNum w:abstractNumId="592">
    <w:nsid w:val="20D49DA3"/>
    <w:multiLevelType w:val="hybridMultilevel"/>
    <w:lvl w:ilvl="0">
      <w:lvlJc w:val="left"/>
      <w:lvlText w:val="%1."/>
      <w:numFmt w:val="decimal"/>
      <w:start w:val="5"/>
    </w:lvl>
  </w:abstractNum>
  <w:abstractNum w:abstractNumId="593">
    <w:nsid w:val="6272919F"/>
    <w:multiLevelType w:val="hybridMultilevel"/>
    <w:lvl w:ilvl="0">
      <w:lvlJc w:val="left"/>
      <w:lvlText w:val="%1."/>
      <w:numFmt w:val="decimal"/>
      <w:start w:val="6"/>
    </w:lvl>
  </w:abstractNum>
  <w:abstractNum w:abstractNumId="594">
    <w:nsid w:val="127DED1D"/>
    <w:multiLevelType w:val="hybridMultilevel"/>
    <w:lvl w:ilvl="0">
      <w:lvlJc w:val="left"/>
      <w:lvlText w:val="(%1)"/>
      <w:numFmt w:val="lowerRoman"/>
      <w:start w:val="1"/>
    </w:lvl>
    <w:lvl w:ilvl="1">
      <w:lvlJc w:val="left"/>
      <w:lvlText w:val="(%2)"/>
      <w:numFmt w:val="decimal"/>
      <w:start w:val="1"/>
    </w:lvl>
  </w:abstractNum>
  <w:abstractNum w:abstractNumId="595">
    <w:nsid w:val="483966AA"/>
    <w:multiLevelType w:val="hybridMultilevel"/>
    <w:lvl w:ilvl="0">
      <w:lvlJc w:val="left"/>
      <w:lvlText w:val="%1."/>
      <w:numFmt w:val="decimal"/>
      <w:start w:val="8"/>
    </w:lvl>
  </w:abstractNum>
  <w:abstractNum w:abstractNumId="596">
    <w:nsid w:val="667FC831"/>
    <w:multiLevelType w:val="hybridMultilevel"/>
    <w:lvl w:ilvl="0">
      <w:lvlJc w:val="left"/>
      <w:lvlText w:val="%1"/>
      <w:numFmt w:val="decimal"/>
      <w:start w:val="1"/>
    </w:lvl>
    <w:lvl w:ilvl="1">
      <w:lvlJc w:val="left"/>
      <w:lvlText w:val="(%2)"/>
      <w:numFmt w:val="lowerLetter"/>
      <w:start w:val="1"/>
    </w:lvl>
  </w:abstractNum>
  <w:abstractNum w:abstractNumId="597">
    <w:nsid w:val="34ADB582"/>
    <w:multiLevelType w:val="hybridMultilevel"/>
    <w:lvl w:ilvl="0">
      <w:lvlJc w:val="left"/>
      <w:lvlText w:val="%1."/>
      <w:numFmt w:val="decimal"/>
      <w:start w:val="10"/>
    </w:lvl>
    <w:lvl w:ilvl="1">
      <w:lvlJc w:val="left"/>
      <w:lvlText w:val="%2"/>
      <w:numFmt w:val="lowerLetter"/>
      <w:start w:val="1"/>
    </w:lvl>
  </w:abstractNum>
  <w:abstractNum w:abstractNumId="598">
    <w:nsid w:val="4CB58EA4"/>
    <w:multiLevelType w:val="hybridMultilevel"/>
    <w:lvl w:ilvl="0">
      <w:lvlJc w:val="left"/>
      <w:lvlText w:val="%1."/>
      <w:numFmt w:val="decimal"/>
      <w:start w:val="11"/>
    </w:lvl>
  </w:abstractNum>
  <w:abstractNum w:abstractNumId="599">
    <w:nsid w:val="39629FFA"/>
    <w:multiLevelType w:val="hybridMultilevel"/>
    <w:lvl w:ilvl="0">
      <w:lvlJc w:val="left"/>
      <w:lvlText w:val="%1."/>
      <w:numFmt w:val="decimal"/>
      <w:start w:val="12"/>
    </w:lvl>
  </w:abstractNum>
  <w:abstractNum w:abstractNumId="600">
    <w:nsid w:val="71F94ADC"/>
    <w:multiLevelType w:val="hybridMultilevel"/>
    <w:lvl w:ilvl="0">
      <w:lvlJc w:val="left"/>
      <w:lvlText w:val="%1."/>
      <w:numFmt w:val="decimal"/>
      <w:start w:val="13"/>
    </w:lvl>
  </w:abstractNum>
  <w:abstractNum w:abstractNumId="601">
    <w:nsid w:val="27FFB15A"/>
    <w:multiLevelType w:val="hybridMultilevel"/>
    <w:lvl w:ilvl="0">
      <w:lvlJc w:val="left"/>
      <w:lvlText w:val="(%1)"/>
      <w:numFmt w:val="lowerLetter"/>
      <w:start w:val="3"/>
    </w:lvl>
  </w:abstractNum>
  <w:abstractNum w:abstractNumId="602">
    <w:nsid w:val="48BE573"/>
    <w:multiLevelType w:val="hybridMultilevel"/>
    <w:lvl w:ilvl="0">
      <w:lvlJc w:val="left"/>
      <w:lvlText w:val="%1."/>
      <w:numFmt w:val="decimal"/>
      <w:start w:val="14"/>
    </w:lvl>
  </w:abstractNum>
  <w:abstractNum w:abstractNumId="603">
    <w:nsid w:val="142AC06C"/>
    <w:multiLevelType w:val="hybridMultilevel"/>
    <w:lvl w:ilvl="0">
      <w:lvlJc w:val="left"/>
      <w:lvlText w:val="%1."/>
      <w:numFmt w:val="decimal"/>
      <w:start w:val="15"/>
    </w:lvl>
  </w:abstractNum>
  <w:abstractNum w:abstractNumId="604">
    <w:nsid w:val="5FA54049"/>
    <w:multiLevelType w:val="hybridMultilevel"/>
    <w:lvl w:ilvl="0">
      <w:lvlJc w:val="left"/>
      <w:lvlText w:val="%1."/>
      <w:numFmt w:val="decimal"/>
      <w:start w:val="16"/>
    </w:lvl>
  </w:abstractNum>
  <w:abstractNum w:abstractNumId="605">
    <w:nsid w:val="2CBE7670"/>
    <w:multiLevelType w:val="hybridMultilevel"/>
    <w:lvl w:ilvl="0">
      <w:lvlJc w:val="left"/>
      <w:lvlText w:val="%1."/>
      <w:numFmt w:val="decimal"/>
      <w:start w:val="17"/>
    </w:lvl>
  </w:abstractNum>
  <w:abstractNum w:abstractNumId="606">
    <w:nsid w:val="5D86CF11"/>
    <w:multiLevelType w:val="hybridMultilevel"/>
    <w:lvl w:ilvl="0">
      <w:lvlJc w:val="left"/>
      <w:lvlText w:val="%1."/>
      <w:numFmt w:val="decimal"/>
      <w:start w:val="18"/>
    </w:lvl>
  </w:abstractNum>
  <w:abstractNum w:abstractNumId="607">
    <w:nsid w:val="69EF4674"/>
    <w:multiLevelType w:val="hybridMultilevel"/>
    <w:lvl w:ilvl="0">
      <w:lvlJc w:val="left"/>
      <w:lvlText w:val="%1."/>
      <w:numFmt w:val="decimal"/>
      <w:start w:val="1"/>
    </w:lvl>
  </w:abstractNum>
  <w:abstractNum w:abstractNumId="608">
    <w:nsid w:val="68ABEFB0"/>
    <w:multiLevelType w:val="hybridMultilevel"/>
    <w:lvl w:ilvl="0">
      <w:lvlJc w:val="left"/>
      <w:lvlText w:val="%1."/>
      <w:numFmt w:val="decimal"/>
      <w:start w:val="3"/>
    </w:lvl>
  </w:abstractNum>
  <w:abstractNum w:abstractNumId="609">
    <w:nsid w:val="326C3C76"/>
    <w:multiLevelType w:val="hybridMultilevel"/>
    <w:lvl w:ilvl="0">
      <w:lvlJc w:val="left"/>
      <w:lvlText w:val="%1."/>
      <w:numFmt w:val="decimal"/>
      <w:start w:val="1"/>
    </w:lvl>
  </w:abstractNum>
  <w:abstractNum w:abstractNumId="610">
    <w:nsid w:val="58A36FCA"/>
    <w:multiLevelType w:val="hybridMultilevel"/>
    <w:lvl w:ilvl="0">
      <w:lvlJc w:val="left"/>
      <w:lvlText w:val="%1."/>
      <w:numFmt w:val="decimal"/>
      <w:start w:val="2"/>
    </w:lvl>
  </w:abstractNum>
  <w:abstractNum w:abstractNumId="611">
    <w:nsid w:val="129B95F2"/>
    <w:multiLevelType w:val="hybridMultilevel"/>
    <w:lvl w:ilvl="0">
      <w:lvlJc w:val="left"/>
      <w:lvlText w:val="%1."/>
      <w:numFmt w:val="decimal"/>
      <w:start w:val="3"/>
    </w:lvl>
  </w:abstractNum>
  <w:abstractNum w:abstractNumId="612">
    <w:nsid w:val="309FB9AB"/>
    <w:multiLevelType w:val="hybridMultilevel"/>
    <w:lvl w:ilvl="0">
      <w:lvlJc w:val="left"/>
      <w:lvlText w:val="%1."/>
      <w:numFmt w:val="decimal"/>
      <w:start w:val="4"/>
    </w:lvl>
  </w:abstractNum>
  <w:abstractNum w:abstractNumId="613">
    <w:nsid w:val="782FF375"/>
    <w:multiLevelType w:val="hybridMultilevel"/>
    <w:lvl w:ilvl="0">
      <w:lvlJc w:val="left"/>
      <w:lvlText w:val="%1."/>
      <w:numFmt w:val="decimal"/>
      <w:start w:val="5"/>
    </w:lvl>
  </w:abstractNum>
  <w:abstractNum w:abstractNumId="614">
    <w:nsid w:val="2B8FA025"/>
    <w:multiLevelType w:val="hybridMultilevel"/>
    <w:lvl w:ilvl="0">
      <w:lvlJc w:val="left"/>
      <w:lvlText w:val="%1"/>
      <w:numFmt w:val="decimal"/>
      <w:start w:val="1"/>
    </w:lvl>
    <w:lvl w:ilvl="1">
      <w:lvlJc w:val="left"/>
      <w:lvlText w:val="(%2)"/>
      <w:numFmt w:val="lowerRoman"/>
      <w:start w:val="2"/>
    </w:lvl>
  </w:abstractNum>
  <w:abstractNum w:abstractNumId="615">
    <w:nsid w:val="40F9991C"/>
    <w:multiLevelType w:val="hybridMultilevel"/>
    <w:lvl w:ilvl="0">
      <w:lvlJc w:val="left"/>
      <w:lvlText w:val="%1."/>
      <w:numFmt w:val="decimal"/>
      <w:start w:val="6"/>
    </w:lvl>
    <w:lvl w:ilvl="1">
      <w:lvlJc w:val="left"/>
      <w:lvlText w:val="%2"/>
      <w:numFmt w:val="lowerRoman"/>
      <w:start w:val="1"/>
    </w:lvl>
  </w:abstractNum>
  <w:abstractNum w:abstractNumId="616">
    <w:nsid w:val="52192AD"/>
    <w:multiLevelType w:val="hybridMultilevel"/>
    <w:lvl w:ilvl="0">
      <w:lvlJc w:val="left"/>
      <w:lvlText w:val="%1"/>
      <w:numFmt w:val="decimal"/>
      <w:start w:val="1"/>
    </w:lvl>
    <w:lvl w:ilvl="1">
      <w:lvlJc w:val="left"/>
      <w:lvlText w:val="(%2)"/>
      <w:numFmt w:val="upperLetter"/>
      <w:start w:val="1"/>
    </w:lvl>
  </w:abstractNum>
  <w:abstractNum w:abstractNumId="617">
    <w:nsid w:val="7670D608"/>
    <w:multiLevelType w:val="hybridMultilevel"/>
    <w:lvl w:ilvl="0">
      <w:lvlJc w:val="left"/>
      <w:lvlText w:val="%1."/>
      <w:numFmt w:val="decimal"/>
      <w:start w:val="7"/>
    </w:lvl>
    <w:lvl w:ilvl="1">
      <w:lvlJc w:val="left"/>
      <w:lvlText w:val="%2"/>
      <w:numFmt w:val="upperLetter"/>
      <w:start w:val="1"/>
    </w:lvl>
  </w:abstractNum>
  <w:abstractNum w:abstractNumId="618">
    <w:nsid w:val="48B6B6EB"/>
    <w:multiLevelType w:val="hybridMultilevel"/>
    <w:lvl w:ilvl="0">
      <w:lvlJc w:val="left"/>
      <w:lvlText w:val="%1."/>
      <w:numFmt w:val="decimal"/>
      <w:start w:val="9"/>
    </w:lvl>
  </w:abstractNum>
  <w:abstractNum w:abstractNumId="619">
    <w:nsid w:val="FB37489"/>
    <w:multiLevelType w:val="hybridMultilevel"/>
    <w:lvl w:ilvl="0">
      <w:lvlJc w:val="left"/>
      <w:lvlText w:val="(%1)"/>
      <w:numFmt w:val="decimal"/>
      <w:start w:val="1"/>
    </w:lvl>
  </w:abstractNum>
  <w:abstractNum w:abstractNumId="620">
    <w:nsid w:val="8A75F95"/>
    <w:multiLevelType w:val="hybridMultilevel"/>
    <w:lvl w:ilvl="0">
      <w:lvlJc w:val="left"/>
      <w:lvlText w:val="%1."/>
      <w:numFmt w:val="decimal"/>
      <w:start w:val="10"/>
    </w:lvl>
  </w:abstractNum>
  <w:abstractNum w:abstractNumId="621">
    <w:nsid w:val="2B27BF4D"/>
    <w:multiLevelType w:val="hybridMultilevel"/>
    <w:lvl w:ilvl="0">
      <w:lvlJc w:val="left"/>
      <w:lvlText w:val="%1"/>
      <w:numFmt w:val="decimal"/>
      <w:start w:val="1"/>
    </w:lvl>
    <w:lvl w:ilvl="1">
      <w:lvlJc w:val="left"/>
      <w:lvlText w:val="(%2)"/>
      <w:numFmt w:val="lowerRoman"/>
      <w:start w:val="1"/>
    </w:lvl>
  </w:abstractNum>
  <w:abstractNum w:abstractNumId="622">
    <w:nsid w:val="E5CBEB4"/>
    <w:multiLevelType w:val="hybridMultilevel"/>
    <w:lvl w:ilvl="0">
      <w:lvlJc w:val="left"/>
      <w:lvlText w:val="%1."/>
      <w:numFmt w:val="decimal"/>
      <w:start w:val="11"/>
    </w:lvl>
    <w:lvl w:ilvl="1">
      <w:lvlJc w:val="left"/>
      <w:lvlText w:val="%2"/>
      <w:numFmt w:val="lowerRoman"/>
      <w:start w:val="1"/>
    </w:lvl>
  </w:abstractNum>
  <w:abstractNum w:abstractNumId="623">
    <w:nsid w:val="297BFD38"/>
    <w:multiLevelType w:val="hybridMultilevel"/>
    <w:lvl w:ilvl="0">
      <w:lvlJc w:val="left"/>
      <w:lvlText w:val="%1."/>
      <w:numFmt w:val="decimal"/>
      <w:start w:val="12"/>
    </w:lvl>
    <w:lvl w:ilvl="1">
      <w:lvlJc w:val="left"/>
      <w:lvlText w:val="(%2)"/>
      <w:numFmt w:val="lowerLetter"/>
      <w:start w:val="1"/>
    </w:lvl>
  </w:abstractNum>
  <w:abstractNum w:abstractNumId="624">
    <w:nsid w:val="D9A50ED"/>
    <w:multiLevelType w:val="hybridMultilevel"/>
    <w:lvl w:ilvl="0">
      <w:lvlJc w:val="left"/>
      <w:lvlText w:val="(%1)"/>
      <w:numFmt w:val="lowerRoman"/>
      <w:start w:val="1"/>
    </w:lvl>
  </w:abstractNum>
  <w:abstractNum w:abstractNumId="625">
    <w:nsid w:val="20DAABD1"/>
    <w:multiLevelType w:val="hybridMultilevel"/>
    <w:lvl w:ilvl="0">
      <w:lvlJc w:val="left"/>
      <w:lvlText w:val="(%1)"/>
      <w:numFmt w:val="lowerRoman"/>
      <w:start w:val="1"/>
    </w:lvl>
  </w:abstractNum>
  <w:abstractNum w:abstractNumId="626">
    <w:nsid w:val="71B563E3"/>
    <w:multiLevelType w:val="hybridMultilevel"/>
    <w:lvl w:ilvl="0">
      <w:lvlJc w:val="left"/>
      <w:lvlText w:val="(%1)"/>
      <w:numFmt w:val="lowerLetter"/>
      <w:start w:val="1"/>
    </w:lvl>
  </w:abstractNum>
  <w:abstractNum w:abstractNumId="627">
    <w:nsid w:val="741A191E"/>
    <w:multiLevelType w:val="hybridMultilevel"/>
    <w:lvl w:ilvl="0">
      <w:lvlJc w:val="left"/>
      <w:lvlText w:val="%1)"/>
      <w:numFmt w:val="lowerLetter"/>
      <w:start w:val="1"/>
    </w:lvl>
  </w:abstractNum>
  <w:abstractNum w:abstractNumId="628">
    <w:nsid w:val="55886153"/>
    <w:multiLevelType w:val="hybridMultilevel"/>
    <w:lvl w:ilvl="0">
      <w:lvlJc w:val="left"/>
      <w:lvlText w:val="%1)"/>
      <w:numFmt w:val="lowerLetter"/>
      <w:start w:val="4"/>
    </w:lvl>
  </w:abstractNum>
  <w:abstractNum w:abstractNumId="629">
    <w:nsid w:val="3E6AF287"/>
    <w:multiLevelType w:val="hybridMultilevel"/>
    <w:lvl w:ilvl="0">
      <w:lvlJc w:val="left"/>
      <w:lvlText w:val="(%1)"/>
      <w:numFmt w:val="lowerRoman"/>
      <w:start w:val="4"/>
    </w:lvl>
  </w:abstractNum>
  <w:abstractNum w:abstractNumId="630">
    <w:nsid w:val="2D7CB919"/>
    <w:multiLevelType w:val="hybridMultilevel"/>
    <w:lvl w:ilvl="0">
      <w:lvlJc w:val="left"/>
      <w:lvlText w:val="(%1)"/>
      <w:numFmt w:val="lowerRoman"/>
      <w:start w:val="1"/>
    </w:lvl>
  </w:abstractNum>
  <w:abstractNum w:abstractNumId="631">
    <w:nsid w:val="4781AC2F"/>
    <w:multiLevelType w:val="hybridMultilevel"/>
    <w:lvl w:ilvl="0">
      <w:lvlJc w:val="left"/>
      <w:lvlText w:val="(%1)"/>
      <w:numFmt w:val="lowerRoman"/>
      <w:start w:val="4"/>
    </w:lvl>
  </w:abstractNum>
  <w:abstractNum w:abstractNumId="632">
    <w:nsid w:val="666AA3E1"/>
    <w:multiLevelType w:val="hybridMultilevel"/>
    <w:lvl w:ilvl="0">
      <w:lvlJc w:val="left"/>
      <w:lvlText w:val="(%1)"/>
      <w:numFmt w:val="lowerLetter"/>
      <w:start w:val="2"/>
    </w:lvl>
  </w:abstractNum>
  <w:abstractNum w:abstractNumId="633">
    <w:nsid w:val="32089E8C"/>
    <w:multiLevelType w:val="hybridMultilevel"/>
    <w:lvl w:ilvl="0">
      <w:lvlJc w:val="left"/>
      <w:lvlText w:val="(%1)"/>
      <w:numFmt w:val="lowerRoman"/>
      <w:start w:val="2"/>
    </w:lvl>
  </w:abstractNum>
  <w:abstractNum w:abstractNumId="634">
    <w:nsid w:val="5BAC6C9C"/>
    <w:multiLevelType w:val="hybridMultilevel"/>
    <w:lvl w:ilvl="0">
      <w:lvlJc w:val="left"/>
      <w:lvlText w:val="%1."/>
      <w:numFmt w:val="decimal"/>
      <w:start w:val="1"/>
    </w:lvl>
  </w:abstractNum>
  <w:abstractNum w:abstractNumId="635">
    <w:nsid w:val="460FE42B"/>
    <w:multiLevelType w:val="hybridMultilevel"/>
    <w:lvl w:ilvl="0">
      <w:lvlJc w:val="left"/>
      <w:lvlText w:val="%1."/>
      <w:numFmt w:val="decimal"/>
      <w:start w:val="2"/>
    </w:lvl>
  </w:abstractNum>
  <w:abstractNum w:abstractNumId="636">
    <w:nsid w:val="5EC714FC"/>
    <w:multiLevelType w:val="hybridMultilevel"/>
    <w:lvl w:ilvl="0">
      <w:lvlJc w:val="left"/>
      <w:lvlText w:val="(%1)"/>
      <w:numFmt w:val="lowerLetter"/>
      <w:start w:val="1"/>
    </w:lvl>
    <w:lvl w:ilvl="1">
      <w:lvlJc w:val="left"/>
      <w:lvlText w:val="(%2)"/>
      <w:numFmt w:val="lowerRoman"/>
      <w:start w:val="2"/>
    </w:lvl>
  </w:abstractNum>
  <w:abstractNum w:abstractNumId="637">
    <w:nsid w:val="39333BAD"/>
    <w:multiLevelType w:val="hybridMultilevel"/>
    <w:lvl w:ilvl="0">
      <w:lvlJc w:val="left"/>
      <w:lvlText w:val="(%1)"/>
      <w:numFmt w:val="upperLetter"/>
      <w:start w:val="26"/>
    </w:lvl>
    <w:lvl w:ilvl="1">
      <w:lvlJc w:val="left"/>
      <w:lvlText w:val="(%2)"/>
      <w:numFmt w:val="lowerLetter"/>
      <w:start w:val="3"/>
    </w:lvl>
  </w:abstractNum>
  <w:abstractNum w:abstractNumId="638">
    <w:nsid w:val="2FFF2A9F"/>
    <w:multiLevelType w:val="hybridMultilevel"/>
    <w:lvl w:ilvl="0">
      <w:lvlJc w:val="left"/>
      <w:lvlText w:val="%1"/>
      <w:numFmt w:val="decimal"/>
      <w:start w:val="1"/>
    </w:lvl>
    <w:lvl w:ilvl="1">
      <w:lvlJc w:val="left"/>
      <w:lvlText w:val="(%2)"/>
      <w:numFmt w:val="lowerLetter"/>
      <w:start w:val="1"/>
    </w:lvl>
  </w:abstractNum>
  <w:abstractNum w:abstractNumId="639">
    <w:nsid w:val="477304AC"/>
    <w:multiLevelType w:val="hybridMultilevel"/>
    <w:lvl w:ilvl="0">
      <w:lvlJc w:val="left"/>
      <w:lvlText w:val="(%1)"/>
      <w:numFmt w:val="decimal"/>
      <w:start w:val="30"/>
    </w:lvl>
    <w:lvl w:ilvl="1">
      <w:lvlJc w:val="left"/>
      <w:lvlText w:val="(%2)"/>
      <w:numFmt w:val="lowerLetter"/>
      <w:start w:val="4"/>
    </w:lvl>
  </w:abstractNum>
  <w:abstractNum w:abstractNumId="640">
    <w:nsid w:val="6B9F7823"/>
    <w:multiLevelType w:val="hybridMultilevel"/>
    <w:lvl w:ilvl="0">
      <w:lvlJc w:val="left"/>
      <w:lvlText w:val="(%1)"/>
      <w:numFmt w:val="lowerLetter"/>
      <w:start w:val="1"/>
    </w:lvl>
  </w:abstractNum>
  <w:abstractNum w:abstractNumId="641">
    <w:nsid w:val="8A29A69"/>
    <w:multiLevelType w:val="hybridMultilevel"/>
    <w:lvl w:ilvl="0">
      <w:lvlJc w:val="left"/>
      <w:lvlText w:val="%1."/>
      <w:numFmt w:val="decimal"/>
      <w:start w:val="3"/>
    </w:lvl>
  </w:abstractNum>
  <w:abstractNum w:abstractNumId="642">
    <w:nsid w:val="5A0E9A9F"/>
    <w:multiLevelType w:val="hybridMultilevel"/>
    <w:lvl w:ilvl="0">
      <w:lvlJc w:val="left"/>
      <w:lvlText w:val="(%1)"/>
      <w:numFmt w:val="lowerLetter"/>
      <w:start w:val="1"/>
    </w:lvl>
  </w:abstractNum>
  <w:abstractNum w:abstractNumId="643">
    <w:nsid w:val="1C3F31CE"/>
    <w:multiLevelType w:val="hybridMultilevel"/>
    <w:lvl w:ilvl="0">
      <w:lvlJc w:val="left"/>
      <w:lvlText w:val="(%1)"/>
      <w:numFmt w:val="lowerLetter"/>
      <w:start w:val="1"/>
    </w:lvl>
  </w:abstractNum>
  <w:abstractNum w:abstractNumId="644">
    <w:nsid w:val="D28DDE"/>
    <w:multiLevelType w:val="hybridMultilevel"/>
    <w:lvl w:ilvl="0">
      <w:lvlJc w:val="left"/>
      <w:lvlText w:val="%1."/>
      <w:numFmt w:val="decimal"/>
      <w:start w:val="4"/>
    </w:lvl>
  </w:abstractNum>
  <w:abstractNum w:abstractNumId="645">
    <w:nsid w:val="59E3AC4"/>
    <w:multiLevelType w:val="hybridMultilevel"/>
    <w:lvl w:ilvl="0">
      <w:lvlJc w:val="left"/>
      <w:lvlText w:val="%1"/>
      <w:numFmt w:val="lowerLetter"/>
      <w:start w:val="1"/>
    </w:lvl>
    <w:lvl w:ilvl="1">
      <w:lvlJc w:val="left"/>
      <w:lvlText w:val="(%2)"/>
      <w:numFmt w:val="lowerLetter"/>
      <w:start w:val="1"/>
    </w:lvl>
  </w:abstractNum>
  <w:abstractNum w:abstractNumId="646">
    <w:nsid w:val="5D38CAEA"/>
    <w:multiLevelType w:val="hybridMultilevel"/>
    <w:lvl w:ilvl="0">
      <w:lvlJc w:val="left"/>
      <w:lvlText w:val="(%1)"/>
      <w:numFmt w:val="lowerLetter"/>
      <w:start w:val="25"/>
    </w:lvl>
    <w:lvl w:ilvl="1">
      <w:lvlJc w:val="left"/>
      <w:lvlText w:val="%2"/>
      <w:numFmt w:val="lowerLetter"/>
      <w:start w:val="1"/>
    </w:lvl>
  </w:abstractNum>
  <w:abstractNum w:abstractNumId="647">
    <w:nsid w:val="5F4208C"/>
    <w:multiLevelType w:val="hybridMultilevel"/>
    <w:lvl w:ilvl="0">
      <w:lvlJc w:val="left"/>
      <w:lvlText w:val="%1."/>
      <w:numFmt w:val="decimal"/>
      <w:start w:val="5"/>
    </w:lvl>
  </w:abstractNum>
  <w:abstractNum w:abstractNumId="648">
    <w:nsid w:val="7C0F10CC"/>
    <w:multiLevelType w:val="hybridMultilevel"/>
    <w:lvl w:ilvl="0">
      <w:lvlJc w:val="left"/>
      <w:lvlText w:val="(%1)"/>
      <w:numFmt w:val="lowerRoman"/>
      <w:start w:val="2"/>
    </w:lvl>
  </w:abstractNum>
  <w:abstractNum w:abstractNumId="649">
    <w:nsid w:val="25EF81D5"/>
    <w:multiLevelType w:val="hybridMultilevel"/>
    <w:lvl w:ilvl="0">
      <w:lvlJc w:val="left"/>
      <w:lvlText w:val="(%1)"/>
      <w:numFmt w:val="lowerLetter"/>
      <w:start w:val="1"/>
    </w:lvl>
  </w:abstractNum>
  <w:abstractNum w:abstractNumId="650">
    <w:nsid w:val="15A79515"/>
    <w:multiLevelType w:val="hybridMultilevel"/>
    <w:lvl w:ilvl="0">
      <w:lvlJc w:val="left"/>
      <w:lvlText w:val="%1."/>
      <w:numFmt w:val="decimal"/>
      <w:start w:val="6"/>
    </w:lvl>
    <w:lvl w:ilvl="1">
      <w:lvlJc w:val="left"/>
      <w:lvlText w:val="(%2)"/>
      <w:numFmt w:val="lowerLetter"/>
      <w:start w:val="1"/>
    </w:lvl>
  </w:abstractNum>
  <w:abstractNum w:abstractNumId="651">
    <w:nsid w:val="4B670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2">
    <w:nsid w:val="511741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53">
    <w:nsid w:val="240453CA"/>
    <w:multiLevelType w:val="hybridMultilevel"/>
    <w:lvl w:ilvl="0">
      <w:lvlJc w:val="left"/>
      <w:lvlText w:val="(%1)"/>
      <w:numFmt w:val="lowerRoman"/>
      <w:start w:val="3"/>
    </w:lvl>
  </w:abstractNum>
  <w:abstractNum w:abstractNumId="654">
    <w:nsid w:val="2E326D9A"/>
    <w:multiLevelType w:val="hybridMultilevel"/>
    <w:lvl w:ilvl="0">
      <w:lvlJc w:val="left"/>
      <w:lvlText w:val="(%1)"/>
      <w:numFmt w:val="lowerLetter"/>
      <w:start w:val="2"/>
    </w:lvl>
  </w:abstractNum>
  <w:abstractNum w:abstractNumId="655">
    <w:nsid w:val="5EB19210"/>
    <w:multiLevelType w:val="hybridMultilevel"/>
    <w:lvl w:ilvl="0">
      <w:lvlJc w:val="left"/>
      <w:lvlText w:val="(%1)"/>
      <w:numFmt w:val="lowerLetter"/>
      <w:start w:val="1"/>
    </w:lvl>
  </w:abstractNum>
  <w:abstractNum w:abstractNumId="656">
    <w:nsid w:val="44DEFF9B"/>
    <w:multiLevelType w:val="hybridMultilevel"/>
    <w:lvl w:ilvl="0">
      <w:lvlJc w:val="left"/>
      <w:lvlText w:val="(%1)"/>
      <w:numFmt w:val="lowerLetter"/>
      <w:start w:val="3"/>
    </w:lvl>
  </w:abstractNum>
  <w:abstractNum w:abstractNumId="657">
    <w:nsid w:val="1FE7D17D"/>
    <w:multiLevelType w:val="hybridMultilevel"/>
    <w:lvl w:ilvl="0">
      <w:lvlJc w:val="left"/>
      <w:lvlText w:val="(%1)"/>
      <w:numFmt w:val="lowerLetter"/>
      <w:start w:val="2"/>
    </w:lvl>
  </w:abstractNum>
  <w:abstractNum w:abstractNumId="658">
    <w:nsid w:val="52CBAB2E"/>
    <w:multiLevelType w:val="hybridMultilevel"/>
    <w:lvl w:ilvl="0">
      <w:lvlJc w:val="left"/>
      <w:lvlText w:val="%1"/>
      <w:numFmt w:val="decimal"/>
      <w:start w:val="1"/>
    </w:lvl>
    <w:lvl w:ilvl="1">
      <w:lvlJc w:val="left"/>
      <w:lvlText w:val="(%2)"/>
      <w:numFmt w:val="lowerLetter"/>
      <w:start w:val="1"/>
    </w:lvl>
  </w:abstractNum>
  <w:abstractNum w:abstractNumId="659">
    <w:nsid w:val="1A6760EF"/>
    <w:multiLevelType w:val="hybridMultilevel"/>
    <w:lvl w:ilvl="0">
      <w:lvlJc w:val="left"/>
      <w:lvlText w:val="%1."/>
      <w:numFmt w:val="decimal"/>
      <w:start w:val="7"/>
    </w:lvl>
    <w:lvl w:ilvl="1">
      <w:lvlJc w:val="left"/>
      <w:lvlText w:val="%2"/>
      <w:numFmt w:val="lowerLetter"/>
      <w:start w:val="1"/>
    </w:lvl>
  </w:abstractNum>
  <w:abstractNum w:abstractNumId="660">
    <w:nsid w:val="5E52C405"/>
    <w:multiLevelType w:val="hybridMultilevel"/>
    <w:lvl w:ilvl="0">
      <w:lvlJc w:val="left"/>
      <w:lvlText w:val="(%1)"/>
      <w:numFmt w:val="lowerLetter"/>
      <w:start w:val="4"/>
    </w:lvl>
  </w:abstractNum>
  <w:abstractNum w:abstractNumId="661">
    <w:nsid w:val="486447"/>
    <w:multiLevelType w:val="hybridMultilevel"/>
    <w:lvl w:ilvl="0">
      <w:lvlJc w:val="left"/>
      <w:lvlText w:val="%1."/>
      <w:numFmt w:val="decimal"/>
      <w:start w:val="8"/>
    </w:lvl>
  </w:abstractNum>
  <w:abstractNum w:abstractNumId="662">
    <w:nsid w:val="61E90D1E"/>
    <w:multiLevelType w:val="hybridMultilevel"/>
    <w:lvl w:ilvl="0">
      <w:lvlJc w:val="left"/>
      <w:lvlText w:val="%1"/>
      <w:numFmt w:val="decimal"/>
      <w:start w:val="1"/>
    </w:lvl>
    <w:lvl w:ilvl="1">
      <w:lvlJc w:val="left"/>
      <w:lvlText w:val="(%2)"/>
      <w:numFmt w:val="lowerLetter"/>
      <w:start w:val="1"/>
    </w:lvl>
  </w:abstractNum>
  <w:abstractNum w:abstractNumId="663">
    <w:nsid w:val="44BD67E6"/>
    <w:multiLevelType w:val="hybridMultilevel"/>
    <w:lvl w:ilvl="0">
      <w:lvlJc w:val="left"/>
      <w:lvlText w:val="(%1)"/>
      <w:numFmt w:val="decimal"/>
      <w:start w:val="30"/>
    </w:lvl>
    <w:lvl w:ilvl="1">
      <w:lvlJc w:val="left"/>
      <w:lvlText w:val="%2"/>
      <w:numFmt w:val="lowerLetter"/>
      <w:start w:val="1"/>
    </w:lvl>
  </w:abstractNum>
  <w:abstractNum w:abstractNumId="664">
    <w:nsid w:val="325102D3"/>
    <w:multiLevelType w:val="hybridMultilevel"/>
    <w:lvl w:ilvl="0">
      <w:lvlJc w:val="left"/>
      <w:lvlText w:val="(%1)"/>
      <w:numFmt w:val="lowerLetter"/>
      <w:start w:val="1"/>
    </w:lvl>
  </w:abstractNum>
  <w:abstractNum w:abstractNumId="665">
    <w:nsid w:val="3D9579BA"/>
    <w:multiLevelType w:val="hybridMultilevel"/>
    <w:lvl w:ilvl="0">
      <w:lvlJc w:val="left"/>
      <w:lvlText w:val="(%1)"/>
      <w:numFmt w:val="lowerLetter"/>
      <w:start w:val="35"/>
    </w:lvl>
    <w:lvl w:ilvl="1">
      <w:lvlJc w:val="left"/>
      <w:lvlText w:val="(%2)"/>
      <w:numFmt w:val="lowerLetter"/>
      <w:start w:val="2"/>
    </w:lvl>
  </w:abstractNum>
  <w:abstractNum w:abstractNumId="666">
    <w:nsid w:val="ACD4C11"/>
    <w:multiLevelType w:val="hybridMultilevel"/>
    <w:lvl w:ilvl="0">
      <w:lvlJc w:val="left"/>
      <w:lvlText w:val="%1."/>
      <w:numFmt w:val="decimal"/>
      <w:start w:val="9"/>
    </w:lvl>
  </w:abstractNum>
  <w:abstractNum w:abstractNumId="667">
    <w:nsid w:val="111817CF"/>
    <w:multiLevelType w:val="hybridMultilevel"/>
    <w:lvl w:ilvl="0">
      <w:lvlJc w:val="left"/>
      <w:lvlText w:val="(%1)"/>
      <w:numFmt w:val="lowerLetter"/>
      <w:start w:val="1"/>
    </w:lvl>
    <w:lvl w:ilvl="1">
      <w:lvlJc w:val="left"/>
      <w:lvlText w:val="(%2)"/>
      <w:numFmt w:val="lowerRoman"/>
      <w:start w:val="1"/>
    </w:lvl>
  </w:abstractNum>
  <w:abstractNum w:abstractNumId="668">
    <w:nsid w:val="76C8B568"/>
    <w:multiLevelType w:val="hybridMultilevel"/>
    <w:lvl w:ilvl="0">
      <w:lvlJc w:val="left"/>
      <w:lvlText w:val="(%1)"/>
      <w:numFmt w:val="lowerRoman"/>
      <w:start w:val="6"/>
    </w:lvl>
  </w:abstractNum>
  <w:abstractNum w:abstractNumId="669">
    <w:nsid w:val="3ACC76B1"/>
    <w:multiLevelType w:val="hybridMultilevel"/>
    <w:lvl w:ilvl="0">
      <w:lvlJc w:val="left"/>
      <w:lvlText w:val="(%1)"/>
      <w:numFmt w:val="lowerLetter"/>
      <w:start w:val="1"/>
    </w:lvl>
  </w:abstractNum>
  <w:abstractNum w:abstractNumId="670">
    <w:nsid w:val="588B1C7C"/>
    <w:multiLevelType w:val="hybridMultilevel"/>
    <w:lvl w:ilvl="0">
      <w:lvlJc w:val="left"/>
      <w:lvlText w:val="%1."/>
      <w:numFmt w:val="decimal"/>
      <w:start w:val="10"/>
    </w:lvl>
  </w:abstractNum>
  <w:abstractNum w:abstractNumId="671">
    <w:nsid w:val="62682D8B"/>
    <w:multiLevelType w:val="hybridMultilevel"/>
    <w:lvl w:ilvl="0">
      <w:lvlJc w:val="left"/>
      <w:lvlText w:val="(%1)"/>
      <w:numFmt w:val="decimal"/>
      <w:start w:val="3"/>
    </w:lvl>
  </w:abstractNum>
  <w:abstractNum w:abstractNumId="672">
    <w:nsid w:val="436F111A"/>
    <w:multiLevelType w:val="hybridMultilevel"/>
    <w:lvl w:ilvl="0">
      <w:lvlJc w:val="left"/>
      <w:lvlText w:val="%1."/>
      <w:numFmt w:val="decimal"/>
      <w:start w:val="11"/>
    </w:lvl>
  </w:abstractNum>
  <w:abstractNum w:abstractNumId="673">
    <w:nsid w:val="3299B71B"/>
    <w:multiLevelType w:val="hybridMultilevel"/>
    <w:lvl w:ilvl="0">
      <w:lvlJc w:val="left"/>
      <w:lvlText w:val="%1."/>
      <w:numFmt w:val="decimal"/>
      <w:start w:val="12"/>
    </w:lvl>
  </w:abstractNum>
  <w:abstractNum w:abstractNumId="674">
    <w:nsid w:val="7EA75F5A"/>
    <w:multiLevelType w:val="hybridMultilevel"/>
    <w:lvl w:ilvl="0">
      <w:lvlJc w:val="left"/>
      <w:lvlText w:val="(%1)"/>
      <w:numFmt w:val="lowerRoman"/>
      <w:start w:val="1"/>
    </w:lvl>
  </w:abstractNum>
  <w:abstractNum w:abstractNumId="675">
    <w:nsid w:val="44419EF9"/>
    <w:multiLevelType w:val="hybridMultilevel"/>
    <w:lvl w:ilvl="0">
      <w:lvlJc w:val="left"/>
      <w:lvlText w:val="%1"/>
      <w:numFmt w:val="lowerLetter"/>
      <w:start w:val="1"/>
    </w:lvl>
    <w:lvl w:ilvl="1">
      <w:lvlJc w:val="left"/>
      <w:lvlText w:val="(%2)"/>
      <w:numFmt w:val="lowerRoman"/>
      <w:start w:val="3"/>
    </w:lvl>
  </w:abstractNum>
  <w:abstractNum w:abstractNumId="676">
    <w:nsid w:val="3837F1DF"/>
    <w:multiLevelType w:val="hybridMultilevel"/>
    <w:lvl w:ilvl="0">
      <w:lvlJc w:val="left"/>
      <w:lvlText w:val="(%1)"/>
      <w:numFmt w:val="lowerLetter"/>
      <w:start w:val="2"/>
    </w:lvl>
    <w:lvl w:ilvl="1">
      <w:lvlJc w:val="left"/>
      <w:lvlText w:val="%2"/>
      <w:numFmt w:val="lowerRoman"/>
      <w:start w:val="1"/>
    </w:lvl>
  </w:abstractNum>
  <w:abstractNum w:abstractNumId="677">
    <w:nsid w:val="5BE02A44"/>
    <w:multiLevelType w:val="hybridMultilevel"/>
    <w:lvl w:ilvl="0">
      <w:lvlJc w:val="left"/>
      <w:lvlText w:val="%1."/>
      <w:numFmt w:val="decimal"/>
      <w:start w:val="13"/>
    </w:lvl>
  </w:abstractNum>
  <w:abstractNum w:abstractNumId="678">
    <w:nsid w:val="4A35BF85"/>
    <w:multiLevelType w:val="hybridMultilevel"/>
    <w:lvl w:ilvl="0">
      <w:lvlJc w:val="left"/>
      <w:lvlText w:val="(%1)"/>
      <w:numFmt w:val="lowerLetter"/>
      <w:start w:val="9"/>
    </w:lvl>
  </w:abstractNum>
  <w:abstractNum w:abstractNumId="679">
    <w:nsid w:val="344702AC"/>
    <w:multiLevelType w:val="hybridMultilevel"/>
    <w:lvl w:ilvl="0">
      <w:lvlJc w:val="left"/>
      <w:lvlText w:val="(%1)"/>
      <w:numFmt w:val="lowerLetter"/>
      <w:start w:val="2"/>
    </w:lvl>
  </w:abstractNum>
  <w:abstractNum w:abstractNumId="680">
    <w:nsid w:val="1CFAC1A"/>
    <w:multiLevelType w:val="hybridMultilevel"/>
    <w:lvl w:ilvl="0">
      <w:lvlJc w:val="left"/>
      <w:lvlText w:val="(%1)"/>
      <w:numFmt w:val="lowerLetter"/>
      <w:start w:val="3"/>
    </w:lvl>
  </w:abstractNum>
  <w:abstractNum w:abstractNumId="681">
    <w:nsid w:val="5FDD549A"/>
    <w:multiLevelType w:val="hybridMultilevel"/>
    <w:lvl w:ilvl="0">
      <w:lvlJc w:val="left"/>
      <w:lvlText w:val="(%1)"/>
      <w:numFmt w:val="lowerRoman"/>
      <w:start w:val="1"/>
    </w:lvl>
  </w:abstractNum>
  <w:abstractNum w:abstractNumId="682">
    <w:nsid w:val="38FD730E"/>
    <w:multiLevelType w:val="hybridMultilevel"/>
    <w:lvl w:ilvl="0">
      <w:lvlJc w:val="left"/>
      <w:lvlText w:val="(%1)"/>
      <w:numFmt w:val="lowerLetter"/>
      <w:start w:val="1"/>
    </w:lvl>
  </w:abstractNum>
  <w:abstractNum w:abstractNumId="683">
    <w:nsid w:val="52E6ED3D"/>
    <w:multiLevelType w:val="hybridMultilevel"/>
    <w:lvl w:ilvl="0">
      <w:lvlJc w:val="left"/>
      <w:lvlText w:val="(%1)"/>
      <w:numFmt w:val="lowerLetter"/>
      <w:start w:val="3"/>
    </w:lvl>
  </w:abstractNum>
  <w:abstractNum w:abstractNumId="684">
    <w:nsid w:val="3E1A864"/>
    <w:multiLevelType w:val="hybridMultilevel"/>
    <w:lvl w:ilvl="0">
      <w:lvlJc w:val="left"/>
      <w:lvlText w:val="(%1)"/>
      <w:numFmt w:val="lowerLetter"/>
      <w:start w:val="3"/>
    </w:lvl>
  </w:abstractNum>
  <w:abstractNum w:abstractNumId="685">
    <w:nsid w:val="672FE0A8"/>
    <w:multiLevelType w:val="hybridMultilevel"/>
    <w:lvl w:ilvl="0">
      <w:lvlJc w:val="left"/>
      <w:lvlText w:val="(%1)"/>
      <w:numFmt w:val="lowerLetter"/>
      <w:start w:val="1"/>
    </w:lvl>
  </w:abstractNum>
  <w:abstractNum w:abstractNumId="686">
    <w:nsid w:val="31987F4D"/>
    <w:multiLevelType w:val="hybridMultilevel"/>
    <w:lvl w:ilvl="0">
      <w:lvlJc w:val="left"/>
      <w:lvlText w:val="(%1)"/>
      <w:numFmt w:val="lowerLetter"/>
      <w:start w:val="1"/>
    </w:lvl>
  </w:abstractNum>
  <w:abstractNum w:abstractNumId="687">
    <w:nsid w:val="48C0A800"/>
    <w:multiLevelType w:val="hybridMultilevel"/>
    <w:lvl w:ilvl="0">
      <w:lvlJc w:val="left"/>
      <w:lvlText w:val="(%1)"/>
      <w:numFmt w:val="lowerLetter"/>
      <w:start w:val="2"/>
    </w:lvl>
  </w:abstractNum>
  <w:abstractNum w:abstractNumId="688">
    <w:nsid w:val="717B226"/>
    <w:multiLevelType w:val="hybridMultilevel"/>
    <w:lvl w:ilvl="0">
      <w:lvlJc w:val="left"/>
      <w:lvlText w:val="(%1)"/>
      <w:numFmt w:val="lowerRoman"/>
      <w:start w:val="1"/>
    </w:lvl>
  </w:abstractNum>
  <w:abstractNum w:abstractNumId="689">
    <w:nsid w:val="4642A7B"/>
    <w:multiLevelType w:val="hybridMultilevel"/>
    <w:lvl w:ilvl="0">
      <w:lvlJc w:val="left"/>
      <w:lvlText w:val="(%1)"/>
      <w:numFmt w:val="lowerRoman"/>
      <w:start w:val="1"/>
    </w:lvl>
  </w:abstractNum>
  <w:abstractNum w:abstractNumId="690">
    <w:nsid w:val="632808EF"/>
    <w:multiLevelType w:val="hybridMultilevel"/>
    <w:lvl w:ilvl="0">
      <w:lvlJc w:val="left"/>
      <w:lvlText w:val="%1."/>
      <w:numFmt w:val="decimal"/>
      <w:start w:val="1"/>
    </w:lvl>
  </w:abstractNum>
  <w:abstractNum w:abstractNumId="691">
    <w:nsid w:val="656A762B"/>
    <w:multiLevelType w:val="hybridMultilevel"/>
    <w:lvl w:ilvl="0">
      <w:lvlJc w:val="left"/>
      <w:lvlText w:val="%1."/>
      <w:numFmt w:val="decimal"/>
      <w:start w:val="8"/>
    </w:lvl>
  </w:abstractNum>
  <w:abstractNum w:abstractNumId="692">
    <w:nsid w:val="4AC8EC3"/>
    <w:multiLevelType w:val="hybridMultilevel"/>
    <w:lvl w:ilvl="0">
      <w:lvlJc w:val="left"/>
      <w:lvlText w:val="*"/>
      <w:numFmt w:val="bullet"/>
      <w:start w:val="1"/>
    </w:lvl>
  </w:abstractNum>
  <w:abstractNum w:abstractNumId="693">
    <w:nsid w:val="4511160D"/>
    <w:multiLevelType w:val="hybridMultilevel"/>
    <w:lvl w:ilvl="0">
      <w:lvlJc w:val="left"/>
      <w:lvlText w:val="(%1)"/>
      <w:numFmt w:val="lowerLetter"/>
      <w:start w:val="2"/>
    </w:lvl>
  </w:abstractNum>
  <w:abstractNum w:abstractNumId="694">
    <w:nsid w:val="2A27DE11"/>
    <w:multiLevelType w:val="hybridMultilevel"/>
    <w:lvl w:ilvl="0">
      <w:lvlJc w:val="left"/>
      <w:lvlText w:val="%1)"/>
      <w:numFmt w:val="decimal"/>
      <w:start w:val="10"/>
    </w:lvl>
  </w:abstractNum>
  <w:abstractNum w:abstractNumId="695">
    <w:nsid w:val="36FD9196"/>
    <w:multiLevelType w:val="hybridMultilevel"/>
    <w:lvl w:ilvl="0">
      <w:lvlJc w:val="left"/>
      <w:lvlText w:val="%1)"/>
      <w:numFmt w:val="decimal"/>
      <w:start w:val="3"/>
    </w:lvl>
  </w:abstractNum>
  <w:abstractNum w:abstractNumId="696">
    <w:nsid w:val="2A68FC8"/>
    <w:multiLevelType w:val="hybridMultilevel"/>
    <w:lvl w:ilvl="0">
      <w:lvlJc w:val="left"/>
      <w:lvlText w:val="%1)"/>
      <w:numFmt w:val="decimal"/>
      <w:start w:val="4"/>
    </w:lvl>
  </w:abstractNum>
  <w:abstractNum w:abstractNumId="697">
    <w:nsid w:val="34F52A23"/>
    <w:multiLevelType w:val="hybridMultilevel"/>
    <w:lvl w:ilvl="0">
      <w:lvlJc w:val="left"/>
      <w:lvlText w:val="(%1)"/>
      <w:numFmt w:val="lowerLetter"/>
      <w:start w:val="1"/>
    </w:lvl>
  </w:abstractNum>
  <w:abstractNum w:abstractNumId="698">
    <w:nsid w:val="4815A966"/>
    <w:multiLevelType w:val="hybridMultilevel"/>
    <w:lvl w:ilvl="0">
      <w:lvlJc w:val="left"/>
      <w:lvlText w:val="%1"/>
      <w:numFmt w:val="lowerLetter"/>
      <w:start w:val="1"/>
    </w:lvl>
    <w:lvl w:ilvl="1">
      <w:lvlJc w:val="left"/>
      <w:lvlText w:val="(%2)"/>
      <w:numFmt w:val="lowerLetter"/>
      <w:start w:val="4"/>
    </w:lvl>
  </w:abstractNum>
  <w:abstractNum w:abstractNumId="699">
    <w:nsid w:val="796F4530"/>
    <w:multiLevelType w:val="hybridMultilevel"/>
    <w:lvl w:ilvl="0">
      <w:lvlJc w:val="left"/>
      <w:lvlText w:val="(%1)"/>
      <w:numFmt w:val="lowerLetter"/>
      <w:start w:val="25"/>
    </w:lvl>
    <w:lvl w:ilvl="1">
      <w:lvlJc w:val="left"/>
      <w:lvlText w:val="%2"/>
      <w:numFmt w:val="lowerLetter"/>
      <w:start w:val="1"/>
    </w:lvl>
  </w:abstractNum>
  <w:abstractNum w:abstractNumId="700">
    <w:nsid w:val="6FC1A0D4"/>
    <w:multiLevelType w:val="hybridMultilevel"/>
    <w:lvl w:ilvl="0">
      <w:lvlJc w:val="left"/>
      <w:lvlText w:val="(%1)"/>
      <w:numFmt w:val="lowerLetter"/>
      <w:start w:val="1"/>
    </w:lvl>
  </w:abstractNum>
  <w:abstractNum w:abstractNumId="701">
    <w:nsid w:val="20A0C5E2"/>
    <w:multiLevelType w:val="hybridMultilevel"/>
    <w:lvl w:ilvl="0">
      <w:lvlJc w:val="left"/>
      <w:lvlText w:val="(%1)"/>
      <w:numFmt w:val="lowerLetter"/>
      <w:start w:val="3"/>
    </w:lvl>
  </w:abstractNum>
  <w:abstractNum w:abstractNumId="702">
    <w:nsid w:val="5BD772BB"/>
    <w:multiLevelType w:val="hybridMultilevel"/>
    <w:lvl w:ilvl="0">
      <w:lvlJc w:val="left"/>
      <w:lvlText w:val="(%1)"/>
      <w:numFmt w:val="lowerLetter"/>
      <w:start w:val="1"/>
    </w:lvl>
  </w:abstractNum>
  <w:abstractNum w:abstractNumId="703">
    <w:nsid w:val="3330B1EE"/>
    <w:multiLevelType w:val="hybridMultilevel"/>
    <w:lvl w:ilvl="0">
      <w:lvlJc w:val="left"/>
      <w:lvlText w:val="(%1)"/>
      <w:numFmt w:val="decimal"/>
      <w:start w:val="1"/>
    </w:lvl>
  </w:abstractNum>
  <w:abstractNum w:abstractNumId="704">
    <w:nsid w:val="533A7CFD"/>
    <w:multiLevelType w:val="hybridMultilevel"/>
    <w:lvl w:ilvl="0">
      <w:lvlJc w:val="left"/>
      <w:lvlText w:val="(%1)"/>
      <w:numFmt w:val="lowerLetter"/>
      <w:start w:val="1"/>
    </w:lvl>
  </w:abstractNum>
  <w:abstractNum w:abstractNumId="705">
    <w:nsid w:val="5A7ED215"/>
    <w:multiLevelType w:val="hybridMultilevel"/>
    <w:lvl w:ilvl="0">
      <w:lvlJc w:val="left"/>
      <w:lvlText w:val="(%1)"/>
      <w:numFmt w:val="lowerRoman"/>
      <w:start w:val="3"/>
    </w:lvl>
  </w:abstractNum>
  <w:abstractNum w:abstractNumId="706">
    <w:nsid w:val="777250E7"/>
    <w:multiLevelType w:val="hybridMultilevel"/>
    <w:lvl w:ilvl="0">
      <w:lvlJc w:val="left"/>
      <w:lvlText w:val="["/>
      <w:numFmt w:val="bullet"/>
      <w:start w:val="1"/>
    </w:lvl>
    <w:lvl w:ilvl="1">
      <w:lvlJc w:val="left"/>
      <w:lvlText w:val="%2."/>
      <w:numFmt w:val="decimal"/>
      <w:start w:val="2"/>
    </w:lvl>
  </w:abstractNum>
  <w:abstractNum w:abstractNumId="707">
    <w:nsid w:val="B726E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2019-12-20T22:18:24Z</dcterms:created>
  <dcterms:modified xsi:type="dcterms:W3CDTF">2019-12-20T22:18:24Z</dcterms:modified>
</cp:coreProperties>
</file>