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#032724106</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#032724106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2,869,767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2,870,618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2,870,618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10.507%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#032724106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2,870,618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2,870,618</w:t>
      </w:r>
    </w:p>
    <w:p>
      <w:pPr>
        <w:spacing w:after="0"/>
        <w:rPr>
          <w:sz w:val="20"/>
          <w:szCs w:val="20"/>
          <w:color w:val="auto"/>
        </w:rPr>
      </w:pPr>
      <w:r>
        <w:rPr>
          <w:rFonts w:ascii="Courier New" w:cs="Courier New" w:eastAsia="Courier New" w:hAnsi="Courier New"/>
          <w:sz w:val="18"/>
          <w:szCs w:val="18"/>
          <w:color w:val="auto"/>
        </w:rPr>
        <w:t>Item 11: 10.507%</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10770 WATERIDGE CIRCLE, SUITE 210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2,870,618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10.507%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2,870,618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ANAPTYSBIO INC. No one other person's interest in the COMMON STOCK of ANAPTYSBIO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72"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72"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72"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110" w:right="1440" w:bottom="72"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July 9, 2024, agree and consent to the joint filing on their behalf of this Schedule 13G in connection with their beneficial ownership of the COMMON STOCK of ANAPTYSBIO INC at June 28,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2024-07-10T09:14:17Z</dcterms:created>
  <dcterms:modified xsi:type="dcterms:W3CDTF">2024-07-10T09:14:17Z</dcterms:modified>
</cp:coreProperties>
</file>