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52" w:lineRule="exact"/>
        <w:rPr>
          <w:sz w:val="24"/>
          <w:szCs w:val="24"/>
          <w:color w:val="auto"/>
        </w:rPr>
      </w:pPr>
    </w:p>
    <w:p>
      <w:pPr>
        <w:ind w:left="840" w:hanging="805"/>
        <w:spacing w:after="0"/>
        <w:tabs>
          <w:tab w:leader="none" w:pos="84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20"/>
        </w:trPr>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18"/>
        </w:trPr>
        <w:tc>
          <w:tcPr>
            <w:tcW w:w="302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93"/>
              </w:rPr>
              <w:t>Commission File Number: 001-37985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36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______________________________________</w:t>
            </w:r>
          </w:p>
        </w:tc>
      </w:tr>
    </w:tbl>
    <w:p>
      <w:pPr>
        <w:jc w:val="center"/>
        <w:spacing w:after="0"/>
        <w:rPr>
          <w:sz w:val="20"/>
          <w:szCs w:val="20"/>
          <w:color w:val="auto"/>
        </w:rPr>
      </w:pPr>
      <w:r>
        <w:rPr>
          <w:rFonts w:ascii="Arial" w:cs="Arial" w:eastAsia="Arial" w:hAnsi="Arial"/>
          <w:sz w:val="36"/>
          <w:szCs w:val="36"/>
          <w:b w:val="1"/>
          <w:bCs w:val="1"/>
          <w:color w:val="auto"/>
        </w:rPr>
        <w:t>ANAPTYSBIO, INC.</w:t>
      </w:r>
    </w:p>
    <w:p>
      <w:pPr>
        <w:spacing w:after="0" w:line="1"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340" w:type="dxa"/>
            <w:vAlign w:val="bottom"/>
          </w:tcPr>
          <w:p>
            <w:pPr>
              <w:jc w:val="center"/>
              <w:ind w:right="1767"/>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0" w:type="dxa"/>
            <w:vAlign w:val="bottom"/>
          </w:tcPr>
          <w:p>
            <w:pPr>
              <w:spacing w:after="0"/>
              <w:rPr>
                <w:sz w:val="1"/>
                <w:szCs w:val="1"/>
                <w:color w:val="auto"/>
              </w:rPr>
            </w:pPr>
          </w:p>
        </w:tc>
      </w:tr>
      <w:tr>
        <w:trPr>
          <w:trHeight w:val="32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340" w:type="dxa"/>
            <w:vAlign w:val="bottom"/>
          </w:tcPr>
          <w:p>
            <w:pPr>
              <w:jc w:val="right"/>
              <w:ind w:right="187"/>
              <w:spacing w:after="0"/>
              <w:rPr>
                <w:sz w:val="20"/>
                <w:szCs w:val="20"/>
                <w:color w:val="auto"/>
              </w:rPr>
            </w:pPr>
            <w:r>
              <w:rPr>
                <w:rFonts w:ascii="Arial" w:cs="Arial" w:eastAsia="Arial" w:hAnsi="Arial"/>
                <w:sz w:val="14"/>
                <w:szCs w:val="14"/>
                <w:b w:val="1"/>
                <w:bCs w:val="1"/>
                <w:color w:val="auto"/>
              </w:rPr>
              <w:t>20-3828755</w:t>
            </w:r>
          </w:p>
        </w:tc>
        <w:tc>
          <w:tcPr>
            <w:tcW w:w="0" w:type="dxa"/>
            <w:vAlign w:val="bottom"/>
          </w:tcPr>
          <w:p>
            <w:pPr>
              <w:spacing w:after="0"/>
              <w:rPr>
                <w:sz w:val="1"/>
                <w:szCs w:val="1"/>
                <w:color w:val="auto"/>
              </w:rPr>
            </w:pPr>
          </w:p>
        </w:tc>
      </w:tr>
      <w:tr>
        <w:trPr>
          <w:trHeight w:val="156"/>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8"/>
              </w:rPr>
              <w:t>(State or other jurisdiction of</w:t>
            </w:r>
          </w:p>
        </w:tc>
        <w:tc>
          <w:tcPr>
            <w:tcW w:w="5340" w:type="dxa"/>
            <w:vAlign w:val="bottom"/>
          </w:tcPr>
          <w:p>
            <w:pPr>
              <w:jc w:val="center"/>
              <w:ind w:left="4047"/>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9"/>
              </w:rPr>
              <w:t>incorporation or organization)</w:t>
            </w:r>
          </w:p>
        </w:tc>
        <w:tc>
          <w:tcPr>
            <w:tcW w:w="5340" w:type="dxa"/>
            <w:vAlign w:val="bottom"/>
          </w:tcPr>
          <w:p>
            <w:pPr>
              <w:jc w:val="center"/>
              <w:ind w:left="4027"/>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69"/>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10421 Pacific Center Court, Suite 200</w:t>
            </w:r>
          </w:p>
        </w:tc>
        <w:tc>
          <w:tcPr>
            <w:tcW w:w="5340" w:type="dxa"/>
            <w:vAlign w:val="bottom"/>
            <w:vMerge w:val="restart"/>
          </w:tcPr>
          <w:p>
            <w:pPr>
              <w:jc w:val="right"/>
              <w:ind w:right="367"/>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San Diego, CA</w:t>
            </w:r>
          </w:p>
        </w:tc>
        <w:tc>
          <w:tcPr>
            <w:tcW w:w="5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5340" w:type="dxa"/>
            <w:vAlign w:val="bottom"/>
          </w:tcPr>
          <w:p>
            <w:pPr>
              <w:jc w:val="center"/>
              <w:ind w:left="404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3"/>
              </w:rPr>
              <w:t>(858) 362-6295</w:t>
            </w:r>
          </w:p>
        </w:tc>
        <w:tc>
          <w:tcPr>
            <w:tcW w:w="0" w:type="dxa"/>
            <w:vAlign w:val="bottom"/>
          </w:tcPr>
          <w:p>
            <w:pPr>
              <w:spacing w:after="0"/>
              <w:rPr>
                <w:sz w:val="1"/>
                <w:szCs w:val="1"/>
                <w:color w:val="auto"/>
              </w:rPr>
            </w:pPr>
          </w:p>
        </w:tc>
      </w:tr>
      <w:tr>
        <w:trPr>
          <w:trHeight w:val="166"/>
        </w:trPr>
        <w:tc>
          <w:tcPr>
            <w:tcW w:w="2360" w:type="dxa"/>
            <w:vAlign w:val="bottom"/>
          </w:tcPr>
          <w:p>
            <w:pPr>
              <w:spacing w:after="0"/>
              <w:rPr>
                <w:sz w:val="14"/>
                <w:szCs w:val="14"/>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340" w:type="dxa"/>
            <w:vAlign w:val="bottom"/>
          </w:tcPr>
          <w:p>
            <w:pPr>
              <w:jc w:val="center"/>
              <w:ind w:right="1767"/>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Common Stock, Par Value $0.001 Per Share; Common stock traded on the Nasdaq stock market</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ectPr>
          <w:pgSz w:w="11900" w:h="16838" w:orient="portrait"/>
          <w:cols w:equalWidth="0" w:num="1">
            <w:col w:w="11420"/>
          </w:cols>
          <w:pgMar w:left="240" w:top="742" w:right="239" w:bottom="1440" w:gutter="0" w:footer="0" w:header="0"/>
        </w:sectPr>
      </w:pP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YES x NO</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3">
            <w:col w:w="6820" w:space="140"/>
            <w:col w:w="620" w:space="60"/>
            <w:col w:w="3780"/>
          </w:cols>
          <w:pgMar w:left="240" w:top="742"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69" w:lineRule="exact"/>
        <w:rPr>
          <w:sz w:val="24"/>
          <w:szCs w:val="24"/>
          <w:color w:val="auto"/>
        </w:rPr>
      </w:pPr>
    </w:p>
    <w:p>
      <w:pPr>
        <w:sectPr>
          <w:pgSz w:w="11900" w:h="16838" w:orient="portrait"/>
          <w:cols w:equalWidth="0" w:num="4">
            <w:col w:w="6480" w:space="140"/>
            <w:col w:w="260" w:space="80"/>
            <w:col w:w="120" w:space="160"/>
            <w:col w:w="4180"/>
          </w:cols>
          <w:pgMar w:left="240" w:top="742" w:right="239" w:bottom="1440" w:gutter="0" w:footer="0" w:header="0"/>
          <w:type w:val="continuous"/>
        </w:sect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3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32" w:lineRule="exact"/>
        <w:rPr>
          <w:sz w:val="24"/>
          <w:szCs w:val="24"/>
          <w:color w:val="auto"/>
        </w:rPr>
      </w:pPr>
    </w:p>
    <w:p>
      <w:pPr>
        <w:ind w:right="80"/>
        <w:spacing w:after="0" w:line="261"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56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700"/>
              <w:spacing w:after="0"/>
              <w:rPr>
                <w:sz w:val="20"/>
                <w:szCs w:val="20"/>
                <w:color w:val="auto"/>
              </w:rPr>
            </w:pPr>
            <w:r>
              <w:rPr>
                <w:rFonts w:ascii="Arial" w:cs="Arial" w:eastAsia="Arial" w:hAnsi="Arial"/>
                <w:sz w:val="14"/>
                <w:szCs w:val="14"/>
                <w:color w:val="auto"/>
              </w:rPr>
              <w:t>x</w:t>
            </w:r>
          </w:p>
        </w:tc>
        <w:tc>
          <w:tcPr>
            <w:tcW w:w="482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19"/>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19"/>
        </w:trPr>
        <w:tc>
          <w:tcPr>
            <w:tcW w:w="2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2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1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720" w:val="left"/>
          <w:tab w:leader="none" w:pos="73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voting common equity held by non-affiliates of the Registrant was $1,518,810,407 as of June 30, 2018.</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was 26,986,584 as of February 25, 2019.</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right="20"/>
        <w:spacing w:after="0" w:line="293" w:lineRule="auto"/>
        <w:rPr>
          <w:sz w:val="20"/>
          <w:szCs w:val="20"/>
          <w:color w:val="auto"/>
        </w:rPr>
      </w:pPr>
      <w:r>
        <w:rPr>
          <w:rFonts w:ascii="Arial" w:cs="Arial" w:eastAsia="Arial" w:hAnsi="Arial"/>
          <w:sz w:val="13"/>
          <w:szCs w:val="13"/>
          <w:color w:val="auto"/>
        </w:rPr>
        <w:t>Portions of the Registrant’s Definitive Proxy Statement relating to the 2019 Annual Meeting of Shareholders, scheduled to be held on June 11, 2019, are incorporated by reference into Part III of this Annual Report on Form 10-K to the extent stated herein. The Definitive Proxy Statement will be filed within 120 days of the Registrant’s fiscal year ended December 31, 2018.</w:t>
      </w:r>
    </w:p>
    <w:p>
      <w:pPr>
        <w:sectPr>
          <w:pgSz w:w="11900" w:h="16838" w:orient="portrait"/>
          <w:cols w:equalWidth="0" w:num="1">
            <w:col w:w="11420"/>
          </w:cols>
          <w:pgMar w:left="240" w:top="74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10"/>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575"/>
        </w:trPr>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Page</w:t>
            </w:r>
          </w:p>
        </w:tc>
      </w:tr>
      <w:tr>
        <w:trPr>
          <w:trHeight w:val="33"/>
        </w:trPr>
        <w:tc>
          <w:tcPr>
            <w:tcW w:w="1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w:t>
            </w:r>
          </w:p>
        </w:tc>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4">
              <w:r>
                <w:rPr>
                  <w:rFonts w:ascii="Arial" w:cs="Arial" w:eastAsia="Arial" w:hAnsi="Arial"/>
                  <w:sz w:val="16"/>
                  <w:szCs w:val="16"/>
                  <w:color w:val="0000EE"/>
                  <w:w w:val="86"/>
                </w:rPr>
                <w:t>Business</w:t>
              </w:r>
            </w:hyperlink>
          </w:p>
        </w:tc>
        <w:tc>
          <w:tcPr>
            <w:tcW w:w="7700" w:type="dxa"/>
            <w:vAlign w:val="bottom"/>
            <w:gridSpan w:val="19"/>
          </w:tcPr>
          <w:p>
            <w:pPr>
              <w:spacing w:after="0"/>
              <w:rPr>
                <w:sz w:val="19"/>
                <w:szCs w:val="19"/>
                <w:color w:val="auto"/>
              </w:rPr>
            </w:pPr>
          </w:p>
        </w:tc>
        <w:tc>
          <w:tcPr>
            <w:tcW w:w="150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Risk Factors</w:t>
              </w:r>
            </w:hyperlink>
          </w:p>
        </w:tc>
        <w:tc>
          <w:tcPr>
            <w:tcW w:w="7460" w:type="dxa"/>
            <w:vAlign w:val="bottom"/>
            <w:gridSpan w:val="17"/>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1B.</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Unresolved Staff Comments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2.</w:t>
            </w:r>
          </w:p>
        </w:tc>
        <w:tc>
          <w:tcPr>
            <w:tcW w:w="6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7"/>
              </w:rPr>
            </w:pPr>
            <w:hyperlink w:anchor="page62">
              <w:r>
                <w:rPr>
                  <w:rFonts w:ascii="Arial" w:cs="Arial" w:eastAsia="Arial" w:hAnsi="Arial"/>
                  <w:sz w:val="16"/>
                  <w:szCs w:val="16"/>
                  <w:color w:val="0000EE"/>
                  <w:w w:val="87"/>
                </w:rPr>
                <w:t>Properties</w:t>
              </w:r>
            </w:hyperlink>
          </w:p>
        </w:tc>
        <w:tc>
          <w:tcPr>
            <w:tcW w:w="1160" w:type="dxa"/>
            <w:vAlign w:val="bottom"/>
            <w:tcBorders>
              <w:top w:val="single" w:sz="8" w:color="0000EE"/>
            </w:tcBorders>
            <w:gridSpan w:val="6"/>
          </w:tcPr>
          <w:p>
            <w:pPr>
              <w:spacing w:after="0"/>
              <w:rPr>
                <w:sz w:val="20"/>
                <w:szCs w:val="20"/>
                <w:color w:val="auto"/>
              </w:rPr>
            </w:pPr>
          </w:p>
        </w:tc>
        <w:tc>
          <w:tcPr>
            <w:tcW w:w="6440" w:type="dxa"/>
            <w:vAlign w:val="bottom"/>
            <w:gridSpan w:val="12"/>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3.</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Legal Proceedings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20"/>
        </w:trPr>
        <w:tc>
          <w:tcPr>
            <w:tcW w:w="16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4.</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Mine Safety Disclosures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5.</w:t>
            </w:r>
          </w:p>
        </w:tc>
        <w:tc>
          <w:tcPr>
            <w:tcW w:w="7280" w:type="dxa"/>
            <w:vAlign w:val="bottom"/>
            <w:tcBorders>
              <w:bottom w:val="single" w:sz="8" w:color="0000EE"/>
            </w:tcBorders>
            <w:gridSpan w:val="19"/>
          </w:tcPr>
          <w:p>
            <w:pPr>
              <w:spacing w:after="0"/>
              <w:rPr>
                <w:rFonts w:ascii="Arial" w:cs="Arial" w:eastAsia="Arial" w:hAnsi="Arial"/>
                <w:sz w:val="16"/>
                <w:szCs w:val="16"/>
                <w:color w:val="0000EE"/>
                <w:w w:val="91"/>
              </w:rPr>
            </w:pPr>
            <w:hyperlink w:anchor="page63">
              <w:r>
                <w:rPr>
                  <w:rFonts w:ascii="Arial" w:cs="Arial" w:eastAsia="Arial" w:hAnsi="Arial"/>
                  <w:sz w:val="16"/>
                  <w:szCs w:val="16"/>
                  <w:color w:val="0000EE"/>
                  <w:w w:val="91"/>
                </w:rPr>
                <w:t>Market for Registrant’s Common Equity, Related Stockholder Matters and Issuer Purchases of Equity Securities</w:t>
              </w:r>
            </w:hyperlink>
          </w:p>
        </w:tc>
        <w:tc>
          <w:tcPr>
            <w:tcW w:w="1000" w:type="dxa"/>
            <w:vAlign w:val="bottom"/>
          </w:tcPr>
          <w:p>
            <w:pPr>
              <w:spacing w:after="0"/>
              <w:rPr>
                <w:sz w:val="19"/>
                <w:szCs w:val="19"/>
                <w:color w:val="auto"/>
              </w:rPr>
            </w:pPr>
          </w:p>
        </w:tc>
        <w:tc>
          <w:tcPr>
            <w:tcW w:w="1500" w:type="dxa"/>
            <w:vAlign w:val="bottom"/>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61</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6.</w:t>
            </w:r>
          </w:p>
        </w:tc>
        <w:tc>
          <w:tcPr>
            <w:tcW w:w="2440" w:type="dxa"/>
            <w:vAlign w:val="bottom"/>
            <w:tcBorders>
              <w:bottom w:val="single" w:sz="8" w:color="0000EE"/>
            </w:tcBorders>
            <w:gridSpan w:val="9"/>
          </w:tcPr>
          <w:p>
            <w:pPr>
              <w:spacing w:after="0"/>
              <w:rPr>
                <w:rFonts w:ascii="Arial" w:cs="Arial" w:eastAsia="Arial" w:hAnsi="Arial"/>
                <w:sz w:val="16"/>
                <w:szCs w:val="16"/>
                <w:color w:val="0000EE"/>
                <w:w w:val="90"/>
              </w:rPr>
            </w:pPr>
            <w:hyperlink w:anchor="page64">
              <w:r>
                <w:rPr>
                  <w:rFonts w:ascii="Arial" w:cs="Arial" w:eastAsia="Arial" w:hAnsi="Arial"/>
                  <w:sz w:val="16"/>
                  <w:szCs w:val="16"/>
                  <w:color w:val="0000EE"/>
                  <w:w w:val="90"/>
                </w:rPr>
                <w:t>Selected Consolidated Financial Data</w:t>
              </w:r>
            </w:hyperlink>
          </w:p>
        </w:tc>
        <w:tc>
          <w:tcPr>
            <w:tcW w:w="5840" w:type="dxa"/>
            <w:vAlign w:val="bottom"/>
            <w:gridSpan w:val="11"/>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62</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7.</w:t>
            </w:r>
          </w:p>
        </w:tc>
        <w:tc>
          <w:tcPr>
            <w:tcW w:w="5820" w:type="dxa"/>
            <w:vAlign w:val="bottom"/>
            <w:tcBorders>
              <w:bottom w:val="single" w:sz="8" w:color="0000EE"/>
            </w:tcBorders>
            <w:gridSpan w:val="16"/>
          </w:tcPr>
          <w:p>
            <w:pPr>
              <w:spacing w:after="0"/>
              <w:rPr>
                <w:rFonts w:ascii="Arial" w:cs="Arial" w:eastAsia="Arial" w:hAnsi="Arial"/>
                <w:sz w:val="16"/>
                <w:szCs w:val="16"/>
                <w:color w:val="0000EE"/>
                <w:w w:val="92"/>
              </w:rPr>
            </w:pPr>
            <w:hyperlink w:anchor="page66">
              <w:r>
                <w:rPr>
                  <w:rFonts w:ascii="Arial" w:cs="Arial" w:eastAsia="Arial" w:hAnsi="Arial"/>
                  <w:sz w:val="16"/>
                  <w:szCs w:val="16"/>
                  <w:color w:val="0000EE"/>
                  <w:w w:val="92"/>
                </w:rPr>
                <w:t>Management’s Discussion and Analysis of Financial Condition and Results of Operations</w:t>
              </w:r>
            </w:hyperlink>
          </w:p>
        </w:tc>
        <w:tc>
          <w:tcPr>
            <w:tcW w:w="2460" w:type="dxa"/>
            <w:vAlign w:val="bottom"/>
            <w:gridSpan w:val="4"/>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64</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7A.</w:t>
            </w:r>
          </w:p>
        </w:tc>
        <w:tc>
          <w:tcPr>
            <w:tcW w:w="8280" w:type="dxa"/>
            <w:vAlign w:val="bottom"/>
            <w:gridSpan w:val="20"/>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Quantitative and Qualitative Disclosures About Market Risk</w:t>
              </w:r>
            </w:hyperlink>
          </w:p>
        </w:tc>
        <w:tc>
          <w:tcPr>
            <w:tcW w:w="1500" w:type="dxa"/>
            <w:vAlign w:val="bottom"/>
          </w:tcPr>
          <w:p>
            <w:pPr>
              <w:jc w:val="right"/>
              <w:spacing w:after="0"/>
              <w:rPr>
                <w:rFonts w:ascii="Arial" w:cs="Arial" w:eastAsia="Arial" w:hAnsi="Arial"/>
                <w:sz w:val="16"/>
                <w:szCs w:val="16"/>
                <w:color w:val="auto"/>
              </w:rPr>
            </w:pPr>
            <w:hyperlink w:anchor="page78">
              <w:r>
                <w:rPr>
                  <w:rFonts w:ascii="Arial" w:cs="Arial" w:eastAsia="Arial" w:hAnsi="Arial"/>
                  <w:sz w:val="16"/>
                  <w:szCs w:val="16"/>
                  <w:color w:val="auto"/>
                </w:rPr>
                <w:t>76</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8.</w:t>
            </w:r>
          </w:p>
        </w:tc>
        <w:tc>
          <w:tcPr>
            <w:tcW w:w="390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0"/>
              </w:rPr>
            </w:pPr>
            <w:hyperlink w:anchor="page80">
              <w:r>
                <w:rPr>
                  <w:rFonts w:ascii="Arial" w:cs="Arial" w:eastAsia="Arial" w:hAnsi="Arial"/>
                  <w:sz w:val="16"/>
                  <w:szCs w:val="16"/>
                  <w:color w:val="0000EE"/>
                  <w:w w:val="90"/>
                </w:rPr>
                <w:t>Consolidated Financial Statements and Supplementary Data</w:t>
              </w:r>
            </w:hyperlink>
          </w:p>
        </w:tc>
        <w:tc>
          <w:tcPr>
            <w:tcW w:w="20" w:type="dxa"/>
            <w:vAlign w:val="bottom"/>
            <w:tcBorders>
              <w:top w:val="single" w:sz="8" w:color="0000EE"/>
            </w:tcBorders>
          </w:tcPr>
          <w:p>
            <w:pPr>
              <w:spacing w:after="0"/>
              <w:rPr>
                <w:sz w:val="20"/>
                <w:szCs w:val="20"/>
                <w:color w:val="auto"/>
              </w:rPr>
            </w:pPr>
          </w:p>
        </w:tc>
        <w:tc>
          <w:tcPr>
            <w:tcW w:w="4360" w:type="dxa"/>
            <w:vAlign w:val="bottom"/>
            <w:gridSpan w:val="6"/>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80">
              <w:r>
                <w:rPr>
                  <w:rFonts w:ascii="Arial" w:cs="Arial" w:eastAsia="Arial" w:hAnsi="Arial"/>
                  <w:sz w:val="16"/>
                  <w:szCs w:val="16"/>
                  <w:color w:val="auto"/>
                </w:rPr>
                <w:t>78</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w:t>
            </w:r>
          </w:p>
        </w:tc>
        <w:tc>
          <w:tcPr>
            <w:tcW w:w="8280" w:type="dxa"/>
            <w:vAlign w:val="bottom"/>
            <w:gridSpan w:val="20"/>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Changes in and Disagreements With Accountants on Accounting and Financial Disclosure</w:t>
              </w:r>
            </w:hyperlink>
          </w:p>
        </w:tc>
        <w:tc>
          <w:tcPr>
            <w:tcW w:w="150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9A.</w:t>
            </w:r>
          </w:p>
        </w:tc>
        <w:tc>
          <w:tcPr>
            <w:tcW w:w="16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89"/>
              </w:rPr>
            </w:pPr>
            <w:hyperlink w:anchor="page105">
              <w:r>
                <w:rPr>
                  <w:rFonts w:ascii="Arial" w:cs="Arial" w:eastAsia="Arial" w:hAnsi="Arial"/>
                  <w:sz w:val="16"/>
                  <w:szCs w:val="16"/>
                  <w:color w:val="0000EE"/>
                  <w:w w:val="89"/>
                </w:rPr>
                <w:t>Controls and Procedures</w:t>
              </w:r>
            </w:hyperlink>
          </w:p>
        </w:tc>
        <w:tc>
          <w:tcPr>
            <w:tcW w:w="4260" w:type="dxa"/>
            <w:vAlign w:val="bottom"/>
            <w:tcBorders>
              <w:top w:val="single" w:sz="8" w:color="0000EE"/>
            </w:tcBorders>
            <w:gridSpan w:val="11"/>
          </w:tcPr>
          <w:p>
            <w:pPr>
              <w:spacing w:after="0"/>
              <w:rPr>
                <w:sz w:val="20"/>
                <w:szCs w:val="20"/>
                <w:color w:val="auto"/>
              </w:rPr>
            </w:pPr>
          </w:p>
        </w:tc>
        <w:tc>
          <w:tcPr>
            <w:tcW w:w="2420" w:type="dxa"/>
            <w:vAlign w:val="bottom"/>
            <w:gridSpan w:val="3"/>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9B.</w:t>
            </w:r>
          </w:p>
        </w:tc>
        <w:tc>
          <w:tcPr>
            <w:tcW w:w="8280" w:type="dxa"/>
            <w:vAlign w:val="bottom"/>
            <w:gridSpan w:val="20"/>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Other Information</w:t>
              </w:r>
            </w:hyperlink>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10.</w:t>
            </w:r>
          </w:p>
        </w:tc>
        <w:tc>
          <w:tcPr>
            <w:tcW w:w="8280" w:type="dxa"/>
            <w:vAlign w:val="bottom"/>
            <w:gridSpan w:val="20"/>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Directors, Executive Officers and Corporate Governance</w:t>
              </w:r>
            </w:hyperlink>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11.</w:t>
            </w:r>
          </w:p>
        </w:tc>
        <w:tc>
          <w:tcPr>
            <w:tcW w:w="3680" w:type="dxa"/>
            <w:vAlign w:val="bottom"/>
            <w:tcBorders>
              <w:top w:val="single" w:sz="8" w:color="0000EE"/>
            </w:tcBorders>
            <w:gridSpan w:val="12"/>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Executive Compensation</w:t>
              </w:r>
            </w:hyperlink>
          </w:p>
        </w:tc>
        <w:tc>
          <w:tcPr>
            <w:tcW w:w="4600" w:type="dxa"/>
            <w:vAlign w:val="bottom"/>
            <w:gridSpan w:val="8"/>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r>
      <w:tr>
        <w:trPr>
          <w:trHeight w:val="20"/>
        </w:trPr>
        <w:tc>
          <w:tcPr>
            <w:tcW w:w="16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12.</w:t>
            </w:r>
          </w:p>
        </w:tc>
        <w:tc>
          <w:tcPr>
            <w:tcW w:w="8280" w:type="dxa"/>
            <w:vAlign w:val="bottom"/>
            <w:gridSpan w:val="20"/>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Security Ownership of Certain Beneficial Owners and Management and Related Stockholder Matters</w:t>
              </w:r>
            </w:hyperlink>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13.</w:t>
            </w:r>
          </w:p>
        </w:tc>
        <w:tc>
          <w:tcPr>
            <w:tcW w:w="49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0"/>
              </w:rPr>
            </w:pPr>
            <w:hyperlink w:anchor="page107">
              <w:r>
                <w:rPr>
                  <w:rFonts w:ascii="Arial" w:cs="Arial" w:eastAsia="Arial" w:hAnsi="Arial"/>
                  <w:sz w:val="16"/>
                  <w:szCs w:val="16"/>
                  <w:color w:val="0000EE"/>
                  <w:w w:val="90"/>
                </w:rPr>
                <w:t>Certain Relationships and Related Transactions, and Director Independence</w:t>
              </w:r>
            </w:hyperlink>
          </w:p>
        </w:tc>
        <w:tc>
          <w:tcPr>
            <w:tcW w:w="1640" w:type="dxa"/>
            <w:vAlign w:val="bottom"/>
            <w:tcBorders>
              <w:top w:val="single" w:sz="8" w:color="0000EE"/>
            </w:tcBorders>
            <w:gridSpan w:val="3"/>
          </w:tcPr>
          <w:p>
            <w:pPr>
              <w:spacing w:after="0"/>
              <w:rPr>
                <w:sz w:val="20"/>
                <w:szCs w:val="20"/>
                <w:color w:val="auto"/>
              </w:rPr>
            </w:pPr>
          </w:p>
        </w:tc>
        <w:tc>
          <w:tcPr>
            <w:tcW w:w="1720" w:type="dxa"/>
            <w:vAlign w:val="bottom"/>
            <w:gridSpan w:val="2"/>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14.</w:t>
            </w:r>
          </w:p>
        </w:tc>
        <w:tc>
          <w:tcPr>
            <w:tcW w:w="8280" w:type="dxa"/>
            <w:vAlign w:val="bottom"/>
            <w:gridSpan w:val="20"/>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Principal Accounting Fees and Services</w:t>
              </w:r>
            </w:hyperlink>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IV</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15.</w:t>
            </w:r>
          </w:p>
        </w:tc>
        <w:tc>
          <w:tcPr>
            <w:tcW w:w="8280" w:type="dxa"/>
            <w:vAlign w:val="bottom"/>
            <w:gridSpan w:val="20"/>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Exhibits, Consolidated Financial Statement Schedules</w:t>
              </w:r>
            </w:hyperlink>
          </w:p>
        </w:tc>
        <w:tc>
          <w:tcPr>
            <w:tcW w:w="1500" w:type="dxa"/>
            <w:vAlign w:val="bottom"/>
          </w:tcPr>
          <w:p>
            <w:pPr>
              <w:jc w:val="right"/>
              <w:spacing w:after="0"/>
              <w:rPr>
                <w:rFonts w:ascii="Arial" w:cs="Arial" w:eastAsia="Arial" w:hAnsi="Arial"/>
                <w:sz w:val="16"/>
                <w:szCs w:val="16"/>
                <w:color w:val="auto"/>
              </w:rPr>
            </w:pPr>
            <w:hyperlink w:anchor="page108">
              <w:r>
                <w:rPr>
                  <w:rFonts w:ascii="Arial" w:cs="Arial" w:eastAsia="Arial" w:hAnsi="Arial"/>
                  <w:sz w:val="16"/>
                  <w:szCs w:val="16"/>
                  <w:color w:val="auto"/>
                </w:rPr>
                <w:t>106</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16.</w:t>
            </w:r>
          </w:p>
        </w:tc>
        <w:tc>
          <w:tcPr>
            <w:tcW w:w="140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2"/>
              </w:rPr>
            </w:pPr>
            <w:hyperlink w:anchor="page110">
              <w:r>
                <w:rPr>
                  <w:rFonts w:ascii="Arial" w:cs="Arial" w:eastAsia="Arial" w:hAnsi="Arial"/>
                  <w:sz w:val="16"/>
                  <w:szCs w:val="16"/>
                  <w:color w:val="0000EE"/>
                  <w:w w:val="92"/>
                </w:rPr>
                <w:t>Form 10-K Summary</w:t>
              </w:r>
            </w:hyperlink>
          </w:p>
        </w:tc>
        <w:tc>
          <w:tcPr>
            <w:tcW w:w="2100" w:type="dxa"/>
            <w:vAlign w:val="bottom"/>
            <w:tcBorders>
              <w:top w:val="single" w:sz="8" w:color="0000EE"/>
            </w:tcBorders>
            <w:gridSpan w:val="6"/>
          </w:tcPr>
          <w:p>
            <w:pPr>
              <w:spacing w:after="0"/>
              <w:rPr>
                <w:sz w:val="20"/>
                <w:szCs w:val="20"/>
                <w:color w:val="auto"/>
              </w:rPr>
            </w:pPr>
          </w:p>
        </w:tc>
        <w:tc>
          <w:tcPr>
            <w:tcW w:w="4780" w:type="dxa"/>
            <w:vAlign w:val="bottom"/>
            <w:gridSpan w:val="9"/>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10">
              <w:r>
                <w:rPr>
                  <w:rFonts w:ascii="Arial" w:cs="Arial" w:eastAsia="Arial" w:hAnsi="Arial"/>
                  <w:sz w:val="16"/>
                  <w:szCs w:val="16"/>
                  <w:color w:val="auto"/>
                </w:rPr>
                <w:t>108</w:t>
              </w:r>
            </w:hyperlink>
          </w:p>
        </w:tc>
      </w:tr>
      <w:tr>
        <w:trPr>
          <w:trHeight w:val="237"/>
        </w:trPr>
        <w:tc>
          <w:tcPr>
            <w:tcW w:w="1640" w:type="dxa"/>
            <w:vAlign w:val="bottom"/>
          </w:tcPr>
          <w:p>
            <w:pPr>
              <w:spacing w:after="0"/>
              <w:rPr>
                <w:sz w:val="20"/>
                <w:szCs w:val="20"/>
                <w:color w:val="auto"/>
              </w:rPr>
            </w:pPr>
          </w:p>
        </w:tc>
        <w:tc>
          <w:tcPr>
            <w:tcW w:w="8280" w:type="dxa"/>
            <w:vAlign w:val="bottom"/>
            <w:gridSpan w:val="20"/>
          </w:tcPr>
          <w:p>
            <w:pPr>
              <w:spacing w:after="0"/>
              <w:rPr>
                <w:rFonts w:ascii="Arial" w:cs="Arial" w:eastAsia="Arial" w:hAnsi="Arial"/>
                <w:sz w:val="16"/>
                <w:szCs w:val="16"/>
                <w:color w:val="0000EE"/>
              </w:rPr>
            </w:pPr>
            <w:hyperlink w:anchor="page111">
              <w:r>
                <w:rPr>
                  <w:rFonts w:ascii="Arial" w:cs="Arial" w:eastAsia="Arial" w:hAnsi="Arial"/>
                  <w:sz w:val="16"/>
                  <w:szCs w:val="16"/>
                  <w:color w:val="0000EE"/>
                </w:rPr>
                <w:t>Signatures</w:t>
              </w:r>
            </w:hyperlink>
          </w:p>
        </w:tc>
        <w:tc>
          <w:tcPr>
            <w:tcW w:w="1500" w:type="dxa"/>
            <w:vAlign w:val="bottom"/>
          </w:tcPr>
          <w:p>
            <w:pPr>
              <w:jc w:val="right"/>
              <w:spacing w:after="0"/>
              <w:rPr>
                <w:rFonts w:ascii="Arial" w:cs="Arial" w:eastAsia="Arial" w:hAnsi="Arial"/>
                <w:sz w:val="16"/>
                <w:szCs w:val="16"/>
                <w:color w:val="auto"/>
              </w:rPr>
            </w:pPr>
            <w:hyperlink w:anchor="page111">
              <w:r>
                <w:rPr>
                  <w:rFonts w:ascii="Arial" w:cs="Arial" w:eastAsia="Arial" w:hAnsi="Arial"/>
                  <w:sz w:val="16"/>
                  <w:szCs w:val="16"/>
                  <w:color w:val="auto"/>
                </w:rPr>
                <w:t>109</w:t>
              </w:r>
            </w:hyperlink>
          </w:p>
        </w:tc>
      </w:tr>
      <w:tr>
        <w:trPr>
          <w:trHeight w:val="20"/>
        </w:trPr>
        <w:tc>
          <w:tcPr>
            <w:tcW w:w="1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This Annual Report on Form 10-K (Annual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480" w:hanging="314"/>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develop and commercialize antibodies, including our lead product candidates etokimab for patients with severe allergic and atopic diseases and ANB019 for patients with generalized pustular psoriasis, or GPP, and palmoplantar pustulosis, or PPP;</w:t>
      </w:r>
    </w:p>
    <w:p>
      <w:pPr>
        <w:spacing w:after="0" w:line="38" w:lineRule="exact"/>
        <w:rPr>
          <w:rFonts w:ascii="Arial" w:cs="Arial" w:eastAsia="Arial" w:hAnsi="Arial"/>
          <w:sz w:val="17"/>
          <w:szCs w:val="17"/>
          <w:color w:val="auto"/>
        </w:rPr>
      </w:pPr>
    </w:p>
    <w:p>
      <w:pPr>
        <w:ind w:left="660" w:right="60" w:hanging="314"/>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are performing or plan to perform in a non-US jurisdiction will be subsequently accepted by the </w:t>
      </w:r>
      <w:r>
        <w:rPr>
          <w:rFonts w:ascii="Arial" w:cs="Arial" w:eastAsia="Arial" w:hAnsi="Arial"/>
          <w:sz w:val="18"/>
          <w:szCs w:val="18"/>
          <w:color w:val="231F20"/>
        </w:rPr>
        <w:t>U.S. Food and Drug Administration, or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140" w:hanging="314"/>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38" w:lineRule="exact"/>
        <w:rPr>
          <w:rFonts w:ascii="Arial" w:cs="Arial" w:eastAsia="Arial" w:hAnsi="Arial"/>
          <w:sz w:val="17"/>
          <w:szCs w:val="17"/>
          <w:color w:val="auto"/>
        </w:rPr>
      </w:pPr>
    </w:p>
    <w:p>
      <w:pPr>
        <w:ind w:left="660" w:right="10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etokimab and ANB019 and our other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80" w:firstLine="567"/>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7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7" w:lineRule="exact"/>
        <w:rPr>
          <w:sz w:val="20"/>
          <w:szCs w:val="20"/>
          <w:color w:val="auto"/>
        </w:rPr>
      </w:pPr>
    </w:p>
    <w:p>
      <w:pPr>
        <w:ind w:right="1060" w:firstLine="567"/>
        <w:spacing w:after="0" w:line="277" w:lineRule="auto"/>
        <w:rPr>
          <w:sz w:val="20"/>
          <w:szCs w:val="20"/>
          <w:color w:val="auto"/>
        </w:rPr>
      </w:pPr>
      <w:r>
        <w:rPr>
          <w:rFonts w:ascii="Arial" w:cs="Arial" w:eastAsia="Arial" w:hAnsi="Arial"/>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Unless the context indicates otherwise, as used in this Annual Report, the terms “AnaptysBio,”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 Our most advanced wholly-owned antibody programs, etokimab and ANB019, neutralize therapeutic targets that are genetically associated with severe inflammatory disorders in humans.</w:t>
      </w:r>
    </w:p>
    <w:p>
      <w:pPr>
        <w:spacing w:after="0" w:line="189"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Etokimab, our anti-IL-33 antibody drug candidate previously referred to as ANB020, inhibits the activity of the interleukin-33 cytokine, or IL-33, which we believe is broadly applicable to the treatment of atopic inflammatory disorders, such as moderate-to-severe atopic dermatitis, eosinophilic asthma, chronic rhinosinusitis with nasal polyps, or CRSwNP, and potentially other allergic conditions.</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We completed a Phase 2a proof-of-concept trial of etokimab in 12 moderate-to-severe adult atopic dermatitis patients in late 2017 and believe the data from this trial, presented at the 2018 American Academy of Dermatology, or AAD, and 2018 European Academy of Allergy and Clinical Immunology, </w:t>
      </w:r>
      <w:r>
        <w:rPr>
          <w:rFonts w:ascii="Arial" w:cs="Arial" w:eastAsia="Arial" w:hAnsi="Arial"/>
          <w:sz w:val="18"/>
          <w:szCs w:val="18"/>
          <w:color w:val="231F20"/>
        </w:rPr>
        <w:t>or</w:t>
      </w:r>
      <w:r>
        <w:rPr>
          <w:rFonts w:ascii="Arial" w:cs="Arial" w:eastAsia="Arial" w:hAnsi="Arial"/>
          <w:sz w:val="18"/>
          <w:szCs w:val="18"/>
          <w:color w:val="auto"/>
        </w:rPr>
        <w:t xml:space="preserve"> </w:t>
      </w:r>
      <w:r>
        <w:rPr>
          <w:rFonts w:ascii="Arial" w:cs="Arial" w:eastAsia="Arial" w:hAnsi="Arial"/>
          <w:sz w:val="18"/>
          <w:szCs w:val="18"/>
          <w:color w:val="231F20"/>
        </w:rPr>
        <w:t>EAACI</w:t>
      </w:r>
      <w:r>
        <w:rPr>
          <w:rFonts w:ascii="Arial" w:cs="Arial" w:eastAsia="Arial" w:hAnsi="Arial"/>
          <w:sz w:val="18"/>
          <w:szCs w:val="18"/>
          <w:color w:val="000000"/>
        </w:rPr>
        <w:t>, demonstrate proof-of-concept for etokimab in moderate-to-severe adult atopic dermatitis and suggest that etokimab may provide meaningful</w:t>
      </w:r>
      <w:r>
        <w:rPr>
          <w:rFonts w:ascii="Arial" w:cs="Arial" w:eastAsia="Arial" w:hAnsi="Arial"/>
          <w:sz w:val="18"/>
          <w:szCs w:val="18"/>
          <w:color w:val="231F20"/>
        </w:rPr>
        <w:t xml:space="preserve"> </w:t>
      </w:r>
      <w:r>
        <w:rPr>
          <w:rFonts w:ascii="Arial" w:cs="Arial" w:eastAsia="Arial" w:hAnsi="Arial"/>
          <w:sz w:val="18"/>
          <w:szCs w:val="18"/>
          <w:color w:val="000000"/>
        </w:rPr>
        <w:t>differentiation in terms of patient convenience. We are conducting a Phase 2b randomized, double-blinded, placebo-controlled, multi-dose study in 300 adult patients with moderate-to-severe atopic dermatitis, also referred to as the ATLAS trial, to assess different dose levels and dosing frequencies of subcutaneously-administered etokimab for a 16-week treatment period followed by an eight-week monitoring period, with top-line data expected in the second half of 2019.</w:t>
      </w:r>
    </w:p>
    <w:p>
      <w:pPr>
        <w:spacing w:after="0" w:line="189"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We recently completed a Phase 2a randomized, placebo-controlled, single dose study of etokimab in 25 severe adult eosinophilic asthma patients. We announced top-line data from an interim analysis of this Phase 2a trial in September 2018, which we believe demonstrated proof-of-concept for etokimab in severe adult eosinophilic asthma patients with rapid and sustained Forced Expiratory Volume in One Second, or FEV1, improvement. We plan to report full data from this trial, including data subsequent to the Day 64 time point, at a medical conference in 2019. We believe the interim analysis of this trial supports the continued development of etokimab in eosinophilic asthma and plan to initiate, during 2019, a multi-dose Phase 2b randomized, double-blinded, placebo-controlled trial. We may also conduct clinical studies in other severe asthma subset(s) in the future.</w:t>
      </w:r>
    </w:p>
    <w:p>
      <w:pPr>
        <w:spacing w:after="0" w:line="165"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We are conducting a randomized, placebo-controlled Phase 2 trial of etokimab in approximately 100 adult patients with CRSwNP, also referred to as the ECLIPSE trial, which is a debilitating atopic disorder associated with elevated IL-33 pathway signaling. We anticipate top-line data from this trial to be available in the second half of 2019.</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ANB019 inhibits the interleukin-36 receptor, or IL-36R, for the treatment of rare inflammatory diseases including generalized pustular psoriasis, or GPP, and palmoplantar pustulosis, or PPP, previously referred to as palmo-plantar pustular psoriasis. We completed a Phase 1 clinical trial in healthy volunteers which was presented at EAACI 2018, where ANB019 was well-tolerated by all subjects, no dose-limiting toxicities were observed, and no serious adverse events were reported among any subjects in the trial. We have subsequently initiated a 10-patient open-label, multi-dose, single-arm Phase 2 trial of ANB019 in GPP patients, also referred to as the GALLOP trial, where top-line data are anticipated in mid-2019. We have also initiated a randomized, double-blind, placebo-controlled approximately 50-patient multi-dose trial of ANB019 in PPP, also referred to as the POPLAR trial, where top-line data are anticipated in the second half of 2019.</w:t>
      </w:r>
    </w:p>
    <w:p>
      <w:pPr>
        <w:spacing w:after="0" w:line="189"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In addition to etokimab and ANB019, our wholly-owned pipeline includes novel anti-inflammatory checkpoint receptor modulator antibodies that we believe are applicable for treatment of certain autoimmune diseases where immune checkpoint receptors are insufficiently activated. We anticipate an Investigational New Drug Application, or IND, for the first such antibody in the second half of 2019.</w:t>
      </w:r>
    </w:p>
    <w:p>
      <w:pPr>
        <w:spacing w:after="0" w:line="181" w:lineRule="exact"/>
        <w:rPr>
          <w:sz w:val="20"/>
          <w:szCs w:val="20"/>
          <w:color w:val="auto"/>
        </w:rPr>
      </w:pPr>
    </w:p>
    <w:p>
      <w:pPr>
        <w:jc w:val="both"/>
        <w:ind w:right="500" w:firstLine="567"/>
        <w:spacing w:after="0" w:line="264" w:lineRule="auto"/>
        <w:rPr>
          <w:sz w:val="20"/>
          <w:szCs w:val="20"/>
          <w:color w:val="auto"/>
        </w:rPr>
      </w:pPr>
      <w:r>
        <w:rPr>
          <w:rFonts w:ascii="Arial" w:cs="Arial" w:eastAsia="Arial" w:hAnsi="Arial"/>
          <w:sz w:val="18"/>
          <w:szCs w:val="18"/>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Arial" w:cs="Arial" w:eastAsia="Arial" w:hAnsi="Arial"/>
          <w:sz w:val="18"/>
          <w:szCs w:val="18"/>
          <w:color w:val="231F20"/>
        </w:rPr>
        <w:t>TESARO, Inc. and TESARO</w:t>
      </w:r>
      <w:r>
        <w:rPr>
          <w:rFonts w:ascii="Arial" w:cs="Arial" w:eastAsia="Arial" w:hAnsi="Arial"/>
          <w:sz w:val="18"/>
          <w:szCs w:val="18"/>
          <w:color w:val="auto"/>
        </w:rPr>
        <w:t xml:space="preserve"> </w:t>
      </w:r>
      <w:r>
        <w:rPr>
          <w:rFonts w:ascii="Arial" w:cs="Arial" w:eastAsia="Arial" w:hAnsi="Arial"/>
          <w:sz w:val="18"/>
          <w:szCs w:val="18"/>
          <w:color w:val="231F20"/>
        </w:rPr>
        <w:t xml:space="preserve">Development, Ltd., or collectively TESARO, </w:t>
      </w:r>
      <w:r>
        <w:rPr>
          <w:rFonts w:ascii="Arial" w:cs="Arial" w:eastAsia="Arial" w:hAnsi="Arial"/>
          <w:sz w:val="18"/>
          <w:szCs w:val="18"/>
          <w:color w:val="000000"/>
        </w:rPr>
        <w:t>and an inflammation-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8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focused collaboration with Celgene Corporation, or Celgene. For more information about these collaborations, see “— Collaborations”.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53340</wp:posOffset>
            </wp:positionV>
            <wp:extent cx="5848985" cy="3198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58" w:lineRule="exact"/>
        <w:rPr>
          <w:sz w:val="20"/>
          <w:szCs w:val="20"/>
          <w:color w:val="auto"/>
        </w:rPr>
      </w:pPr>
    </w:p>
    <w:p>
      <w:pPr>
        <w:ind w:left="660" w:right="40" w:hanging="314"/>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working to demonstrate the safety and efficacy of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wholly-owned pipeline programs, and have completed a Phase 1 trial of etokimab in healthy volunteers, which we believe has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have completed a Phase 2a trial of etokimab in patients with moderate-to-severe adult atopic dermatitis where top-line data efficacy was announced in October 2017 and completed trial data was presented at the 2018 AAD Annual Meeting and EAACI 2018. We are currently conducting an on-going Phase 2b randomized, double-blinded, placebo-controlled, multi-dose study in 300 adults patients with moderate-to-severe atopic dermatitis, also referred to as the ATLAS trial, to assess different dose levels and dosing frequencies of subcutaneously-administered etokimab for a 16-week treatment period followed by an eight-week monitoring period, with top-line data expected in the second half of 2019. We have completed a severe adult eosinophilic asthma Phase 2a trial where interim analysis top-line data was announced during September 2018, which we believe supports the continued development of etokimab in eosinophilic asthma and plan to initiate a multi-dose Phase 2b randomized, double-blinded, placebo-controlled trial during 2019. We have initiated a Phase 2 trial of etokimab in patients with CRSwNP, also referred to as the ECLIPSE trial, and anticipate top-line data from this trial to be available in the second half of 2019. We have conducted a Phase 1 clinical trial in healthy volunteers to assess the safety, pharmacokinetics and pharmacodynamics of ANB019 and have announced top-line data from this trial in November 2017 and complete data at EAACI 2018. We have subsequently initiated two Phase 2 studies of ANB019 in GPP and PPP patients during 2018, also referred to as the GALLOP and POPLAR trials, respectively, where top-line data are anticipated in mid-2019 and in the second half of 2019, respectively.</w:t>
      </w:r>
    </w:p>
    <w:p>
      <w:pPr>
        <w:spacing w:after="0" w:line="60" w:lineRule="exact"/>
        <w:rPr>
          <w:rFonts w:ascii="Arial" w:cs="Arial" w:eastAsia="Arial" w:hAnsi="Arial"/>
          <w:sz w:val="16"/>
          <w:szCs w:val="16"/>
          <w:color w:val="auto"/>
        </w:rPr>
      </w:pPr>
    </w:p>
    <w:p>
      <w:pPr>
        <w:ind w:left="660" w:right="160" w:hanging="314"/>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SHM antibody generation platform, we are able to rapidly develop novel antibodies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00" w:right="259" w:bottom="1440" w:gutter="0" w:footer="0" w:header="0"/>
        </w:sectPr>
      </w:pPr>
    </w:p>
    <w:bookmarkStart w:id="5" w:name="page6"/>
    <w:bookmarkEnd w:id="5"/>
    <w:p>
      <w:pPr>
        <w:ind w:left="660" w:right="80"/>
        <w:spacing w:after="0" w:line="324" w:lineRule="auto"/>
        <w:rPr>
          <w:sz w:val="20"/>
          <w:szCs w:val="20"/>
          <w:color w:val="auto"/>
        </w:rPr>
      </w:pPr>
      <w:r>
        <w:rPr>
          <w:rFonts w:ascii="Arial" w:cs="Arial" w:eastAsia="Arial" w:hAnsi="Arial"/>
          <w:sz w:val="18"/>
          <w:szCs w:val="18"/>
          <w:color w:val="auto"/>
        </w:rPr>
        <w:t>against biological targets. Our goal is to continue expanding our wholly-owned new therapeutic antibody program pipeline by innovating additional wholly-owned novel pipeline antibodies to potentially first-in-class immune-related targets.</w:t>
      </w:r>
    </w:p>
    <w:p>
      <w:pPr>
        <w:spacing w:after="0" w:line="31" w:lineRule="exact"/>
        <w:rPr>
          <w:sz w:val="20"/>
          <w:szCs w:val="20"/>
          <w:color w:val="auto"/>
        </w:rPr>
      </w:pPr>
    </w:p>
    <w:p>
      <w:pPr>
        <w:ind w:left="660" w:right="140" w:hanging="314"/>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initial efficacy assessment.</w:t>
      </w:r>
    </w:p>
    <w:p>
      <w:pPr>
        <w:spacing w:after="0" w:line="60" w:lineRule="exact"/>
        <w:rPr>
          <w:rFonts w:ascii="Arial" w:cs="Arial" w:eastAsia="Arial" w:hAnsi="Arial"/>
          <w:sz w:val="17"/>
          <w:szCs w:val="17"/>
          <w:color w:val="auto"/>
        </w:rPr>
      </w:pPr>
    </w:p>
    <w:p>
      <w:pPr>
        <w:ind w:left="660" w:right="180" w:hanging="314"/>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most advanced, wholly-owned pipeline programs, etokimab and ANB019, are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Etokimab: Anti-IL-33 Antibody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 xml:space="preserve">Etokimab is a potentially first-in-class antibody that inhibits the activity of IL-33 and is being developed to treat atopic diseases, including moderate-to-severe adult atopic dermatitis, severe adult peanut allergy and severe adult eosinophilic asthma. Despite the key role of IL-33 in atopic diseases, it has been historically difficult for other antibody technologies to generate a functional anti-IL-33 therapeutic agent. We believe etokimab is the most advanced antibody therapeutic candidate in development targeting the IL-33 cytokine. We have completed a Phase 1 trial of etokimab in healthy volunteers, completed a Phase 2a clinical trial of etokimab in moderate-to-severe atopic dermatitis, completed a Phase 2a clinical trial of etokimab in severe peanut allergy patients, </w:t>
      </w:r>
      <w:r>
        <w:rPr>
          <w:rFonts w:ascii="Arial" w:cs="Arial" w:eastAsia="Arial" w:hAnsi="Arial"/>
          <w:sz w:val="16"/>
          <w:szCs w:val="16"/>
          <w:color w:val="231F20"/>
        </w:rPr>
        <w:t xml:space="preserve">completed a Phase 2a trial of </w:t>
      </w:r>
      <w:r>
        <w:rPr>
          <w:rFonts w:ascii="Arial" w:cs="Arial" w:eastAsia="Arial" w:hAnsi="Arial"/>
          <w:sz w:val="16"/>
          <w:szCs w:val="16"/>
          <w:color w:val="000000"/>
        </w:rPr>
        <w:t>etokimab</w:t>
      </w:r>
      <w:r>
        <w:rPr>
          <w:rFonts w:ascii="Arial" w:cs="Arial" w:eastAsia="Arial" w:hAnsi="Arial"/>
          <w:sz w:val="16"/>
          <w:szCs w:val="16"/>
          <w:color w:val="231F20"/>
        </w:rPr>
        <w:t xml:space="preserve"> in severe adult eosinophilic asthma patients and are currently enrolling a Phase 2b clinical trial of etokimab in patients with </w:t>
      </w:r>
      <w:r>
        <w:rPr>
          <w:rFonts w:ascii="Arial" w:cs="Arial" w:eastAsia="Arial" w:hAnsi="Arial"/>
          <w:sz w:val="16"/>
          <w:szCs w:val="16"/>
          <w:color w:val="000000"/>
        </w:rPr>
        <w:t>moderate-to-severe atopic dermatitis and a Phase 2 clinical trial of etokimab in patients with CRSwNP.</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IL-33 Target Biology</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atopic dermatitis, food allergies, asthma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right="440" w:firstLine="567"/>
        <w:spacing w:after="0" w:line="342" w:lineRule="auto"/>
        <w:rPr>
          <w:sz w:val="20"/>
          <w:szCs w:val="20"/>
          <w:color w:val="auto"/>
        </w:rPr>
      </w:pPr>
      <w:r>
        <w:rPr>
          <w:rFonts w:ascii="Arial" w:cs="Arial" w:eastAsia="Arial" w:hAnsi="Arial"/>
          <w:sz w:val="16"/>
          <w:szCs w:val="16"/>
          <w:color w:val="auto"/>
        </w:rPr>
        <w:t>Because etokimab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124"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Certain studies also demonstrate that mutation that increases IL-33 mediated signaling increases incidence of asthma and atopic dermatitis. This supports the hypothesis that an anti-IL-33 antibody, such as etokimab, has the potential to benefit asthma, atopic dermatitis and CRSwNP patients.</w:t>
      </w:r>
    </w:p>
    <w:p>
      <w:pPr>
        <w:spacing w:after="0" w:line="187"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 xml:space="preserve">We believe that targeting IL-33 activity is a more promising therapeutic intervention strategy than targeting its receptor, ST2, because (i) ST2 is present in significantly larger quantities, in comparison to IL-33, which will likely require high anti-ST2 antibody dosing levels, (ii) anti-ST2 antibodies are likely to be internalized </w:t>
      </w:r>
      <w:r>
        <w:rPr>
          <w:rFonts w:ascii="Arial" w:cs="Arial" w:eastAsia="Arial" w:hAnsi="Arial"/>
          <w:sz w:val="18"/>
          <w:szCs w:val="18"/>
          <w:i w:val="1"/>
          <w:iCs w:val="1"/>
          <w:color w:val="auto"/>
        </w:rPr>
        <w:t>in vivo</w:t>
      </w:r>
      <w:r>
        <w:rPr>
          <w:rFonts w:ascii="Arial" w:cs="Arial" w:eastAsia="Arial" w:hAnsi="Arial"/>
          <w:sz w:val="18"/>
          <w:szCs w:val="18"/>
          <w:color w:val="auto"/>
        </w:rPr>
        <w:t>, which will likely require frequent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19" w:right="259" w:bottom="1440" w:gutter="0" w:footer="0" w:header="0"/>
        </w:sectPr>
      </w:pPr>
    </w:p>
    <w:bookmarkStart w:id="6" w:name="page7"/>
    <w:bookmarkEnd w:id="6"/>
    <w:p>
      <w:pPr>
        <w:ind w:right="100"/>
        <w:spacing w:after="0" w:line="277" w:lineRule="auto"/>
        <w:rPr>
          <w:sz w:val="20"/>
          <w:szCs w:val="20"/>
          <w:color w:val="auto"/>
        </w:rPr>
      </w:pPr>
      <w:r>
        <w:rPr>
          <w:rFonts w:ascii="Arial" w:cs="Arial" w:eastAsia="Arial" w:hAnsi="Arial"/>
          <w:sz w:val="18"/>
          <w:szCs w:val="18"/>
          <w:color w:val="auto"/>
        </w:rPr>
        <w:t>dosing and (iii) soluble ST2 inhibits IL-33 function, therefore blocking ST2, and likely leading to the release of additional IL-33, thereby exacerbating atopic disease.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Etokimab Description</w:t>
      </w:r>
    </w:p>
    <w:p>
      <w:pPr>
        <w:spacing w:after="0" w:line="121"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 xml:space="preserve">Etokimab, which is a potential first-in-class therapeutic antibody, is our wholly-owned anti-IL-33 antibody product candidate generated using our SHM technology platform. The potency and functional activity of etokimab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KD, and half-maximal inhibitory concentration values, or IC50. Etokimab demonstrated highly potent KD values of approximately 1 pM and 37 pM for human and cynomolgus monkey IL-33, respectively. Etokimab inhibits secretion of IL-5 from primary basophils purified from peripheral blood of healthy human subjects with an IC50 of approximately 1.5 nM, which is approximately 15-fold greater than that of the soluble ST2 antagonist. Lower KD and IC50 values indicate higher potency and functional activity, respectively.</w:t>
      </w:r>
    </w:p>
    <w:p>
      <w:pPr>
        <w:spacing w:after="0" w:line="178" w:lineRule="exact"/>
        <w:rPr>
          <w:sz w:val="20"/>
          <w:szCs w:val="20"/>
          <w:color w:val="auto"/>
        </w:rPr>
      </w:pPr>
    </w:p>
    <w:p>
      <w:pPr>
        <w:jc w:val="both"/>
        <w:ind w:right="120" w:firstLine="567"/>
        <w:spacing w:after="0" w:line="264" w:lineRule="auto"/>
        <w:rPr>
          <w:sz w:val="20"/>
          <w:szCs w:val="20"/>
          <w:color w:val="auto"/>
        </w:rPr>
      </w:pPr>
      <w:r>
        <w:rPr>
          <w:rFonts w:ascii="Arial" w:cs="Arial" w:eastAsia="Arial" w:hAnsi="Arial"/>
          <w:sz w:val="18"/>
          <w:szCs w:val="18"/>
          <w:color w:val="auto"/>
        </w:rPr>
        <w:t>Using peripheral blood mononuclear cells, or PBMC, etokimab inhibited human and cynomolgus monkey interferon-gamma release with an IC50 of approximately 1.1 nM and approximately 20.4 nM, respectively. We have developed a whole blood version of the PBMC assay, which we used in our Phase 1 trial to understand the pharmacodynamic activity of etokimab in clinical trials.</w:t>
      </w:r>
    </w:p>
    <w:p>
      <w:pPr>
        <w:spacing w:after="0" w:line="18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Our preclinical development has also demonstrated that etokimab has favorable manufacturability, pharmacokinetics and toxicology to support development. Studies have demonstrated desirable manufacturing properties for etokimab, including robust expression from Chinese hamster ovary cells, or CHO cells, efficient purification using standard downstream techniques and stable formulation up to concentrations required for subcutaneous dosing in humans. Etokimab demonstrated a half-life of approximately seven days in cynomolgus monkeys, retained full functional activity when incubated in normal human serum at 37 °C for one week and proved to be fully active in cynomolgus monkey sera two weeks after dosing. We have conducted preclinical toxicology studies under good laboratory practices, or GLPs, for etokimab. In addition, we have conducted manufacturing under good manufacturing practice to produce etokimab in quantities for clinical use.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firstLine="567"/>
        <w:spacing w:after="0" w:line="284" w:lineRule="auto"/>
        <w:rPr>
          <w:sz w:val="20"/>
          <w:szCs w:val="20"/>
          <w:color w:val="auto"/>
        </w:rPr>
      </w:pPr>
      <w:r>
        <w:rPr>
          <w:rFonts w:ascii="Arial" w:cs="Arial" w:eastAsia="Arial" w:hAnsi="Arial"/>
          <w:sz w:val="16"/>
          <w:szCs w:val="16"/>
          <w:color w:val="auto"/>
        </w:rPr>
        <w:t xml:space="preserve">We have completed a Phase 1 trial of etokimab in healthy volunteers in Australia under an approved Clinical Trial Notification, or CTN. Our Phase 1 trial assessed, in single ascending doses, or SAD, and multiple ascending doses, or MAD, safety, tolerability and pharmacokinetic characteristics of etokimab. The SAD cohorts of this Phase 1 trial have been completed and, subsequent to review of the clinical data generated under the SAD, the Australian regulatory authority approved the initiation of MAD cohorts, which have also been completed. In the double-blind, placebo- controlled Phase 1 trial, 96 healthy volunteer subjects were dosed with either a single subcutaneous or intravenous dose of etokimab ranging between 10 mg and 750 mg, or four multiple doses of etokimab ranging between 40 mg and 300 mg over a period of four consecutive weeks. In the SAD portion of our Phase 1 clinical trial of etokimab, 51 subjects (80%) experienced at least one treatment-emergent adverse events, or AE, however the occurrence of AEs was similar between etokimab (38 of 48; 79%) versus placebo (13 of 16, 81%) dosed individuals, and the most common AEs were upper respiratory tract infection (etokimab 48% vs. placebo 50%) and headache (etokimab 27% vs. placebo 31%). The only serious adverse event reported in the SAD portion of the trial was severe neutropenia 22 days post single dose of intravenous 750 mg etokimab in a single subject. Neutrophil levels in this subject returned to normal by 29 days post-dose and this event was preceded by prodromal viral symptoms consistent with an on-going viral infection. In the MAD portion of the Phase 1 clinical trial of etokimab, 24 subjects (75%) experienced an AE, however there was no difference in the percentage of AEs observed amongst subjects dosed with etokimab (18 of 24, 75%) versus placebo (6 of 8, 75%), and the most common AEs were upper respiratory tract infections (etokimab 21% versus placebo 38%) and headache (etokimab 33% versus placebo 38%). No severe adverse events were reported in the MAD portion of the clinical trial. None of these adverse events were determined to be drug-related and no dose-limiting toxicities were observed at any dose level. We concurrently evaluated the pharmacodynamics of etokimab in the SAD portion of the Phase 1 study using a whole blood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upon stimulation with IL-33/IL-12, where etokimab inhibition of IFN-gamma release was measured. Persistent and nearly complete inhibition was observed at 1032 hours (day 43) post-dosing for all SAD cohorts dosed with 40 mg etokimab or greater, regardless of whether such dose was through a subcutaneous or intravenous route of administration. In the 300 mg and 750 mg IV dosed cohorts of the SAD portion of the study, the pharmacodynamic assay was also performed at 2040 hours (day 85) post-dosing, and nearly complete IFN-gamma inhibition was observed through this time point. Pharmacokinetic testing indicated that the terminal half-life of etokimab among the SAD cohorts was approximately 372 hours (15–16 days) with comparable values across all doses and regardless of intravenous or subcutaneous route of administration. Anti-drug antibodies were detected at only low titer levels, and were observed in 5 of 48 etokimab dosed subjects in the SAD cohorts and 2 of 24 etokimab dosed subjects in the MAD cohorts, and no effect was observed on pharmacokinetic parameters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7" w:name="page8"/>
    <w:bookmarkEnd w:id="7"/>
    <w:p>
      <w:pPr>
        <w:ind w:right="40"/>
        <w:spacing w:after="0" w:line="255" w:lineRule="auto"/>
        <w:rPr>
          <w:sz w:val="20"/>
          <w:szCs w:val="20"/>
          <w:color w:val="auto"/>
        </w:rPr>
      </w:pPr>
      <w:r>
        <w:rPr>
          <w:rFonts w:ascii="Arial" w:cs="Arial" w:eastAsia="Arial" w:hAnsi="Arial"/>
          <w:sz w:val="18"/>
          <w:szCs w:val="18"/>
          <w:color w:val="auto"/>
        </w:rPr>
        <w:t xml:space="preserve">in any of the subjects with anti-drug antibody titers. All safety information generated under the single-ascending dose segment of our Phase 1 clinical trial was included in the US IND and UK Clinical Trial Authorisation, or CTA, submissions which have been subsequent cleared. There were no adverse events that were determined to be drug-related, and no dose-limiting toxicities were observed at any dose level. We have concurrently utilized a whole blood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 to evaluate pharmacodynamics, and we believe the results of this assay suggest that the pharmacodynamic activity of etokimab can, at certain dose levels, extend to three months subsequent to a single administration. We disclosed detailed data from this Phase 1 trial at the AAD and AAAAI conferences in early March 2017.</w:t>
      </w:r>
    </w:p>
    <w:p>
      <w:pPr>
        <w:spacing w:after="0" w:line="193" w:lineRule="exact"/>
        <w:rPr>
          <w:sz w:val="20"/>
          <w:szCs w:val="20"/>
          <w:color w:val="auto"/>
        </w:rPr>
      </w:pPr>
    </w:p>
    <w:p>
      <w:pPr>
        <w:ind w:right="120" w:firstLine="554"/>
        <w:spacing w:after="0" w:line="286" w:lineRule="auto"/>
        <w:rPr>
          <w:sz w:val="20"/>
          <w:szCs w:val="20"/>
          <w:color w:val="auto"/>
        </w:rPr>
      </w:pPr>
      <w:r>
        <w:rPr>
          <w:rFonts w:ascii="Arial" w:cs="Arial" w:eastAsia="Arial" w:hAnsi="Arial"/>
          <w:sz w:val="17"/>
          <w:szCs w:val="17"/>
          <w:color w:val="auto"/>
        </w:rPr>
        <w:t xml:space="preserve">We have subsequently completed a Phase 2a trial of etokimab in 12 moderate-to-severe adult atopic dermatitis patients, under an approved CTA with the </w:t>
      </w:r>
      <w:r>
        <w:rPr>
          <w:rFonts w:ascii="Arial" w:cs="Arial" w:eastAsia="Arial" w:hAnsi="Arial"/>
          <w:sz w:val="17"/>
          <w:szCs w:val="17"/>
          <w:color w:val="231F20"/>
        </w:rPr>
        <w:t>U.K. Medicines and Healthcare Products Regulatory Agency, or MHRA</w:t>
      </w:r>
      <w:r>
        <w:rPr>
          <w:rFonts w:ascii="Arial" w:cs="Arial" w:eastAsia="Arial" w:hAnsi="Arial"/>
          <w:sz w:val="17"/>
          <w:szCs w:val="17"/>
          <w:color w:val="auto"/>
        </w:rPr>
        <w:t xml:space="preserve">, announced top-line data from an interim analysis of this trial in October 2017 and presented data upon completion of this trial at the 2018 AAD Annual Meeting on February 17, 2018, and </w:t>
      </w:r>
      <w:r>
        <w:rPr>
          <w:rFonts w:ascii="Arial" w:cs="Arial" w:eastAsia="Arial" w:hAnsi="Arial"/>
          <w:sz w:val="17"/>
          <w:szCs w:val="17"/>
          <w:color w:val="231F20"/>
        </w:rPr>
        <w:t>EAACI 2018.</w:t>
      </w:r>
    </w:p>
    <w:p>
      <w:pPr>
        <w:spacing w:after="0" w:line="166"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The Phase 2a proof-of-concept trial enrolled 12 moderate-to-severe adult atopic dermatitis patients, who were initially administered a single intravenous dose of placebo within 14 days of enrollment, followed by a single intravenous 300mg dose of etokimab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etokimab administration relative to their enrollment baseline. The average baseline EASI score at enrollment amongst all 12 patients was 32. Other efficacy endpoints measured during the trial included the 5-D pruritus scale which measures itchiness, the 5-point Investigator’s Global Assessment, or IGA, scale, the Dermatology Life Quality Index, or DLQI, and the SCORing Atopic Dermatitis, or SCORAD, scale. Exploratory mechanistic biomarkers included granulocyte infiltration and cytokine levels in localized skin lesions measured five days after placebo administration and five days after etokimab administration.</w:t>
      </w:r>
    </w:p>
    <w:p>
      <w:pPr>
        <w:spacing w:after="0" w:line="178" w:lineRule="exact"/>
        <w:rPr>
          <w:sz w:val="20"/>
          <w:szCs w:val="20"/>
          <w:color w:val="auto"/>
        </w:rPr>
      </w:pPr>
    </w:p>
    <w:p>
      <w:pPr>
        <w:ind w:firstLine="554"/>
        <w:spacing w:after="0" w:line="285" w:lineRule="auto"/>
        <w:rPr>
          <w:sz w:val="20"/>
          <w:szCs w:val="20"/>
          <w:color w:val="auto"/>
        </w:rPr>
      </w:pPr>
      <w:r>
        <w:rPr>
          <w:rFonts w:ascii="Arial" w:cs="Arial" w:eastAsia="Arial" w:hAnsi="Arial"/>
          <w:sz w:val="16"/>
          <w:szCs w:val="16"/>
          <w:color w:val="auto"/>
        </w:rPr>
        <w:t>Trial data indicated rapid and sustained clinical achievement of EASI-50, which is 50% or better improvement in EASI score relative to enrollment baseline, in 83% of patients at Day 29, and the 5-D pruritus score was reduced by 32% relative to enrollment baseline. As early as Day 15 post-etokimab administration, 75% of patients reached EASI-50 and pruritus was reduced by 28%, which was sustained until Day 57 when 75% of patients achieved EASI-50; pruritus was reduced by 21% at Day 57. All 12 patients achieved EASI-50 on or before Day 57 post-etokimab administration. Efficacy was sustained in some patients by Day 140 post-etokimab administration where 42% of patients achieved EASI-50. etokimab efficacy was not limited by disease severity as etokimab had similar EASI score improvement in the 7 of 12 enrolled patients treated with systemic immuno-modulators pre-study, which exhibited an average EASI baseline score of 36 upon enrollment, relative to the remaining 5 of 12 enrolled patients that did not require systemic immuno-modulators pre-study, which exhibited an average EASI baseline score of 27. Twenty five percent of patients enrolled in this study achieved an IGA score of 0 or 1, indicating clear or almost clear skin, subsequent to a single etokimab administration. Average DLQI score was maximized at 55% on Day 78 following etokimab dosing and sustained to 43% at Day 140 relative to baseline. SCORAD efficacy was maximized at 40% at Day 29 following etokimab dosing and sustained to 32% at Day 140 relative to baseline. Exploratory biomarker assessment indicated reduction of granulocyte infiltration into localized skin lesions by an average of 30% amongst all patients and 60% among the 10 patients achieving EASI-50 at 29 days post-etokimab administration, while exploratory cytokine biomarker levels were below detection limit and therefore inconclusive. Etokimab was generally well-tolerated by all patients and no drug-related safety signals were observed. The most frequent adverse events reported were dizziness in 17% of patients post-placebo and headache in 25% of patients post-etokimab administration, while one serious adverse event of severe depression was reported by a single patient on Day 140 post-etokimab, which was deemed not drug related since the patient had a 10 year pre-trial history of severe depression.</w:t>
      </w:r>
    </w:p>
    <w:p>
      <w:pPr>
        <w:spacing w:after="0" w:line="178" w:lineRule="exact"/>
        <w:rPr>
          <w:sz w:val="20"/>
          <w:szCs w:val="20"/>
          <w:color w:val="auto"/>
        </w:rPr>
      </w:pPr>
    </w:p>
    <w:p>
      <w:pPr>
        <w:ind w:right="20" w:firstLine="554"/>
        <w:spacing w:after="0" w:line="290" w:lineRule="auto"/>
        <w:rPr>
          <w:sz w:val="20"/>
          <w:szCs w:val="20"/>
          <w:color w:val="auto"/>
        </w:rPr>
      </w:pPr>
      <w:r>
        <w:rPr>
          <w:rFonts w:ascii="Arial" w:cs="Arial" w:eastAsia="Arial" w:hAnsi="Arial"/>
          <w:sz w:val="16"/>
          <w:szCs w:val="16"/>
          <w:color w:val="auto"/>
        </w:rPr>
        <w:t>We believe the data from this trial demonstrate proof-of-concept for etokimab in moderate-to-severe adult atopic dermatitis and suggest that etokimab may provide meaningful differentiation in terms of patient convenience. We are conducting a Phase 2b randomized, double-blinded, placebo-controlled, multi-dose study in 300 adult patients with moderate-to-severe atopic dermatitis, also referred to as the ATLAS trial, to assess different dose levels and dosing frequencies of subcutaneously-administered etokimab in the US and Europe. Efficacy will be assessed at week 16 post-subcutaneous dosing, with an eight week monitoring period, using percentage change in EASI and we anticipate top-line data from this trial to be available in the second half of 2019. Sixty patients are being randomized into each of five arms in this trial, where dosing will occur as follows: (i) initial 600mg loading dose followed by 300mg monthly doses of etokimab, (ii) initial 300mg loading dose followed by 150mg monthly doses of etokimab, (iii) initial 300mg loading dose followed by 150mg doses of etokimab every eight weeks, (iv) monthly 20mg doses of etokimab and (v) monthly doses of placebo.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8" w:name="page9"/>
    <w:bookmarkEnd w:id="8"/>
    <w:p>
      <w:pPr>
        <w:ind w:right="20" w:firstLine="554"/>
        <w:spacing w:after="0" w:line="268" w:lineRule="auto"/>
        <w:rPr>
          <w:sz w:val="20"/>
          <w:szCs w:val="20"/>
          <w:color w:val="auto"/>
        </w:rPr>
      </w:pPr>
      <w:r>
        <w:rPr>
          <w:rFonts w:ascii="Arial" w:cs="Arial" w:eastAsia="Arial" w:hAnsi="Arial"/>
          <w:sz w:val="17"/>
          <w:szCs w:val="17"/>
          <w:color w:val="auto"/>
        </w:rPr>
        <w:t>We recently completed, under a CTA with the MHRA in the United Kingdom and under an IND, with the U.S. Food and Drug Administration, or FDA, a randomized, placebo-controlled Phase 2a trial of etokimab in 25 severe adult eosinophilic asthma patients who were randomized between a single 300mg intravenous dose of etokimab or placebo upon enrollment (Day 1) at six sites located in the United States and the United Kingdom. Upon screening, which occurred 7 to 14 days prior to enrollment, patients were required to have a blood eosinophil count of at least 300 per microliter, confirmed clinical diagnosis of severe asthma according to the Global Initiative for Asthma, or GINA, 2016, pre-bronchodilator Forced Expiratory Volume in One Second, or FEV1, of less than 80% of predicted and at least one asthma exacerbation within the past 12 months requiring use of rescue medication. Patients were required to be stably maintained on high-dose inhaled corticosteroids, or ICS, and long-acting beta-2- agonists, or LABA, for at least three months prior to screening and were required to continue ICS/LABA therapy during the course of this trial. Baseline clinical assessments were conducted for each patient on Day 1 prior to etokimab or placebo dose, and patients completed follow-up clinical assessments on Days 2, 8, 22, 36 and 64 as of an interim analysis. The last monitoring visit for each patient occurred on Day 127 post-dose. Baseline parameters of etokimab-dosed patients (n=12) were 545 blood eosinophils per microliter, 2.5 liters FEV1 and 65% predicted FEV1, while placebo-dosed patients (n=13) had 705 blood eosinophils per microliter, 2.5 liters FEV1 and 66% predicted FEV1. Nine of 12 (75%) etokimab-dosed patients were male with an average age of 41, while nine of 13 (69%) placebo-dosed patients were male with an average age of 36.</w:t>
      </w:r>
    </w:p>
    <w:p>
      <w:pPr>
        <w:spacing w:after="0" w:line="188" w:lineRule="exact"/>
        <w:rPr>
          <w:sz w:val="20"/>
          <w:szCs w:val="20"/>
          <w:color w:val="auto"/>
        </w:rPr>
      </w:pPr>
    </w:p>
    <w:p>
      <w:pPr>
        <w:ind w:right="100" w:firstLine="554"/>
        <w:spacing w:after="0" w:line="287" w:lineRule="auto"/>
        <w:rPr>
          <w:sz w:val="20"/>
          <w:szCs w:val="20"/>
          <w:color w:val="auto"/>
        </w:rPr>
      </w:pPr>
      <w:r>
        <w:rPr>
          <w:rFonts w:ascii="Arial" w:cs="Arial" w:eastAsia="Arial" w:hAnsi="Arial"/>
          <w:sz w:val="16"/>
          <w:szCs w:val="16"/>
          <w:color w:val="auto"/>
        </w:rPr>
        <w:t>We announced top-line data an interim analysis of this Phase 2a trial in September 2018, which we believe demonstrated proof-of-concept for etokimab in severe adult eosinophilic asthma patients with rapid and sustained FEV1 improvement. Etokimab-dosed patients rapidly improved lung function by Day 2, where FEV1 increased by 8% over placebo. FEV1 increase was sustained at Day 64, where etokimab-dosed patients demonstrated 11% increase over placebo. Blood eosinophil reduction, which is a biomarker illustrative of etokimab’s mechanistic breadth, was observed at 31% over placebo at Day 2 and sustained to 46% over placebo at Day 64. This reduction correlated with FEV1 improvement and was consistent with the blood eosinophil effects observed in a prior single dose etokimab trial in moderate-to-severe atopic dermatitis patients. Etokimab was generally well-tolerated by all patients and no serious adverse events have been reported to date. No treatment-emergent adverse events were deemed to be etokimab-related, and the most frequent treatment-emergent adverse events reported were single occurrences of moderate strep throat in two etokimab-dosed patients and single occurrences of mild vomiting in two placebo-dosed patients. No exacerbations or rescue therapy usage has been reported as of the interim analysis. We plan to report full data from this trial, including data subsequent to the Day 64 timepoint, at a medical conference in 2019. We believe the interim analysis of this trial supports the continued development of etokimab in eosinophilic asthma and plan to initiate, during 2019, a multi-dose Phase 2b randomized, double-blinded, placebo-controlled trial. We may also conduct clinical studies in other severe asthma subset(s) in the future.</w:t>
      </w:r>
    </w:p>
    <w:p>
      <w:pPr>
        <w:spacing w:after="0" w:line="169" w:lineRule="exact"/>
        <w:rPr>
          <w:sz w:val="20"/>
          <w:szCs w:val="20"/>
          <w:color w:val="auto"/>
        </w:rPr>
      </w:pPr>
    </w:p>
    <w:p>
      <w:pPr>
        <w:ind w:right="20" w:firstLine="528"/>
        <w:spacing w:after="0" w:line="293" w:lineRule="auto"/>
        <w:rPr>
          <w:sz w:val="20"/>
          <w:szCs w:val="20"/>
          <w:color w:val="auto"/>
        </w:rPr>
      </w:pPr>
      <w:r>
        <w:rPr>
          <w:rFonts w:ascii="Arial" w:cs="Arial" w:eastAsia="Arial" w:hAnsi="Arial"/>
          <w:sz w:val="16"/>
          <w:szCs w:val="16"/>
          <w:color w:val="auto"/>
        </w:rPr>
        <w:t>We are conducting, under an IND to the FDA a randomized, placebo-controlled Phase 2 trial of etokimab in approximately 100 adult patients with CRSwNP which is a debilitating atopic disorder associated with elevated IL-33 pathway signaling. Patients in this trial, also known as the ECLIPSE trial, will be randomized between three subcutaneous dosing cohorts, each in combination with mometasone furoate nasal spray as background therapy, as follows: (i) initial 300mg loading dose followed by 150mg monthly doses of etokimab, (ii) initial 300mg loading dose followed by 150mg doses of etokimab every eight weeks, and (iii) monthly doses of placebo. Efficacy will be assessed at week 16 post-dosing, with an eight week monitoring period, using the bilateral endoscope Nasal Polyp Score and Sino-Nasal Outcome Test and we anticipate top-line data from this trial to be available in the second half of 2019.</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of the aforementioned clinical trials are subject to regulatory review by the respective regulatory authority applicable to the jurisdiction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211"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Etokimab Market Opportunity</w:t>
      </w:r>
    </w:p>
    <w:p>
      <w:pPr>
        <w:spacing w:after="0" w:line="121"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etokimab may be effective across atopic diseases, we have prioritized our development efforts based on unmet medical need and potential market opportunity. We have chosen to focus our etokimab program initially on three indications: moderate-to-severe atopic dermatitis, eosinophilic asthma, and CRSwNP.</w:t>
      </w:r>
    </w:p>
    <w:p>
      <w:pPr>
        <w:spacing w:after="0" w:line="17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i w:val="1"/>
          <w:iCs w:val="1"/>
          <w:color w:val="auto"/>
        </w:rPr>
        <w:t xml:space="preserve">Atopic Dermatitis. </w:t>
      </w:r>
      <w:r>
        <w:rPr>
          <w:rFonts w:ascii="Arial" w:cs="Arial" w:eastAsia="Arial" w:hAnsi="Arial"/>
          <w:sz w:val="18"/>
          <w:szCs w:val="18"/>
          <w:color w:val="auto"/>
        </w:rPr>
        <w:t>Atopic dermatitis is a chronic inflammatory skin disease that affects approximately 1.4 million adults in the United States. Human</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have demonstrated that IL-33 is highly expressed in atopic dermatitis lesions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9" w:name="page10"/>
    <w:bookmarkEnd w:id="9"/>
    <w:p>
      <w:pPr>
        <w:jc w:val="both"/>
        <w:ind w:right="520"/>
        <w:spacing w:after="0" w:line="264" w:lineRule="auto"/>
        <w:rPr>
          <w:sz w:val="20"/>
          <w:szCs w:val="20"/>
          <w:color w:val="auto"/>
        </w:rPr>
      </w:pPr>
      <w:r>
        <w:rPr>
          <w:rFonts w:ascii="Arial" w:cs="Arial" w:eastAsia="Arial" w:hAnsi="Arial"/>
          <w:sz w:val="18"/>
          <w:szCs w:val="18"/>
          <w:color w:val="auto"/>
        </w:rPr>
        <w:t>leads to the recruitment of downstream cytokines (IL-4, IL-5 and IL-13) and eosinophils to the disease site in patients. By inhibiting IL-33 function in patients, we believe etokimab will suppress the production of the aforementioned downstream cytokines and lead to therapeutic benefit in patients with moderate to severe adult atopic dermatitis.</w:t>
      </w:r>
    </w:p>
    <w:p>
      <w:pPr>
        <w:spacing w:after="0" w:line="181"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Current therapies for atopic dermatitis include the topical use of non-biologic small molecules and anti-IL-4/13 receptor antibody known as dupilumab (Dupixent®). Dupilumab has been approved for the treatment of adults with moderate-to-severe atopic dermatitis that is not well controlled with prescription topical therapies or for those who cannot use topical therapies. While dupilumab has shown some benefit in disease remission, it requires the administration of a substantial antibody dose (300 mg) every other week, which we believe may not be convenient for atopic dermatitis patients. In addition, a significant number of atopic dermatitis patients taking dupilumab have reported conjunctivitis as a drug-related side effect.</w:t>
      </w:r>
    </w:p>
    <w:p>
      <w:pPr>
        <w:spacing w:after="0" w:line="173"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Based upon public data analyses and discussions with physicians and key opinion leaders in the field, we believe approximately 280,000 atopic dermatitis patients in the United States are diagnosed with a moderate-to- severe form of this disease that significantly impairs their daily professional and social lifestyle.</w:t>
      </w:r>
    </w:p>
    <w:p>
      <w:pPr>
        <w:spacing w:after="0" w:line="18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w:t>
      </w:r>
      <w:r>
        <w:rPr>
          <w:rFonts w:ascii="Arial" w:cs="Arial" w:eastAsia="Arial" w:hAnsi="Arial"/>
          <w:sz w:val="18"/>
          <w:szCs w:val="18"/>
          <w:i w:val="1"/>
          <w:iCs w:val="1"/>
          <w:color w:val="auto"/>
        </w:rPr>
        <w:t xml:space="preserve"> </w:t>
      </w:r>
      <w:r>
        <w:rPr>
          <w:rFonts w:ascii="Arial" w:cs="Arial" w:eastAsia="Arial" w:hAnsi="Arial"/>
          <w:sz w:val="18"/>
          <w:szCs w:val="18"/>
          <w:color w:val="auto"/>
        </w:rPr>
        <w:t>asthma affects approximately 7.7% of the adult U.S. population, or 19.0 million individuals, of which 1.1 million individuals have severe disease that cannot be controlled by standard-of-care therapy, of which 50% are believed to be eosinophilic patients.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w:t>
      </w:r>
    </w:p>
    <w:p>
      <w:pPr>
        <w:spacing w:after="0" w:line="193"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We believe that etokimab may have therapeutic benefit across a broad range of ICS-refractory severe adult eosinophilic asthma patients, and plan to differentiate etokimab’s therapeutic efficacy, dosing frequency and safety relative to competitors.</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i w:val="1"/>
          <w:iCs w:val="1"/>
          <w:color w:val="auto"/>
        </w:rPr>
        <w:t xml:space="preserve">Chronic Rhinosinusitis with Nasal Polyps. </w:t>
      </w:r>
      <w:r>
        <w:rPr>
          <w:rFonts w:ascii="Arial" w:cs="Arial" w:eastAsia="Arial" w:hAnsi="Arial"/>
          <w:sz w:val="18"/>
          <w:szCs w:val="18"/>
          <w:color w:val="auto"/>
        </w:rPr>
        <w:t>We estimate that CRSwNP, based on our analysis of publicly available data sources and interviews with</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and key opinion leaders in the field, affects approximately 1.3 million adults in the United States and we estimate that 400,000 of these patients are inadequately controlled with standard-of-care. CRSwNP is a debilitating chronic atopic condition associated with elevated IL-33 expression. Patients with CRSwNP that do not respond to standard-of-care are likely to undergo recurring surgeries to remove nasal polyps that block airflow through the nasal passages and often lead to recurring infections and related discomfort.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67"/>
        <w:spacing w:after="0" w:line="284" w:lineRule="auto"/>
        <w:rPr>
          <w:sz w:val="20"/>
          <w:szCs w:val="20"/>
          <w:color w:val="auto"/>
        </w:rPr>
      </w:pPr>
      <w:r>
        <w:rPr>
          <w:rFonts w:ascii="Arial" w:cs="Arial" w:eastAsia="Arial" w:hAnsi="Arial"/>
          <w:sz w:val="16"/>
          <w:szCs w:val="16"/>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w:t>
      </w:r>
    </w:p>
    <w:p>
      <w:pPr>
        <w:spacing w:after="0" w:line="3" w:lineRule="exact"/>
        <w:rPr>
          <w:sz w:val="20"/>
          <w:szCs w:val="20"/>
          <w:color w:val="auto"/>
        </w:rPr>
      </w:pPr>
    </w:p>
    <w:p>
      <w:pPr>
        <w:ind w:right="80" w:firstLine="8"/>
        <w:spacing w:after="0" w:line="271" w:lineRule="auto"/>
        <w:tabs>
          <w:tab w:leader="none" w:pos="412"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completed a Phase 1 trial of ANB019 in healthy volunteers in Australia under an approved CTN, have received clearance of a CTA filing to the MHRA and an IND filing with the FDA, and have initiated a 10-patient open-label, multi-dose, single-arm Phase 2 trial of ANB019 in GPP patients, also referred to as the GALLOP trial, where top-line data are anticipated in mid-2019 and have cleared an IND with the FDA and have initiated, in the United States, a randomized, double-blind, placebo-controlled approximately 50-patient multi-dose trial of ANB019 in PPP, also referred to as the POPLAR trial, where top-line data are anticipated in the second half of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0" w:name="page11"/>
    <w:bookmarkEnd w:id="10"/>
    <w:p>
      <w:pPr>
        <w:jc w:val="both"/>
        <w:ind w:right="220" w:firstLine="567"/>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Recent human studies have demonstrated that mutations in the IL-36RA can lead to the occurrence of GPP by dysregulating the IL-36R signaling pathway</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conducted by AnaptysBio have also demonstrated that a significant number of GPP patients do not have mutations in the IL- 36RA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In addition, studies have demonstrated that humans with genetic mutations that downregulate IL-36 receptor activity are otherwise normal with no specific clinical phenotype.</w:t>
      </w:r>
    </w:p>
    <w:p>
      <w:pPr>
        <w:spacing w:after="0" w:line="170"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Description</w:t>
      </w:r>
    </w:p>
    <w:p>
      <w:pPr>
        <w:spacing w:after="0" w:line="121"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to determine KD, and IC 50 values. ANB019 has demonstrated potent KD values of approximately of 71 pM and 209 pM for human IL-36R and cynomolgus monkey IL-36R, respectively. The antibody exhibits high specificity for IL-36R, displaying no detectable binding to related proteins. Functional potency of ANB019 is at least 100-fold greater than IL-36RA in human systems, which is measured as the IC 50 of inhibition of interleukin-8, or IL-8, release from human keratinocytes.</w:t>
      </w:r>
    </w:p>
    <w:p>
      <w:pPr>
        <w:spacing w:after="0" w:line="178"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ANB019 functional activity has been demonstrated through inhibition of IL-8 secretion from human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166" w:lineRule="exact"/>
        <w:rPr>
          <w:sz w:val="20"/>
          <w:szCs w:val="20"/>
          <w:color w:val="auto"/>
        </w:rPr>
      </w:pPr>
    </w:p>
    <w:p>
      <w:pPr>
        <w:ind w:right="200" w:firstLine="567"/>
        <w:spacing w:after="0" w:line="264" w:lineRule="auto"/>
        <w:rPr>
          <w:sz w:val="20"/>
          <w:szCs w:val="20"/>
          <w:color w:val="auto"/>
        </w:rPr>
      </w:pPr>
      <w:r>
        <w:rPr>
          <w:rFonts w:ascii="Arial" w:cs="Arial" w:eastAsia="Arial" w:hAnsi="Arial"/>
          <w:sz w:val="18"/>
          <w:szCs w:val="18"/>
          <w:color w:val="auto"/>
        </w:rPr>
        <w:t>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right="40" w:firstLine="567"/>
        <w:spacing w:after="0" w:line="286" w:lineRule="auto"/>
        <w:rPr>
          <w:sz w:val="20"/>
          <w:szCs w:val="20"/>
          <w:color w:val="auto"/>
        </w:rPr>
      </w:pPr>
      <w:r>
        <w:rPr>
          <w:rFonts w:ascii="Arial" w:cs="Arial" w:eastAsia="Arial" w:hAnsi="Arial"/>
          <w:sz w:val="16"/>
          <w:szCs w:val="16"/>
          <w:color w:val="auto"/>
        </w:rPr>
        <w:t xml:space="preserve">We have completed, under an approved CTN, a Phase 1 clinical trial in healthy volunteers for which we announced positive top-line results from an interim analysis of this trial and subsequently presented completed data from this trial at EAACI 2018. In the double-blinded, placebo-controlled healthy volunteer Phase 1 trial, 36 subjects were administered a single subcutaneous or intravenous dose of ANB019 ranging between 10 mg and 750 mg, 18 subjects were administered multiple ascending doses of ANB019 intravenously ranging between 40 mg and 300 mg weekly for four consecutive weeks and 18 subjects were dosed with placebo. ANB019 was well-tolerated by all subjects and no dose-limiting toxicities were observed. The most frequent treatment-emergent adverse events observed in the single ascending dose cohorts were upper respiratory tract infections in 10 of 36 (28%) subjects dosed with ANB019 versus six of 12 (50%) subjects dosed with placebo, and headache in 10 of 36 (28%) subjects dosed with ANB019 versus three of 12 (25%) subjects dosed with placebo. In the multiple ascending dose cohorts, the most frequent treatment-emerging adverse events observed were headache in seven of 18 (39%) subjects dosed with ANB019 versus one of six (17%) subjects dosed with placebo. No serious adverse events were reported among any subjects in the trial.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half-life of ANB019 was approximately 28 days for both subcutaneous and intravenous routes of administration, with bioavailability of approximately 90 percent. A single dose of ANB019 at certain dose levels was able to completely suppress IL-36 cytokine function for 85 days, as measured by IL-36 cytokine-mediated release of IL-8 using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The favorable pharmacokinetics and pharmacodynamic properties of ANB019 and other results demonstrated by this Phase 1 trial support advancement of ANB019 into Phase 2 studies for GPP and PPP.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1" w:name="page12"/>
    <w:bookmarkEnd w:id="11"/>
    <w:p>
      <w:pPr>
        <w:ind w:right="60" w:firstLine="567"/>
        <w:spacing w:after="0" w:line="271" w:lineRule="auto"/>
        <w:rPr>
          <w:sz w:val="20"/>
          <w:szCs w:val="20"/>
          <w:color w:val="auto"/>
        </w:rPr>
      </w:pPr>
      <w:r>
        <w:rPr>
          <w:rFonts w:ascii="Arial" w:cs="Arial" w:eastAsia="Arial" w:hAnsi="Arial"/>
          <w:sz w:val="17"/>
          <w:szCs w:val="17"/>
          <w:color w:val="auto"/>
        </w:rPr>
        <w:t>We have received clearance of a CTA filing to the MHRA and an IND filing with the FDA, and have initiated a 10-patient open-label, multi-dose, single-arm Phase 2 trial of ANB019 in GPP patients, also referred to as the GALLOP trial, where top-line data are anticipated in mid 2019. All patients in the GALLOP study are dosed with a 750mg intravenous loading dose of ANB019 upon enrollment, followed by 100mg subcutaneously-administered monthly doses of ANB019 for a treatment period of up to 16 weeks post enrollment and then monitored for a total of 8 weeks. We have cleared an IND with the FDA and have initiated, in the United States, a randomized, double-blind, placebo-controlled approximately 50-patient multi-dose trial of ANB019 in PPP, also referred to as the POPLAR trial, where patients are randomized between two subcutaneous dosing cohorts, as follows: (i) an initial loading dose of 200mg followed by 100mg monthly doses of ANB019 and (ii) monthly doses of placebo, for a treatment period of 16 weeks post enrollment, with a subsequent monitoring period of 8 weeks. We anticipate top-line data from the POPLAR trial in the second half of 2019.</w:t>
      </w:r>
    </w:p>
    <w:p>
      <w:pPr>
        <w:spacing w:after="0" w:line="179"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Market Opportunity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IL-36R cytokine dysfunction is implicated in multiple inflammatory disorders including GPP and PPP.</w:t>
      </w:r>
    </w:p>
    <w:p>
      <w:pPr>
        <w:spacing w:after="0" w:line="225" w:lineRule="exact"/>
        <w:rPr>
          <w:sz w:val="20"/>
          <w:szCs w:val="20"/>
          <w:color w:val="auto"/>
        </w:rPr>
      </w:pPr>
    </w:p>
    <w:p>
      <w:pPr>
        <w:ind w:right="300" w:firstLine="567"/>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w:t>
      </w:r>
      <w:r>
        <w:rPr>
          <w:rFonts w:ascii="Arial" w:cs="Arial" w:eastAsia="Arial" w:hAnsi="Arial"/>
          <w:sz w:val="16"/>
          <w:szCs w:val="16"/>
          <w:i w:val="1"/>
          <w:iCs w:val="1"/>
          <w:color w:val="auto"/>
        </w:rPr>
        <w:t xml:space="preserve"> </w:t>
      </w:r>
      <w:r>
        <w:rPr>
          <w:rFonts w:ascii="Arial" w:cs="Arial" w:eastAsia="Arial" w:hAnsi="Arial"/>
          <w:sz w:val="16"/>
          <w:szCs w:val="16"/>
          <w:color w:val="auto"/>
        </w:rPr>
        <w:t>inflammatory 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ongoing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Biologics License Application, or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i w:val="1"/>
          <w:iCs w:val="1"/>
          <w:color w:val="auto"/>
        </w:rPr>
        <w:t xml:space="preserve">Palmoplantar Pustulosis.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Agonist Programs</w:t>
      </w:r>
    </w:p>
    <w:p>
      <w:pPr>
        <w:spacing w:after="0" w:line="121" w:lineRule="exact"/>
        <w:rPr>
          <w:sz w:val="20"/>
          <w:szCs w:val="20"/>
          <w:color w:val="auto"/>
        </w:rPr>
      </w:pPr>
    </w:p>
    <w:p>
      <w:pPr>
        <w:ind w:right="120" w:firstLine="567"/>
        <w:spacing w:after="0" w:line="302" w:lineRule="auto"/>
        <w:rPr>
          <w:sz w:val="20"/>
          <w:szCs w:val="20"/>
          <w:color w:val="auto"/>
        </w:rPr>
      </w:pPr>
      <w:r>
        <w:rPr>
          <w:rFonts w:ascii="Arial" w:cs="Arial" w:eastAsia="Arial" w:hAnsi="Arial"/>
          <w:sz w:val="16"/>
          <w:szCs w:val="16"/>
          <w:color w:val="auto"/>
        </w:rPr>
        <w:t>Our strategy includes the discovery and development of therapeutic antibodies targeting emerging opportunities in inflammation. We are developing checkpoint receptor agonist antibodies to multiple different novel anti-inflammatory checkpoint receptor modulator antibodies for the treatment of certain autoimmune diseases where we believe checkpoint receptor function is insufficiently activated. Known human immune checkpoint receptors include CTLA-4, PD-1, LAG-3, BTLA and TIGIT. We anticipate an Investigational New Drug Application, or IND, for the first such antibody in the second half of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2" w:name="page13"/>
    <w:bookmarkEnd w:id="12"/>
    <w:p>
      <w:pPr>
        <w:spacing w:after="0" w:line="273" w:lineRule="auto"/>
        <w:rPr>
          <w:sz w:val="20"/>
          <w:szCs w:val="20"/>
          <w:color w:val="auto"/>
        </w:rPr>
      </w:pPr>
      <w:r>
        <w:rPr>
          <w:rFonts w:ascii="Arial" w:cs="Arial" w:eastAsia="Arial" w:hAnsi="Arial"/>
          <w:sz w:val="17"/>
          <w:szCs w:val="17"/>
          <w:color w:val="auto"/>
        </w:rPr>
        <w:t>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178"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59" w:lineRule="exact"/>
        <w:rPr>
          <w:sz w:val="20"/>
          <w:szCs w:val="20"/>
          <w:color w:val="auto"/>
        </w:rPr>
      </w:pPr>
    </w:p>
    <w:p>
      <w:pPr>
        <w:ind w:left="660" w:right="60" w:hanging="314"/>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68" w:lineRule="exact"/>
        <w:rPr>
          <w:rFonts w:ascii="Arial" w:cs="Arial" w:eastAsia="Arial" w:hAnsi="Arial"/>
          <w:sz w:val="18"/>
          <w:szCs w:val="18"/>
          <w:color w:val="auto"/>
        </w:rPr>
      </w:pPr>
    </w:p>
    <w:p>
      <w:pPr>
        <w:ind w:left="660" w:right="20" w:hanging="314"/>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 Full</w:t>
      </w:r>
      <w:r>
        <w:rPr>
          <w:rFonts w:ascii="Arial" w:cs="Arial" w:eastAsia="Arial" w:hAnsi="Arial"/>
          <w:sz w:val="18"/>
          <w:szCs w:val="18"/>
          <w:b w:val="1"/>
          <w:bCs w:val="1"/>
          <w:color w:val="auto"/>
        </w:rPr>
        <w:t xml:space="preserve"> </w:t>
      </w:r>
      <w:r>
        <w:rPr>
          <w:rFonts w:ascii="Arial" w:cs="Arial" w:eastAsia="Arial" w:hAnsi="Arial"/>
          <w:sz w:val="18"/>
          <w:szCs w:val="18"/>
          <w:color w:val="auto"/>
        </w:rPr>
        <w:t>length antibodies tend to exhibit serum half-lives of seven to 24 days in humans, leading to bi-weekly or monthly dosing as typical practice for therapeutic antibodies.</w:t>
      </w:r>
    </w:p>
    <w:p>
      <w:pPr>
        <w:spacing w:after="0" w:line="68" w:lineRule="exact"/>
        <w:rPr>
          <w:rFonts w:ascii="Arial" w:cs="Arial" w:eastAsia="Arial" w:hAnsi="Arial"/>
          <w:sz w:val="18"/>
          <w:szCs w:val="18"/>
          <w:color w:val="auto"/>
        </w:rPr>
      </w:pPr>
    </w:p>
    <w:p>
      <w:pPr>
        <w:ind w:left="660" w:right="200" w:hanging="314"/>
        <w:spacing w:after="0" w:line="34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 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59" w:lineRule="exact"/>
        <w:rPr>
          <w:sz w:val="20"/>
          <w:szCs w:val="20"/>
          <w:color w:val="auto"/>
        </w:rPr>
      </w:pPr>
    </w:p>
    <w:p>
      <w:pPr>
        <w:ind w:left="660" w:right="220" w:hanging="314"/>
        <w:spacing w:after="0" w:line="28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50" w:lineRule="exact"/>
        <w:rPr>
          <w:rFonts w:ascii="Arial" w:cs="Arial" w:eastAsia="Arial" w:hAnsi="Arial"/>
          <w:sz w:val="17"/>
          <w:szCs w:val="17"/>
          <w:color w:val="auto"/>
        </w:rPr>
      </w:pPr>
    </w:p>
    <w:p>
      <w:pPr>
        <w:ind w:left="660" w:right="580" w:hanging="314"/>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68" w:lineRule="exact"/>
        <w:rPr>
          <w:rFonts w:ascii="Arial" w:cs="Arial" w:eastAsia="Arial" w:hAnsi="Arial"/>
          <w:sz w:val="18"/>
          <w:szCs w:val="18"/>
          <w:color w:val="auto"/>
        </w:rPr>
      </w:pPr>
    </w:p>
    <w:p>
      <w:pPr>
        <w:jc w:val="both"/>
        <w:ind w:left="660" w:right="160" w:hanging="314"/>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68" w:lineRule="exact"/>
        <w:rPr>
          <w:rFonts w:ascii="Arial" w:cs="Arial" w:eastAsia="Arial" w:hAnsi="Arial"/>
          <w:sz w:val="18"/>
          <w:szCs w:val="18"/>
          <w:color w:val="auto"/>
        </w:rPr>
      </w:pPr>
    </w:p>
    <w:p>
      <w:pPr>
        <w:ind w:left="660" w:hanging="314"/>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 unpredictable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w:t>
      </w:r>
      <w:r>
        <w:rPr>
          <w:rFonts w:ascii="Arial" w:cs="Arial" w:eastAsia="Arial" w:hAnsi="Arial"/>
          <w:sz w:val="18"/>
          <w:szCs w:val="18"/>
          <w:i w:val="1"/>
          <w:iCs w:val="1"/>
          <w:color w:val="auto"/>
        </w:rPr>
        <w:t xml:space="preserve"> </w:t>
      </w:r>
      <w:r>
        <w:rPr>
          <w:rFonts w:ascii="Arial" w:cs="Arial" w:eastAsia="Arial" w:hAnsi="Arial"/>
          <w:sz w:val="18"/>
          <w:szCs w:val="18"/>
          <w:color w:val="auto"/>
        </w:rPr>
        <w:t>or 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92" w:right="279" w:bottom="1440" w:gutter="0" w:footer="0" w:header="0"/>
        </w:sectPr>
      </w:pPr>
    </w:p>
    <w:bookmarkStart w:id="13" w:name="page14"/>
    <w:bookmarkEnd w:id="13"/>
    <w:p>
      <w:pPr>
        <w:ind w:right="160" w:firstLine="567"/>
        <w:spacing w:after="0" w:line="271" w:lineRule="auto"/>
        <w:rPr>
          <w:sz w:val="20"/>
          <w:szCs w:val="20"/>
          <w:color w:val="auto"/>
        </w:rPr>
      </w:pPr>
      <w:r>
        <w:rPr>
          <w:rFonts w:ascii="Arial" w:cs="Arial" w:eastAsia="Arial" w:hAnsi="Arial"/>
          <w:sz w:val="17"/>
          <w:szCs w:val="17"/>
          <w:i w:val="1"/>
          <w:iCs w:val="1"/>
          <w:color w:val="auto"/>
        </w:rPr>
        <w:t>Microbial antibody display systems</w:t>
      </w:r>
      <w:r>
        <w:rPr>
          <w:rFonts w:ascii="Arial" w:cs="Arial" w:eastAsia="Arial" w:hAnsi="Arial"/>
          <w:sz w:val="17"/>
          <w:szCs w:val="17"/>
          <w:color w:val="auto"/>
        </w:rPr>
        <w:t>. Microbial antibody display systems require screening of antibodies, typically formatted as antibody fragments,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79"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40" w:firstLine="567"/>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Human genomes encode a limited number of antibody genes, which are insufficient to generate antibodies against the wide variety of foreign pathogens encountered from the external environment. SHM enables the human immune system to expand the limited diversity encoded within human genomes to the billions of antibody specificities required to defend against external pathogens.</w:t>
      </w:r>
    </w:p>
    <w:p>
      <w:pPr>
        <w:spacing w:after="0" w:line="173"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40" w:firstLine="567"/>
        <w:spacing w:after="0" w:line="302" w:lineRule="auto"/>
        <w:rPr>
          <w:sz w:val="20"/>
          <w:szCs w:val="20"/>
          <w:color w:val="auto"/>
        </w:rPr>
      </w:pPr>
      <w:r>
        <w:rPr>
          <w:rFonts w:ascii="Arial" w:cs="Arial" w:eastAsia="Arial" w:hAnsi="Arial"/>
          <w:sz w:val="16"/>
          <w:szCs w:val="16"/>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we believe have been challenging for competing antibody technology platforms to generate.</w:t>
      </w:r>
    </w:p>
    <w:p>
      <w:pPr>
        <w:spacing w:after="0" w:line="154"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display the evolved antibody on the cell surface to permit cell sorting selection for potency properties while the same antibody is secreted into the extracellular media at sufficient quantities to permit functional assays to be conducted. In this manner, the evolving antibodies expressed by each transfected cell are assessed in a high- throughput fashion for the desired functional activity relevant to the therapeutic mechanism.</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4" w:name="page15"/>
    <w:bookmarkEnd w:id="14"/>
    <w:p>
      <w:pPr>
        <w:ind w:left="660" w:right="8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68" w:lineRule="exact"/>
        <w:rPr>
          <w:rFonts w:ascii="Arial" w:cs="Arial" w:eastAsia="Arial" w:hAnsi="Arial"/>
          <w:sz w:val="18"/>
          <w:szCs w:val="18"/>
          <w:color w:val="auto"/>
        </w:rPr>
      </w:pPr>
    </w:p>
    <w:p>
      <w:pPr>
        <w:ind w:left="660" w:right="280" w:hanging="314"/>
        <w:spacing w:after="0" w:line="31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30" w:lineRule="exact"/>
        <w:rPr>
          <w:rFonts w:ascii="Arial" w:cs="Arial" w:eastAsia="Arial" w:hAnsi="Arial"/>
          <w:sz w:val="17"/>
          <w:szCs w:val="17"/>
          <w:color w:val="auto"/>
        </w:rPr>
      </w:pPr>
    </w:p>
    <w:p>
      <w:pPr>
        <w:ind w:left="660" w:right="14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incorporate functional assays throughout the process and focus on producing product candidates that are optimized for the desired therapeutic activity.</w:t>
      </w:r>
    </w:p>
    <w:p>
      <w:pPr>
        <w:spacing w:after="0" w:line="68" w:lineRule="exact"/>
        <w:rPr>
          <w:rFonts w:ascii="Arial" w:cs="Arial" w:eastAsia="Arial" w:hAnsi="Arial"/>
          <w:sz w:val="18"/>
          <w:szCs w:val="18"/>
          <w:color w:val="auto"/>
        </w:rPr>
      </w:pPr>
    </w:p>
    <w:p>
      <w:pPr>
        <w:jc w:val="both"/>
        <w:ind w:left="660" w:right="44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68" w:lineRule="exact"/>
        <w:rPr>
          <w:rFonts w:ascii="Arial" w:cs="Arial" w:eastAsia="Arial" w:hAnsi="Arial"/>
          <w:sz w:val="18"/>
          <w:szCs w:val="18"/>
          <w:color w:val="auto"/>
        </w:rPr>
      </w:pPr>
    </w:p>
    <w:p>
      <w:pPr>
        <w:jc w:val="both"/>
        <w:ind w:left="660" w:right="40" w:hanging="314"/>
        <w:spacing w:after="0" w:line="34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Manufacturability. </w:t>
      </w:r>
      <w:r>
        <w:rPr>
          <w:rFonts w:ascii="Arial" w:cs="Arial" w:eastAsia="Arial" w:hAnsi="Arial"/>
          <w:sz w:val="16"/>
          <w:szCs w:val="16"/>
          <w:color w:val="auto"/>
        </w:rPr>
        <w:t>By utilizing our mammalian cell display system, we believe our approach increases the probability of success in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by mitigating the risks associated with antibody expression, formulation and stability during the antibody generation process.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w:t>
      </w:r>
    </w:p>
    <w:p>
      <w:pPr>
        <w:spacing w:after="0" w:line="121" w:lineRule="exact"/>
        <w:rPr>
          <w:sz w:val="20"/>
          <w:szCs w:val="20"/>
          <w:color w:val="auto"/>
        </w:rPr>
      </w:pPr>
    </w:p>
    <w:p>
      <w:pPr>
        <w:ind w:right="120" w:firstLine="567"/>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We have granted TESARO exclusive rights to three monospecific antibody product candidates targeting TIM-3 (TSR-022), LAG-3 (TSR-033) and PD-1 (TSR-042) and a bispecific antibody product candidates targeting PD-1 and LAG-3.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TIM- 3, as single agents or in combination with other therapies. We have completed our responsibilities under the terms of the agreement as of December 31, 2016 to generate and develop antibodies to certain defined stages of preclinical development.</w:t>
      </w:r>
    </w:p>
    <w:p>
      <w:pPr>
        <w:spacing w:after="0" w:line="169"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was also required to reimburse us on a quarterly basis for specified costs incurred by us in our initial discovery and development activities covered by the agreement. For each of the targets for which TESARO is granted exclusive rights,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single-digit royalties, on a product- by-product basis, on worldwide annual net sales, and additional commercial milestone payments if specified levels of annual net sales of a product are attained.</w:t>
      </w:r>
    </w:p>
    <w:p>
      <w:pPr>
        <w:spacing w:after="0" w:line="167" w:lineRule="exact"/>
        <w:rPr>
          <w:sz w:val="20"/>
          <w:szCs w:val="20"/>
          <w:color w:val="auto"/>
        </w:rPr>
      </w:pPr>
    </w:p>
    <w:p>
      <w:pPr>
        <w:ind w:right="40" w:firstLine="567"/>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December 3, 2018, GlaxoSmithKline plc announced an agreement to acquire TESARO. This acquisition closed on January 22,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w:t>
      </w:r>
    </w:p>
    <w:p>
      <w:pPr>
        <w:spacing w:after="0" w:line="12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In December 2011, we entered into a collaboration agreement with Celgene, or the Collaboration Agreement, to develop human therapeutic antibodies against multiple biological targets. We completed our responsibilities under the terms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88" w:right="239" w:bottom="1440" w:gutter="0" w:footer="0" w:header="0"/>
        </w:sectPr>
      </w:pPr>
    </w:p>
    <w:bookmarkStart w:id="15" w:name="page16"/>
    <w:bookmarkEnd w:id="15"/>
    <w:p>
      <w:pPr>
        <w:ind w:right="180"/>
        <w:spacing w:after="0" w:line="257" w:lineRule="auto"/>
        <w:rPr>
          <w:sz w:val="20"/>
          <w:szCs w:val="20"/>
          <w:color w:val="auto"/>
        </w:rPr>
      </w:pPr>
      <w:r>
        <w:rPr>
          <w:rFonts w:ascii="Arial" w:cs="Arial" w:eastAsia="Arial" w:hAnsi="Arial"/>
          <w:sz w:val="18"/>
          <w:szCs w:val="18"/>
          <w:color w:val="auto"/>
        </w:rPr>
        <w:t>the agreement to generate antibodies against various mutually agreed biological targets during fiscal 2014.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of which an anti-PD-1 agonist antibody, also known as CC-90006, is currently in a Phase 1 trial, while the other program is currently in preclinical development.</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Upon execution of the Collaboration Agreement in 2011, Celgene paid us a one-time, non-refundable, non- creditable initial fee of $6.0</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94" w:lineRule="exact"/>
        <w:rPr>
          <w:sz w:val="20"/>
          <w:szCs w:val="20"/>
          <w:color w:val="auto"/>
        </w:rPr>
      </w:pPr>
    </w:p>
    <w:p>
      <w:pPr>
        <w:jc w:val="both"/>
        <w:ind w:right="40" w:firstLine="567"/>
        <w:spacing w:after="0" w:line="264"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w:t>
      </w:r>
    </w:p>
    <w:p>
      <w:pPr>
        <w:spacing w:after="0" w:line="181"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On January 3, 2019, Bristol-Myers Squibb Co. announced an agreement to acquire Celgene Corp. This acquisition is expected to close in the third quarter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 License Agreement with UKRI</w:t>
      </w:r>
    </w:p>
    <w:p>
      <w:pPr>
        <w:spacing w:after="0" w:line="121" w:lineRule="exact"/>
        <w:rPr>
          <w:sz w:val="20"/>
          <w:szCs w:val="20"/>
          <w:color w:val="auto"/>
        </w:rPr>
      </w:pPr>
    </w:p>
    <w:p>
      <w:pPr>
        <w:ind w:right="340" w:firstLine="567"/>
        <w:spacing w:after="0" w:line="290" w:lineRule="auto"/>
        <w:rPr>
          <w:sz w:val="20"/>
          <w:szCs w:val="20"/>
          <w:color w:val="auto"/>
        </w:rPr>
      </w:pPr>
      <w:r>
        <w:rPr>
          <w:rFonts w:ascii="Arial" w:cs="Arial" w:eastAsia="Arial" w:hAnsi="Arial"/>
          <w:sz w:val="16"/>
          <w:szCs w:val="16"/>
          <w:color w:val="auto"/>
        </w:rPr>
        <w:t>In 2006, we entered into an exclusive worldwide license agreement with the Medical Research Council, which has subsequently been acquired by United Kingdom Research and Innovation, or UKRI, to obtain rights to multiple patents and patent applications relating to fundamental discoveries with respect to SHM and AID by Dr. Michael Neuberger and his colleagues. We since amended this license agreement to include additional subject matter and reflect the change in ownership. Under the terms of the agreement, or the UKRI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66"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are responsible for paying UKRI an annual fee of $55,000. Additionally, for each product developed and commercialized under the UKRI Agreement, we are obligated to pay UKRI up to an additional $175,000 upon the achievement of specified development milestone events and up to an additional $275,000 upon the achievement of specified regulatory milestone events. In addition we owe UKRI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19 patents and three pending patent applications worldwide.</w:t>
      </w:r>
    </w:p>
    <w:p>
      <w:pPr>
        <w:spacing w:after="0" w:line="193"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Unless earlier terminated, the UKRI Agreement will expire upon expiration of all royalty payment obligations under the UKRI Agreement. Either party may terminate the UKRI Agreement in the event of an uncured material breach by the other party or upon the occurrence of specified bankruptcy events for the other party. We may terminate the UKRI Agreement upon 60 days’ notice to UKRI.</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adjusted annually for inflation using the Consumer Price Index. Additionally, for each product developed and commercialized under the Millipore Agreement, we are obligated to pay Millipore up to an additional $750,000 upon the achievement of specified development milestone events and up to an additional $4.4 million upon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right="200"/>
        <w:spacing w:after="0" w:line="277" w:lineRule="auto"/>
        <w:rPr>
          <w:sz w:val="20"/>
          <w:szCs w:val="20"/>
          <w:color w:val="auto"/>
        </w:rPr>
      </w:pPr>
      <w:r>
        <w:rPr>
          <w:rFonts w:ascii="Arial" w:cs="Arial" w:eastAsia="Arial" w:hAnsi="Arial"/>
          <w:sz w:val="18"/>
          <w:szCs w:val="18"/>
          <w:color w:val="auto"/>
        </w:rPr>
        <w:t>achievement of specified commercial milestone events. We do not owe Millipore any royalties on net sales of products commercialized under the Millipore Agreement.</w:t>
      </w:r>
    </w:p>
    <w:p>
      <w:pPr>
        <w:spacing w:after="0" w:line="170" w:lineRule="exact"/>
        <w:rPr>
          <w:sz w:val="20"/>
          <w:szCs w:val="20"/>
          <w:color w:val="auto"/>
        </w:rPr>
      </w:pPr>
    </w:p>
    <w:p>
      <w:pPr>
        <w:jc w:val="both"/>
        <w:ind w:right="460" w:firstLine="567"/>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right="140" w:firstLine="567"/>
        <w:spacing w:after="0" w:line="271" w:lineRule="auto"/>
        <w:rPr>
          <w:sz w:val="20"/>
          <w:szCs w:val="20"/>
          <w:color w:val="auto"/>
        </w:rPr>
      </w:pPr>
      <w:r>
        <w:rPr>
          <w:rFonts w:ascii="Arial" w:cs="Arial" w:eastAsia="Arial" w:hAnsi="Arial"/>
          <w:sz w:val="17"/>
          <w:szCs w:val="17"/>
          <w:color w:val="auto"/>
        </w:rPr>
        <w:t>In March 2015, we established a wholly-owned Australian subsidiary called AnaptysBio Pty Ltd, in order to conduct various preclinical and clinical activities for etokimab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43.5%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w:t>
      </w:r>
    </w:p>
    <w:p>
      <w:pPr>
        <w:spacing w:after="0" w:line="179"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have few employees with experience advancing product candidates through the Australian regulatory review process and have therefore engaged Australian consultants with expertise in the regulatory requirements and clinical development of therapeutic products in Australia. We are also working with established manufacturing and clinical development support contractors located in Australia, who are familiar with Australian regulatory and product development processes.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UKRI and patents licensed from Kyoto University, consisted of approximately 44 issued patents and 109 pending patent applications as of December 31, 2018.</w:t>
      </w:r>
    </w:p>
    <w:p>
      <w:pPr>
        <w:spacing w:after="0" w:line="188"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Etokimab</w:t>
      </w:r>
    </w:p>
    <w:p>
      <w:pPr>
        <w:spacing w:after="0" w:line="121" w:lineRule="exact"/>
        <w:rPr>
          <w:sz w:val="20"/>
          <w:szCs w:val="20"/>
          <w:color w:val="auto"/>
        </w:rPr>
      </w:pPr>
    </w:p>
    <w:p>
      <w:pPr>
        <w:jc w:val="both"/>
        <w:ind w:right="40" w:firstLine="567"/>
        <w:spacing w:after="0" w:line="259" w:lineRule="auto"/>
        <w:rPr>
          <w:sz w:val="20"/>
          <w:szCs w:val="20"/>
          <w:color w:val="auto"/>
        </w:rPr>
      </w:pPr>
      <w:r>
        <w:rPr>
          <w:rFonts w:ascii="Arial" w:cs="Arial" w:eastAsia="Arial" w:hAnsi="Arial"/>
          <w:sz w:val="18"/>
          <w:szCs w:val="18"/>
          <w:color w:val="auto"/>
        </w:rPr>
        <w:t>As of December 31, 2018, we owned approximately 34 patent applications in various countries directed to the antibody sequence of etokimab and its variants, epitopes,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October 2038.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w:t>
      </w:r>
    </w:p>
    <w:p>
      <w:pPr>
        <w:spacing w:after="0" w:line="121" w:lineRule="exact"/>
        <w:rPr>
          <w:sz w:val="20"/>
          <w:szCs w:val="20"/>
          <w:color w:val="auto"/>
        </w:rPr>
      </w:pPr>
    </w:p>
    <w:p>
      <w:pPr>
        <w:ind w:right="240" w:firstLine="567"/>
        <w:spacing w:after="0" w:line="259" w:lineRule="auto"/>
        <w:rPr>
          <w:sz w:val="20"/>
          <w:szCs w:val="20"/>
          <w:color w:val="auto"/>
        </w:rPr>
      </w:pPr>
      <w:r>
        <w:rPr>
          <w:rFonts w:ascii="Arial" w:cs="Arial" w:eastAsia="Arial" w:hAnsi="Arial"/>
          <w:sz w:val="18"/>
          <w:szCs w:val="18"/>
          <w:color w:val="auto"/>
        </w:rPr>
        <w:t>As of December 31, 2018, we owned 15 patent applications in various countries directed to the antibody sequence of ANB019 and its variants, epitopes,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April 2036.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70" w:lineRule="exact"/>
        <w:rPr>
          <w:sz w:val="20"/>
          <w:szCs w:val="20"/>
          <w:color w:val="auto"/>
        </w:rPr>
      </w:pPr>
    </w:p>
    <w:p>
      <w:pPr>
        <w:ind w:right="420" w:firstLine="567"/>
        <w:spacing w:after="0" w:line="259" w:lineRule="auto"/>
        <w:rPr>
          <w:sz w:val="20"/>
          <w:szCs w:val="20"/>
          <w:color w:val="auto"/>
        </w:rPr>
      </w:pPr>
      <w:r>
        <w:rPr>
          <w:rFonts w:ascii="Arial" w:cs="Arial" w:eastAsia="Arial" w:hAnsi="Arial"/>
          <w:sz w:val="18"/>
          <w:szCs w:val="18"/>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February 2034.</w:t>
      </w:r>
    </w:p>
    <w:p>
      <w:pPr>
        <w:spacing w:after="0" w:line="187"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189"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from the U.S. Patent and Trademark Office, or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5"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88"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We must manufacture drug product for clinical trial use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4" w:right="239" w:bottom="1440" w:gutter="0" w:footer="0" w:header="0"/>
        </w:sectPr>
      </w:pPr>
    </w:p>
    <w:bookmarkStart w:id="18" w:name="page19"/>
    <w:bookmarkEnd w:id="18"/>
    <w:p>
      <w:pPr>
        <w:ind w:right="200"/>
        <w:spacing w:after="0" w:line="277" w:lineRule="auto"/>
        <w:rPr>
          <w:sz w:val="20"/>
          <w:szCs w:val="20"/>
          <w:color w:val="auto"/>
        </w:rPr>
      </w:pPr>
      <w:r>
        <w:rPr>
          <w:rFonts w:ascii="Arial" w:cs="Arial" w:eastAsia="Arial" w:hAnsi="Arial"/>
          <w:sz w:val="18"/>
          <w:szCs w:val="18"/>
          <w:color w:val="auto"/>
        </w:rPr>
        <w:t>inspections of facilities by the FDA and other authorities, including procedures and operations used in the testing and manufacture of our products to assess our compliance with applicable regulations.</w:t>
      </w:r>
    </w:p>
    <w:p>
      <w:pPr>
        <w:spacing w:after="0" w:line="170"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20" w:firstLine="567"/>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200" w:firstLine="567"/>
        <w:spacing w:after="0" w:line="271" w:lineRule="auto"/>
        <w:rPr>
          <w:sz w:val="20"/>
          <w:szCs w:val="20"/>
          <w:color w:val="auto"/>
        </w:rPr>
      </w:pPr>
      <w:r>
        <w:rPr>
          <w:rFonts w:ascii="Arial" w:cs="Arial" w:eastAsia="Arial" w:hAnsi="Arial"/>
          <w:sz w:val="17"/>
          <w:szCs w:val="17"/>
          <w:color w:val="auto"/>
        </w:rPr>
        <w:t>Specifically, there are several companies developing or marketing treatments that may be approved for the same indications and/or diseases as our lead product candidates, ANB019 and etokimab, including major pharmaceutical companies. For atopic dermatitis, our competitors include dupilumab (Dupixent, Regeneron, Sanofi), which has been approved by the FDA, crisaborole (EUCRISA, Pfizer), which has been approved by the FDA, VTP-38543 (Vitae, acquired by Allergan), JAK inhibitors such as baricitinib, PF-04965842 and upadacitinib under development by Lilly/Incyte, Pfizer and Abbvie, respectively, an IL-33 program by Regeneron (REGN3500) in a Phase 2 clinical trial for atopic dermatitis, a recently announced IL-33 related program by Pfizer (PF-06817024) in a Phase 1 clinical trial indicated for various indications, a recently announced IL-33 related program by Lilly in a Phase 1 clinical trial indicated for autoimmune disorders, an IL-1 alpha antibody, bermekimab (XBiotech) and antibodies that bind to IL-13 such as lebrikizumab (Dermira) and tezepelumab (AMG157, MEDI9929, Amgen/AstraZeneca).</w:t>
      </w:r>
    </w:p>
    <w:p>
      <w:pPr>
        <w:spacing w:after="0" w:line="179"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spacing w:after="0" w:line="270" w:lineRule="auto"/>
        <w:rPr>
          <w:sz w:val="20"/>
          <w:szCs w:val="20"/>
          <w:color w:val="auto"/>
        </w:rPr>
      </w:pPr>
      <w:r>
        <w:rPr>
          <w:rFonts w:ascii="Arial" w:cs="Arial" w:eastAsia="Arial" w:hAnsi="Arial"/>
          <w:sz w:val="17"/>
          <w:szCs w:val="17"/>
          <w:color w:val="auto"/>
        </w:rPr>
        <w:t>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GSK’s GSK3772847 and Regeneron’s IL-33 antibody (REGN3500), each in clinical development for asthma and related conditions; a recently announced IL-33 related program by AstraZeneca (MEDI3506) in a Phase 1 clinical trial indicated for chronic obstructive pulmonary disease; DP-2 antagonists including fevipiprant (Novartis) under development for asthma and GB001 (Gossamer Bio) under development for moderate-to-severe eosinophilic asthma; and an anti-TSLP antibody called tezepelumab (AMG 157, MEDI9929) being developed by Amgen and AstraZeneca for asthma.</w:t>
      </w:r>
    </w:p>
    <w:p>
      <w:pPr>
        <w:spacing w:after="0" w:line="178"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67" w:lineRule="exact"/>
        <w:rPr>
          <w:sz w:val="20"/>
          <w:szCs w:val="20"/>
          <w:color w:val="auto"/>
        </w:rPr>
      </w:pPr>
    </w:p>
    <w:p>
      <w:pPr>
        <w:ind w:right="160" w:firstLine="567"/>
        <w:spacing w:after="0" w:line="288" w:lineRule="auto"/>
        <w:rPr>
          <w:sz w:val="20"/>
          <w:szCs w:val="20"/>
          <w:color w:val="auto"/>
        </w:rPr>
      </w:pPr>
      <w:r>
        <w:rPr>
          <w:rFonts w:ascii="Arial" w:cs="Arial" w:eastAsia="Arial" w:hAnsi="Arial"/>
          <w:sz w:val="16"/>
          <w:szCs w:val="16"/>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w:t>
      </w:r>
    </w:p>
    <w:p>
      <w:pPr>
        <w:ind w:right="60"/>
        <w:spacing w:after="0" w:line="261" w:lineRule="auto"/>
        <w:rPr>
          <w:sz w:val="20"/>
          <w:szCs w:val="20"/>
          <w:color w:val="auto"/>
        </w:rPr>
      </w:pPr>
      <w:r>
        <w:rPr>
          <w:rFonts w:ascii="Arial" w:cs="Arial" w:eastAsia="Arial" w:hAnsi="Arial"/>
          <w:sz w:val="18"/>
          <w:szCs w:val="18"/>
          <w:color w:val="auto"/>
        </w:rPr>
        <w:t>sought. Satisfaction of FDA pre-market approval requirements typically takes many years and the actual time required may vary substantially based upon the type, complexity, and novelty of the product or disease.</w:t>
      </w:r>
    </w:p>
    <w:p>
      <w:pPr>
        <w:spacing w:after="0" w:line="184"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20" w:name="page21"/>
    <w:bookmarkEnd w:id="20"/>
    <w:p>
      <w:pPr>
        <w:ind w:right="140"/>
        <w:spacing w:after="0" w:line="271" w:lineRule="auto"/>
        <w:rPr>
          <w:sz w:val="20"/>
          <w:szCs w:val="20"/>
          <w:color w:val="auto"/>
        </w:rPr>
      </w:pPr>
      <w:r>
        <w:rPr>
          <w:rFonts w:ascii="Arial" w:cs="Arial" w:eastAsia="Arial" w:hAnsi="Arial"/>
          <w:sz w:val="17"/>
          <w:szCs w:val="17"/>
          <w:color w:val="auto"/>
        </w:rPr>
        <w:t>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or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9"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0" w:lineRule="exact"/>
        <w:rPr>
          <w:sz w:val="20"/>
          <w:szCs w:val="20"/>
          <w:color w:val="auto"/>
        </w:rPr>
      </w:pPr>
    </w:p>
    <w:p>
      <w:pPr>
        <w:ind w:right="40" w:firstLine="567"/>
        <w:spacing w:after="0" w:line="293" w:lineRule="auto"/>
        <w:rPr>
          <w:sz w:val="20"/>
          <w:szCs w:val="20"/>
          <w:color w:val="auto"/>
        </w:rPr>
      </w:pPr>
      <w:r>
        <w:rPr>
          <w:rFonts w:ascii="Arial" w:cs="Arial" w:eastAsia="Arial" w:hAnsi="Arial"/>
          <w:sz w:val="16"/>
          <w:szCs w:val="16"/>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1" w:name="page22"/>
    <w:bookmarkEnd w:id="21"/>
    <w:p>
      <w:pPr>
        <w:ind w:firstLine="567"/>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or REMS to help ensure that the benefits of the biologic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jc w:val="both"/>
        <w:ind w:firstLine="567"/>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39"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17" w:lineRule="exact"/>
        <w:rPr>
          <w:rFonts w:ascii="Arial" w:cs="Arial" w:eastAsia="Arial" w:hAnsi="Arial"/>
          <w:sz w:val="18"/>
          <w:szCs w:val="18"/>
          <w:color w:val="auto"/>
        </w:rPr>
      </w:pPr>
    </w:p>
    <w:p>
      <w:pPr>
        <w:ind w:left="660" w:right="80" w:hanging="31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17" w:lineRule="exact"/>
        <w:rPr>
          <w:rFonts w:ascii="Arial" w:cs="Arial" w:eastAsia="Arial" w:hAnsi="Arial"/>
          <w:sz w:val="18"/>
          <w:szCs w:val="18"/>
          <w:color w:val="auto"/>
        </w:rPr>
      </w:pPr>
    </w:p>
    <w:p>
      <w:pPr>
        <w:ind w:left="660" w:right="80" w:hanging="31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 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Orphan drug designation must be requested before submitting a BLA. After the FDA grants orphan drug designation, the generic identity of the biological product and its potential orphan use are disclosed publicly by the FDA. Orphan drug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800" w:right="319" w:bottom="1440" w:gutter="0" w:footer="0" w:header="0"/>
        </w:sectPr>
      </w:pPr>
    </w:p>
    <w:bookmarkStart w:id="22" w:name="page23"/>
    <w:bookmarkEnd w:id="22"/>
    <w:p>
      <w:pPr>
        <w:spacing w:after="0" w:line="254" w:lineRule="auto"/>
        <w:rPr>
          <w:sz w:val="20"/>
          <w:szCs w:val="20"/>
          <w:color w:val="auto"/>
        </w:rPr>
      </w:pPr>
      <w:r>
        <w:rPr>
          <w:rFonts w:ascii="Arial" w:cs="Arial" w:eastAsia="Arial" w:hAnsi="Arial"/>
          <w:sz w:val="18"/>
          <w:szCs w:val="18"/>
          <w:color w:val="auto"/>
        </w:rPr>
        <w:t>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200" w:firstLine="567"/>
        <w:spacing w:after="0" w:line="25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designation has been granted.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260" w:firstLine="567"/>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567"/>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220" w:firstLine="567"/>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800" w:right="25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determine that approval of the drug covered by the patent for which a patent extension is being sought is likely. Interim patent extensions are not available for a drug or biologic for which an NDA or BLA has not been submitted.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83"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220" w:firstLine="567"/>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340" w:firstLine="567"/>
        <w:spacing w:after="0" w:line="253" w:lineRule="auto"/>
        <w:rPr>
          <w:sz w:val="20"/>
          <w:szCs w:val="20"/>
          <w:color w:val="auto"/>
        </w:rPr>
      </w:pPr>
      <w:r>
        <w:rPr>
          <w:rFonts w:ascii="Arial" w:cs="Arial" w:eastAsia="Arial" w:hAnsi="Arial"/>
          <w:sz w:val="18"/>
          <w:szCs w:val="18"/>
          <w:color w:val="auto"/>
        </w:rPr>
        <w:t xml:space="preserve">If use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is essential for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in conjunction with the review of a biologic involves coordination of review by the FDA’s Center for Biologics Evaluation and Research and by the FDA’s Center for Devices and Radiological Health. Pursuing FDA approval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would require us to obtain a</w:t>
      </w:r>
    </w:p>
    <w:p>
      <w:pPr>
        <w:spacing w:after="0" w:line="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pre-market approval, or PMA.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4" w:name="page25"/>
    <w:bookmarkEnd w:id="24"/>
    <w:p>
      <w:pPr>
        <w:ind w:right="80"/>
        <w:spacing w:after="0" w:line="297" w:lineRule="auto"/>
        <w:rPr>
          <w:sz w:val="20"/>
          <w:szCs w:val="20"/>
          <w:color w:val="auto"/>
        </w:rPr>
      </w:pPr>
      <w:r>
        <w:rPr>
          <w:rFonts w:ascii="Arial" w:cs="Arial" w:eastAsia="Arial" w:hAnsi="Arial"/>
          <w:sz w:val="16"/>
          <w:szCs w:val="16"/>
          <w:color w:val="auto"/>
        </w:rPr>
        <w:t>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58" w:lineRule="exact"/>
        <w:rPr>
          <w:sz w:val="20"/>
          <w:szCs w:val="20"/>
          <w:color w:val="auto"/>
        </w:rPr>
      </w:pPr>
    </w:p>
    <w:p>
      <w:pPr>
        <w:ind w:right="160" w:firstLine="567"/>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application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 care laws and compliance requirements</w:t>
      </w:r>
    </w:p>
    <w:p>
      <w:pPr>
        <w:spacing w:after="0" w:line="12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60" w:firstLine="567"/>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69"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 Kickback Statute constitutes a false or fraudulent claim for purposes of the federal False Claims Act (discussed below).</w:t>
      </w:r>
    </w:p>
    <w:p>
      <w:pPr>
        <w:spacing w:after="0" w:line="18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5" w:name="page26"/>
    <w:bookmarkEnd w:id="25"/>
    <w:p>
      <w:pPr>
        <w:ind w:right="80" w:firstLine="567"/>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jc w:val="both"/>
        <w:ind w:right="280" w:firstLine="567"/>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80" w:firstLine="567"/>
        <w:spacing w:after="0" w:line="291"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6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00" w:right="279" w:bottom="1440" w:gutter="0" w:footer="0" w:header="0"/>
        </w:sectPr>
      </w:pPr>
    </w:p>
    <w:bookmarkStart w:id="26" w:name="page27"/>
    <w:bookmarkEnd w:id="26"/>
    <w:p>
      <w:pPr>
        <w:ind w:right="60" w:firstLine="567"/>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5" w:lineRule="exact"/>
        <w:rPr>
          <w:sz w:val="20"/>
          <w:szCs w:val="20"/>
          <w:color w:val="auto"/>
        </w:rPr>
      </w:pPr>
    </w:p>
    <w:p>
      <w:pPr>
        <w:ind w:right="60" w:firstLine="567"/>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reform</w:t>
      </w:r>
    </w:p>
    <w:p>
      <w:pPr>
        <w:spacing w:after="0" w:line="229" w:lineRule="exact"/>
        <w:rPr>
          <w:sz w:val="20"/>
          <w:szCs w:val="20"/>
          <w:color w:val="auto"/>
        </w:rPr>
      </w:pPr>
    </w:p>
    <w:p>
      <w:pPr>
        <w:jc w:val="both"/>
        <w:ind w:firstLine="567"/>
        <w:spacing w:after="0" w:line="288"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 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Patient Protection and Affordable Care Act, as amended by the health care and Education Reconciliation Act, or collectively the ACA, was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on additional health care reform measures in the future that will impose additional constraints on prices and reimbursements for our products.</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200" w:firstLine="567"/>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ind w:right="200" w:firstLine="567"/>
        <w:spacing w:after="0" w:line="272" w:lineRule="auto"/>
        <w:rPr>
          <w:sz w:val="20"/>
          <w:szCs w:val="20"/>
          <w:color w:val="auto"/>
        </w:rPr>
      </w:pPr>
      <w:r>
        <w:rPr>
          <w:rFonts w:ascii="Arial" w:cs="Arial" w:eastAsia="Arial" w:hAnsi="Arial"/>
          <w:sz w:val="17"/>
          <w:szCs w:val="17"/>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8" w:lineRule="exact"/>
        <w:rPr>
          <w:sz w:val="20"/>
          <w:szCs w:val="20"/>
          <w:color w:val="auto"/>
        </w:rPr>
      </w:pPr>
    </w:p>
    <w:p>
      <w:pPr>
        <w:ind w:right="180" w:firstLine="567"/>
        <w:spacing w:after="0" w:line="257" w:lineRule="auto"/>
        <w:rPr>
          <w:sz w:val="20"/>
          <w:szCs w:val="20"/>
          <w:color w:val="auto"/>
        </w:rPr>
      </w:pPr>
      <w:r>
        <w:rPr>
          <w:rFonts w:ascii="Arial" w:cs="Arial" w:eastAsia="Arial" w:hAnsi="Arial"/>
          <w:sz w:val="18"/>
          <w:szCs w:val="18"/>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ind w:right="540"/>
        <w:spacing w:after="0" w:line="277" w:lineRule="auto"/>
        <w:rPr>
          <w:sz w:val="20"/>
          <w:szCs w:val="20"/>
          <w:color w:val="auto"/>
        </w:rPr>
      </w:pPr>
      <w:r>
        <w:rPr>
          <w:rFonts w:ascii="Arial" w:cs="Arial" w:eastAsia="Arial" w:hAnsi="Arial"/>
          <w:sz w:val="18"/>
          <w:szCs w:val="18"/>
          <w:color w:val="auto"/>
        </w:rPr>
        <w:t>are conducted in accordance with GCP and the applicable regulatory requirements and the ethical principles that have their origin in the Declaration of Helsinki.</w:t>
      </w:r>
    </w:p>
    <w:p>
      <w:pPr>
        <w:spacing w:after="0" w:line="170" w:lineRule="exact"/>
        <w:rPr>
          <w:sz w:val="20"/>
          <w:szCs w:val="20"/>
          <w:color w:val="auto"/>
        </w:rPr>
      </w:pPr>
    </w:p>
    <w:p>
      <w:pPr>
        <w:ind w:right="200" w:firstLine="567"/>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80" w:firstLine="567"/>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ind w:right="320" w:firstLine="567"/>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CTN process broadly involves:</w:t>
      </w:r>
    </w:p>
    <w:p>
      <w:pPr>
        <w:spacing w:after="0" w:line="117"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17" w:lineRule="exact"/>
        <w:rPr>
          <w:rFonts w:ascii="Arial" w:cs="Arial" w:eastAsia="Arial" w:hAnsi="Arial"/>
          <w:sz w:val="18"/>
          <w:szCs w:val="18"/>
          <w:color w:val="auto"/>
        </w:rPr>
      </w:pPr>
    </w:p>
    <w:p>
      <w:pPr>
        <w:ind w:left="660" w:right="840" w:hanging="31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62"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CTX process:</w:t>
      </w:r>
    </w:p>
    <w:p>
      <w:pPr>
        <w:spacing w:after="0" w:line="117"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17" w:lineRule="exact"/>
        <w:rPr>
          <w:rFonts w:ascii="Arial" w:cs="Arial" w:eastAsia="Arial" w:hAnsi="Arial"/>
          <w:sz w:val="18"/>
          <w:szCs w:val="18"/>
          <w:color w:val="auto"/>
        </w:rPr>
      </w:pPr>
    </w:p>
    <w:p>
      <w:pPr>
        <w:ind w:left="660" w:right="20" w:hanging="314"/>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it is required that:</w:t>
      </w:r>
    </w:p>
    <w:p>
      <w:pPr>
        <w:spacing w:after="0" w:line="117"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evidence is compiled which demonstrates that the manufacture of the therapeutic drug product complies with the principles of cGMP;</w:t>
      </w:r>
    </w:p>
    <w:p>
      <w:pPr>
        <w:spacing w:after="0" w:line="117" w:lineRule="exact"/>
        <w:rPr>
          <w:rFonts w:ascii="Arial" w:cs="Arial" w:eastAsia="Arial" w:hAnsi="Arial"/>
          <w:sz w:val="18"/>
          <w:szCs w:val="18"/>
          <w:color w:val="auto"/>
        </w:rPr>
      </w:pPr>
    </w:p>
    <w:p>
      <w:pPr>
        <w:ind w:left="660" w:right="160" w:hanging="31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160" w:firstLine="567"/>
        <w:spacing w:after="0" w:line="254" w:lineRule="auto"/>
        <w:rPr>
          <w:sz w:val="20"/>
          <w:szCs w:val="20"/>
          <w:color w:val="auto"/>
        </w:rPr>
      </w:pPr>
      <w:r>
        <w:rPr>
          <w:rFonts w:ascii="Arial" w:cs="Arial" w:eastAsia="Arial" w:hAnsi="Arial"/>
          <w:sz w:val="18"/>
          <w:szCs w:val="18"/>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00" w:right="25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color w:val="auto"/>
        </w:rPr>
        <w:t>to advice from the HREC. Following approval, responsibility for all aspects of the trial conducted under a CTN application remains with the HREC of each investigator’s institution.</w:t>
      </w:r>
    </w:p>
    <w:p>
      <w:pPr>
        <w:spacing w:after="0" w:line="170" w:lineRule="exact"/>
        <w:rPr>
          <w:sz w:val="20"/>
          <w:szCs w:val="20"/>
          <w:color w:val="auto"/>
        </w:rPr>
      </w:pPr>
    </w:p>
    <w:p>
      <w:pPr>
        <w:ind w:right="60" w:firstLine="567"/>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As of December 31, 2018, we had 78 full-time employees. Of these employees, 60 were primarily engaged in research and development activities and 24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2018, 2017 and 2016 and our total assets as of December 31, 2018 and 2017, is included in our Consolidated Financial Statements in Part II Item 8 of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80" w:firstLine="567"/>
        <w:spacing w:after="0" w:line="286"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67"/>
        <w:spacing w:after="0" w:line="28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Phase 2a clinical trials of etokimab may not be representative of the results we will experience in later Phase 2b and registration trials. If we or our collaborators are unable to complete development of or commercialize our product candidates or experience significant delays in doing so, our business will be materially harmed.</w:t>
      </w:r>
    </w:p>
    <w:p>
      <w:pPr>
        <w:spacing w:after="0" w:line="184"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7"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30" w:name="page31"/>
    <w:bookmarkEnd w:id="30"/>
    <w:p>
      <w:pPr>
        <w:ind w:right="200"/>
        <w:spacing w:after="0" w:line="259" w:lineRule="auto"/>
        <w:rPr>
          <w:sz w:val="20"/>
          <w:szCs w:val="20"/>
          <w:color w:val="auto"/>
        </w:rPr>
      </w:pPr>
      <w:r>
        <w:rPr>
          <w:rFonts w:ascii="Arial" w:cs="Arial" w:eastAsia="Arial" w:hAnsi="Arial"/>
          <w:sz w:val="18"/>
          <w:szCs w:val="18"/>
          <w:color w:val="auto"/>
        </w:rPr>
        <w:t>variables. The results from preclinical testing or early clinical trials of a product candidate may not predict the results that will be obtained in later phase clinical trials of the product candidate. For example, 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187"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atopic dermatitis and severe adult eosinophilic asthma suggest a reasonable basis for continuing development of etokimab in these indications through larger Phase 2b clinical trials. However, our Phase 2a trials involve relatively small patient populations, for example 12 patients in our Phase 2a trial in atopic dermatitis and 25 patients in our Phase 2a trial in severe adult eosinophilic asthma. The results we have observed in these smaller patient populations may not be predictive of results we will experience in later studies. Furthermore, the average results reported from our Phase 2a trials (for example, the average change in FEV1 reported in connection with our Phase 2a trial in severe adult eosinophilic asthma) are subject to significant variability due to the small number of patients enrolled, and are not expected to be, and are unlikely to be, statistically significant. In addition, we have elected to structure our initial Phase 2a clinical trials as single dose studies, which may not be representative of the efficacy and/or safety observed in subsequent multi-dose Phase 2, Phase 2b or Phase 3 clinical trials.</w:t>
      </w:r>
    </w:p>
    <w:p>
      <w:pPr>
        <w:spacing w:after="0" w:line="16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later studies may also include different design elements that could contribute to us experiencing different results than we have observed in our Phase 2a trials. One such design element may be differences in efficacy endpoints between Phase 2a trials and subsequent Phase 2, Phase 2b or Phase 3 clinical trials. For instance, while our single dose Phase 2a clinical trial of etokimab demonstrated efficacy in terms of FEV1 improvement versus placebo, we did not structure this trial to assess efficacy in terms of exacerbation reduction, which is the endpoint historically used by the FDA for drug approval in asthma, and hence our future Phase 2, Phase 2b or Phase 3 trials in asthma may not demonstrate efficacy in exacerbation reduction leading to potential delays or failure to obtain approval of etokimab in asthma. In addition, the initial results we have reported from our completed Phase 2a clinical trials have included interim analyses and top-line results at early timepoints, which may not accurately predict the final results of this clinical trial or the results of future clinical trials. For instance, our single dose Phase 2a trial of etokimab in atopic dermatitis demonstrated certain levels of EASI-50 response upon interim analysis at Day 29, but this EASI-50 response level was not maintained at the end of this clinical trial at Day 140. In another example, interim analysis data from our Phase 2a study of severe adult eosinophilic asthma demonstrated FEV1 improvement over placebo at Day 64, but may not demonstrate the same FEV1 efficacy upon study completion at the Day 127 timepoint.</w:t>
      </w:r>
    </w:p>
    <w:p>
      <w:pPr>
        <w:spacing w:after="0" w:line="18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170"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00" w:right="259" w:bottom="1440" w:gutter="0" w:footer="0" w:header="0"/>
        </w:sectPr>
      </w:pPr>
    </w:p>
    <w:bookmarkStart w:id="31" w:name="page32"/>
    <w:bookmarkEnd w:id="31"/>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80" w:firstLine="567"/>
        <w:spacing w:after="0" w:line="24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0" w:lineRule="exact"/>
        <w:rPr>
          <w:sz w:val="20"/>
          <w:szCs w:val="20"/>
          <w:color w:val="auto"/>
        </w:rPr>
      </w:pPr>
    </w:p>
    <w:p>
      <w:pPr>
        <w:ind w:firstLine="567"/>
        <w:spacing w:after="0" w:line="271" w:lineRule="auto"/>
        <w:rPr>
          <w:sz w:val="20"/>
          <w:szCs w:val="20"/>
          <w:color w:val="auto"/>
        </w:rPr>
      </w:pPr>
      <w:r>
        <w:rPr>
          <w:rFonts w:ascii="Arial" w:cs="Arial" w:eastAsia="Arial" w:hAnsi="Arial"/>
          <w:sz w:val="16"/>
          <w:szCs w:val="16"/>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Phase 1 and Phase 2a clinical trials for etokimab, and subsequent patient trials with etokimab are currently ongoing. We also have only recently completed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70"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Some patients in our clinical trials have experienced adverse events, none of which were determined to be drug related.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2" w:right="259" w:bottom="1440" w:gutter="0" w:footer="0" w:header="0"/>
        </w:sectPr>
      </w:pPr>
    </w:p>
    <w:bookmarkStart w:id="32" w:name="page33"/>
    <w:bookmarkEnd w:id="32"/>
    <w:p>
      <w:pPr>
        <w:ind w:right="40" w:firstLine="567"/>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right="80" w:firstLine="567"/>
        <w:spacing w:after="0" w:line="269"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ANB019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0"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Biologics License Application, or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Australia, the United States and United Kingdom,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83"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Products, on average, take 10 to 15 years to be developed from the time they are discovered to the time they are approved and available for treating patients. The start or end of a clinical trial is often delayed or halted for many reasons, including:</w:t>
      </w:r>
    </w:p>
    <w:p>
      <w:pPr>
        <w:spacing w:after="0" w:line="73" w:lineRule="exact"/>
        <w:rPr>
          <w:sz w:val="20"/>
          <w:szCs w:val="20"/>
          <w:color w:val="auto"/>
        </w:rPr>
      </w:pPr>
    </w:p>
    <w:p>
      <w:pPr>
        <w:ind w:left="880" w:right="56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00" w:right="259" w:bottom="1440" w:gutter="0" w:footer="0" w:header="0"/>
        </w:sectPr>
      </w:pPr>
    </w:p>
    <w:bookmarkStart w:id="33" w:name="page34"/>
    <w:bookmarkEnd w:id="33"/>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880" w:right="40" w:hanging="440"/>
        <w:spacing w:after="0" w:line="264"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20"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1" w:lineRule="exact"/>
        <w:rPr>
          <w:sz w:val="20"/>
          <w:szCs w:val="20"/>
          <w:color w:val="auto"/>
        </w:rPr>
      </w:pPr>
    </w:p>
    <w:p>
      <w:pPr>
        <w:ind w:right="140" w:firstLine="567"/>
        <w:spacing w:after="0" w:line="262"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692"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4" w:lineRule="exact"/>
        <w:rPr>
          <w:sz w:val="20"/>
          <w:szCs w:val="20"/>
          <w:color w:val="auto"/>
        </w:rPr>
      </w:pPr>
    </w:p>
    <w:p>
      <w:pPr>
        <w:ind w:right="1100"/>
        <w:spacing w:after="0" w:line="296" w:lineRule="auto"/>
        <w:rPr>
          <w:sz w:val="20"/>
          <w:szCs w:val="20"/>
          <w:color w:val="auto"/>
        </w:rPr>
      </w:pPr>
      <w:r>
        <w:rPr>
          <w:rFonts w:ascii="Arial" w:cs="Arial" w:eastAsia="Arial" w:hAnsi="Arial"/>
          <w:sz w:val="17"/>
          <w:szCs w:val="17"/>
          <w:b w:val="1"/>
          <w:bCs w:val="1"/>
          <w:color w:val="auto"/>
        </w:rPr>
        <w:t>We have recently commenced clinical development of etokimab and ANB019,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right="40" w:firstLine="567"/>
        <w:spacing w:after="0" w:line="238"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95" w:lineRule="exact"/>
        <w:rPr>
          <w:sz w:val="20"/>
          <w:szCs w:val="20"/>
          <w:color w:val="auto"/>
        </w:rPr>
      </w:pPr>
    </w:p>
    <w:p>
      <w:pPr>
        <w:ind w:right="56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140" w:hanging="440"/>
        <w:spacing w:after="0" w:line="262"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1" w:lineRule="exact"/>
        <w:rPr>
          <w:rFonts w:ascii="Arial" w:cs="Arial" w:eastAsia="Arial" w:hAnsi="Arial"/>
          <w:sz w:val="18"/>
          <w:szCs w:val="18"/>
          <w:color w:val="auto"/>
        </w:rPr>
      </w:pPr>
    </w:p>
    <w:p>
      <w:pPr>
        <w:ind w:left="880" w:right="640" w:hanging="440"/>
        <w:spacing w:after="0" w:line="262"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40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800" w:right="259" w:bottom="1440" w:gutter="0" w:footer="0" w:header="0"/>
        </w:sectPr>
      </w:pPr>
    </w:p>
    <w:bookmarkStart w:id="35" w:name="page36"/>
    <w:bookmarkEnd w:id="35"/>
    <w:p>
      <w:pPr>
        <w:ind w:right="40" w:firstLine="567"/>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0"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For atopic dermatitis, our competitors include dupilumab (Dupixent, Regeneron, Sanofi), which has been approved by the FDA, crisaborole (EUCRISA, Pfizer), which has been approved by the FDA, VTP-38543 (Vitae, acquired by Allergan), JAK inhibitors such as baricitinib, PF-04965842 and upadacitinib under development by Lilly/Incyte, Pfizer and Abbvie, respectively, an IL-33 program by Regeneron (REGN3500) in a Phase 2 clinical trial for atopic dermatitis, a recently announced IL-33 related program by Pfizer (PF-06817024) in a Phase 1 clinical trial indicated for various indications, a recently announced IL-33 related program by Lilly in a Phase 1 clinical trial indicated for autoimmune disorders, an IL-1 alpha antibody, bermekimab (XBiotech) and antibodies that bind to IL-13 such as lebrikizumab (Dermira) and tezepelumab (AMG157, MEDI9929, Amgen/AstraZeneca).</w:t>
      </w:r>
    </w:p>
    <w:p>
      <w:pPr>
        <w:spacing w:after="0" w:line="165"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GSK’s GSK3772847 and Regeneron’s IL-33 antibody (REGN3500) each in clinical development for asthma and related conditions; a recently announced IL-33 related program by AstraZeneca (MEDI3506) in a Phase 1 clinical trial indicated for chronic obstructive pulmonary disease; DP-2 antagonists including fevipiprant (Novartis) under development for asthma and GB001 (Gossamer Bio) under development for moderate-to-severe eosinophilic asthma; and an anti-TSLP antibody called tezepelumab (AMG 157, MEDI9929) being developed by Amgen and AstraZeneca for asthma.</w:t>
      </w:r>
    </w:p>
    <w:p>
      <w:pPr>
        <w:spacing w:after="0" w:line="169"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70"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88"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With the enactment of the Biologics Price Competition and Innovation Act of 2009, or BPCIA, an abbreviated pathway for the approval of biosimilar and interchangeable biological products was created. The abbreviated regulatory pathway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ind w:right="20"/>
        <w:spacing w:after="0" w:line="273" w:lineRule="auto"/>
        <w:rPr>
          <w:sz w:val="20"/>
          <w:szCs w:val="20"/>
          <w:color w:val="auto"/>
        </w:rPr>
      </w:pPr>
      <w:r>
        <w:rPr>
          <w:rFonts w:ascii="Arial" w:cs="Arial" w:eastAsia="Arial" w:hAnsi="Arial"/>
          <w:sz w:val="17"/>
          <w:szCs w:val="17"/>
          <w:color w:val="auto"/>
        </w:rPr>
        <w:t>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5"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26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1"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8"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54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17" w:lineRule="exact"/>
        <w:rPr>
          <w:rFonts w:ascii="Arial" w:cs="Arial" w:eastAsia="Arial" w:hAnsi="Arial"/>
          <w:sz w:val="18"/>
          <w:szCs w:val="18"/>
          <w:color w:val="auto"/>
        </w:rPr>
      </w:pPr>
    </w:p>
    <w:p>
      <w:pPr>
        <w:ind w:left="880" w:right="520" w:hanging="440"/>
        <w:spacing w:after="0" w:line="308"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120" w:firstLine="567"/>
        <w:spacing w:after="0" w:line="271"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8" w:name="page39"/>
    <w:bookmarkEnd w:id="38"/>
    <w:p>
      <w:pPr>
        <w:ind w:right="60" w:firstLine="567"/>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TESARO and Celgene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200" w:firstLine="567"/>
        <w:spacing w:after="0" w:line="34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For the year ended December 31, 2018, our collaboration revenue was $5.0 million and our net loss was $61.7 million. As of December 31, 2018, we had an accumulated deficit of $146.7 million.</w:t>
      </w:r>
    </w:p>
    <w:p>
      <w:pPr>
        <w:spacing w:after="0" w:line="124" w:lineRule="exact"/>
        <w:rPr>
          <w:sz w:val="20"/>
          <w:szCs w:val="20"/>
          <w:color w:val="auto"/>
        </w:rPr>
      </w:pPr>
    </w:p>
    <w:p>
      <w:pPr>
        <w:ind w:right="80" w:firstLine="567"/>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1" w:lineRule="exact"/>
        <w:rPr>
          <w:sz w:val="20"/>
          <w:szCs w:val="20"/>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640" w:hanging="31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240" w:hanging="314"/>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9" w:name="page40"/>
    <w:bookmarkEnd w:id="39"/>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40"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through the end of 2020.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83" w:lineRule="exact"/>
        <w:rPr>
          <w:sz w:val="20"/>
          <w:szCs w:val="20"/>
          <w:color w:val="auto"/>
        </w:rPr>
      </w:pPr>
    </w:p>
    <w:p>
      <w:pPr>
        <w:jc w:val="both"/>
        <w:ind w:right="160" w:firstLine="567"/>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660" w:hanging="314"/>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660" w:right="260" w:hanging="31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460" w:hanging="31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692" w:right="279" w:bottom="1440" w:gutter="0" w:footer="0" w:header="0"/>
        </w:sectPr>
      </w:pPr>
    </w:p>
    <w:bookmarkStart w:id="40" w:name="page41"/>
    <w:bookmarkEnd w:id="40"/>
    <w:p>
      <w:pPr>
        <w:ind w:right="20"/>
        <w:spacing w:after="0" w:line="259" w:lineRule="auto"/>
        <w:rPr>
          <w:sz w:val="20"/>
          <w:szCs w:val="20"/>
          <w:color w:val="auto"/>
        </w:rPr>
      </w:pPr>
      <w:r>
        <w:rPr>
          <w:rFonts w:ascii="Arial" w:cs="Arial" w:eastAsia="Arial" w:hAnsi="Arial"/>
          <w:sz w:val="18"/>
          <w:szCs w:val="18"/>
          <w:color w:val="auto"/>
        </w:rPr>
        <w:t>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9" w:lineRule="exact"/>
        <w:rPr>
          <w:sz w:val="20"/>
          <w:szCs w:val="20"/>
          <w:color w:val="auto"/>
        </w:rPr>
      </w:pPr>
    </w:p>
    <w:p>
      <w:pPr>
        <w:ind w:left="660" w:right="80" w:hanging="314"/>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60" w:hanging="314"/>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ind w:left="660" w:right="100" w:hanging="314"/>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200" w:hanging="314"/>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24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40" w:firstLine="567"/>
        <w:spacing w:after="0" w:line="297"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 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41" w:name="page42"/>
    <w:bookmarkEnd w:id="41"/>
    <w:p>
      <w:pPr>
        <w:ind w:right="40"/>
        <w:spacing w:after="0" w:line="273" w:lineRule="auto"/>
        <w:rPr>
          <w:sz w:val="20"/>
          <w:szCs w:val="20"/>
          <w:color w:val="auto"/>
        </w:rPr>
      </w:pPr>
      <w:r>
        <w:rPr>
          <w:rFonts w:ascii="Arial" w:cs="Arial" w:eastAsia="Arial" w:hAnsi="Arial"/>
          <w:sz w:val="17"/>
          <w:szCs w:val="17"/>
          <w:color w:val="auto"/>
        </w:rPr>
        <w:t>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78" w:lineRule="exact"/>
        <w:rPr>
          <w:sz w:val="20"/>
          <w:szCs w:val="20"/>
          <w:color w:val="auto"/>
        </w:rPr>
      </w:pPr>
    </w:p>
    <w:p>
      <w:pPr>
        <w:jc w:val="both"/>
        <w:ind w:right="100" w:firstLine="567"/>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5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6"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9"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7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right="100" w:firstLine="567"/>
        <w:spacing w:after="0" w:line="302" w:lineRule="auto"/>
        <w:rPr>
          <w:sz w:val="20"/>
          <w:szCs w:val="20"/>
          <w:color w:val="auto"/>
        </w:rPr>
      </w:pPr>
      <w:r>
        <w:rPr>
          <w:rFonts w:ascii="Arial" w:cs="Arial" w:eastAsia="Arial" w:hAnsi="Arial"/>
          <w:sz w:val="16"/>
          <w:szCs w:val="16"/>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92" w:right="25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7"/>
          <w:szCs w:val="17"/>
          <w:color w:val="auto"/>
        </w:rPr>
        <w:t>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8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We conduct certain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2" w:lineRule="exact"/>
        <w:rPr>
          <w:sz w:val="20"/>
          <w:szCs w:val="20"/>
          <w:color w:val="auto"/>
        </w:rPr>
      </w:pPr>
    </w:p>
    <w:p>
      <w:pPr>
        <w:ind w:right="220" w:firstLine="567"/>
        <w:spacing w:after="0" w:line="297"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etokimab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58"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are ineligible or unable to receive the research and development tax credit, required to repay all or a portion of the credit, lose our ability to operate AnaptysBio Pty in Australia, or if the Australian government significantly reduces or eliminates the tax credit, our business and results of operation would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operations, or the third parties upon whom we depend, are vulnerable to interruption by fire, earthquake, power loss, telecommunications failure, terrorist activity and other events beyond our control, which could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3" w:name="page44"/>
    <w:bookmarkEnd w:id="43"/>
    <w:p>
      <w:pPr>
        <w:ind w:firstLine="567"/>
        <w:spacing w:after="0" w:line="272" w:lineRule="auto"/>
        <w:rPr>
          <w:sz w:val="20"/>
          <w:szCs w:val="20"/>
          <w:color w:val="auto"/>
        </w:rPr>
      </w:pPr>
      <w:r>
        <w:rPr>
          <w:rFonts w:ascii="Arial" w:cs="Arial" w:eastAsia="Arial" w:hAnsi="Arial"/>
          <w:sz w:val="17"/>
          <w:szCs w:val="17"/>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70" w:lineRule="exact"/>
        <w:rPr>
          <w:sz w:val="20"/>
          <w:szCs w:val="20"/>
          <w:color w:val="auto"/>
        </w:rPr>
      </w:pPr>
    </w:p>
    <w:p>
      <w:pPr>
        <w:jc w:val="both"/>
        <w:ind w:right="380" w:firstLine="567"/>
        <w:spacing w:after="0" w:line="264"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adverse events. If such an event were to affect our supply chain, it could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We have entered into collaborations with TESARO and Celgene to develop several of our product candidates. We have also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3"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Moreover, both TESARO and Celgene recently announced agreements to be acquired by large pharmaceutical companies. On December 3, 2018, GlaxoSmithKline plc announced an agreement to acquire TESARO, which closed on January 22, 2019, and on January 3, 2019, Bristol-Myers Squibb Co. announced an agreement to acquire Celgene Corp, which is expected to close during the third quarter of 2019. There can be no assurance that these collaborators, following their respective acquisitions by third parties, or such third-party acquirers, will continue to develop and commercialize these product candidates consistent with and with similar timelines as done previous to the acquisitions or that they will comply with the covenants, restrictions, sub-license and other agreement provisions, which, if they don’t comply, could lead us into disputes and potentially trigger breaches of our agreements with other partners.</w:t>
      </w:r>
    </w:p>
    <w:p>
      <w:pPr>
        <w:spacing w:after="0" w:line="189"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development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4" w:name="page45"/>
    <w:bookmarkEnd w:id="44"/>
    <w:p>
      <w:pPr>
        <w:ind w:right="60"/>
        <w:spacing w:after="0" w:line="302" w:lineRule="auto"/>
        <w:rPr>
          <w:sz w:val="20"/>
          <w:szCs w:val="20"/>
          <w:color w:val="auto"/>
        </w:rPr>
      </w:pPr>
      <w:r>
        <w:rPr>
          <w:rFonts w:ascii="Arial" w:cs="Arial" w:eastAsia="Arial" w:hAnsi="Arial"/>
          <w:sz w:val="16"/>
          <w:szCs w:val="16"/>
          <w:color w:val="auto"/>
        </w:rPr>
        <w:t>commercially viable.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1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500" w:hanging="31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78"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rely completely on third parties to manufacture our nonclinical, clinical and future commercial drug supplies of any approved products.</w:t>
      </w:r>
    </w:p>
    <w:p>
      <w:pPr>
        <w:spacing w:after="0" w:line="241"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5" w:name="page46"/>
    <w:bookmarkEnd w:id="45"/>
    <w:p>
      <w:pPr>
        <w:ind w:right="80" w:firstLine="567"/>
        <w:spacing w:after="0" w:line="312"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7" w:lineRule="exact"/>
        <w:rPr>
          <w:sz w:val="20"/>
          <w:szCs w:val="20"/>
          <w:color w:val="auto"/>
        </w:rPr>
      </w:pPr>
    </w:p>
    <w:p>
      <w:pPr>
        <w:ind w:firstLine="567"/>
        <w:spacing w:after="0" w:line="297" w:lineRule="auto"/>
        <w:rPr>
          <w:sz w:val="20"/>
          <w:szCs w:val="20"/>
          <w:color w:val="auto"/>
        </w:rPr>
      </w:pPr>
      <w:r>
        <w:rPr>
          <w:rFonts w:ascii="Arial" w:cs="Arial" w:eastAsia="Arial" w:hAnsi="Arial"/>
          <w:sz w:val="16"/>
          <w:szCs w:val="16"/>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5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166"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64" w:lineRule="exact"/>
        <w:rPr>
          <w:sz w:val="20"/>
          <w:szCs w:val="20"/>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567"/>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right="260" w:firstLine="567"/>
        <w:spacing w:after="0" w:line="302"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2" w:right="239" w:bottom="1440" w:gutter="0" w:footer="0" w:header="0"/>
        </w:sectPr>
      </w:pPr>
    </w:p>
    <w:bookmarkStart w:id="47" w:name="page48"/>
    <w:bookmarkEnd w:id="47"/>
    <w:p>
      <w:pPr>
        <w:spacing w:after="0" w:line="290" w:lineRule="auto"/>
        <w:rPr>
          <w:sz w:val="20"/>
          <w:szCs w:val="20"/>
          <w:color w:val="auto"/>
        </w:rPr>
      </w:pPr>
      <w:r>
        <w:rPr>
          <w:rFonts w:ascii="Arial" w:cs="Arial" w:eastAsia="Arial" w:hAnsi="Arial"/>
          <w:sz w:val="16"/>
          <w:szCs w:val="16"/>
          <w:color w:val="auto"/>
        </w:rPr>
        <w:t>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6"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We have not been granted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67"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8" w:name="page49"/>
    <w:bookmarkEnd w:id="48"/>
    <w:p>
      <w:pPr>
        <w:ind w:firstLine="567"/>
        <w:spacing w:after="0" w:line="272"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w:t>
      </w:r>
    </w:p>
    <w:p>
      <w:pPr>
        <w:spacing w:after="0" w:line="178"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ind w:right="180"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65"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66"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0" w:right="239" w:bottom="1440" w:gutter="0" w:footer="0" w:header="0"/>
        </w:sectPr>
      </w:pPr>
    </w:p>
    <w:bookmarkStart w:id="49" w:name="page50"/>
    <w:bookmarkEnd w:id="49"/>
    <w:p>
      <w:pPr>
        <w:ind w:right="60" w:firstLine="567"/>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which could have a material adverse effect on customers for our drugs, if approved, and accordingly, our financial operations.</w:t>
      </w:r>
    </w:p>
    <w:p>
      <w:pPr>
        <w:spacing w:after="0" w:line="169"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71" w:lineRule="exact"/>
        <w:rPr>
          <w:sz w:val="20"/>
          <w:szCs w:val="20"/>
          <w:color w:val="auto"/>
        </w:rPr>
      </w:pPr>
    </w:p>
    <w:p>
      <w:pPr>
        <w:ind w:right="16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right="120" w:firstLine="567"/>
        <w:spacing w:after="0" w:line="273"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20"/>
        <w:spacing w:after="0" w:line="257" w:lineRule="auto"/>
        <w:rPr>
          <w:sz w:val="20"/>
          <w:szCs w:val="20"/>
          <w:color w:val="auto"/>
        </w:rPr>
      </w:pPr>
      <w:r>
        <w:rPr>
          <w:rFonts w:ascii="Arial" w:cs="Arial" w:eastAsia="Arial" w:hAnsi="Arial"/>
          <w:sz w:val="18"/>
          <w:szCs w:val="18"/>
          <w:color w:val="auto"/>
        </w:rPr>
        <w:t>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9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00" w:firstLine="567"/>
        <w:spacing w:after="0" w:line="302" w:lineRule="auto"/>
        <w:rPr>
          <w:sz w:val="20"/>
          <w:szCs w:val="20"/>
          <w:color w:val="auto"/>
        </w:rPr>
      </w:pPr>
      <w:r>
        <w:rPr>
          <w:rFonts w:ascii="Arial" w:cs="Arial" w:eastAsia="Arial" w:hAnsi="Arial"/>
          <w:sz w:val="16"/>
          <w:szCs w:val="16"/>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46" w:lineRule="exact"/>
        <w:rPr>
          <w:sz w:val="20"/>
          <w:szCs w:val="20"/>
          <w:color w:val="auto"/>
        </w:rPr>
      </w:pPr>
    </w:p>
    <w:p>
      <w:pPr>
        <w:ind w:left="660" w:right="120" w:hanging="314"/>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220" w:hanging="314"/>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200" w:hanging="314"/>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660" w:hanging="314"/>
        <w:spacing w:after="0" w:line="27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4" w:lineRule="exact"/>
        <w:rPr>
          <w:rFonts w:ascii="Arial" w:cs="Arial" w:eastAsia="Arial" w:hAnsi="Arial"/>
          <w:sz w:val="17"/>
          <w:szCs w:val="17"/>
          <w:color w:val="auto"/>
        </w:rPr>
      </w:pPr>
    </w:p>
    <w:p>
      <w:pPr>
        <w:ind w:left="660" w:right="220" w:hanging="314"/>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67"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51" w:name="page52"/>
    <w:bookmarkEnd w:id="51"/>
    <w:p>
      <w:pPr>
        <w:spacing w:after="0" w:line="285" w:lineRule="auto"/>
        <w:rPr>
          <w:sz w:val="20"/>
          <w:szCs w:val="20"/>
          <w:color w:val="auto"/>
        </w:rPr>
      </w:pPr>
      <w:r>
        <w:rPr>
          <w:rFonts w:ascii="Arial" w:cs="Arial" w:eastAsia="Arial" w:hAnsi="Arial"/>
          <w:sz w:val="16"/>
          <w:szCs w:val="16"/>
          <w:color w:val="auto"/>
        </w:rPr>
        <w:t>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mechanisms ensuring compliance with the GDPR. The GDPR is new and the pending EU ePrivacy Regulation is expected to establish, new requirements applicable to the handling of personal data and imposes penalties for non-compliance of up to the greater of €20 million or 4% of worldwide revenue. Additionally, in June 2018, California passed the California Consumer Privacy Act, or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94" w:lineRule="exact"/>
        <w:rPr>
          <w:sz w:val="20"/>
          <w:szCs w:val="20"/>
          <w:color w:val="auto"/>
        </w:rPr>
      </w:pPr>
    </w:p>
    <w:p>
      <w:pPr>
        <w:ind w:right="4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7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2" w:name="page53"/>
    <w:bookmarkEnd w:id="52"/>
    <w:p>
      <w:pPr>
        <w:ind w:right="100"/>
        <w:spacing w:after="0" w:line="293" w:lineRule="auto"/>
        <w:rPr>
          <w:sz w:val="20"/>
          <w:szCs w:val="20"/>
          <w:color w:val="auto"/>
        </w:rPr>
      </w:pPr>
      <w:r>
        <w:rPr>
          <w:rFonts w:ascii="Arial" w:cs="Arial" w:eastAsia="Arial" w:hAnsi="Arial"/>
          <w:sz w:val="16"/>
          <w:szCs w:val="16"/>
          <w:color w:val="auto"/>
        </w:rPr>
        <w:t>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65" w:lineRule="exact"/>
        <w:rPr>
          <w:sz w:val="20"/>
          <w:szCs w:val="20"/>
          <w:color w:val="auto"/>
        </w:rPr>
      </w:pPr>
    </w:p>
    <w:p>
      <w:pPr>
        <w:ind w:right="40"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692"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00" w:firstLine="567"/>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right="14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905" w:right="299" w:bottom="1440" w:gutter="0" w:footer="0" w:header="0"/>
        </w:sectPr>
      </w:pPr>
    </w:p>
    <w:bookmarkStart w:id="54" w:name="page55"/>
    <w:bookmarkEnd w:id="54"/>
    <w:p>
      <w:pPr>
        <w:ind w:right="60" w:firstLine="567"/>
        <w:spacing w:after="0" w:line="268" w:lineRule="auto"/>
        <w:rPr>
          <w:sz w:val="20"/>
          <w:szCs w:val="20"/>
          <w:color w:val="auto"/>
        </w:rPr>
      </w:pPr>
      <w:r>
        <w:rPr>
          <w:rFonts w:ascii="Arial" w:cs="Arial" w:eastAsia="Arial" w:hAnsi="Arial"/>
          <w:sz w:val="17"/>
          <w:szCs w:val="17"/>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92"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800" w:right="259" w:bottom="1440" w:gutter="0" w:footer="0" w:header="0"/>
        </w:sectPr>
      </w:pPr>
    </w:p>
    <w:bookmarkStart w:id="55" w:name="page56"/>
    <w:bookmarkEnd w:id="55"/>
    <w:p>
      <w:pPr>
        <w:ind w:right="6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100" w:firstLine="567"/>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67"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28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04" w:right="239" w:bottom="1440" w:gutter="0" w:footer="0" w:header="0"/>
        </w:sectPr>
      </w:pPr>
    </w:p>
    <w:bookmarkStart w:id="56" w:name="page57"/>
    <w:bookmarkEnd w:id="56"/>
    <w:p>
      <w:pPr>
        <w:ind w:right="80"/>
        <w:spacing w:after="0" w:line="302" w:lineRule="auto"/>
        <w:rPr>
          <w:sz w:val="20"/>
          <w:szCs w:val="20"/>
          <w:color w:val="auto"/>
        </w:rPr>
      </w:pPr>
      <w:r>
        <w:rPr>
          <w:rFonts w:ascii="Arial" w:cs="Arial" w:eastAsia="Arial" w:hAnsi="Arial"/>
          <w:sz w:val="16"/>
          <w:szCs w:val="16"/>
          <w:color w:val="auto"/>
        </w:rPr>
        <w:t>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760" w:hanging="314"/>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80" w:firstLine="567"/>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692" w:right="299" w:bottom="1440" w:gutter="0" w:footer="0" w:header="0"/>
        </w:sectPr>
      </w:pPr>
    </w:p>
    <w:bookmarkStart w:id="57" w:name="page58"/>
    <w:bookmarkEnd w:id="57"/>
    <w:p>
      <w:pPr>
        <w:ind w:right="60"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48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1" w:right="239" w:bottom="1440" w:gutter="0" w:footer="0" w:header="0"/>
        </w:sectPr>
      </w:pPr>
    </w:p>
    <w:bookmarkStart w:id="58" w:name="page59"/>
    <w:bookmarkEnd w:id="58"/>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160" w:firstLine="567"/>
        <w:spacing w:after="0" w:line="286"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have increased and will continue to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692" w:right="279" w:bottom="1440" w:gutter="0" w:footer="0" w:header="0"/>
        </w:sectPr>
      </w:pPr>
    </w:p>
    <w:bookmarkStart w:id="59" w:name="page60"/>
    <w:bookmarkEnd w:id="59"/>
    <w:p>
      <w:pPr>
        <w:ind w:firstLine="648"/>
        <w:spacing w:after="0" w:line="270"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8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800" w:right="259" w:bottom="1440" w:gutter="0" w:footer="0" w:header="0"/>
        </w:sectPr>
      </w:pPr>
    </w:p>
    <w:bookmarkStart w:id="60" w:name="page61"/>
    <w:bookmarkEnd w:id="60"/>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280" w:hanging="31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220" w:hanging="314"/>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20" w:firstLine="567"/>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5"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Internal Revenue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2018, we have federal NOLs of approximately $145.3 million, which expire beginning December 31, 2028 through December 31, 2037,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92" w:right="259" w:bottom="1440" w:gutter="0" w:footer="0" w:header="0"/>
        </w:sectPr>
      </w:pPr>
    </w:p>
    <w:bookmarkStart w:id="61" w:name="page62"/>
    <w:bookmarkEnd w:id="61"/>
    <w:p>
      <w:pPr>
        <w:spacing w:after="0" w:line="264" w:lineRule="auto"/>
        <w:rPr>
          <w:sz w:val="20"/>
          <w:szCs w:val="20"/>
          <w:color w:val="auto"/>
        </w:rPr>
      </w:pPr>
      <w:r>
        <w:rPr>
          <w:rFonts w:ascii="Arial" w:cs="Arial" w:eastAsia="Arial" w:hAnsi="Arial"/>
          <w:sz w:val="18"/>
          <w:szCs w:val="18"/>
          <w:color w:val="auto"/>
        </w:rPr>
        <w:t>if not used to reduce income taxes payable in the future. The federal net operating loss carryover includes $85.2 million of net operating losses generated in 2018. Federal net operating losses generated in 2018 carryover indefinitely and may generally be used to offset up to 80% of future taxable income in the year it is utilized.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80" w:firstLine="567"/>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In May 2018, we entered into a three-year sublease agreement for an additional 18,000 square feet of office space in San Diego, California, this lease will expire on October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692" w:right="25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Trading Symbol and Holders</w:t>
      </w:r>
    </w:p>
    <w:p>
      <w:pPr>
        <w:spacing w:after="0" w:line="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common stock has been listed on the Nasdaq Global Select market under the symbol “ANAB” since January 26, 2017. As of February 25, 2019, we had approximately 17 holders of record of our common stock. This number does not include beneficial owners whose shares were held in street name.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320" w:firstLine="567"/>
        <w:spacing w:after="0" w:line="276" w:lineRule="auto"/>
        <w:rPr>
          <w:sz w:val="20"/>
          <w:szCs w:val="20"/>
          <w:color w:val="auto"/>
        </w:rPr>
      </w:pPr>
      <w:r>
        <w:rPr>
          <w:rFonts w:ascii="Arial" w:cs="Arial" w:eastAsia="Arial" w:hAnsi="Arial"/>
          <w:sz w:val="17"/>
          <w:szCs w:val="17"/>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our lenders.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9" w:lineRule="exact"/>
        <w:rPr>
          <w:sz w:val="20"/>
          <w:szCs w:val="20"/>
          <w:color w:val="auto"/>
        </w:rPr>
      </w:pPr>
    </w:p>
    <w:p>
      <w:pPr>
        <w:ind w:right="80" w:firstLine="567"/>
        <w:spacing w:after="0" w:line="302" w:lineRule="auto"/>
        <w:rPr>
          <w:sz w:val="20"/>
          <w:szCs w:val="20"/>
          <w:color w:val="auto"/>
        </w:rPr>
      </w:pPr>
      <w:r>
        <w:rPr>
          <w:rFonts w:ascii="Arial" w:cs="Arial" w:eastAsia="Arial" w:hAnsi="Arial"/>
          <w:sz w:val="16"/>
          <w:szCs w:val="16"/>
          <w:color w:val="auto"/>
        </w:rPr>
        <w:t>The following performance graph compares the performance of our common stock to the Nasdaq Composite Index and to the Nasdaq Biotechnology Index from January 26, 2017 (the first date that shares of our common stock were publicly traded) through December 31, 2018. The comparison assumes $100 was invested in our common stock and in each of the aforementioned indices after the market closed on December 31, 2018, and it assumes reinvestment of dividends, if any. The stock price performance included in this graph is not necessarily indicative of future stock price performance.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580" w:right="27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1323975</wp:posOffset>
            </wp:positionH>
            <wp:positionV relativeFrom="page">
              <wp:posOffset>448945</wp:posOffset>
            </wp:positionV>
            <wp:extent cx="4922520" cy="3670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92252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The selected financial data set forth below for the years ended December 31, 2018, 2017, and 2016 and as of December 31, 2018 and 2017 are derived from and should be read in conjunction with our audited financial statements, including the notes thereto, included elsewhere in this report. The selected financial data for the years ended December 31, 2015 and 2014 and as of December 31, 2016, 2015 and 2014 are derived from our audited financial statements not included in this report.</w:t>
      </w:r>
    </w:p>
    <w:p>
      <w:pPr>
        <w:spacing w:after="0" w:line="268" w:lineRule="exact"/>
        <w:rPr>
          <w:sz w:val="20"/>
          <w:szCs w:val="20"/>
          <w:color w:val="auto"/>
        </w:rPr>
      </w:pPr>
    </w:p>
    <w:p>
      <w:pPr>
        <w:ind w:right="260" w:firstLine="567"/>
        <w:spacing w:after="0" w:line="264"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You should read the selected consolidated financial data below in conjunction with Part II Item 7—Management’s Discussion and Analysis of Financial Condition and Results of Operations and our audited consolidated financial statements and the related notes included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17,571</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15,838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(Loss) income from operations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4,870</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3,532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(loss) income attributed to common stockholders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(61,656)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232</w:t>
            </w: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 per common share: Basic and diluted</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0.09</w:t>
            </w:r>
          </w:p>
        </w:tc>
      </w:tr>
      <w:tr>
        <w:trPr>
          <w:trHeight w:val="33"/>
        </w:trPr>
        <w:tc>
          <w:tcPr>
            <w:tcW w:w="4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4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2014</w:t>
            </w: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508,997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329,364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25,065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Notes payable, net of current portion</w:t>
            </w:r>
          </w:p>
        </w:tc>
        <w:tc>
          <w:tcPr>
            <w:tcW w:w="3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4,793</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Preferred stock warrant liabilities</w:t>
            </w:r>
          </w:p>
        </w:tc>
        <w:tc>
          <w:tcPr>
            <w:tcW w:w="3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569</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Series B convertible preferred stock</w:t>
            </w:r>
          </w:p>
        </w:tc>
        <w:tc>
          <w:tcPr>
            <w:tcW w:w="3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28,220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28,220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28,220</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C convertible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Series C-1 convertible preferred stock</w:t>
            </w:r>
          </w:p>
        </w:tc>
        <w:tc>
          <w:tcPr>
            <w:tcW w:w="3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2,156</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D convertible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Stockholders’ equity (deficit):</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 in capital</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633,251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(45,259)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7"/>
              </w:rPr>
              <w:t>Total liabilities, convertible preferred stock and stockholders’ equity</w:t>
            </w: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508,997</w:t>
            </w:r>
          </w:p>
        </w:tc>
        <w:tc>
          <w:tcPr>
            <w:tcW w:w="120" w:type="dxa"/>
            <w:vAlign w:val="bottom"/>
          </w:tcPr>
          <w:p>
            <w:pPr>
              <w:spacing w:after="0"/>
              <w:rPr>
                <w:sz w:val="20"/>
                <w:szCs w:val="20"/>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329,364</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62,180</w:t>
            </w:r>
          </w:p>
        </w:tc>
        <w:tc>
          <w:tcPr>
            <w:tcW w:w="1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56,280</w:t>
            </w:r>
          </w:p>
        </w:tc>
        <w:tc>
          <w:tcPr>
            <w:tcW w:w="120" w:type="dxa"/>
            <w:vAlign w:val="bottom"/>
          </w:tcPr>
          <w:p>
            <w:pPr>
              <w:spacing w:after="0"/>
              <w:rPr>
                <w:sz w:val="20"/>
                <w:szCs w:val="20"/>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25,065</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6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20" w:firstLine="567"/>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 Our most advanced wholly-owned antibody programs, etokimab and ANB019, neutralize therapeutic targets that are genetically associated with severe inflammatory disorders in humans.</w:t>
      </w:r>
    </w:p>
    <w:p>
      <w:pPr>
        <w:spacing w:after="0" w:line="189"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Etokimab, our anti-IL-33 antibody drug candidate previously referred to as ANB020, inhibits the activity of the interleukin-33 cytokine, or IL-33, which we believe is broadly applicable to the treatment of atopic inflammatory disorders, such as moderate-to-severe atopic dermatitis, eosinophilic asthma, chronic rhinosinusitis with nasal polyps, or CRSwNP, and potentially other allergic conditions.</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We completed a Phase 2a proof-of-concept trial of etokimab in 12 moderate-to-severe adult atopic dermatitis patients in late 2017 and believe the data from this trial, presented at the 2018 American Academy of Dermatology, or AAD, and 2018 European Academy of Allergy and Clinical Immunology, </w:t>
      </w:r>
      <w:r>
        <w:rPr>
          <w:rFonts w:ascii="Arial" w:cs="Arial" w:eastAsia="Arial" w:hAnsi="Arial"/>
          <w:sz w:val="18"/>
          <w:szCs w:val="18"/>
          <w:color w:val="231F20"/>
        </w:rPr>
        <w:t>or</w:t>
      </w:r>
      <w:r>
        <w:rPr>
          <w:rFonts w:ascii="Arial" w:cs="Arial" w:eastAsia="Arial" w:hAnsi="Arial"/>
          <w:sz w:val="18"/>
          <w:szCs w:val="18"/>
          <w:color w:val="auto"/>
        </w:rPr>
        <w:t xml:space="preserve"> </w:t>
      </w:r>
      <w:r>
        <w:rPr>
          <w:rFonts w:ascii="Arial" w:cs="Arial" w:eastAsia="Arial" w:hAnsi="Arial"/>
          <w:sz w:val="18"/>
          <w:szCs w:val="18"/>
          <w:color w:val="231F20"/>
        </w:rPr>
        <w:t>EAACI</w:t>
      </w:r>
      <w:r>
        <w:rPr>
          <w:rFonts w:ascii="Arial" w:cs="Arial" w:eastAsia="Arial" w:hAnsi="Arial"/>
          <w:sz w:val="18"/>
          <w:szCs w:val="18"/>
          <w:color w:val="000000"/>
        </w:rPr>
        <w:t>, demonstrate proof-of-concept for etokimab in moderate-to-severe adult atopic dermatitis and suggest that etokimab may provide meaningful</w:t>
      </w:r>
      <w:r>
        <w:rPr>
          <w:rFonts w:ascii="Arial" w:cs="Arial" w:eastAsia="Arial" w:hAnsi="Arial"/>
          <w:sz w:val="18"/>
          <w:szCs w:val="18"/>
          <w:color w:val="231F20"/>
        </w:rPr>
        <w:t xml:space="preserve"> </w:t>
      </w:r>
      <w:r>
        <w:rPr>
          <w:rFonts w:ascii="Arial" w:cs="Arial" w:eastAsia="Arial" w:hAnsi="Arial"/>
          <w:sz w:val="18"/>
          <w:szCs w:val="18"/>
          <w:color w:val="000000"/>
        </w:rPr>
        <w:t>differentiation in terms of patient convenience. We are conducting a Phase 2b randomized, double-blinded, placebo-controlled, multi-dose study in 300 adult patients with moderate-to-severe atopic dermatitis, also referred to as the ATLAS trial, to assess different dose levels and dosing frequencies of subcutaneously-administered etokimab for a 16-week treatment period followed by an eight-week monitoring period, with top-line data expected in the second half of 2019.</w:t>
      </w:r>
    </w:p>
    <w:p>
      <w:pPr>
        <w:spacing w:after="0" w:line="189"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We recently completed a Phase 2a randomized, placebo-controlled, single dose study of etokimab in 25 severe adult eosinophilic asthma patients. We announced top-line data from an interim analysis of this Phase 2a trial in September 2018, which we believe demonstrated proof-of-concept for etokimab in severe adult eosinophilic asthma patients with rapid and sustained Forced Expiratory Volume in One Second, or FEV1, improvement. We plan to report full data from this trial, including data subsequent to the Day 64 time point, at a medical conference in 2019. We believe the interim analysis of this trial supports the continued development of etokimab in eosinophilic asthma and plan to initiate, during 2019, a multi-dose Phase 2b randomized, double-blinded, placebo-controlled trial. We may also conduct clinical studies in severe asthma subset(s) in the future.</w:t>
      </w:r>
    </w:p>
    <w:p>
      <w:pPr>
        <w:spacing w:after="0" w:line="165"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We are conducting a randomized, placebo-controlled Phase 2 trial of etokimab in approximately 100 adult patients with CRSwNP, also referred to as the ECLIPSE trial, which is a debilitating atopic disorder associated with elevated IL-33 pathway signaling. We anticipate top-line data from this trial to be available in the second half of 2019.</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ANB019 inhibits the interleukin-36 receptor, or IL-36R, for the treatment of rare inflammatory diseases including generalized pustular psoriasis, or GPP, and palmoplantar pustulosis, or PPP, previously referred to as palmo-plantar pustular psoriasis. We completed a Phase 1 clinical trial in healthy volunteers, which was presented at EAACI 2018, where ANB019 was well-tolerated by all subjects, no dose-limiting toxicities were observed, and no serious adverse events were reported among any subjects in the trial. We have subsequently initiated a 10-patient open-label, multi-dose, single-arm Phase 2 trial of ANB019 in GPP patients, also referred to as the GALLOP trial, where top-line data are anticipated in mid-2019. We have also initiated a randomized, double-blind, placebo-controlled approximately 50-patient multi-dose trial of ANB019 in PPP, also referred to as the POPLAR trial, where top-line data are anticipated in the second half of 2019.</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904" w:right="259" w:bottom="1440" w:gutter="0" w:footer="0" w:header="0"/>
        </w:sectPr>
      </w:pPr>
    </w:p>
    <w:bookmarkStart w:id="66" w:name="page67"/>
    <w:bookmarkEnd w:id="66"/>
    <w:p>
      <w:pPr>
        <w:ind w:right="60" w:firstLine="567"/>
        <w:spacing w:after="0" w:line="264" w:lineRule="auto"/>
        <w:rPr>
          <w:sz w:val="20"/>
          <w:szCs w:val="20"/>
          <w:color w:val="auto"/>
        </w:rPr>
      </w:pPr>
      <w:r>
        <w:rPr>
          <w:rFonts w:ascii="Arial" w:cs="Arial" w:eastAsia="Arial" w:hAnsi="Arial"/>
          <w:sz w:val="18"/>
          <w:szCs w:val="18"/>
          <w:color w:val="auto"/>
        </w:rPr>
        <w:t>In addition to etokimab and ANB019, our wholly-owned pipeline includes novel anti-inflammatory checkpoint receptor modulator antibodies that we believe are applicable for treatment of certain autoimmune diseases where immune checkpoint receptors are insufficiently activated. We anticipate an Investigational New Drug Application, or IND, for the first such antibody in the second half of 2019.</w:t>
      </w:r>
    </w:p>
    <w:p>
      <w:pPr>
        <w:spacing w:after="0" w:line="181"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to preclinical and clinical milestones under our collaborations. Our collaborations include an immuno-oncology-focused collaboration with TESARO, Inc. and TESARO Development, Ltd., or collectively TESARO, and an inflammation-focused collaboration with Celgene Corporation, or Celgene. For more information about these collaborations, see “- Collaboration Revenue” below.</w:t>
      </w:r>
    </w:p>
    <w:p>
      <w:pPr>
        <w:spacing w:after="0" w:line="187" w:lineRule="exact"/>
        <w:rPr>
          <w:sz w:val="20"/>
          <w:szCs w:val="20"/>
          <w:color w:val="auto"/>
        </w:rPr>
      </w:pPr>
    </w:p>
    <w:p>
      <w:pPr>
        <w:jc w:val="both"/>
        <w:ind w:right="180" w:firstLine="567"/>
        <w:spacing w:after="0" w:line="259" w:lineRule="auto"/>
        <w:rPr>
          <w:sz w:val="20"/>
          <w:szCs w:val="20"/>
          <w:color w:val="auto"/>
        </w:rPr>
      </w:pPr>
      <w:r>
        <w:rPr>
          <w:rFonts w:ascii="Arial" w:cs="Arial" w:eastAsia="Arial" w:hAnsi="Arial"/>
          <w:sz w:val="18"/>
          <w:szCs w:val="18"/>
          <w:color w:val="auto"/>
        </w:rPr>
        <w:t>As of December 31, 2018, we had an accumulated deficit of $146.7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181"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On October 17, 2017, we completed an underwritten public offering of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154" w:lineRule="exact"/>
        <w:rPr>
          <w:sz w:val="20"/>
          <w:szCs w:val="20"/>
          <w:color w:val="auto"/>
        </w:rPr>
      </w:pPr>
    </w:p>
    <w:p>
      <w:pPr>
        <w:ind w:right="20" w:firstLine="567"/>
        <w:spacing w:after="0" w:line="286" w:lineRule="auto"/>
        <w:rPr>
          <w:sz w:val="20"/>
          <w:szCs w:val="20"/>
          <w:color w:val="auto"/>
        </w:rPr>
      </w:pPr>
      <w:r>
        <w:rPr>
          <w:rFonts w:ascii="Arial" w:cs="Arial" w:eastAsia="Arial" w:hAnsi="Arial"/>
          <w:sz w:val="17"/>
          <w:szCs w:val="17"/>
          <w:color w:val="auto"/>
        </w:rPr>
        <w:t>On September 28, 2018, we completed an underwritten public offering of 2,530,000 shares of common stock, which included the exercise of the underwriters’ option to purchase an additional 330,000 shares of common stock. All shares were offered by us at a price to the public of $94.46 per share. The aggregate net proceeds received by us from the offering were $227.5 million, net of underwriting discounts and commissions.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40" w:firstLine="567"/>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December 31, 2018, we have received $81.6 million in cash in non-dilutive funding from our collaborators.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and Exclusive License Agreement with TESARO</w:t>
      </w:r>
    </w:p>
    <w:p>
      <w:pPr>
        <w:spacing w:after="0" w:line="117" w:lineRule="exact"/>
        <w:rPr>
          <w:sz w:val="20"/>
          <w:szCs w:val="20"/>
          <w:color w:val="auto"/>
        </w:rPr>
      </w:pPr>
    </w:p>
    <w:p>
      <w:pPr>
        <w:ind w:right="240" w:firstLine="567"/>
        <w:spacing w:after="0" w:line="272"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were recognized over the same period that our research and development services for which we were reimbursed were performed, which was extended through December 31, 2016 by amendment of the agreement in February 2016. From inception of the agreement through December 31, 2018, we have recognized $59.3 million in total revenue from TESARO.</w:t>
      </w:r>
    </w:p>
    <w:p>
      <w:pPr>
        <w:spacing w:after="0" w:line="178" w:lineRule="exact"/>
        <w:rPr>
          <w:sz w:val="20"/>
          <w:szCs w:val="20"/>
          <w:color w:val="auto"/>
        </w:rPr>
      </w:pPr>
    </w:p>
    <w:p>
      <w:pPr>
        <w:ind w:right="360" w:firstLine="567"/>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2018 under the TESARO Agreement are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80" w:type="dxa"/>
            <w:vAlign w:val="bottom"/>
            <w:gridSpan w:val="2"/>
          </w:tcPr>
          <w:p>
            <w:pPr>
              <w:jc w:val="right"/>
              <w:ind w:right="888"/>
              <w:spacing w:after="0"/>
              <w:rPr>
                <w:sz w:val="20"/>
                <w:szCs w:val="20"/>
                <w:color w:val="auto"/>
              </w:rPr>
            </w:pPr>
            <w:r>
              <w:rPr>
                <w:rFonts w:ascii="Arial" w:cs="Arial" w:eastAsia="Arial" w:hAnsi="Arial"/>
                <w:sz w:val="14"/>
                <w:szCs w:val="14"/>
                <w:b w:val="1"/>
                <w:bCs w:val="1"/>
                <w:color w:val="auto"/>
              </w:rPr>
              <w:t>Anti-PD-1</w:t>
            </w:r>
          </w:p>
        </w:tc>
        <w:tc>
          <w:tcPr>
            <w:tcW w:w="2380" w:type="dxa"/>
            <w:vAlign w:val="bottom"/>
            <w:gridSpan w:val="2"/>
          </w:tcPr>
          <w:p>
            <w:pPr>
              <w:jc w:val="center"/>
              <w:ind w:right="45"/>
              <w:spacing w:after="0"/>
              <w:rPr>
                <w:sz w:val="20"/>
                <w:szCs w:val="20"/>
                <w:color w:val="auto"/>
              </w:rPr>
            </w:pPr>
            <w:r>
              <w:rPr>
                <w:rFonts w:ascii="Arial" w:cs="Arial" w:eastAsia="Arial" w:hAnsi="Arial"/>
                <w:sz w:val="14"/>
                <w:szCs w:val="14"/>
                <w:b w:val="1"/>
                <w:bCs w:val="1"/>
                <w:color w:val="auto"/>
              </w:rPr>
              <w:t>Anti-TIM-3</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w w:val="95"/>
              </w:rPr>
              <w:t>(TSR042)</w:t>
            </w: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45"/>
              <w:spacing w:after="0"/>
              <w:rPr>
                <w:sz w:val="20"/>
                <w:szCs w:val="20"/>
                <w:color w:val="auto"/>
              </w:rPr>
            </w:pPr>
            <w:r>
              <w:rPr>
                <w:rFonts w:ascii="Arial" w:cs="Arial" w:eastAsia="Arial" w:hAnsi="Arial"/>
                <w:sz w:val="14"/>
                <w:szCs w:val="14"/>
                <w:b w:val="1"/>
                <w:bCs w:val="1"/>
                <w:color w:val="auto"/>
                <w:w w:val="95"/>
              </w:rPr>
              <w:t>(TSR022)</w:t>
            </w: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5"/>
              <w:spacing w:after="0"/>
              <w:rPr>
                <w:sz w:val="20"/>
                <w:szCs w:val="20"/>
                <w:color w:val="auto"/>
              </w:rPr>
            </w:pPr>
            <w:r>
              <w:rPr>
                <w:rFonts w:ascii="Arial" w:cs="Arial" w:eastAsia="Arial" w:hAnsi="Arial"/>
                <w:sz w:val="14"/>
                <w:szCs w:val="14"/>
                <w:b w:val="1"/>
                <w:bCs w:val="1"/>
                <w:color w:val="auto"/>
                <w:w w:val="98"/>
              </w:rPr>
              <w:t>(TSR033)</w:t>
            </w:r>
          </w:p>
        </w:tc>
        <w:tc>
          <w:tcPr>
            <w:tcW w:w="0" w:type="dxa"/>
            <w:vAlign w:val="bottom"/>
          </w:tcPr>
          <w:p>
            <w:pPr>
              <w:spacing w:after="0"/>
              <w:rPr>
                <w:sz w:val="1"/>
                <w:szCs w:val="1"/>
                <w:color w:val="auto"/>
              </w:rPr>
            </w:pPr>
          </w:p>
        </w:tc>
      </w:tr>
      <w:tr>
        <w:trPr>
          <w:trHeight w:val="152"/>
        </w:trPr>
        <w:tc>
          <w:tcPr>
            <w:tcW w:w="4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Milestone Event</w:t>
            </w:r>
          </w:p>
        </w:tc>
        <w:tc>
          <w:tcPr>
            <w:tcW w:w="92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Amount</w:t>
            </w:r>
          </w:p>
        </w:tc>
        <w:tc>
          <w:tcPr>
            <w:tcW w:w="156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rPr>
              <w:t>Quarter</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Pr>
          <w:p>
            <w:pPr>
              <w:jc w:val="center"/>
              <w:ind w:left="125"/>
              <w:spacing w:after="0" w:line="153" w:lineRule="exact"/>
              <w:rPr>
                <w:sz w:val="20"/>
                <w:szCs w:val="20"/>
                <w:color w:val="auto"/>
              </w:rPr>
            </w:pPr>
            <w:r>
              <w:rPr>
                <w:rFonts w:ascii="Arial" w:cs="Arial" w:eastAsia="Arial" w:hAnsi="Arial"/>
                <w:sz w:val="14"/>
                <w:szCs w:val="14"/>
                <w:b w:val="1"/>
                <w:bCs w:val="1"/>
                <w:color w:val="auto"/>
                <w:w w:val="98"/>
              </w:rPr>
              <w:t>Quarter</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tcPr>
          <w:p>
            <w:pPr>
              <w:jc w:val="center"/>
              <w:ind w:left="225"/>
              <w:spacing w:after="0" w:line="153"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4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56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Recognized</w:t>
            </w:r>
          </w:p>
        </w:tc>
        <w:tc>
          <w:tcPr>
            <w:tcW w:w="840" w:type="dxa"/>
            <w:vAlign w:val="bottom"/>
            <w:vMerge w:val="continue"/>
          </w:tcPr>
          <w:p>
            <w:pPr>
              <w:spacing w:after="0"/>
              <w:rPr>
                <w:sz w:val="16"/>
                <w:szCs w:val="16"/>
                <w:color w:val="auto"/>
              </w:rPr>
            </w:pPr>
          </w:p>
        </w:tc>
        <w:tc>
          <w:tcPr>
            <w:tcW w:w="1540" w:type="dxa"/>
            <w:vAlign w:val="bottom"/>
          </w:tcPr>
          <w:p>
            <w:pPr>
              <w:jc w:val="center"/>
              <w:ind w:left="125"/>
              <w:spacing w:after="0"/>
              <w:rPr>
                <w:sz w:val="20"/>
                <w:szCs w:val="20"/>
                <w:color w:val="auto"/>
              </w:rPr>
            </w:pPr>
            <w:r>
              <w:rPr>
                <w:rFonts w:ascii="Arial" w:cs="Arial" w:eastAsia="Arial" w:hAnsi="Arial"/>
                <w:sz w:val="14"/>
                <w:szCs w:val="14"/>
                <w:b w:val="1"/>
                <w:bCs w:val="1"/>
                <w:color w:val="auto"/>
                <w:w w:val="89"/>
              </w:rPr>
              <w:t>Recognized</w:t>
            </w:r>
          </w:p>
        </w:tc>
        <w:tc>
          <w:tcPr>
            <w:tcW w:w="840" w:type="dxa"/>
            <w:vAlign w:val="bottom"/>
            <w:vMerge w:val="continue"/>
          </w:tcPr>
          <w:p>
            <w:pPr>
              <w:spacing w:after="0"/>
              <w:rPr>
                <w:sz w:val="16"/>
                <w:szCs w:val="16"/>
                <w:color w:val="auto"/>
              </w:rPr>
            </w:pPr>
          </w:p>
        </w:tc>
        <w:tc>
          <w:tcPr>
            <w:tcW w:w="1440" w:type="dxa"/>
            <w:vAlign w:val="bottom"/>
          </w:tcPr>
          <w:p>
            <w:pPr>
              <w:jc w:val="center"/>
              <w:ind w:left="225"/>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379"/>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9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(GLPs)</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7"/>
              </w:rPr>
              <w:t>$1.0M</w:t>
            </w:r>
          </w:p>
        </w:tc>
        <w:tc>
          <w:tcPr>
            <w:tcW w:w="156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7"/>
              </w:rPr>
              <w:t>Q2'15</w:t>
            </w:r>
          </w:p>
        </w:tc>
        <w:tc>
          <w:tcPr>
            <w:tcW w:w="840" w:type="dxa"/>
            <w:vAlign w:val="bottom"/>
            <w:shd w:val="clear" w:color="auto" w:fill="CCEEFF"/>
          </w:tcPr>
          <w:p>
            <w:pPr>
              <w:jc w:val="center"/>
              <w:ind w:left="265"/>
              <w:spacing w:after="0"/>
              <w:rPr>
                <w:sz w:val="20"/>
                <w:szCs w:val="20"/>
                <w:color w:val="auto"/>
              </w:rPr>
            </w:pPr>
            <w:r>
              <w:rPr>
                <w:rFonts w:ascii="Arial" w:cs="Arial" w:eastAsia="Arial" w:hAnsi="Arial"/>
                <w:sz w:val="14"/>
                <w:szCs w:val="14"/>
                <w:color w:val="auto"/>
                <w:w w:val="97"/>
              </w:rPr>
              <w:t>$1.0M</w:t>
            </w:r>
          </w:p>
        </w:tc>
        <w:tc>
          <w:tcPr>
            <w:tcW w:w="1540" w:type="dxa"/>
            <w:vAlign w:val="bottom"/>
            <w:shd w:val="clear" w:color="auto" w:fill="CCEEFF"/>
          </w:tcPr>
          <w:p>
            <w:pPr>
              <w:jc w:val="center"/>
              <w:ind w:left="125"/>
              <w:spacing w:after="0"/>
              <w:rPr>
                <w:sz w:val="20"/>
                <w:szCs w:val="20"/>
                <w:color w:val="auto"/>
              </w:rPr>
            </w:pPr>
            <w:r>
              <w:rPr>
                <w:rFonts w:ascii="Arial" w:cs="Arial" w:eastAsia="Arial" w:hAnsi="Arial"/>
                <w:sz w:val="14"/>
                <w:szCs w:val="14"/>
                <w:color w:val="auto"/>
                <w:w w:val="91"/>
              </w:rPr>
              <w:t>Q4'15</w:t>
            </w:r>
          </w:p>
        </w:tc>
        <w:tc>
          <w:tcPr>
            <w:tcW w:w="840" w:type="dxa"/>
            <w:vAlign w:val="bottom"/>
            <w:shd w:val="clear" w:color="auto" w:fill="CCEEFF"/>
          </w:tcPr>
          <w:p>
            <w:pPr>
              <w:jc w:val="center"/>
              <w:ind w:left="225"/>
              <w:spacing w:after="0"/>
              <w:rPr>
                <w:sz w:val="20"/>
                <w:szCs w:val="20"/>
                <w:color w:val="auto"/>
              </w:rPr>
            </w:pPr>
            <w:r>
              <w:rPr>
                <w:rFonts w:ascii="Arial" w:cs="Arial" w:eastAsia="Arial" w:hAnsi="Arial"/>
                <w:sz w:val="14"/>
                <w:szCs w:val="14"/>
                <w:color w:val="auto"/>
                <w:w w:val="97"/>
              </w:rPr>
              <w:t>$1.0M</w:t>
            </w:r>
          </w:p>
        </w:tc>
        <w:tc>
          <w:tcPr>
            <w:tcW w:w="1440" w:type="dxa"/>
            <w:vAlign w:val="bottom"/>
            <w:shd w:val="clear" w:color="auto" w:fill="CCEEFF"/>
          </w:tcPr>
          <w:p>
            <w:pPr>
              <w:jc w:val="center"/>
              <w:ind w:left="225"/>
              <w:spacing w:after="0"/>
              <w:rPr>
                <w:sz w:val="20"/>
                <w:szCs w:val="20"/>
                <w:color w:val="auto"/>
              </w:rPr>
            </w:pPr>
            <w:r>
              <w:rPr>
                <w:rFonts w:ascii="Arial" w:cs="Arial" w:eastAsia="Arial" w:hAnsi="Arial"/>
                <w:sz w:val="14"/>
                <w:szCs w:val="14"/>
                <w:color w:val="auto"/>
                <w:w w:val="91"/>
              </w:rPr>
              <w:t>Q3'16</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IND clearance from the FDA</w:t>
            </w:r>
          </w:p>
        </w:tc>
        <w:tc>
          <w:tcPr>
            <w:tcW w:w="920" w:type="dxa"/>
            <w:vAlign w:val="bottom"/>
          </w:tcPr>
          <w:p>
            <w:pPr>
              <w:jc w:val="center"/>
              <w:ind w:left="308"/>
              <w:spacing w:after="0"/>
              <w:rPr>
                <w:sz w:val="20"/>
                <w:szCs w:val="20"/>
                <w:color w:val="auto"/>
              </w:rPr>
            </w:pPr>
            <w:r>
              <w:rPr>
                <w:rFonts w:ascii="Arial" w:cs="Arial" w:eastAsia="Arial" w:hAnsi="Arial"/>
                <w:sz w:val="14"/>
                <w:szCs w:val="14"/>
                <w:color w:val="auto"/>
                <w:w w:val="97"/>
              </w:rPr>
              <w:t>$4.0M</w:t>
            </w:r>
          </w:p>
        </w:tc>
        <w:tc>
          <w:tcPr>
            <w:tcW w:w="1560" w:type="dxa"/>
            <w:vAlign w:val="bottom"/>
          </w:tcPr>
          <w:p>
            <w:pPr>
              <w:jc w:val="center"/>
              <w:ind w:left="128"/>
              <w:spacing w:after="0"/>
              <w:rPr>
                <w:sz w:val="20"/>
                <w:szCs w:val="20"/>
                <w:color w:val="auto"/>
              </w:rPr>
            </w:pPr>
            <w:r>
              <w:rPr>
                <w:rFonts w:ascii="Arial" w:cs="Arial" w:eastAsia="Arial" w:hAnsi="Arial"/>
                <w:sz w:val="14"/>
                <w:szCs w:val="14"/>
                <w:color w:val="auto"/>
                <w:w w:val="97"/>
              </w:rPr>
              <w:t>Q1'16</w:t>
            </w:r>
          </w:p>
        </w:tc>
        <w:tc>
          <w:tcPr>
            <w:tcW w:w="840" w:type="dxa"/>
            <w:vAlign w:val="bottom"/>
          </w:tcPr>
          <w:p>
            <w:pPr>
              <w:jc w:val="center"/>
              <w:ind w:left="265"/>
              <w:spacing w:after="0"/>
              <w:rPr>
                <w:sz w:val="20"/>
                <w:szCs w:val="20"/>
                <w:color w:val="auto"/>
              </w:rPr>
            </w:pPr>
            <w:r>
              <w:rPr>
                <w:rFonts w:ascii="Arial" w:cs="Arial" w:eastAsia="Arial" w:hAnsi="Arial"/>
                <w:sz w:val="14"/>
                <w:szCs w:val="14"/>
                <w:color w:val="auto"/>
                <w:w w:val="97"/>
              </w:rPr>
              <w:t>$4.0M</w:t>
            </w:r>
          </w:p>
        </w:tc>
        <w:tc>
          <w:tcPr>
            <w:tcW w:w="1540" w:type="dxa"/>
            <w:vAlign w:val="bottom"/>
          </w:tcPr>
          <w:p>
            <w:pPr>
              <w:jc w:val="center"/>
              <w:ind w:left="125"/>
              <w:spacing w:after="0"/>
              <w:rPr>
                <w:sz w:val="20"/>
                <w:szCs w:val="20"/>
                <w:color w:val="auto"/>
              </w:rPr>
            </w:pPr>
            <w:r>
              <w:rPr>
                <w:rFonts w:ascii="Arial" w:cs="Arial" w:eastAsia="Arial" w:hAnsi="Arial"/>
                <w:sz w:val="14"/>
                <w:szCs w:val="14"/>
                <w:color w:val="auto"/>
                <w:w w:val="91"/>
              </w:rPr>
              <w:t>Q2'16</w:t>
            </w:r>
          </w:p>
        </w:tc>
        <w:tc>
          <w:tcPr>
            <w:tcW w:w="840" w:type="dxa"/>
            <w:vAlign w:val="bottom"/>
          </w:tcPr>
          <w:p>
            <w:pPr>
              <w:jc w:val="center"/>
              <w:ind w:left="225"/>
              <w:spacing w:after="0"/>
              <w:rPr>
                <w:sz w:val="20"/>
                <w:szCs w:val="20"/>
                <w:color w:val="auto"/>
              </w:rPr>
            </w:pPr>
            <w:r>
              <w:rPr>
                <w:rFonts w:ascii="Arial" w:cs="Arial" w:eastAsia="Arial" w:hAnsi="Arial"/>
                <w:sz w:val="14"/>
                <w:szCs w:val="14"/>
                <w:color w:val="auto"/>
                <w:w w:val="97"/>
              </w:rPr>
              <w:t>$4.0M</w:t>
            </w:r>
          </w:p>
        </w:tc>
        <w:tc>
          <w:tcPr>
            <w:tcW w:w="1440" w:type="dxa"/>
            <w:vAlign w:val="bottom"/>
          </w:tcPr>
          <w:p>
            <w:pPr>
              <w:jc w:val="center"/>
              <w:ind w:left="225"/>
              <w:spacing w:after="0"/>
              <w:rPr>
                <w:sz w:val="20"/>
                <w:szCs w:val="20"/>
                <w:color w:val="auto"/>
              </w:rPr>
            </w:pPr>
            <w:r>
              <w:rPr>
                <w:rFonts w:ascii="Arial" w:cs="Arial" w:eastAsia="Arial" w:hAnsi="Arial"/>
                <w:sz w:val="14"/>
                <w:szCs w:val="14"/>
                <w:color w:val="auto"/>
                <w:w w:val="91"/>
              </w:rPr>
              <w:t>Q2'17</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Phase 2 clinical trial initiation</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7"/>
              </w:rPr>
              <w:t>$3.0M</w:t>
            </w:r>
          </w:p>
        </w:tc>
        <w:tc>
          <w:tcPr>
            <w:tcW w:w="156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7"/>
              </w:rPr>
              <w:t>Q2'17</w:t>
            </w:r>
          </w:p>
        </w:tc>
        <w:tc>
          <w:tcPr>
            <w:tcW w:w="840" w:type="dxa"/>
            <w:vAlign w:val="bottom"/>
            <w:shd w:val="clear" w:color="auto" w:fill="CCEEFF"/>
          </w:tcPr>
          <w:p>
            <w:pPr>
              <w:jc w:val="center"/>
              <w:ind w:left="265"/>
              <w:spacing w:after="0"/>
              <w:rPr>
                <w:sz w:val="20"/>
                <w:szCs w:val="20"/>
                <w:color w:val="auto"/>
              </w:rPr>
            </w:pPr>
            <w:r>
              <w:rPr>
                <w:rFonts w:ascii="Arial" w:cs="Arial" w:eastAsia="Arial" w:hAnsi="Arial"/>
                <w:sz w:val="14"/>
                <w:szCs w:val="14"/>
                <w:color w:val="auto"/>
                <w:w w:val="97"/>
              </w:rPr>
              <w:t>$3.0M</w:t>
            </w:r>
          </w:p>
        </w:tc>
        <w:tc>
          <w:tcPr>
            <w:tcW w:w="1540" w:type="dxa"/>
            <w:vAlign w:val="bottom"/>
            <w:shd w:val="clear" w:color="auto" w:fill="CCEEFF"/>
          </w:tcPr>
          <w:p>
            <w:pPr>
              <w:jc w:val="center"/>
              <w:ind w:left="125"/>
              <w:spacing w:after="0"/>
              <w:rPr>
                <w:sz w:val="20"/>
                <w:szCs w:val="20"/>
                <w:color w:val="auto"/>
              </w:rPr>
            </w:pPr>
            <w:r>
              <w:rPr>
                <w:rFonts w:ascii="Arial" w:cs="Arial" w:eastAsia="Arial" w:hAnsi="Arial"/>
                <w:sz w:val="14"/>
                <w:szCs w:val="14"/>
                <w:color w:val="auto"/>
                <w:w w:val="91"/>
              </w:rPr>
              <w:t>Q4'17</w:t>
            </w:r>
          </w:p>
        </w:tc>
        <w:tc>
          <w:tcPr>
            <w:tcW w:w="840" w:type="dxa"/>
            <w:vAlign w:val="bottom"/>
            <w:shd w:val="clear" w:color="auto" w:fill="CCEEFF"/>
          </w:tcPr>
          <w:p>
            <w:pPr>
              <w:jc w:val="center"/>
              <w:ind w:left="245"/>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ind w:left="225"/>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8"/>
        </w:trPr>
        <w:tc>
          <w:tcPr>
            <w:tcW w:w="4280" w:type="dxa"/>
            <w:vAlign w:val="bottom"/>
          </w:tcPr>
          <w:p>
            <w:pPr>
              <w:ind w:left="40"/>
              <w:spacing w:after="0"/>
              <w:rPr>
                <w:sz w:val="20"/>
                <w:szCs w:val="20"/>
                <w:color w:val="auto"/>
              </w:rPr>
            </w:pPr>
            <w:r>
              <w:rPr>
                <w:rFonts w:ascii="Arial" w:cs="Arial" w:eastAsia="Arial" w:hAnsi="Arial"/>
                <w:sz w:val="14"/>
                <w:szCs w:val="14"/>
                <w:color w:val="auto"/>
              </w:rPr>
              <w:t>Phase 3 clinical trial initiation</w:t>
            </w:r>
          </w:p>
        </w:tc>
        <w:tc>
          <w:tcPr>
            <w:tcW w:w="920" w:type="dxa"/>
            <w:vAlign w:val="bottom"/>
          </w:tcPr>
          <w:p>
            <w:pPr>
              <w:jc w:val="center"/>
              <w:ind w:left="308"/>
              <w:spacing w:after="0"/>
              <w:rPr>
                <w:sz w:val="20"/>
                <w:szCs w:val="20"/>
                <w:color w:val="auto"/>
              </w:rPr>
            </w:pPr>
            <w:r>
              <w:rPr>
                <w:rFonts w:ascii="Arial" w:cs="Arial" w:eastAsia="Arial" w:hAnsi="Arial"/>
                <w:sz w:val="14"/>
                <w:szCs w:val="14"/>
                <w:color w:val="auto"/>
                <w:w w:val="97"/>
              </w:rPr>
              <w:t>$5.0M</w:t>
            </w:r>
          </w:p>
        </w:tc>
        <w:tc>
          <w:tcPr>
            <w:tcW w:w="1560" w:type="dxa"/>
            <w:vAlign w:val="bottom"/>
          </w:tcPr>
          <w:p>
            <w:pPr>
              <w:jc w:val="center"/>
              <w:ind w:left="128"/>
              <w:spacing w:after="0"/>
              <w:rPr>
                <w:sz w:val="20"/>
                <w:szCs w:val="20"/>
                <w:color w:val="auto"/>
              </w:rPr>
            </w:pPr>
            <w:r>
              <w:rPr>
                <w:rFonts w:ascii="Arial" w:cs="Arial" w:eastAsia="Arial" w:hAnsi="Arial"/>
                <w:sz w:val="14"/>
                <w:szCs w:val="14"/>
                <w:color w:val="auto"/>
                <w:w w:val="97"/>
              </w:rPr>
              <w:t>Q3'18</w:t>
            </w:r>
          </w:p>
        </w:tc>
        <w:tc>
          <w:tcPr>
            <w:tcW w:w="840" w:type="dxa"/>
            <w:vAlign w:val="bottom"/>
          </w:tcPr>
          <w:p>
            <w:pPr>
              <w:jc w:val="center"/>
              <w:ind w:left="265"/>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125"/>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225"/>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22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were recognized upon determination that a significant reversal of revenue would not be probable. Cash is generally received within 30 days of milestone achievement.</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December 3, 2018, GlaxoSmithKline plc announced an agreement to acquire TESARO. This acquisition closed on January 22, 2019.</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80" w:firstLine="567"/>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60" w:firstLine="567"/>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December 31, 2018, we have recognized $10.0 million in total revenue from Celgene.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20" w:type="dxa"/>
            <w:vAlign w:val="bottom"/>
          </w:tcPr>
          <w:p>
            <w:pPr>
              <w:jc w:val="center"/>
              <w:ind w:right="848"/>
              <w:spacing w:after="0"/>
              <w:rPr>
                <w:sz w:val="20"/>
                <w:szCs w:val="20"/>
                <w:color w:val="auto"/>
              </w:rPr>
            </w:pPr>
            <w:r>
              <w:rPr>
                <w:rFonts w:ascii="Arial" w:cs="Arial" w:eastAsia="Arial" w:hAnsi="Arial"/>
                <w:sz w:val="14"/>
                <w:szCs w:val="14"/>
                <w:b w:val="1"/>
                <w:bCs w:val="1"/>
                <w:color w:val="auto"/>
                <w:w w:val="97"/>
              </w:rPr>
              <w:t>Anti-PD-1</w:t>
            </w:r>
          </w:p>
        </w:tc>
        <w:tc>
          <w:tcPr>
            <w:tcW w:w="0" w:type="dxa"/>
            <w:vAlign w:val="bottom"/>
          </w:tcPr>
          <w:p>
            <w:pPr>
              <w:spacing w:after="0"/>
              <w:rPr>
                <w:sz w:val="1"/>
                <w:szCs w:val="1"/>
                <w:color w:val="auto"/>
              </w:rPr>
            </w:pPr>
          </w:p>
        </w:tc>
      </w:tr>
      <w:tr>
        <w:trPr>
          <w:trHeight w:val="192"/>
        </w:trPr>
        <w:tc>
          <w:tcPr>
            <w:tcW w:w="63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52"/>
        </w:trPr>
        <w:tc>
          <w:tcPr>
            <w:tcW w:w="6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Milestone Event</w:t>
            </w:r>
          </w:p>
        </w:tc>
        <w:tc>
          <w:tcPr>
            <w:tcW w:w="3480" w:type="dxa"/>
            <w:vAlign w:val="bottom"/>
            <w:vMerge w:val="restart"/>
          </w:tcPr>
          <w:p>
            <w:pPr>
              <w:jc w:val="center"/>
              <w:ind w:left="2908"/>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2"/>
        </w:trPr>
        <w:tc>
          <w:tcPr>
            <w:tcW w:w="6320" w:type="dxa"/>
            <w:vAlign w:val="bottom"/>
            <w:vMerge w:val="continue"/>
          </w:tcPr>
          <w:p>
            <w:pPr>
              <w:spacing w:after="0"/>
              <w:rPr>
                <w:sz w:val="16"/>
                <w:szCs w:val="16"/>
                <w:color w:val="auto"/>
              </w:rPr>
            </w:pPr>
          </w:p>
        </w:tc>
        <w:tc>
          <w:tcPr>
            <w:tcW w:w="3480" w:type="dxa"/>
            <w:vAlign w:val="bottom"/>
            <w:vMerge w:val="continue"/>
          </w:tcPr>
          <w:p>
            <w:pPr>
              <w:spacing w:after="0"/>
              <w:rPr>
                <w:sz w:val="16"/>
                <w:szCs w:val="16"/>
                <w:color w:val="auto"/>
              </w:rPr>
            </w:pPr>
          </w:p>
        </w:tc>
        <w:tc>
          <w:tcPr>
            <w:tcW w:w="162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425"/>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480" w:type="dxa"/>
            <w:vAlign w:val="bottom"/>
            <w:shd w:val="clear" w:color="auto" w:fill="CCEEFF"/>
          </w:tcPr>
          <w:p>
            <w:pPr>
              <w:jc w:val="center"/>
              <w:ind w:left="2908"/>
              <w:spacing w:after="0"/>
              <w:rPr>
                <w:sz w:val="20"/>
                <w:szCs w:val="20"/>
                <w:color w:val="auto"/>
              </w:rPr>
            </w:pPr>
            <w:r>
              <w:rPr>
                <w:rFonts w:ascii="Arial" w:cs="Arial" w:eastAsia="Arial" w:hAnsi="Arial"/>
                <w:sz w:val="14"/>
                <w:szCs w:val="14"/>
                <w:color w:val="auto"/>
                <w:w w:val="97"/>
              </w:rPr>
              <w:t>$0.5M</w:t>
            </w:r>
          </w:p>
        </w:tc>
        <w:tc>
          <w:tcPr>
            <w:tcW w:w="16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7"/>
              </w:rPr>
              <w:t>Q2'16</w:t>
            </w:r>
          </w:p>
        </w:tc>
        <w:tc>
          <w:tcPr>
            <w:tcW w:w="0" w:type="dxa"/>
            <w:vAlign w:val="bottom"/>
          </w:tcPr>
          <w:p>
            <w:pPr>
              <w:spacing w:after="0"/>
              <w:rPr>
                <w:sz w:val="1"/>
                <w:szCs w:val="1"/>
                <w:color w:val="auto"/>
              </w:rPr>
            </w:pPr>
          </w:p>
        </w:tc>
      </w:tr>
      <w:tr>
        <w:trPr>
          <w:trHeight w:val="191"/>
        </w:trPr>
        <w:tc>
          <w:tcPr>
            <w:tcW w:w="6320" w:type="dxa"/>
            <w:vAlign w:val="bottom"/>
          </w:tcPr>
          <w:p>
            <w:pPr>
              <w:ind w:left="40"/>
              <w:spacing w:after="0"/>
              <w:rPr>
                <w:sz w:val="20"/>
                <w:szCs w:val="20"/>
                <w:color w:val="auto"/>
              </w:rPr>
            </w:pPr>
            <w:r>
              <w:rPr>
                <w:rFonts w:ascii="Arial" w:cs="Arial" w:eastAsia="Arial" w:hAnsi="Arial"/>
                <w:sz w:val="14"/>
                <w:szCs w:val="14"/>
                <w:color w:val="auto"/>
              </w:rPr>
              <w:t>Phase 1 clinical trial initiation</w:t>
            </w:r>
          </w:p>
        </w:tc>
        <w:tc>
          <w:tcPr>
            <w:tcW w:w="3480" w:type="dxa"/>
            <w:vAlign w:val="bottom"/>
          </w:tcPr>
          <w:p>
            <w:pPr>
              <w:jc w:val="center"/>
              <w:ind w:left="2908"/>
              <w:spacing w:after="0"/>
              <w:rPr>
                <w:sz w:val="20"/>
                <w:szCs w:val="20"/>
                <w:color w:val="auto"/>
              </w:rPr>
            </w:pPr>
            <w:r>
              <w:rPr>
                <w:rFonts w:ascii="Arial" w:cs="Arial" w:eastAsia="Arial" w:hAnsi="Arial"/>
                <w:sz w:val="14"/>
                <w:szCs w:val="14"/>
                <w:color w:val="auto"/>
                <w:w w:val="97"/>
              </w:rPr>
              <w:t>$1.0M</w:t>
            </w:r>
          </w:p>
        </w:tc>
        <w:tc>
          <w:tcPr>
            <w:tcW w:w="1620" w:type="dxa"/>
            <w:vAlign w:val="bottom"/>
          </w:tcPr>
          <w:p>
            <w:pPr>
              <w:jc w:val="center"/>
              <w:ind w:left="308"/>
              <w:spacing w:after="0"/>
              <w:rPr>
                <w:sz w:val="20"/>
                <w:szCs w:val="20"/>
                <w:color w:val="auto"/>
              </w:rPr>
            </w:pPr>
            <w:r>
              <w:rPr>
                <w:rFonts w:ascii="Arial" w:cs="Arial" w:eastAsia="Arial" w:hAnsi="Arial"/>
                <w:sz w:val="14"/>
                <w:szCs w:val="14"/>
                <w:color w:val="auto"/>
                <w:w w:val="97"/>
              </w:rPr>
              <w:t>Q4'16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Milestones were recognized as revenue in the period earned. There was no revenue recognized under this agreement during the years ended December 31, 2018 or 2017.</w:t>
      </w:r>
    </w:p>
    <w:p>
      <w:pPr>
        <w:spacing w:after="0" w:line="170"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On January 3, 2019, Bristol-Myers Squibb Co. announced an agreement to acquire Celgene Corp. This acquisition is expected to close in the third quarter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660" w:right="320" w:hanging="314"/>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8" w:lineRule="exact"/>
        <w:rPr>
          <w:rFonts w:ascii="Arial" w:cs="Arial" w:eastAsia="Arial" w:hAnsi="Arial"/>
          <w:sz w:val="17"/>
          <w:szCs w:val="17"/>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660" w:right="60" w:hanging="314"/>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34" w:right="239" w:bottom="1440" w:gutter="0" w:footer="0" w:header="0"/>
        </w:sectPr>
      </w:pPr>
    </w:p>
    <w:bookmarkStart w:id="68" w:name="page69"/>
    <w:bookmarkEnd w:id="68"/>
    <w:p>
      <w:pPr>
        <w:ind w:right="100" w:firstLine="567"/>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147"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and pharmacology studies, drug product manufacturing and clinical trials.</w:t>
      </w:r>
    </w:p>
    <w:p>
      <w:pPr>
        <w:spacing w:after="0" w:line="171" w:lineRule="exact"/>
        <w:rPr>
          <w:sz w:val="20"/>
          <w:szCs w:val="20"/>
          <w:color w:val="auto"/>
        </w:rPr>
      </w:pPr>
    </w:p>
    <w:p>
      <w:pPr>
        <w:ind w:right="480" w:firstLine="446"/>
        <w:spacing w:after="0" w:line="342" w:lineRule="auto"/>
        <w:rPr>
          <w:sz w:val="20"/>
          <w:szCs w:val="20"/>
          <w:color w:val="auto"/>
        </w:rPr>
      </w:pPr>
      <w:r>
        <w:rPr>
          <w:rFonts w:ascii="Arial" w:cs="Arial" w:eastAsia="Arial" w:hAnsi="Arial"/>
          <w:sz w:val="16"/>
          <w:szCs w:val="16"/>
          <w:color w:val="auto"/>
        </w:rPr>
        <w:t>We have completed Phase 1 and 2a trials for etokimab and Phase 1 trials for ANB019 and have ongoing Phase 2 and 2b clinical trials as well</w:t>
      </w:r>
      <w:r>
        <w:rPr>
          <w:rFonts w:ascii="Arial" w:cs="Arial" w:eastAsia="Arial" w:hAnsi="Arial"/>
          <w:sz w:val="16"/>
          <w:szCs w:val="16"/>
          <w:color w:val="231F20"/>
        </w:rPr>
        <w:t>. W</w:t>
      </w:r>
      <w:r>
        <w:rPr>
          <w:rFonts w:ascii="Arial" w:cs="Arial" w:eastAsia="Arial" w:hAnsi="Arial"/>
          <w:sz w:val="16"/>
          <w:szCs w:val="16"/>
          <w:color w:val="auto"/>
        </w:rPr>
        <w:t>e expect our research and development expenses to be higher for the foreseeable future as we continue to advance our product candidates.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ind w:right="60" w:firstLine="567"/>
        <w:spacing w:after="0" w:line="286" w:lineRule="auto"/>
        <w:rPr>
          <w:sz w:val="20"/>
          <w:szCs w:val="20"/>
          <w:color w:val="auto"/>
        </w:rPr>
      </w:pPr>
      <w:r>
        <w:rPr>
          <w:rFonts w:ascii="Arial" w:cs="Arial" w:eastAsia="Arial" w:hAnsi="Arial"/>
          <w:sz w:val="17"/>
          <w:szCs w:val="17"/>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560" w:firstLine="567"/>
        <w:spacing w:after="0" w:line="308" w:lineRule="auto"/>
        <w:rPr>
          <w:sz w:val="20"/>
          <w:szCs w:val="20"/>
          <w:color w:val="auto"/>
        </w:rPr>
      </w:pPr>
      <w:r>
        <w:rPr>
          <w:rFonts w:ascii="Arial" w:cs="Arial" w:eastAsia="Arial" w:hAnsi="Arial"/>
          <w:sz w:val="17"/>
          <w:szCs w:val="17"/>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Liability for Preferred Stock Warrants</w:t>
      </w:r>
    </w:p>
    <w:p>
      <w:pPr>
        <w:spacing w:after="0" w:line="121"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Income and expense from the change in fair value of our liability for preferred stock warrants results from the valuation of our outstanding warrants to purchase shares of our preferred stock, which are valued at each period end. Upon the closing of our initial public offering on January 31, 2017, the warrants to purchase shares of preferred stock converted into warrants to purchase shares of common stock, the preferred stock warrant liabilities were reclassified to additional paid-in capital and periodic fair value adjustments are no longer required. All warrants were exercised as of December 31,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jc w:val="both"/>
        <w:ind w:right="100" w:firstLine="567"/>
        <w:spacing w:after="0" w:line="259" w:lineRule="auto"/>
        <w:rPr>
          <w:sz w:val="20"/>
          <w:szCs w:val="20"/>
          <w:color w:val="auto"/>
        </w:rPr>
      </w:pPr>
      <w:r>
        <w:rPr>
          <w:rFonts w:ascii="Arial" w:cs="Arial" w:eastAsia="Arial" w:hAnsi="Arial"/>
          <w:sz w:val="18"/>
          <w:szCs w:val="18"/>
          <w:color w:val="auto"/>
        </w:rPr>
        <w:t>Since inception, we have accumulated net operating losses, or NOLs in all years except December 31, 2015 and 2014, in which we generated taxable income as a result of our collaboration agreement with TESARO as well as expenses incurred by our Australian subsidiary which are not deductible for U.S. income tax purposes. While we utilized NOLs in 2015 and 2014, we have since incurred losses and therefore continue to have a valuation allowance against our net deferred tax assets due to the uncertainty of the realization of such assets.</w:t>
      </w:r>
    </w:p>
    <w:p>
      <w:pPr>
        <w:spacing w:after="0" w:line="187"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At December 31, 2018, we had federal and state NOL carryforwards of $145.3 million and $59.1 million, respectively. The federal and state NOLs will both begin to expire in 2028, respectively, unless previously utilized. The federal NOL includes $85.2 million of net operating losses generated in 2018. Federal net operating losses generated in 2018 carryover indefinitely and may generally be used to offset up to 80% of future taxable income in the year it is utilized. At December 31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1" w:right="239" w:bottom="1440" w:gutter="0" w:footer="0" w:header="0"/>
        </w:sectPr>
      </w:pPr>
    </w:p>
    <w:bookmarkStart w:id="69" w:name="page70"/>
    <w:bookmarkEnd w:id="69"/>
    <w:p>
      <w:pPr>
        <w:ind w:right="720" w:firstLine="8"/>
        <w:spacing w:after="0" w:line="277" w:lineRule="auto"/>
        <w:tabs>
          <w:tab w:leader="none" w:pos="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2018, we had federal and California research tax credit carryforwards of $6.1 million and $5.9 million, respectively. The federal research tax credit carryforward will begin to expire in 2026 and the California state credits carry forward indefinitely.</w:t>
      </w:r>
    </w:p>
    <w:p>
      <w:pPr>
        <w:spacing w:after="0" w:line="170"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 Section 382 and 383 of the Code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one additional ownership changes during fiscal 2017 that may limit the utilization of Federal and State NOLs.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169"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changed U.S. tax law by, among other things, lowering the corporate income tax rates. The Tax Reform Act permanently reduces the U.S. corporate income tax rate from a maximum of 35% to a flat 21% rate and no longer allows deductions for compensation in excess of $1 million for certain employees, even if paid as commissions or performance-based compensation. 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We recognized provision tax impacts related to the revaluation of deferred tax assets and liabilities and included this amount in its consolidated financial statements for the year ended December 31, 2017. The accounting was completed upon filing of the 2017 U.S. corporate income tax return in 2018, and had no impact on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3"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 by 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800" w:right="259" w:bottom="1440" w:gutter="0" w:footer="0" w:header="0"/>
        </w:sectPr>
      </w:pPr>
    </w:p>
    <w:bookmarkStart w:id="70" w:name="page71"/>
    <w:bookmarkEnd w:id="70"/>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hanging="314"/>
        <w:spacing w:after="0" w:line="30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6" w:lineRule="exact"/>
        <w:rPr>
          <w:rFonts w:ascii="Arial" w:cs="Arial" w:eastAsia="Arial" w:hAnsi="Arial"/>
          <w:sz w:val="16"/>
          <w:szCs w:val="16"/>
          <w:color w:val="auto"/>
        </w:rPr>
      </w:pPr>
    </w:p>
    <w:p>
      <w:pPr>
        <w:ind w:left="660" w:right="220" w:hanging="314"/>
        <w:spacing w:after="0" w:line="25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0" w:lineRule="exact"/>
        <w:rPr>
          <w:rFonts w:ascii="Arial" w:cs="Arial" w:eastAsia="Arial" w:hAnsi="Arial"/>
          <w:sz w:val="18"/>
          <w:szCs w:val="18"/>
          <w:color w:val="auto"/>
        </w:rPr>
      </w:pPr>
    </w:p>
    <w:p>
      <w:pPr>
        <w:jc w:val="both"/>
        <w:ind w:left="660" w:right="120" w:hanging="314"/>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73"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3"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9"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ind w:right="200" w:firstLine="567"/>
        <w:spacing w:after="0" w:line="312"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692" w:right="279" w:bottom="1440" w:gutter="0" w:footer="0" w:header="0"/>
        </w:sectPr>
      </w:pPr>
    </w:p>
    <w:bookmarkStart w:id="71" w:name="page72"/>
    <w:bookmarkEnd w:id="71"/>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60" w:firstLine="446"/>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 Update (ASU) 2014-09, Revenue from Contracts with Customers,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became effective for our annual reporting period beginning January 1, 2018, including interim periods within that reporting period. Entities have the option of using either a full retrospective or a modified retrospective approach for the adoption of the new standard. We assessed all potential impacts of the standard, and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we have reviewed the TESARO and Celgene agreements and have determined that given the nature of potential milestones owed to us under these agreements, and the inherent risk involved in developing drugs, and have determined that these potential milestones were not recognizable as of the standard adoption date. Additionally, while we currently disaggregate our revenue disclosures by collaborative agreement, additional discussion surrounding significant estimates made by management was required in our disclosure and included in Note 4 below. We adopted this standard using the modified retrospective approach for our annual reporting period beginning January 1, 2018, and did not record any adjustments upon adoption of this standard.</w:t>
      </w:r>
    </w:p>
    <w:p>
      <w:pPr>
        <w:spacing w:after="0" w:line="175"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became effective for our annual reporting period beginning January 1, 2018, including interim periods within that reporting period; early adoption is permitted. We adopted this standard as of January 1, 2018 and there was no material impact on our consolidated financial statements. We did not record any adjustments upon adoption of this standard and have consistently applied our accounting policies to all periods presented in the consolidated financial statements.</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which provides further guidance as to what constitutes a modification to the terms of shared based compensation, in order to create consistency in practice amongst all entities. ASU 2017-09 became effective for annual reporting periods beginning after December 15, 2017, including interim periods thereafter; early adoption is permitted, including adoption in an interim period. We adopted this standard as of January 1, 2018, and the impact was not material on our consolidated financial statements. We did not record any adjustments upon adoption of this standard.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46"/>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requires that lessees recognize a right-of-use, or “ROU”, asset and a related lease liability on the balance sheet for all leases with a term longer than 12 months. Topic 842 was subsequently amended by ASU 2018-01, </w:t>
      </w:r>
      <w:r>
        <w:rPr>
          <w:rFonts w:ascii="Arial" w:cs="Arial" w:eastAsia="Arial" w:hAnsi="Arial"/>
          <w:sz w:val="16"/>
          <w:szCs w:val="16"/>
          <w:i w:val="1"/>
          <w:iCs w:val="1"/>
          <w:color w:val="auto"/>
        </w:rPr>
        <w:t>Land</w:t>
      </w:r>
      <w:r>
        <w:rPr>
          <w:rFonts w:ascii="Arial" w:cs="Arial" w:eastAsia="Arial" w:hAnsi="Arial"/>
          <w:sz w:val="16"/>
          <w:szCs w:val="16"/>
          <w:color w:val="auto"/>
        </w:rPr>
        <w:t xml:space="preserve"> </w:t>
      </w:r>
      <w:r>
        <w:rPr>
          <w:rFonts w:ascii="Arial" w:cs="Arial" w:eastAsia="Arial" w:hAnsi="Arial"/>
          <w:sz w:val="16"/>
          <w:szCs w:val="16"/>
          <w:i w:val="1"/>
          <w:iCs w:val="1"/>
          <w:color w:val="auto"/>
        </w:rPr>
        <w:t>Easement Practical Expedient for Transition to Topic 842</w:t>
      </w:r>
      <w:r>
        <w:rPr>
          <w:rFonts w:ascii="Arial" w:cs="Arial" w:eastAsia="Arial" w:hAnsi="Arial"/>
          <w:sz w:val="16"/>
          <w:szCs w:val="16"/>
          <w:color w:val="auto"/>
        </w:rPr>
        <w:t>; ASU 2018-10,</w:t>
      </w:r>
      <w:r>
        <w:rPr>
          <w:rFonts w:ascii="Arial" w:cs="Arial" w:eastAsia="Arial" w:hAnsi="Arial"/>
          <w:sz w:val="16"/>
          <w:szCs w:val="16"/>
          <w:i w:val="1"/>
          <w:iCs w:val="1"/>
          <w:color w:val="auto"/>
        </w:rPr>
        <w:t xml:space="preserve"> Codification Improvements to Topic 842, Leases</w:t>
      </w:r>
      <w:r>
        <w:rPr>
          <w:rFonts w:ascii="Arial" w:cs="Arial" w:eastAsia="Arial" w:hAnsi="Arial"/>
          <w:sz w:val="16"/>
          <w:szCs w:val="16"/>
          <w:color w:val="auto"/>
        </w:rPr>
        <w:t>; and ASU 2018-11,</w:t>
      </w:r>
      <w:r>
        <w:rPr>
          <w:rFonts w:ascii="Arial" w:cs="Arial" w:eastAsia="Arial" w:hAnsi="Arial"/>
          <w:sz w:val="16"/>
          <w:szCs w:val="16"/>
          <w:i w:val="1"/>
          <w:iCs w:val="1"/>
          <w:color w:val="auto"/>
        </w:rPr>
        <w:t xml:space="preserve"> Targeted Improvements</w:t>
      </w:r>
      <w:r>
        <w:rPr>
          <w:rFonts w:ascii="Arial" w:cs="Arial" w:eastAsia="Arial" w:hAnsi="Arial"/>
          <w:sz w:val="16"/>
          <w:szCs w:val="16"/>
          <w:color w:val="auto"/>
        </w:rPr>
        <w:t>. ASU 2016-02 becomes effective for our annual reporting period beginning January 1, 2019, including interim periods thereafter; early</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is permitted. A modified retrospective transition approach is required, applying the new standard to all leases existing at the date of initial application. An entity may choose to use either (i) its effective date or (ii) the beginning of the earliest comparative period presented in the financial statements as its date of initial application. We adopted the new standard on January 1, 2019 and used the effective date as our date of initial application. The new standard provides a number of optional practical expedients in transition, and we elected the ‘package of practical expedients’, which permits us not to reassess under the new standard our prior conclusions about lease identification, lease classification and initial direct costs. Adoption of the new standard resulted in the recording of operating lease ROU assets and lease liabilities of approximately $2.1 million and $2.3 million as of January 1, 2019, respectively related to our real estate leases. Adoption of this new standard will not have a material impact on our consolidated statements of operations or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color w:val="auto"/>
        </w:rPr>
        <w:t>Collaboration revenue was $5.0 million compared to $10.0 million for the years ended December 31, 2018 and 2017, respectively. A comparison of revenue by collaborator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6"/>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TESARO-milestones</w:t>
            </w: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Total collaboration revenue</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Collaboration revenue during the year ended December 31, 2018 decreased $5.0 million compared to the year ended December 31, 2017 primarily due to the timing of milestones achieved.</w:t>
      </w:r>
    </w:p>
    <w:p>
      <w:pPr>
        <w:spacing w:after="0" w:line="116" w:lineRule="exact"/>
        <w:rPr>
          <w:sz w:val="20"/>
          <w:szCs w:val="20"/>
          <w:color w:val="auto"/>
        </w:rPr>
      </w:pPr>
    </w:p>
    <w:p>
      <w:pPr>
        <w:ind w:right="68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Research and development expenses were $56.2 million during the year ended December 31, 2018 compared to $29.4 million during the year ended December 31, 2017, for an increase of approximately $26.8 million. The increase is primarily attributable to a $11.9 million increase in outside services for preclinical and manufacturing expenses, a $7.4 million increase in clinical expenses, and a $4.6 million increase in salaries and related expenses, including stock compensation expense.</w:t>
      </w:r>
    </w:p>
    <w:p>
      <w:pPr>
        <w:spacing w:after="0" w:line="16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External Costs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Etokimab</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20,935</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12,267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8,668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ANB019</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12,738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9,278</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Preclinical and other unallocated costs</w:t>
            </w:r>
          </w:p>
        </w:tc>
        <w:tc>
          <w:tcPr>
            <w:tcW w:w="3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9,057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4,862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4,195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External Costs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42,730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22,141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Internal Costs</w:t>
            </w:r>
          </w:p>
        </w:tc>
        <w:tc>
          <w:tcPr>
            <w:tcW w:w="3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13,466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8,854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4,612</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56,196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26,753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20" w:firstLine="567"/>
        <w:spacing w:after="0" w:line="286" w:lineRule="auto"/>
        <w:rPr>
          <w:sz w:val="20"/>
          <w:szCs w:val="20"/>
          <w:color w:val="auto"/>
        </w:rPr>
      </w:pPr>
      <w:r>
        <w:rPr>
          <w:rFonts w:ascii="Arial" w:cs="Arial" w:eastAsia="Arial" w:hAnsi="Arial"/>
          <w:sz w:val="17"/>
          <w:szCs w:val="17"/>
          <w:color w:val="auto"/>
        </w:rPr>
        <w:t>General and administrative expenses were $15.5 million during the year ended December 31, 2018 compared to $9.3 million during the year ended December 31, 2017, for an increase of approximately $6.2 million. The increase is primarily due to a $4.7 million increase in salaries and related expenses, which includes stock compensation expense, as well as a $0.7 million increase in professional fees, including consultants.</w:t>
      </w:r>
    </w:p>
    <w:p>
      <w:pPr>
        <w:spacing w:after="0" w:line="166" w:lineRule="exact"/>
        <w:rPr>
          <w:sz w:val="20"/>
          <w:szCs w:val="20"/>
          <w:color w:val="auto"/>
        </w:rPr>
      </w:pPr>
    </w:p>
    <w:p>
      <w:pPr>
        <w:jc w:val="both"/>
        <w:ind w:right="260" w:firstLine="567"/>
        <w:spacing w:after="0" w:line="264"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w:t>
      </w:r>
    </w:p>
    <w:p>
      <w:pPr>
        <w:sectPr>
          <w:pgSz w:w="11900" w:h="16838" w:orient="portrait"/>
          <w:cols w:equalWidth="0" w:num="1">
            <w:col w:w="11400"/>
          </w:cols>
          <w:pgMar w:left="240" w:top="904"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904" w:right="259" w:bottom="1440" w:gutter="0" w:footer="0" w:header="0"/>
          <w:type w:val="continuous"/>
        </w:sectPr>
      </w:pPr>
    </w:p>
    <w:bookmarkStart w:id="73" w:name="page74"/>
    <w:bookmarkEnd w:id="73"/>
    <w:p>
      <w:pPr>
        <w:ind w:right="140"/>
        <w:spacing w:after="0" w:line="277" w:lineRule="auto"/>
        <w:rPr>
          <w:sz w:val="20"/>
          <w:szCs w:val="20"/>
          <w:color w:val="auto"/>
        </w:rPr>
      </w:pPr>
      <w:r>
        <w:rPr>
          <w:rFonts w:ascii="Arial" w:cs="Arial" w:eastAsia="Arial" w:hAnsi="Arial"/>
          <w:sz w:val="18"/>
          <w:szCs w:val="18"/>
          <w:color w:val="auto"/>
        </w:rPr>
        <w:t>legal expenses, including those related to preparing, filing, prosecuting and maintaining patent applications, to increase as our intellectual property portfolio expands.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20" w:firstLine="567"/>
        <w:spacing w:after="0" w:line="259" w:lineRule="auto"/>
        <w:rPr>
          <w:sz w:val="20"/>
          <w:szCs w:val="20"/>
          <w:color w:val="auto"/>
        </w:rPr>
      </w:pPr>
      <w:r>
        <w:rPr>
          <w:rFonts w:ascii="Arial" w:cs="Arial" w:eastAsia="Arial" w:hAnsi="Arial"/>
          <w:sz w:val="18"/>
          <w:szCs w:val="18"/>
          <w:color w:val="auto"/>
        </w:rPr>
        <w:t>Interest expense was $1.7 million during the year ended December 31, 2018 and represents effective interest of approximately 13.32% on our outstanding Term Loans, as defined in Part II Item 8—5. Notes Payable, which have a principal balance of $8.1 million as of December 31, 2018. Interest expense was $1.8 million during the year ended December 31, 2017 and primarily represents effective interest of approximately 12.25% on an outstanding principal balance of $15.0 million.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The change in fair value of the liabilities for stock warrants resulted in no expense compared to $1.4 million of expense during the year ended December 31, 2018 and 2017, respectively. As discussed in Part II Item 8 —1. Description of the Business below, all of the outstanding warrants to purchase shares of preferred stock automatically converted into warrants to purchase shares of common stock in connection with the IPO and are accounted for as equity from the conversion date forward.</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117"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Interest income and other income (expense), net was $6.5 million during the year ended December 31, 2018 and primarily consisted of interest income of approximately $6.7 million from our short-term and long-term investments net of foreign exchange losses of approximately $0.2 million related to our Australian subsidiary. Other income (expense), net was $1.8 million during the year ended December 31, 2017 and primarily consisted of interest income of approximately $1.6 million from our short-term and long-term investments and foreign exchange gains of approximately $0.2 million related to our Australian subsidiary.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300" w:firstLine="567"/>
        <w:spacing w:after="0" w:line="342" w:lineRule="auto"/>
        <w:rPr>
          <w:sz w:val="20"/>
          <w:szCs w:val="20"/>
          <w:color w:val="auto"/>
        </w:rPr>
      </w:pPr>
      <w:r>
        <w:rPr>
          <w:rFonts w:ascii="Arial" w:cs="Arial" w:eastAsia="Arial" w:hAnsi="Arial"/>
          <w:sz w:val="16"/>
          <w:szCs w:val="16"/>
          <w:color w:val="auto"/>
        </w:rPr>
        <w:t>The income tax benefit was $0.2 million during the year ended December 31, 2018, primarily related to a credit for alternative minimum taxes, or AMT, which is eligible for refund under the Tax Cuts and Jobs Act. There was no provision for income taxes during the year ended December 31,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2016</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Collaboration revenue was $10.0 million and $16.7 million during the years ended December 31, 2017 and 2016, respectively. A comparison of revenue by collaborator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TESARO-amortization of upfront payments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TESARO-funding of research and development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TESARO-milestones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Celgene-milestone</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40" w:firstLine="567"/>
        <w:spacing w:after="0" w:line="264" w:lineRule="auto"/>
        <w:rPr>
          <w:sz w:val="20"/>
          <w:szCs w:val="20"/>
          <w:color w:val="auto"/>
        </w:rPr>
      </w:pPr>
      <w:r>
        <w:rPr>
          <w:rFonts w:ascii="Arial" w:cs="Arial" w:eastAsia="Arial" w:hAnsi="Arial"/>
          <w:sz w:val="18"/>
          <w:szCs w:val="18"/>
          <w:color w:val="auto"/>
        </w:rPr>
        <w:t>Collaboration revenue during the year ended December 31, 2017 decreased $6.7 million compared to the year ended December 31, 2016 primarily due to a decrease in upfront fees and research reimbursement revenue which we recognized in full upon the completion of the research services under the TESARO contract in December 31, 2016, as well as a decrease in milestone revenue.</w:t>
      </w:r>
    </w:p>
    <w:p>
      <w:pPr>
        <w:spacing w:after="0" w:line="262" w:lineRule="exact"/>
        <w:rPr>
          <w:sz w:val="20"/>
          <w:szCs w:val="20"/>
          <w:color w:val="auto"/>
        </w:rPr>
      </w:pPr>
    </w:p>
    <w:p>
      <w:pPr>
        <w:ind w:right="66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800" w:right="279" w:bottom="1440" w:gutter="0" w:footer="0" w:header="0"/>
        </w:sectPr>
      </w:pPr>
    </w:p>
    <w:bookmarkStart w:id="74" w:name="page75"/>
    <w:bookmarkEnd w:id="74"/>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567"/>
        <w:spacing w:after="0" w:line="297" w:lineRule="auto"/>
        <w:rPr>
          <w:sz w:val="20"/>
          <w:szCs w:val="20"/>
          <w:color w:val="auto"/>
        </w:rPr>
      </w:pPr>
      <w:r>
        <w:rPr>
          <w:rFonts w:ascii="Arial" w:cs="Arial" w:eastAsia="Arial" w:hAnsi="Arial"/>
          <w:sz w:val="16"/>
          <w:szCs w:val="16"/>
          <w:color w:val="auto"/>
        </w:rPr>
        <w:t>Research and development expenses were $29.4 million during the year ended December 31, 2017 compared to $15.4 million during the year ended December 31, 2016, for an increase of approximately $14.0 million. The increase is primarily due to a $5.7 million decrease in Australian tax incentives recognized. The decrease in the Australian tax incentives related to the timing of the initial recognition of 2015 and 2016 tax incentives as well as a reduction in reimbursable expenses during 2017. The increase is also attributable to a $3.4 million increase in clinical expenses, a $2.3 million increase in outside services for preclinical and manufacturing expenses, and a $2.2 million increase in salaries and related expenses, including stock compensation expense.</w:t>
      </w:r>
    </w:p>
    <w:p>
      <w:pPr>
        <w:spacing w:after="0" w:line="50"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External Costs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Etokimab</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12,267</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11,878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ANB019</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Preclinical and other unallocated costs</w:t>
            </w:r>
          </w:p>
        </w:tc>
        <w:tc>
          <w:tcPr>
            <w:tcW w:w="400" w:type="dxa"/>
            <w:vAlign w:val="bottom"/>
          </w:tcPr>
          <w:p>
            <w:pPr>
              <w:spacing w:after="0"/>
              <w:rPr>
                <w:sz w:val="20"/>
                <w:szCs w:val="20"/>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4,862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External Costs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20,589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Internal Costs</w:t>
            </w:r>
          </w:p>
        </w:tc>
        <w:tc>
          <w:tcPr>
            <w:tcW w:w="400" w:type="dxa"/>
            <w:vAlign w:val="bottom"/>
          </w:tcPr>
          <w:p>
            <w:pPr>
              <w:spacing w:after="0"/>
              <w:rPr>
                <w:sz w:val="20"/>
                <w:szCs w:val="20"/>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8,854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6,685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29,443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14,024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We expect our research and development expenses to increase as we further advance our development programs and, in particular, as we enter into additional clinical trials.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67"/>
        <w:spacing w:after="0" w:line="312" w:lineRule="auto"/>
        <w:rPr>
          <w:sz w:val="20"/>
          <w:szCs w:val="20"/>
          <w:color w:val="auto"/>
        </w:rPr>
      </w:pPr>
      <w:r>
        <w:rPr>
          <w:rFonts w:ascii="Arial" w:cs="Arial" w:eastAsia="Arial" w:hAnsi="Arial"/>
          <w:sz w:val="16"/>
          <w:szCs w:val="16"/>
          <w:color w:val="auto"/>
        </w:rPr>
        <w:t>General and administrative expenses were $9.3 million during the year ended December 31, 2017 compared to $4.3 million during the year ended December 31, 2016, for an increase of approximately $5.0 million. The increase is primarily due to a $3.5 million increase in salaries and related expenses, which includes stock compensation expense and recruiting fees, as well as a $0.7 million increase in professional fees including public company costs.</w:t>
      </w:r>
    </w:p>
    <w:p>
      <w:pPr>
        <w:spacing w:after="0" w:line="147"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Interest expense was $1.8 million during the year ended December 31, 2017 and represents effective interest of approximately 12.25% on our outstanding Term Loans, as defined in Part II Item 8—5. Notes Payable, which have a principal balance of $15.0 million as of December 31, 2017. Interest expense was $0.5 million during the year ended December 31, 2016 respectively, and primarily represents effective interest of approximately 9.25% through December 30, 2016, the date at which the Term B Loans and the Term C Loans were drawn. Subsequent to the draw, the effective interest rate was 11.70% for each of the Term Loans, with an outstanding cumulative principal balance of $15.0 million as of December 31,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909" w:right="239" w:bottom="1440" w:gutter="0" w:footer="0" w:header="0"/>
        </w:sectPr>
      </w:pPr>
    </w:p>
    <w:bookmarkStart w:id="75" w:name="page76"/>
    <w:bookmarkEnd w:id="75"/>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The change in fair value of the liabilities for stock warrants resulted in $1.4 million of expense compared to $0.8 million of income during the year ended December 31, 2017 and 2016, respectively, due to changes in the valuation of our Series C convertible preferred stock which impacts the estimated fair value of the warrants. As discussed in Part II Item 8 —1. Description of the Business below, all of the outstanding warrants to purchase shares of preferred stock automatically converted into warrants to purchase shares of common stock in connection with the IPO and are accounted for as equity from the conversion date forward.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Interest income and other income (expense), net was $1.8 million during the year ended December 31, 2017 and primarily consisted of interest income of approximately $1.6 million from our short-term and long-term investments and foreign exchange gains of approximately $0.2 million related to our Australian subsidiary. Other income (expense), net was less than $0.1 million during the year ended December 31, 2016 and primarily consisted of interest income of approximately $0.1 million from our money market fund, offset by foreign exchange losses of approximately $0.1 million related to our Australian subsidiary.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567"/>
        <w:spacing w:after="0" w:line="264" w:lineRule="auto"/>
        <w:rPr>
          <w:sz w:val="20"/>
          <w:szCs w:val="20"/>
          <w:color w:val="auto"/>
        </w:rPr>
      </w:pPr>
      <w:r>
        <w:rPr>
          <w:rFonts w:ascii="Arial" w:cs="Arial" w:eastAsia="Arial" w:hAnsi="Arial"/>
          <w:sz w:val="18"/>
          <w:szCs w:val="18"/>
          <w:color w:val="auto"/>
        </w:rPr>
        <w:t>From our inception through December 31, 2018, we have received an aggregate of $717.5 million to fund our operations which included $616.8 million from the sale of equity securities, $81.6 million from our collaboration agreements and $19.1 million from venture debt. As of December 31, 2018, we had $500.2 million in cash, cash equivalents and investments.</w:t>
      </w:r>
    </w:p>
    <w:p>
      <w:pPr>
        <w:spacing w:after="0" w:line="181" w:lineRule="exact"/>
        <w:rPr>
          <w:sz w:val="20"/>
          <w:szCs w:val="20"/>
          <w:color w:val="auto"/>
        </w:rPr>
      </w:pPr>
    </w:p>
    <w:p>
      <w:pPr>
        <w:ind w:right="260" w:firstLine="567"/>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88" w:lineRule="exact"/>
        <w:rPr>
          <w:sz w:val="20"/>
          <w:szCs w:val="20"/>
          <w:color w:val="auto"/>
        </w:rPr>
      </w:pPr>
    </w:p>
    <w:p>
      <w:pPr>
        <w:ind w:right="20" w:firstLine="446"/>
        <w:spacing w:after="0" w:line="286" w:lineRule="auto"/>
        <w:rPr>
          <w:sz w:val="20"/>
          <w:szCs w:val="20"/>
          <w:color w:val="auto"/>
        </w:rPr>
      </w:pPr>
      <w:r>
        <w:rPr>
          <w:rFonts w:ascii="Arial" w:cs="Arial" w:eastAsia="Arial" w:hAnsi="Arial"/>
          <w:sz w:val="17"/>
          <w:szCs w:val="17"/>
          <w:color w:val="auto"/>
        </w:rPr>
        <w:t>On September 28, 2018, we completed an underwritten public offering of 2,530,000 shares of common stock, which included the exercise of the underwriters’ option to purchase an additional 330,000 shares of common stock. All shares were offered by us at a price to the public of $94.46 per share. The aggregate net proceeds received by us from the offering were $227.5 million, net of underwriting discounts and commissions.</w:t>
      </w:r>
    </w:p>
    <w:p>
      <w:pPr>
        <w:spacing w:after="0" w:line="166"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81" w:lineRule="exact"/>
        <w:rPr>
          <w:sz w:val="20"/>
          <w:szCs w:val="20"/>
          <w:color w:val="auto"/>
        </w:rPr>
      </w:pPr>
    </w:p>
    <w:p>
      <w:pPr>
        <w:jc w:val="both"/>
        <w:ind w:right="180" w:firstLine="567"/>
        <w:spacing w:after="0" w:line="286" w:lineRule="auto"/>
        <w:rPr>
          <w:sz w:val="20"/>
          <w:szCs w:val="20"/>
          <w:color w:val="auto"/>
        </w:rPr>
      </w:pPr>
      <w:r>
        <w:rPr>
          <w:rFonts w:ascii="Arial" w:cs="Arial" w:eastAsia="Arial" w:hAnsi="Arial"/>
          <w:sz w:val="17"/>
          <w:szCs w:val="17"/>
          <w:color w:val="auto"/>
        </w:rPr>
        <w:t>Under our original Loan Agreement, as defined in Part II Item 8—5. Notes Payable, we could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December 2016, we further amended the Loan Agreement to (i) allow for the Term B Loans and Term C Loans to be drawn on December 30, 2016,</w:t>
      </w:r>
    </w:p>
    <w:p>
      <w:pPr>
        <w:spacing w:after="0" w:line="46" w:lineRule="exact"/>
        <w:rPr>
          <w:sz w:val="20"/>
          <w:szCs w:val="20"/>
          <w:color w:val="auto"/>
        </w:rPr>
      </w:pPr>
    </w:p>
    <w:p>
      <w:pPr>
        <w:ind w:right="20" w:firstLine="8"/>
        <w:spacing w:after="0" w:line="254"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principal repayments of all Term Loans until February 1, 2018 and (iii) amend the interest rate for each Term Loan. The Term B Loans and the Term C Loans were drawn on December 30, 2016; principal repayments began in February 2018. As of December 31, 2018, there are 13 equal monthly principal and interest payments remaining on the Term Loans, with final maturity in January 2020. The Term Loans bear interest equal to the greater of 3-month U.S. LIBOR plus 6.37% or 7.3%. The interest rate was 8.93% as of December 31, 2018.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40" w:firstLine="567"/>
        <w:spacing w:after="0" w:line="276"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73"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As a publicly traded company, we incur significant legal, accounting and other expenses that were not required as a private company. In addition, the Sarbanes-Oxley Act of 2002, as well as rules adopted by the SEC and The Nasdaq Global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909" w:right="239" w:bottom="1440" w:gutter="0" w:footer="0" w:header="0"/>
        </w:sectPr>
      </w:pPr>
    </w:p>
    <w:bookmarkStart w:id="76" w:name="page77"/>
    <w:bookmarkEnd w:id="76"/>
    <w:p>
      <w:pPr>
        <w:ind w:right="220"/>
        <w:spacing w:after="0" w:line="264" w:lineRule="auto"/>
        <w:rPr>
          <w:sz w:val="20"/>
          <w:szCs w:val="20"/>
          <w:color w:val="auto"/>
        </w:rPr>
      </w:pPr>
      <w:r>
        <w:rPr>
          <w:rFonts w:ascii="Arial" w:cs="Arial" w:eastAsia="Arial" w:hAnsi="Arial"/>
          <w:sz w:val="18"/>
          <w:szCs w:val="18"/>
          <w:color w:val="auto"/>
        </w:rPr>
        <w:t>Stock Market, requires public companies to implement specified corporate governance practices that were inapplicable to us as a private company. These rules and regulations have increased our legal and financial compliance costs, have made and will continue to make certain activities more time-consuming and costly.</w:t>
      </w:r>
    </w:p>
    <w:p>
      <w:pPr>
        <w:spacing w:after="0" w:line="181" w:lineRule="exact"/>
        <w:rPr>
          <w:sz w:val="20"/>
          <w:szCs w:val="20"/>
          <w:color w:val="auto"/>
        </w:rPr>
      </w:pPr>
    </w:p>
    <w:p>
      <w:pPr>
        <w:ind w:right="120" w:firstLine="567"/>
        <w:spacing w:after="0" w:line="279" w:lineRule="auto"/>
        <w:rPr>
          <w:sz w:val="20"/>
          <w:szCs w:val="20"/>
          <w:color w:val="auto"/>
        </w:rPr>
      </w:pPr>
      <w:r>
        <w:rPr>
          <w:rFonts w:ascii="Arial" w:cs="Arial" w:eastAsia="Arial" w:hAnsi="Arial"/>
          <w:sz w:val="17"/>
          <w:szCs w:val="17"/>
          <w:color w:val="auto"/>
        </w:rPr>
        <w:t>Cash, cash equivalents and investments totaled $500.2 million as of December 31, 2018, compared to $324.3 million as of December 31, 2017. We believe that our existing cash, cash equivalents and investments will fund our current operating plan at least through the end of 2020.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years ended December 31, 2018, 2017 and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7"/>
        </w:trPr>
        <w:tc>
          <w:tcPr>
            <w:tcW w:w="6740" w:type="dxa"/>
            <w:vAlign w:val="bottom"/>
            <w:tcBorders>
              <w:bottom w:val="single" w:sz="8" w:color="CFF0FC"/>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3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(142,451)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(243,058)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223,364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292,453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32,407</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29,957</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Net cash used in operating activities during the year ended December 31, 2018 of $48.5 million was primarily due to our net loss of $61.7 million, adjusted for addbacks for non-cash items of $9.7 million which includes stock-based compensation and income from marketable securities and increases in working capital of $3.3 million. Net cash used in operating activities during the year ended December 31, 2017 of $19.4 million was primarily due to our net loss of $30.1 million, offset by non-cash expenses of $6.6 million which includes stock-based compensation and warrant liability fair value adjustments and increases in working capital of $4.1 million. Net cash used in operating activities during the year ended December 31, 2016 of $9.0 million was primarily due to decreases in working capital of $7.0 million offset by non-cash addbacks of $2.3 million and net loss of $4.3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Cash used in investing activities during the year ended December 31, 2018 and 2017 was primarily due to the acquisition of investments upon receipt of the proceeds from our IPO and follow-on public offerings, offset by investment maturities. Cash used in investing activities during the year ended December 31, 2016 was due to our purchases of property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The cash provided by financing activities during the year ended December 31, 2018 of $223.4 million was primarily related to proceeds of $227.5 million from our follow-on public offerings, net of underwriting discounts and commissions, as well as proceeds of $2.9 million from the issuance of common stock as a result of option and warrant exercises, offset by $6.9 million in repayments on our outstanding Term Loan. Cash provided by financing activities during the year ended December 31, 2017 of $292.5 million was primarily related to proceeds of $292.5 million from our IPO and follow-on public offering, net of underwriting discounts and commissions, as well as proceeds of $1.5 million from the issuance of common stock as a result of option and warrant exercises, offset by $1.6 million in payments related to offering costs. Cash provided by financing activities during the year ended December 31, 2016 of $8.6 million was primarily related to the draw down of our Term B &amp; C loans of $10.0 million, offset by $1.4 million in payments for debt issuance costs and deferred offering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00"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0"/>
                <w:szCs w:val="10"/>
                <w:b w:val="1"/>
                <w:bCs w:val="1"/>
                <w:color w:val="auto"/>
              </w:rPr>
              <w:t>(1)</w:t>
            </w: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Less Than</w:t>
            </w:r>
          </w:p>
        </w:tc>
        <w:tc>
          <w:tcPr>
            <w:tcW w:w="380" w:type="dxa"/>
            <w:vAlign w:val="bottom"/>
          </w:tcPr>
          <w:p>
            <w:pPr>
              <w:spacing w:after="0"/>
              <w:rPr>
                <w:sz w:val="13"/>
                <w:szCs w:val="13"/>
                <w:color w:val="auto"/>
              </w:rPr>
            </w:pPr>
          </w:p>
        </w:tc>
        <w:tc>
          <w:tcPr>
            <w:tcW w:w="1200" w:type="dxa"/>
            <w:vAlign w:val="bottom"/>
          </w:tcPr>
          <w:p>
            <w:pPr>
              <w:jc w:val="right"/>
              <w:ind w:right="599"/>
              <w:spacing w:after="0" w:line="153"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3"/>
                <w:szCs w:val="13"/>
                <w:color w:val="auto"/>
              </w:rPr>
            </w:pPr>
          </w:p>
        </w:tc>
        <w:tc>
          <w:tcPr>
            <w:tcW w:w="112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3-5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1 Year</w:t>
            </w:r>
          </w:p>
        </w:tc>
        <w:tc>
          <w:tcPr>
            <w:tcW w:w="38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Years</w:t>
            </w:r>
          </w:p>
        </w:tc>
        <w:tc>
          <w:tcPr>
            <w:tcW w:w="1120" w:type="dxa"/>
            <w:vAlign w:val="bottom"/>
          </w:tcPr>
          <w:p>
            <w:pPr>
              <w:jc w:val="right"/>
              <w:ind w:right="79"/>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Notes payable, including interest and</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final payment fee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lease obligation</w:t>
            </w:r>
            <w:r>
              <w:rPr>
                <w:rFonts w:ascii="Arial" w:cs="Arial" w:eastAsia="Arial" w:hAnsi="Arial"/>
                <w:sz w:val="21"/>
                <w:szCs w:val="21"/>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160" w:hanging="249"/>
        <w:spacing w:after="0" w:line="256" w:lineRule="auto"/>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Future minimum annual obligations for license payments under all collaborative in-license agreements at December 31, 2018 were $0.2 million in fiscal 2019 and in the years thereafter. These obligations are excluded from the table above as the annual minimum payments are payable through ten years from the first commercial sale, if any, or expiration of the last patent to expire, the dates of which are not determinable at this time.</w:t>
      </w:r>
    </w:p>
    <w:p>
      <w:pPr>
        <w:ind w:left="500" w:hanging="249"/>
        <w:spacing w:after="0" w:line="180" w:lineRule="auto"/>
        <w:tabs>
          <w:tab w:leader="none" w:pos="50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 includes future rent payments under our office leases, which both expire in 2021.</w:t>
      </w:r>
    </w:p>
    <w:p>
      <w:pPr>
        <w:spacing w:after="0" w:line="202"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cancelable contracts and not included in the table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567"/>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of December 31, 2018, we held $386.6 million in debt securities with for which the accumulated other comprehensive loss was $0.2 million. As such, we believe that should a 10.0% change in interest rates were to have occurred on December 31, 2018, this change would not have had a material effect on the fair value of our investment portfolio as of that date.</w:t>
      </w:r>
    </w:p>
    <w:p>
      <w:pPr>
        <w:spacing w:after="0" w:line="169"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We are also subject to interest expense fluctuations through our Term Loans, as discussed in Part II Item 8—5. Notes Payable, which as of December 31, 2018 bear interest equal to the greater of 3-month U.S. LIBOR plus 6.37% or 7.3% and are therefore exposed to changes in interest rates through their maturity date of January 2020. The rate was 8.93% as of December 31, 2018 on a remaining balance of $8.1 million. If interest rates had been 10% higher/lower and all other variables were held constant, operating income would decrease/increase by less than $0.1 million. Therefore we do not believe that our financial condition or results of operations would be materially impacted by an immediate change of 10% in interest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right="140" w:firstLine="567"/>
        <w:spacing w:after="0" w:line="302"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05" w:right="239" w:bottom="1440" w:gutter="0" w:footer="0" w:header="0"/>
        </w:sectPr>
      </w:pPr>
    </w:p>
    <w:bookmarkStart w:id="78" w:name="page79"/>
    <w:bookmarkEnd w:id="78"/>
    <w:p>
      <w:pPr>
        <w:ind w:right="20"/>
        <w:spacing w:after="0" w:line="272" w:lineRule="auto"/>
        <w:rPr>
          <w:sz w:val="20"/>
          <w:szCs w:val="20"/>
          <w:color w:val="auto"/>
        </w:rPr>
      </w:pPr>
      <w:r>
        <w:rPr>
          <w:rFonts w:ascii="Arial" w:cs="Arial" w:eastAsia="Arial" w:hAnsi="Arial"/>
          <w:sz w:val="17"/>
          <w:szCs w:val="17"/>
          <w:color w:val="auto"/>
        </w:rPr>
        <w:t>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approximately $0.2 million during the year ended December 31, 2018. We believe that our foreign currency exposure is limited at this time as the value of transactions and the asset and liability balances denominated in foreign currencies are relatively small. Further, we do not believe that our financial condition or results of operations would be materially impacted by an immediate change of 10% in exchange rate of the foreign currencies in which we have transactions denominated, as exchange rates have fluctuated over 10% throughout the year ended December 31, 2018 from a low of 0.7102 to a high of 0.7950 with a net impact of approximately $0.2 million to the consolidated statement of operations.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2018, we had no accounts payable or receivable denominated in foreign currencies, and a hypothetical 10% change in foreign currency exchange rates applicable to our business would not have had a material impact on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Inflation generally affects us by increasing our clinical trial costs. We do not believe that inflation has had a material effect on our business, financial condition or results of operations during the years ended December 31, 2018, 2017 or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69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80" w:type="dxa"/>
            <w:vAlign w:val="bottom"/>
          </w:tcPr>
          <w:p>
            <w:pPr>
              <w:jc w:val="right"/>
              <w:ind w:right="153"/>
              <w:spacing w:after="0"/>
              <w:rPr>
                <w:sz w:val="20"/>
                <w:szCs w:val="20"/>
                <w:color w:val="auto"/>
              </w:rPr>
            </w:pPr>
            <w:r>
              <w:rPr>
                <w:rFonts w:ascii="Arial" w:cs="Arial" w:eastAsia="Arial" w:hAnsi="Arial"/>
                <w:sz w:val="14"/>
                <w:szCs w:val="14"/>
                <w:b w:val="1"/>
                <w:bCs w:val="1"/>
                <w:color w:val="auto"/>
              </w:rPr>
              <w:t>Page</w:t>
            </w:r>
          </w:p>
        </w:tc>
      </w:tr>
      <w:tr>
        <w:trPr>
          <w:trHeight w:val="215"/>
        </w:trPr>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Report of Independent Registered Public Accounting Firm</w:t>
              </w:r>
            </w:hyperlink>
          </w:p>
        </w:tc>
        <w:tc>
          <w:tcPr>
            <w:tcW w:w="4660" w:type="dxa"/>
            <w:vAlign w:val="bottom"/>
            <w:gridSpan w:val="3"/>
          </w:tcPr>
          <w:p>
            <w:pPr>
              <w:spacing w:after="0"/>
              <w:rPr>
                <w:sz w:val="18"/>
                <w:szCs w:val="18"/>
                <w:color w:val="auto"/>
              </w:rPr>
            </w:pPr>
          </w:p>
        </w:tc>
        <w:tc>
          <w:tcPr>
            <w:tcW w:w="24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79</w:t>
              </w:r>
            </w:hyperlink>
          </w:p>
        </w:tc>
      </w:tr>
      <w:tr>
        <w:trPr>
          <w:trHeight w:val="250"/>
        </w:trPr>
        <w:tc>
          <w:tcPr>
            <w:tcW w:w="2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Financial Statements</w:t>
              </w:r>
            </w:hyperlink>
          </w:p>
        </w:tc>
        <w:tc>
          <w:tcPr>
            <w:tcW w:w="6380" w:type="dxa"/>
            <w:vAlign w:val="bottom"/>
            <w:gridSpan w:val="6"/>
          </w:tcPr>
          <w:p>
            <w:pPr>
              <w:spacing w:after="0"/>
              <w:rPr>
                <w:sz w:val="21"/>
                <w:szCs w:val="21"/>
                <w:color w:val="auto"/>
              </w:rPr>
            </w:pPr>
          </w:p>
        </w:tc>
        <w:tc>
          <w:tcPr>
            <w:tcW w:w="248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w:t>
              </w:r>
            </w:hyperlink>
          </w:p>
        </w:tc>
        <w:tc>
          <w:tcPr>
            <w:tcW w:w="6440" w:type="dxa"/>
            <w:vAlign w:val="bottom"/>
            <w:gridSpan w:val="7"/>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80</w:t>
              </w:r>
            </w:hyperlink>
          </w:p>
        </w:tc>
      </w:tr>
      <w:tr>
        <w:trPr>
          <w:trHeight w:val="250"/>
        </w:trPr>
        <w:tc>
          <w:tcPr>
            <w:tcW w:w="340" w:type="dxa"/>
            <w:vAlign w:val="bottom"/>
          </w:tcPr>
          <w:p>
            <w:pPr>
              <w:spacing w:after="0"/>
              <w:rPr>
                <w:sz w:val="21"/>
                <w:szCs w:val="21"/>
                <w:color w:val="auto"/>
              </w:rPr>
            </w:pPr>
          </w:p>
        </w:tc>
        <w:tc>
          <w:tcPr>
            <w:tcW w:w="8540" w:type="dxa"/>
            <w:vAlign w:val="bottom"/>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and Comprehensive Loss</w:t>
              </w:r>
            </w:hyperlink>
          </w:p>
        </w:tc>
        <w:tc>
          <w:tcPr>
            <w:tcW w:w="24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r>
      <w:tr>
        <w:trPr>
          <w:trHeight w:val="20"/>
        </w:trPr>
        <w:tc>
          <w:tcPr>
            <w:tcW w:w="34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54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Convertible Preferred Stock and Stockholders’ Equity (Deficit)</w:t>
              </w:r>
            </w:hyperlink>
          </w:p>
        </w:tc>
        <w:tc>
          <w:tcPr>
            <w:tcW w:w="24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r>
      <w:tr>
        <w:trPr>
          <w:trHeight w:val="250"/>
        </w:trPr>
        <w:tc>
          <w:tcPr>
            <w:tcW w:w="340" w:type="dxa"/>
            <w:vAlign w:val="bottom"/>
          </w:tcPr>
          <w:p>
            <w:pPr>
              <w:spacing w:after="0"/>
              <w:rPr>
                <w:sz w:val="21"/>
                <w:szCs w:val="21"/>
                <w:color w:val="auto"/>
              </w:rPr>
            </w:pPr>
          </w:p>
        </w:tc>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4"/>
          </w:tcPr>
          <w:p>
            <w:pPr>
              <w:spacing w:after="0"/>
              <w:rPr>
                <w:sz w:val="21"/>
                <w:szCs w:val="21"/>
                <w:color w:val="auto"/>
              </w:rPr>
            </w:pPr>
          </w:p>
        </w:tc>
        <w:tc>
          <w:tcPr>
            <w:tcW w:w="1960" w:type="dxa"/>
            <w:vAlign w:val="bottom"/>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r>
      <w:tr>
        <w:trPr>
          <w:trHeight w:val="250"/>
        </w:trPr>
        <w:tc>
          <w:tcPr>
            <w:tcW w:w="340" w:type="dxa"/>
            <w:vAlign w:val="bottom"/>
          </w:tcPr>
          <w:p>
            <w:pPr>
              <w:spacing w:after="0"/>
              <w:rPr>
                <w:sz w:val="21"/>
                <w:szCs w:val="21"/>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Notes to Consolidated Financial Statements</w:t>
              </w:r>
            </w:hyperlink>
          </w:p>
        </w:tc>
        <w:tc>
          <w:tcPr>
            <w:tcW w:w="5380" w:type="dxa"/>
            <w:vAlign w:val="bottom"/>
            <w:gridSpan w:val="4"/>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84</w:t>
              </w:r>
            </w:hyperlink>
          </w:p>
        </w:tc>
      </w:tr>
      <w:tr>
        <w:trPr>
          <w:trHeight w:val="723"/>
        </w:trPr>
        <w:tc>
          <w:tcPr>
            <w:tcW w:w="6920" w:type="dxa"/>
            <w:vAlign w:val="bottom"/>
            <w:gridSpan w:val="8"/>
          </w:tcPr>
          <w:p>
            <w:pPr>
              <w:jc w:val="right"/>
              <w:ind w:right="1160"/>
              <w:spacing w:after="0"/>
              <w:rPr>
                <w:sz w:val="20"/>
                <w:szCs w:val="20"/>
                <w:color w:val="auto"/>
              </w:rPr>
            </w:pPr>
            <w:r>
              <w:rPr>
                <w:rFonts w:ascii="Arial" w:cs="Arial" w:eastAsia="Arial" w:hAnsi="Arial"/>
                <w:sz w:val="18"/>
                <w:szCs w:val="18"/>
                <w:color w:val="auto"/>
              </w:rPr>
              <w:t>78</w:t>
            </w:r>
          </w:p>
        </w:tc>
        <w:tc>
          <w:tcPr>
            <w:tcW w:w="196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AnaptysBio, Inc. and subsidiary (the Company) as of December 31, 2018 and 2017, the related consolidated statements of operations and comprehensive loss, convertible preferred stock and stockholders’ equity (deficit),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1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2019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580" w:right="27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December 31,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23495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380"/>
          </w:cols>
          <w:pgMar w:left="280" w:top="580" w:right="239" w:bottom="1440" w:gutter="0" w:footer="0" w:header="0"/>
        </w:sectPr>
      </w:pPr>
    </w:p>
    <w:p>
      <w:pPr>
        <w:spacing w:after="0" w:line="50"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jc w:val="center"/>
        <w:ind w:left="3100"/>
        <w:spacing w:after="0"/>
        <w:rPr>
          <w:sz w:val="20"/>
          <w:szCs w:val="20"/>
          <w:color w:val="auto"/>
        </w:rPr>
      </w:pPr>
      <w:r>
        <w:rPr>
          <w:rFonts w:ascii="Arial" w:cs="Arial" w:eastAsia="Arial" w:hAnsi="Arial"/>
          <w:sz w:val="16"/>
          <w:szCs w:val="16"/>
          <w:b w:val="1"/>
          <w:bCs w:val="1"/>
          <w:color w:val="auto"/>
        </w:rPr>
        <w:t>LIABILITIES, PREFERRED STOCK AND</w:t>
      </w:r>
    </w:p>
    <w:p>
      <w:pPr>
        <w:spacing w:after="0" w:line="32" w:lineRule="exact"/>
        <w:rPr>
          <w:sz w:val="20"/>
          <w:szCs w:val="20"/>
          <w:color w:val="auto"/>
        </w:rPr>
      </w:pPr>
    </w:p>
    <w:p>
      <w:pPr>
        <w:jc w:val="center"/>
        <w:ind w:left="310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net of current portion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10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December 31,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Common stock, $0.001 par value, 500,000 shares authorized, 26,922 shares and 23,791 shares issued and outstanding at December 31, 2018 and December 31, 2017,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113,596</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81,189</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313,486</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167,218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6,960</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2,688</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434,216</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252,696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1,445</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73,128</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75,897</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148</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508,997</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4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5,443</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2,323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8,761</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4,875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7,574</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6,875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58</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21,836</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14,090</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625</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7,553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171</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74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633,251</w:t>
            </w: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393,017</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(223)</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(146,690)</w:t>
            </w: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(85,034)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486,365</w:t>
            </w: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307,581</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508,997</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-25400</wp:posOffset>
            </wp:positionV>
            <wp:extent cx="1029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-8255</wp:posOffset>
            </wp:positionV>
            <wp:extent cx="1029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-196850</wp:posOffset>
            </wp:positionV>
            <wp:extent cx="1029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-2169160</wp:posOffset>
            </wp:positionV>
            <wp:extent cx="1029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-3326765</wp:posOffset>
            </wp:positionV>
            <wp:extent cx="1029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-4373245</wp:posOffset>
            </wp:positionV>
            <wp:extent cx="1029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400"/>
          </w:cols>
          <w:pgMar w:left="280" w:top="580" w:right="239" w:bottom="1440" w:gutter="0" w:footer="0" w:header="0"/>
          <w:type w:val="continuous"/>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80" w:top="580"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56"/>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16,684</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56,196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29,443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15,419</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15,526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4,290</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71,722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38,781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19,709</w:t>
            </w: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(28,781)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(3,025)</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(756)</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(147)</w:t>
            </w:r>
          </w:p>
        </w:tc>
      </w:tr>
      <w:tr>
        <w:trPr>
          <w:trHeight w:val="217"/>
        </w:trPr>
        <w:tc>
          <w:tcPr>
            <w:tcW w:w="744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(61,848)</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(30,070)</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(4,259)</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(61,656)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(30,070)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(4,259)</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Unrealized income (loss) on available for sale securities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Income tax expense related to other comprehensive income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(61,453)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(4,259)</w:t>
            </w:r>
          </w:p>
        </w:tc>
      </w:tr>
      <w:tr>
        <w:trPr>
          <w:trHeight w:val="73"/>
        </w:trPr>
        <w:tc>
          <w:tcPr>
            <w:tcW w:w="744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FF0FC"/>
          </w:tcPr>
          <w:p>
            <w:pPr>
              <w:ind w:left="40"/>
              <w:spacing w:after="0" w:line="177" w:lineRule="exact"/>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74"/>
        </w:trPr>
        <w:tc>
          <w:tcPr>
            <w:tcW w:w="74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73"/>
        </w:trPr>
        <w:tc>
          <w:tcPr>
            <w:tcW w:w="744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FF0FC"/>
          </w:tcPr>
          <w:p>
            <w:pPr>
              <w:ind w:left="4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74"/>
        </w:trPr>
        <w:tc>
          <w:tcPr>
            <w:tcW w:w="74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19,782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2,637</w:t>
            </w: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0"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6"/>
              </w:rPr>
              <w:t>Series B</w:t>
            </w:r>
          </w:p>
        </w:tc>
        <w:tc>
          <w:tcPr>
            <w:tcW w:w="14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6"/>
              </w:rPr>
              <w:t>Series C</w:t>
            </w:r>
          </w:p>
        </w:tc>
        <w:tc>
          <w:tcPr>
            <w:tcW w:w="13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9"/>
              </w:rPr>
              <w:t>Series C-1</w:t>
            </w:r>
          </w:p>
        </w:tc>
        <w:tc>
          <w:tcPr>
            <w:tcW w:w="132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6"/>
              </w:rPr>
              <w:t>Series 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42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40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60" w:type="dxa"/>
            <w:vAlign w:val="bottom"/>
            <w:gridSpan w:val="5"/>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20" w:type="dxa"/>
            <w:vAlign w:val="bottom"/>
            <w:gridSpan w:val="5"/>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142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Preferred Stock</w:t>
            </w:r>
          </w:p>
        </w:tc>
        <w:tc>
          <w:tcPr>
            <w:tcW w:w="140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1360" w:type="dxa"/>
            <w:vAlign w:val="bottom"/>
            <w:gridSpan w:val="5"/>
            <w:vMerge w:val="restart"/>
          </w:tcPr>
          <w:p>
            <w:pPr>
              <w:jc w:val="center"/>
              <w:ind w:right="60"/>
              <w:spacing w:after="0"/>
              <w:rPr>
                <w:sz w:val="20"/>
                <w:szCs w:val="20"/>
                <w:color w:val="auto"/>
              </w:rPr>
            </w:pPr>
            <w:r>
              <w:rPr>
                <w:rFonts w:ascii="Arial" w:cs="Arial" w:eastAsia="Arial" w:hAnsi="Arial"/>
                <w:sz w:val="11"/>
                <w:szCs w:val="11"/>
                <w:b w:val="1"/>
                <w:bCs w:val="1"/>
                <w:color w:val="auto"/>
                <w:w w:val="90"/>
              </w:rPr>
              <w:t>Preferred Stock</w:t>
            </w:r>
          </w:p>
        </w:tc>
        <w:tc>
          <w:tcPr>
            <w:tcW w:w="132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320" w:type="dxa"/>
            <w:vAlign w:val="bottom"/>
            <w:gridSpan w:val="5"/>
            <w:vMerge w:val="restart"/>
          </w:tcPr>
          <w:p>
            <w:pPr>
              <w:ind w:left="2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1"/>
        </w:trPr>
        <w:tc>
          <w:tcPr>
            <w:tcW w:w="15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87"/>
              </w:rPr>
              <w:t>Paid-in</w:t>
            </w:r>
          </w:p>
        </w:tc>
        <w:tc>
          <w:tcPr>
            <w:tcW w:w="86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7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560" w:type="dxa"/>
            <w:vAlign w:val="bottom"/>
          </w:tcPr>
          <w:p>
            <w:pPr>
              <w:jc w:val="center"/>
              <w:ind w:right="46"/>
              <w:spacing w:after="0" w:line="102"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40"/>
        </w:trPr>
        <w:tc>
          <w:tcPr>
            <w:tcW w:w="150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56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5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b w:val="1"/>
                <w:bCs w:val="1"/>
                <w:color w:val="auto"/>
              </w:rPr>
              <w:t>Balance, January 1, 2016</w:t>
            </w:r>
          </w:p>
        </w:tc>
        <w:tc>
          <w:tcPr>
            <w:tcW w:w="5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3,963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28,220</w:t>
            </w:r>
          </w:p>
        </w:tc>
        <w:tc>
          <w:tcPr>
            <w:tcW w:w="1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1,593</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6,452</w:t>
            </w: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474</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2,156</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5,491</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40,688</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2,630</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15,482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(50,664)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(35,179)</w:t>
            </w:r>
          </w:p>
        </w:tc>
        <w:tc>
          <w:tcPr>
            <w:tcW w:w="0" w:type="dxa"/>
            <w:vAlign w:val="bottom"/>
          </w:tcPr>
          <w:p>
            <w:pPr>
              <w:spacing w:after="0"/>
              <w:rPr>
                <w:sz w:val="1"/>
                <w:szCs w:val="1"/>
                <w:color w:val="auto"/>
              </w:rPr>
            </w:pPr>
          </w:p>
        </w:tc>
      </w:tr>
      <w:tr>
        <w:trPr>
          <w:trHeight w:val="139"/>
        </w:trPr>
        <w:tc>
          <w:tcPr>
            <w:tcW w:w="1500" w:type="dxa"/>
            <w:vAlign w:val="bottom"/>
          </w:tcPr>
          <w:p>
            <w:pPr>
              <w:ind w:left="40"/>
              <w:spacing w:after="0"/>
              <w:rPr>
                <w:sz w:val="20"/>
                <w:szCs w:val="20"/>
                <w:color w:val="auto"/>
              </w:rPr>
            </w:pPr>
            <w:r>
              <w:rPr>
                <w:rFonts w:ascii="Arial" w:cs="Arial" w:eastAsia="Arial" w:hAnsi="Arial"/>
                <w:sz w:val="11"/>
                <w:szCs w:val="11"/>
                <w:color w:val="auto"/>
                <w:w w:val="94"/>
              </w:rPr>
              <w:t>Shares issued under employee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00" w:type="dxa"/>
            <w:vAlign w:val="bottom"/>
          </w:tcPr>
          <w:p>
            <w:pPr>
              <w:ind w:left="120"/>
              <w:spacing w:after="0"/>
              <w:rPr>
                <w:sz w:val="20"/>
                <w:szCs w:val="20"/>
                <w:color w:val="auto"/>
              </w:rPr>
            </w:pPr>
            <w:r>
              <w:rPr>
                <w:rFonts w:ascii="Arial" w:cs="Arial" w:eastAsia="Arial" w:hAnsi="Arial"/>
                <w:sz w:val="11"/>
                <w:szCs w:val="11"/>
                <w:color w:val="auto"/>
              </w:rPr>
              <w:t>stock plans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Repurchase of shares</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1,160</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(4,259)</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(4,259)</w:t>
            </w:r>
          </w:p>
        </w:tc>
        <w:tc>
          <w:tcPr>
            <w:tcW w:w="0" w:type="dxa"/>
            <w:vAlign w:val="bottom"/>
          </w:tcPr>
          <w:p>
            <w:pPr>
              <w:spacing w:after="0"/>
              <w:rPr>
                <w:sz w:val="1"/>
                <w:szCs w:val="1"/>
                <w:color w:val="auto"/>
              </w:rPr>
            </w:pPr>
          </w:p>
        </w:tc>
      </w:tr>
      <w:tr>
        <w:trPr>
          <w:trHeight w:val="228"/>
        </w:trPr>
        <w:tc>
          <w:tcPr>
            <w:tcW w:w="1500" w:type="dxa"/>
            <w:vAlign w:val="bottom"/>
          </w:tcPr>
          <w:p>
            <w:pPr>
              <w:ind w:left="40"/>
              <w:spacing w:after="0"/>
              <w:rPr>
                <w:sz w:val="20"/>
                <w:szCs w:val="20"/>
                <w:color w:val="auto"/>
              </w:rPr>
            </w:pPr>
            <w:r>
              <w:rPr>
                <w:rFonts w:ascii="Arial" w:cs="Arial" w:eastAsia="Arial" w:hAnsi="Arial"/>
                <w:sz w:val="11"/>
                <w:szCs w:val="11"/>
                <w:b w:val="1"/>
                <w:bCs w:val="1"/>
                <w:color w:val="auto"/>
                <w:w w:val="97"/>
              </w:rPr>
              <w:t>Balance, December 31, 2016</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3,963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28,220</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1,593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6,452</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474</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2,156</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5,491</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40,688</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2,651</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16,672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(54,923)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(38,248)</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rPr>
              <w:t>Shares issued for public</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FF0FC"/>
          </w:tcPr>
          <w:p>
            <w:pPr>
              <w:ind w:left="120"/>
              <w:spacing w:after="0" w:line="122" w:lineRule="exact"/>
              <w:rPr>
                <w:sz w:val="20"/>
                <w:szCs w:val="20"/>
                <w:color w:val="auto"/>
              </w:rPr>
            </w:pPr>
            <w:r>
              <w:rPr>
                <w:rFonts w:ascii="Arial" w:cs="Arial" w:eastAsia="Arial" w:hAnsi="Arial"/>
                <w:sz w:val="11"/>
                <w:szCs w:val="11"/>
                <w:color w:val="auto"/>
                <w:w w:val="95"/>
              </w:rPr>
              <w:t>offerings, net of underwriters’</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fees</w:t>
            </w: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9,021</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292,528</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292,537</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Total offering costs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(4,228)</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color w:val="auto"/>
                <w:w w:val="94"/>
              </w:rPr>
              <w:t>Shares issued under employee</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 plans</w:t>
            </w: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199</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979</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979</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w w:val="99"/>
              </w:rPr>
              <w:t>Conversion of preferred stock</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(3,963)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2"/>
              </w:rPr>
              <w:t>(28,220)</w:t>
            </w:r>
          </w:p>
        </w:tc>
        <w:tc>
          <w:tcPr>
            <w:tcW w:w="12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(1,593)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(6,452)</w:t>
            </w:r>
          </w:p>
        </w:tc>
        <w:tc>
          <w:tcPr>
            <w:tcW w:w="12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(474)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(2,156)</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(5,491)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w w:val="92"/>
              </w:rPr>
              <w:t>(40,688)</w:t>
            </w: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11,521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77,504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77,516</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Warrants exercised</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399</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536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536</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Reclassification of warrants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4,607</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Forfeiture rate adjustment</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4,378</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Comprehensive loss</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(426)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Net loss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(30,070)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(30,070)</w:t>
            </w:r>
          </w:p>
        </w:tc>
        <w:tc>
          <w:tcPr>
            <w:tcW w:w="0" w:type="dxa"/>
            <w:vAlign w:val="bottom"/>
          </w:tcPr>
          <w:p>
            <w:pPr>
              <w:spacing w:after="0"/>
              <w:rPr>
                <w:sz w:val="1"/>
                <w:szCs w:val="1"/>
                <w:color w:val="auto"/>
              </w:rPr>
            </w:pPr>
          </w:p>
        </w:tc>
      </w:tr>
      <w:tr>
        <w:trPr>
          <w:trHeight w:val="22"/>
        </w:trPr>
        <w:tc>
          <w:tcPr>
            <w:tcW w:w="15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b w:val="1"/>
                <w:bCs w:val="1"/>
                <w:color w:val="auto"/>
                <w:w w:val="97"/>
              </w:rPr>
              <w:t>Balance, December 31, 2017</w:t>
            </w:r>
          </w:p>
        </w:tc>
        <w:tc>
          <w:tcPr>
            <w:tcW w:w="7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23,791</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393,017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(426)</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(85,034)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307,581</w:t>
            </w:r>
          </w:p>
        </w:tc>
        <w:tc>
          <w:tcPr>
            <w:tcW w:w="0" w:type="dxa"/>
            <w:vAlign w:val="bottom"/>
          </w:tcPr>
          <w:p>
            <w:pPr>
              <w:spacing w:after="0"/>
              <w:rPr>
                <w:sz w:val="1"/>
                <w:szCs w:val="1"/>
                <w:color w:val="auto"/>
              </w:rPr>
            </w:pPr>
          </w:p>
        </w:tc>
      </w:tr>
      <w:tr>
        <w:trPr>
          <w:trHeight w:val="139"/>
        </w:trPr>
        <w:tc>
          <w:tcPr>
            <w:tcW w:w="1500" w:type="dxa"/>
            <w:vAlign w:val="bottom"/>
          </w:tcPr>
          <w:p>
            <w:pPr>
              <w:ind w:left="40"/>
              <w:spacing w:after="0"/>
              <w:rPr>
                <w:sz w:val="20"/>
                <w:szCs w:val="20"/>
                <w:color w:val="auto"/>
              </w:rPr>
            </w:pPr>
            <w:r>
              <w:rPr>
                <w:rFonts w:ascii="Arial" w:cs="Arial" w:eastAsia="Arial" w:hAnsi="Arial"/>
                <w:sz w:val="11"/>
                <w:szCs w:val="11"/>
                <w:color w:val="auto"/>
              </w:rPr>
              <w:t>Shares issued for public</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20"/>
              <w:spacing w:after="0" w:line="122" w:lineRule="exact"/>
              <w:rPr>
                <w:sz w:val="20"/>
                <w:szCs w:val="20"/>
                <w:color w:val="auto"/>
              </w:rPr>
            </w:pPr>
            <w:r>
              <w:rPr>
                <w:rFonts w:ascii="Arial" w:cs="Arial" w:eastAsia="Arial" w:hAnsi="Arial"/>
                <w:sz w:val="11"/>
                <w:szCs w:val="11"/>
                <w:color w:val="auto"/>
                <w:w w:val="96"/>
              </w:rPr>
              <w:t>offerings, net of underwriters'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00" w:type="dxa"/>
            <w:vAlign w:val="bottom"/>
          </w:tcPr>
          <w:p>
            <w:pPr>
              <w:ind w:left="120"/>
              <w:spacing w:after="0"/>
              <w:rPr>
                <w:sz w:val="20"/>
                <w:szCs w:val="20"/>
                <w:color w:val="auto"/>
              </w:rPr>
            </w:pPr>
            <w:r>
              <w:rPr>
                <w:rFonts w:ascii="Arial" w:cs="Arial" w:eastAsia="Arial" w:hAnsi="Arial"/>
                <w:sz w:val="11"/>
                <w:szCs w:val="11"/>
                <w:color w:val="auto"/>
              </w:rPr>
              <w:t>fees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2,530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227,473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227,476</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Total offering costs</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(145)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39"/>
        </w:trPr>
        <w:tc>
          <w:tcPr>
            <w:tcW w:w="1500" w:type="dxa"/>
            <w:vAlign w:val="bottom"/>
          </w:tcPr>
          <w:p>
            <w:pPr>
              <w:ind w:left="40"/>
              <w:spacing w:after="0"/>
              <w:rPr>
                <w:sz w:val="20"/>
                <w:szCs w:val="20"/>
                <w:color w:val="auto"/>
              </w:rPr>
            </w:pPr>
            <w:r>
              <w:rPr>
                <w:rFonts w:ascii="Arial" w:cs="Arial" w:eastAsia="Arial" w:hAnsi="Arial"/>
                <w:sz w:val="11"/>
                <w:szCs w:val="11"/>
                <w:color w:val="auto"/>
                <w:w w:val="94"/>
              </w:rPr>
              <w:t>Shares issued under employee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00" w:type="dxa"/>
            <w:vAlign w:val="bottom"/>
          </w:tcPr>
          <w:p>
            <w:pPr>
              <w:ind w:left="120"/>
              <w:spacing w:after="0"/>
              <w:rPr>
                <w:sz w:val="20"/>
                <w:szCs w:val="20"/>
                <w:color w:val="auto"/>
              </w:rPr>
            </w:pPr>
            <w:r>
              <w:rPr>
                <w:rFonts w:ascii="Arial" w:cs="Arial" w:eastAsia="Arial" w:hAnsi="Arial"/>
                <w:sz w:val="11"/>
                <w:szCs w:val="11"/>
                <w:color w:val="auto"/>
              </w:rPr>
              <w:t>stock plans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2,869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2,869</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Warrants exercised</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9,961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9,961</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color w:val="auto"/>
              </w:rPr>
              <w:t>Comprehensive income</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248"/>
        </w:trPr>
        <w:tc>
          <w:tcPr>
            <w:tcW w:w="1500" w:type="dxa"/>
            <w:vAlign w:val="bottom"/>
          </w:tcPr>
          <w:p>
            <w:pPr>
              <w:ind w:left="40"/>
              <w:spacing w:after="0"/>
              <w:rPr>
                <w:sz w:val="20"/>
                <w:szCs w:val="20"/>
                <w:color w:val="auto"/>
              </w:rPr>
            </w:pPr>
            <w:r>
              <w:rPr>
                <w:rFonts w:ascii="Arial" w:cs="Arial" w:eastAsia="Arial" w:hAnsi="Arial"/>
                <w:sz w:val="11"/>
                <w:szCs w:val="11"/>
                <w:color w:val="auto"/>
              </w:rPr>
              <w:t>Net loss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(61,656)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(61,656)</w:t>
            </w:r>
          </w:p>
        </w:tc>
        <w:tc>
          <w:tcPr>
            <w:tcW w:w="0" w:type="dxa"/>
            <w:vAlign w:val="bottom"/>
          </w:tcPr>
          <w:p>
            <w:pPr>
              <w:spacing w:after="0"/>
              <w:rPr>
                <w:sz w:val="1"/>
                <w:szCs w:val="1"/>
                <w:color w:val="auto"/>
              </w:rPr>
            </w:pPr>
          </w:p>
        </w:tc>
      </w:tr>
      <w:tr>
        <w:trPr>
          <w:trHeight w:val="22"/>
        </w:trPr>
        <w:tc>
          <w:tcPr>
            <w:tcW w:w="15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500" w:type="dxa"/>
            <w:vAlign w:val="bottom"/>
            <w:shd w:val="clear" w:color="auto" w:fill="CFF0FC"/>
          </w:tcPr>
          <w:p>
            <w:pPr>
              <w:ind w:left="40"/>
              <w:spacing w:after="0"/>
              <w:rPr>
                <w:sz w:val="20"/>
                <w:szCs w:val="20"/>
                <w:color w:val="auto"/>
              </w:rPr>
            </w:pPr>
            <w:r>
              <w:rPr>
                <w:rFonts w:ascii="Arial" w:cs="Arial" w:eastAsia="Arial" w:hAnsi="Arial"/>
                <w:sz w:val="11"/>
                <w:szCs w:val="11"/>
                <w:b w:val="1"/>
                <w:bCs w:val="1"/>
                <w:color w:val="auto"/>
                <w:w w:val="97"/>
              </w:rPr>
              <w:t>Balance, December 31, 2018</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26,922</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633,251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(146,690)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486,365</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580"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(61,656)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(30,070)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9,961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4,378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(Income) loss from investments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Loss on disposal of property and equipment</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Australian tax incentive receivable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(5,188)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(48,506)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(19,438)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(9,030)</w:t>
            </w:r>
          </w:p>
        </w:tc>
        <w:tc>
          <w:tcPr>
            <w:tcW w:w="0" w:type="dxa"/>
            <w:vAlign w:val="bottom"/>
          </w:tcPr>
          <w:p>
            <w:pPr>
              <w:spacing w:after="0"/>
              <w:rPr>
                <w:sz w:val="1"/>
                <w:szCs w:val="1"/>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Acquisition of investments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(347,537)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(290,905)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Sales and maturities of investments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206,149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48,137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(142,451)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(243,058)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public offerings, net of underwriters' fees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227,476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292,537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2,869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on notes payable</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(6,875)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debt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for repurchase of common stock</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Payments for offering costs,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for debt issuance costs</w:t>
            </w:r>
          </w:p>
        </w:tc>
        <w:tc>
          <w:tcPr>
            <w:tcW w:w="3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223,364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292,453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8,628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32,407</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29,957</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81,249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51,292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51,744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113,656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81,249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51,292</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1,089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Fair value of warrants issued with debt</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Amounts accrued for offering costs</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Reclassification of warrants to equity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4,607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80" w:right="2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right="240" w:firstLine="567"/>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the natural process of antibody generation. We currently generate revenue from milestones achieved under our collaborative research and development arrangements.</w:t>
      </w:r>
    </w:p>
    <w:p>
      <w:pPr>
        <w:spacing w:after="0" w:line="171"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Our financial support has been provided primarily from the sale of our common and preferred stock, as well as through funds received under our collaborative research and development agreements, proceeds from our Term Loans as discussed in Note 5 below, and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 and Related Transactions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which included the exercise of the underwriters’ option to purchase an additional 750,000 shares of common stock, at $15.00 per share. Proceeds from our initial public offering net of underwriting discounts and commissions were $80.2 million.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44" w:lineRule="exact"/>
        <w:rPr>
          <w:sz w:val="20"/>
          <w:szCs w:val="20"/>
          <w:color w:val="auto"/>
        </w:rPr>
      </w:pPr>
    </w:p>
    <w:p>
      <w:pPr>
        <w:ind w:left="760" w:hanging="185"/>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57" w:lineRule="exact"/>
        <w:rPr>
          <w:rFonts w:ascii="Arial" w:cs="Arial" w:eastAsia="Arial" w:hAnsi="Arial"/>
          <w:sz w:val="18"/>
          <w:szCs w:val="18"/>
          <w:color w:val="auto"/>
        </w:rPr>
      </w:pPr>
    </w:p>
    <w:p>
      <w:pPr>
        <w:ind w:left="580" w:right="280" w:hanging="5"/>
        <w:spacing w:after="0" w:line="324" w:lineRule="auto"/>
        <w:tabs>
          <w:tab w:leader="none" w:pos="7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120" w:firstLine="567"/>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225"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On October 17, 2017, we completed an underwritten public offering selling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154" w:lineRule="exact"/>
        <w:rPr>
          <w:sz w:val="20"/>
          <w:szCs w:val="20"/>
          <w:color w:val="auto"/>
        </w:rPr>
      </w:pPr>
    </w:p>
    <w:p>
      <w:pPr>
        <w:ind w:right="20" w:firstLine="567"/>
        <w:spacing w:after="0" w:line="286" w:lineRule="auto"/>
        <w:rPr>
          <w:sz w:val="20"/>
          <w:szCs w:val="20"/>
          <w:color w:val="auto"/>
        </w:rPr>
      </w:pPr>
      <w:r>
        <w:rPr>
          <w:rFonts w:ascii="Arial" w:cs="Arial" w:eastAsia="Arial" w:hAnsi="Arial"/>
          <w:sz w:val="17"/>
          <w:szCs w:val="17"/>
          <w:color w:val="auto"/>
        </w:rPr>
        <w:t>On September 28, 2018, we completed an underwritten public offering of 2,530,000 shares of common stock, which included the exercise of the underwriters’ option to purchase an additional 330,000 shares of common stock. All shares were offered by us at a price to the public of $94.46 per share. The aggregate net proceeds received by us from the offering were $227.5 million, net of underwriting discounts and commissions.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0" w:right="239" w:bottom="1440" w:gutter="0" w:footer="0" w:header="0"/>
        </w:sectPr>
      </w:pPr>
    </w:p>
    <w:bookmarkStart w:id="86" w:name="page87"/>
    <w:bookmarkEnd w:id="86"/>
    <w:p>
      <w:pPr>
        <w:ind w:left="260" w:right="7720" w:hanging="252"/>
        <w:spacing w:after="0" w:line="378" w:lineRule="auto"/>
        <w:tabs>
          <w:tab w:leader="none" w:pos="19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right="440" w:firstLine="567"/>
        <w:spacing w:after="0" w:line="264"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or the SEC. The accompanying consolidated financial statements have been prepared in conformity with accounting principles generally accepted in the United States of America, or U.S. GAAP.</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right="480" w:firstLine="567"/>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67"/>
        <w:spacing w:after="0" w:line="297"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We held restricted cash of $60,000 at December 31, 2018 and 2017, respectively, which we used to secure a letter of credit provided as security for our operating lease for our corporate headquarters.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 Term and Long Term Investments</w:t>
      </w:r>
    </w:p>
    <w:p>
      <w:pPr>
        <w:spacing w:after="0" w:line="117"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Unrealized gains and losses, deemed temporary in nature, are reported as a component of accumulated other comprehensive income (loss). A decline in the fair value of any security below cost that is deemed other than temporary results in a charge to earnings and the corresponding establishment of a new cost basis for the security. Dividend and interest income are recognized when earned. Realized gains and losses are included in earnings and are derived using the specific identification method for determining the cost of securities sold.</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firstLine="567"/>
        <w:spacing w:after="0" w:line="276" w:lineRule="auto"/>
        <w:rPr>
          <w:sz w:val="20"/>
          <w:szCs w:val="20"/>
          <w:color w:val="auto"/>
        </w:rPr>
      </w:pPr>
      <w:r>
        <w:rPr>
          <w:rFonts w:ascii="Arial" w:cs="Arial" w:eastAsia="Arial" w:hAnsi="Arial"/>
          <w:sz w:val="17"/>
          <w:szCs w:val="17"/>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905" w:right="379" w:bottom="1440" w:gutter="0" w:footer="0" w:header="0"/>
        </w:sectPr>
      </w:pPr>
    </w:p>
    <w:bookmarkStart w:id="87" w:name="page88"/>
    <w:bookmarkEnd w:id="87"/>
    <w:p>
      <w:pPr>
        <w:ind w:right="300"/>
        <w:spacing w:after="0" w:line="264" w:lineRule="auto"/>
        <w:rPr>
          <w:sz w:val="20"/>
          <w:szCs w:val="20"/>
          <w:color w:val="auto"/>
        </w:rPr>
      </w:pPr>
      <w:r>
        <w:rPr>
          <w:rFonts w:ascii="Arial" w:cs="Arial" w:eastAsia="Arial" w:hAnsi="Arial"/>
          <w:sz w:val="18"/>
          <w:szCs w:val="18"/>
          <w:color w:val="auto"/>
        </w:rPr>
        <w:t>calculated using the straight-line method over the estimated useful lives of the assets, which range from three to seven years. Leasehold improvements are amortized using the straight line method over the term of the lease. Upon sale or retirement of property and equipment, the related cost and accumulated depreciation are removed from the accounts and any gain or loss is reflected in operations.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2018, 2017, or 2016.</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 Deferred Rent and Operating Lease Incentives</w:t>
      </w:r>
    </w:p>
    <w:p>
      <w:pPr>
        <w:spacing w:after="0" w:line="117" w:lineRule="exact"/>
        <w:rPr>
          <w:sz w:val="20"/>
          <w:szCs w:val="20"/>
          <w:color w:val="auto"/>
        </w:rPr>
      </w:pPr>
    </w:p>
    <w:p>
      <w:pPr>
        <w:ind w:right="160" w:firstLine="567"/>
        <w:spacing w:after="0" w:line="302" w:lineRule="auto"/>
        <w:rPr>
          <w:sz w:val="20"/>
          <w:szCs w:val="20"/>
          <w:color w:val="auto"/>
        </w:rPr>
      </w:pPr>
      <w:r>
        <w:rPr>
          <w:rFonts w:ascii="Arial" w:cs="Arial" w:eastAsia="Arial" w:hAnsi="Arial"/>
          <w:sz w:val="16"/>
          <w:szCs w:val="16"/>
          <w:color w:val="auto"/>
        </w:rPr>
        <w:t>Our office leases are classified as operating leases. Rent expense is recognized on a straight-line basis over the terms of the leases and, accordingly, we record the cumulative difference between cash rent payments and the recognition of rent expense as a deferred rent liability. 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right="40" w:firstLine="567"/>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 by 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20" w:hanging="314"/>
        <w:spacing w:after="0" w:line="30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6" w:lineRule="exact"/>
        <w:rPr>
          <w:rFonts w:ascii="Arial" w:cs="Arial" w:eastAsia="Arial" w:hAnsi="Arial"/>
          <w:sz w:val="16"/>
          <w:szCs w:val="16"/>
          <w:color w:val="auto"/>
        </w:rPr>
      </w:pPr>
    </w:p>
    <w:p>
      <w:pPr>
        <w:ind w:left="660" w:right="240" w:hanging="314"/>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0" w:lineRule="exact"/>
        <w:rPr>
          <w:rFonts w:ascii="Arial" w:cs="Arial" w:eastAsia="Arial" w:hAnsi="Arial"/>
          <w:sz w:val="18"/>
          <w:szCs w:val="18"/>
          <w:color w:val="auto"/>
        </w:rPr>
      </w:pPr>
    </w:p>
    <w:p>
      <w:pPr>
        <w:jc w:val="both"/>
        <w:ind w:left="660" w:right="140" w:hanging="314"/>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692" w:right="259" w:bottom="1440" w:gutter="0" w:footer="0" w:header="0"/>
        </w:sectPr>
      </w:pPr>
    </w:p>
    <w:bookmarkStart w:id="88" w:name="page89"/>
    <w:bookmarkEnd w:id="88"/>
    <w:p>
      <w:pPr>
        <w:ind w:right="60" w:firstLine="486"/>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w:t>
      </w:r>
    </w:p>
    <w:p>
      <w:pPr>
        <w:ind w:right="560"/>
        <w:spacing w:after="0" w:line="290" w:lineRule="auto"/>
        <w:rPr>
          <w:sz w:val="20"/>
          <w:szCs w:val="20"/>
          <w:color w:val="auto"/>
        </w:rPr>
      </w:pPr>
      <w:r>
        <w:rPr>
          <w:rFonts w:ascii="Arial" w:cs="Arial" w:eastAsia="Arial" w:hAnsi="Arial"/>
          <w:sz w:val="17"/>
          <w:szCs w:val="17"/>
          <w:color w:val="auto"/>
        </w:rPr>
        <w:t>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fringe benefits, and facility overhead costs.</w:t>
      </w:r>
    </w:p>
    <w:p>
      <w:pPr>
        <w:spacing w:after="0" w:line="181" w:lineRule="exact"/>
        <w:rPr>
          <w:sz w:val="20"/>
          <w:szCs w:val="20"/>
          <w:color w:val="auto"/>
        </w:rPr>
      </w:pPr>
    </w:p>
    <w:p>
      <w:pPr>
        <w:ind w:right="220" w:firstLine="446"/>
        <w:spacing w:after="0" w:line="279" w:lineRule="auto"/>
        <w:rPr>
          <w:sz w:val="20"/>
          <w:szCs w:val="20"/>
          <w:color w:val="auto"/>
        </w:rPr>
      </w:pPr>
      <w:r>
        <w:rPr>
          <w:rFonts w:ascii="Arial" w:cs="Arial" w:eastAsia="Arial" w:hAnsi="Arial"/>
          <w:sz w:val="17"/>
          <w:szCs w:val="17"/>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Upfront and milestone payments incurred under our in-licensing agreements are expensed as acquired in-process research and development in the period in which they are incurred, provided that the technology or method has no alternative future use.</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or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67"/>
        <w:spacing w:after="0" w:line="257" w:lineRule="auto"/>
        <w:rPr>
          <w:sz w:val="20"/>
          <w:szCs w:val="20"/>
          <w:color w:val="auto"/>
        </w:rPr>
      </w:pPr>
      <w:r>
        <w:rPr>
          <w:rFonts w:ascii="Arial" w:cs="Arial" w:eastAsia="Arial" w:hAnsi="Arial"/>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 occur and record stock-based compensation expense as though all awards are expected to vest.</w:t>
      </w:r>
    </w:p>
    <w:p>
      <w:pPr>
        <w:spacing w:after="0" w:line="188"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jc w:val="both"/>
        <w:ind w:right="120" w:firstLine="567"/>
        <w:spacing w:after="0" w:line="259" w:lineRule="auto"/>
        <w:rPr>
          <w:sz w:val="20"/>
          <w:szCs w:val="20"/>
          <w:color w:val="auto"/>
        </w:rPr>
      </w:pPr>
      <w:r>
        <w:rPr>
          <w:rFonts w:ascii="Arial" w:cs="Arial" w:eastAsia="Arial" w:hAnsi="Arial"/>
          <w:sz w:val="18"/>
          <w:szCs w:val="18"/>
          <w:color w:val="auto"/>
        </w:rPr>
        <w:t>In January 2017, upon completion of our IPO, all warrants were reclassified to additional paid-in capital. Prior to this, we accounted for warrants for shares of preferred stock with conversion features that provide for reductions in the warrant price as derivative liabilities in the accompanying balance sheets at their fair value on the date of issuance. The derivative liabilities were revalued at each balance sheet date, with changes in the fair value between reporting periods recorded as other income or expense in the consolidated statement of operations.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92" w:right="239" w:bottom="1440" w:gutter="0" w:footer="0" w:header="0"/>
        </w:sectPr>
      </w:pPr>
    </w:p>
    <w:bookmarkStart w:id="89" w:name="page90"/>
    <w:bookmarkEnd w:id="89"/>
    <w:p>
      <w:pPr>
        <w:ind w:right="40"/>
        <w:spacing w:after="0" w:line="264" w:lineRule="auto"/>
        <w:rPr>
          <w:sz w:val="20"/>
          <w:szCs w:val="20"/>
          <w:color w:val="auto"/>
        </w:rPr>
      </w:pPr>
      <w:r>
        <w:rPr>
          <w:rFonts w:ascii="Arial" w:cs="Arial" w:eastAsia="Arial" w:hAnsi="Arial"/>
          <w:sz w:val="18"/>
          <w:szCs w:val="18"/>
          <w:color w:val="auto"/>
        </w:rPr>
        <w:t>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1"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77"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9"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5"/>
                <w:szCs w:val="15"/>
                <w:color w:val="auto"/>
              </w:rPr>
            </w:pPr>
          </w:p>
        </w:tc>
        <w:tc>
          <w:tcPr>
            <w:tcW w:w="12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7"/>
        </w:trPr>
        <w:tc>
          <w:tcPr>
            <w:tcW w:w="7440" w:type="dxa"/>
            <w:vAlign w:val="bottom"/>
            <w:tcBorders>
              <w:bottom w:val="single" w:sz="8" w:color="CFF0FC"/>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Convertible preferred stock</w:t>
            </w:r>
          </w:p>
        </w:tc>
        <w:tc>
          <w:tcPr>
            <w:tcW w:w="13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Warrants to purchase preferred stock</w:t>
            </w:r>
          </w:p>
        </w:tc>
        <w:tc>
          <w:tcPr>
            <w:tcW w:w="13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Warrants to purchase common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 xml:space="preserve">In May 2014, the Financial Accounting Standards Board, or FASB, issued Accounting Standard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which outlines a single comprehensive model for entities to use in accounting for revenue from contracts with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became effective for our annual reporting period beginning January 1, 2018, including interim periods within that reporting period. Entities have the option of using either a full retrospective or a modified retrospective approach for the adoption of the new standard. We assessed all potential impacts of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92" w:right="239" w:bottom="1440" w:gutter="0" w:footer="0" w:header="0"/>
        </w:sectPr>
      </w:pPr>
    </w:p>
    <w:bookmarkStart w:id="90" w:name="page91"/>
    <w:bookmarkEnd w:id="90"/>
    <w:p>
      <w:pPr>
        <w:ind w:right="20"/>
        <w:spacing w:after="0" w:line="288" w:lineRule="auto"/>
        <w:rPr>
          <w:sz w:val="20"/>
          <w:szCs w:val="20"/>
          <w:color w:val="auto"/>
        </w:rPr>
      </w:pPr>
      <w:r>
        <w:rPr>
          <w:rFonts w:ascii="Arial" w:cs="Arial" w:eastAsia="Arial" w:hAnsi="Arial"/>
          <w:sz w:val="16"/>
          <w:szCs w:val="16"/>
          <w:color w:val="auto"/>
        </w:rPr>
        <w:t>the standard, and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we reviewed the TESARO and Celgene agreements and determined that given the nature of potential milestones owed to us under these agreements, and the inherent risk involved in developing drugs, these potential milestones were not recognizable as of the standard adoption date. Additionally, while we currently disaggregate our revenue disclosures by collaborative agreement, additional discussion surrounding significant estimates made by management was required in our disclosure and included in Note 4 below. We adopted this standard using the modified retrospective approach for our annual reporting period beginning January 1, 2018, and did not record any adjustments upon adoption of this standard.</w:t>
      </w:r>
    </w:p>
    <w:p>
      <w:pPr>
        <w:spacing w:after="0" w:line="169"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became effective for our annual reporting period beginning January 1, 2018, including interim periods within that reporting period; early adoption is permitted. We adopted this standard as of January 1, 2018 and there was no material impact on our consolidated financial statements. We did not record any adjustments upon adoption of this standard and have consistently applied our accounting policies to all periods presented in the consolidated financial statements.</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which provides further guidance as to what constitutes a modification to the terms of shared based compensation, in order to create consistency in practice amongst all entities. ASU 2017-09 became effective for annual reporting periods beginning after December 15, 2017, including interim periods thereafter; early adoption is permitted, including adoption in an interim period. We adopted this standard as of January 1, 2018, and the impact was not material on our consolidated financial statements. We did not record any adjustments upon adoption of this standard.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that lessees recognize a right-of-use, or “ROU”, asset and a related lease liability on the balance sheet for all leases with a term longer than 12 months. Topic 842 was subsequently amended by ASU 2018-01, </w:t>
      </w:r>
      <w:r>
        <w:rPr>
          <w:rFonts w:ascii="Arial" w:cs="Arial" w:eastAsia="Arial" w:hAnsi="Arial"/>
          <w:sz w:val="17"/>
          <w:szCs w:val="17"/>
          <w:i w:val="1"/>
          <w:iCs w:val="1"/>
          <w:color w:val="auto"/>
        </w:rPr>
        <w:t>Land</w:t>
      </w:r>
      <w:r>
        <w:rPr>
          <w:rFonts w:ascii="Arial" w:cs="Arial" w:eastAsia="Arial" w:hAnsi="Arial"/>
          <w:sz w:val="17"/>
          <w:szCs w:val="17"/>
          <w:color w:val="auto"/>
        </w:rPr>
        <w:t xml:space="preserve"> </w:t>
      </w:r>
      <w:r>
        <w:rPr>
          <w:rFonts w:ascii="Arial" w:cs="Arial" w:eastAsia="Arial" w:hAnsi="Arial"/>
          <w:sz w:val="17"/>
          <w:szCs w:val="17"/>
          <w:i w:val="1"/>
          <w:iCs w:val="1"/>
          <w:color w:val="auto"/>
        </w:rPr>
        <w:t>Easement Practical Expedient for Transition to Topic 842</w:t>
      </w:r>
      <w:r>
        <w:rPr>
          <w:rFonts w:ascii="Arial" w:cs="Arial" w:eastAsia="Arial" w:hAnsi="Arial"/>
          <w:sz w:val="17"/>
          <w:szCs w:val="17"/>
          <w:color w:val="auto"/>
        </w:rPr>
        <w:t>; ASU 2018-10,</w:t>
      </w:r>
      <w:r>
        <w:rPr>
          <w:rFonts w:ascii="Arial" w:cs="Arial" w:eastAsia="Arial" w:hAnsi="Arial"/>
          <w:sz w:val="17"/>
          <w:szCs w:val="17"/>
          <w:i w:val="1"/>
          <w:iCs w:val="1"/>
          <w:color w:val="auto"/>
        </w:rPr>
        <w:t xml:space="preserve"> Codification Improvements to Topic 842, Leases</w:t>
      </w:r>
      <w:r>
        <w:rPr>
          <w:rFonts w:ascii="Arial" w:cs="Arial" w:eastAsia="Arial" w:hAnsi="Arial"/>
          <w:sz w:val="17"/>
          <w:szCs w:val="17"/>
          <w:color w:val="auto"/>
        </w:rPr>
        <w:t>; and ASU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 ASU 2016-02 becomes effective for our annual reporting period beginning January 1, 2019, including interim periods thereafter; early</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is permitted. A modified retrospective transition approach is required, applying the new standard to all leases existing at the date of initial application. An entity may choose to use either (i) its effective date or (ii) the beginning of the earliest comparative period presented in the financial statements as its date of initial application. We expect to adopt the new standard on January 1, 2019 and use the effective date as our date of initial application. The new standard provides a number of optional practical expedients in transition. We expect to elect the ‘package of practical expedients’, which permits us not to reassess under the new standard our prior conclusions about lease identification, lease classification and initial direct costs. Adoption of the new standard will result in the recording of operating lease ROU assets and lease liabilities of approximately $2.1 million and $2.3 million as of January 1, 2019, respectively related to our real estate leases. Adoption of this new standard will not have a material impact on our consolidated statements of operations or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92" w:right="239" w:bottom="1440" w:gutter="0" w:footer="0" w:header="0"/>
        </w:sectPr>
      </w:pPr>
    </w:p>
    <w:bookmarkStart w:id="91" w:name="page92"/>
    <w:bookmarkEnd w:id="91"/>
    <w:p>
      <w:pPr>
        <w:ind w:left="260" w:right="7040" w:hanging="252"/>
        <w:spacing w:after="0" w:line="378" w:lineRule="auto"/>
        <w:tabs>
          <w:tab w:leader="none" w:pos="197"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4,287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Accrued Expenses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80"/>
              <w:spacing w:after="0"/>
              <w:rPr>
                <w:sz w:val="20"/>
                <w:szCs w:val="20"/>
                <w:color w:val="auto"/>
              </w:rPr>
            </w:pPr>
            <w:r>
              <w:rPr>
                <w:rFonts w:ascii="Arial" w:cs="Arial" w:eastAsia="Arial" w:hAnsi="Arial"/>
                <w:sz w:val="18"/>
                <w:szCs w:val="18"/>
                <w:color w:val="auto"/>
              </w:rPr>
              <w:t>Accrued expenses consist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2,421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research and contract manufacturing expenses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right="7240" w:hanging="252"/>
        <w:spacing w:after="0" w:line="375" w:lineRule="auto"/>
        <w:tabs>
          <w:tab w:leader="none" w:pos="197"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Research and Development Agreements TESARO Collaboration</w:t>
      </w:r>
    </w:p>
    <w:p>
      <w:pPr>
        <w:spacing w:after="0" w:line="1"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or the TESARO Agreement, with TESARO, Inc. and TESARO Development, Inc., or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178" w:lineRule="exact"/>
        <w:rPr>
          <w:sz w:val="20"/>
          <w:szCs w:val="20"/>
          <w:color w:val="auto"/>
        </w:rPr>
      </w:pPr>
    </w:p>
    <w:p>
      <w:pPr>
        <w:ind w:right="120" w:firstLine="567"/>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Topic 606,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been recognized in full.</w:t>
      </w:r>
    </w:p>
    <w:p>
      <w:pPr>
        <w:spacing w:after="0" w:line="16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assessed this arrangement in accordance with ASC Topic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904" w:right="239" w:bottom="1440" w:gutter="0" w:footer="0" w:header="0"/>
        </w:sectPr>
      </w:pPr>
    </w:p>
    <w:bookmarkStart w:id="92" w:name="page93"/>
    <w:bookmarkEnd w:id="92"/>
    <w:p>
      <w:pPr>
        <w:ind w:right="540"/>
        <w:spacing w:after="0" w:line="259" w:lineRule="auto"/>
        <w:rPr>
          <w:sz w:val="20"/>
          <w:szCs w:val="20"/>
          <w:color w:val="auto"/>
        </w:rPr>
      </w:pPr>
      <w:r>
        <w:rPr>
          <w:rFonts w:ascii="Arial" w:cs="Arial" w:eastAsia="Arial" w:hAnsi="Arial"/>
          <w:sz w:val="18"/>
          <w:szCs w:val="18"/>
          <w:color w:val="auto"/>
        </w:rPr>
        <w:t>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December 31, 2018, the transaction price includes the upfront payment, research reimbursement revenue, and milestones earned to date, which are allocated in their entirety to the single performance obligation. We earned and recognized one clinical milestone for $5.0 million during the year ended December 31, 2018.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recognized through December 31, 2018 under the TESARO Agreement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38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Anti-PD-1</w:t>
            </w:r>
          </w:p>
        </w:tc>
        <w:tc>
          <w:tcPr>
            <w:tcW w:w="2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Anti-TIM-3</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Anti-LAG-3</w:t>
            </w:r>
          </w:p>
        </w:tc>
      </w:tr>
      <w:tr>
        <w:trPr>
          <w:trHeight w:val="210"/>
        </w:trPr>
        <w:tc>
          <w:tcPr>
            <w:tcW w:w="4320" w:type="dxa"/>
            <w:vAlign w:val="bottom"/>
          </w:tcPr>
          <w:p>
            <w:pPr>
              <w:spacing w:after="0"/>
              <w:rPr>
                <w:sz w:val="18"/>
                <w:szCs w:val="18"/>
                <w:color w:val="auto"/>
              </w:rPr>
            </w:pPr>
          </w:p>
        </w:tc>
        <w:tc>
          <w:tcPr>
            <w:tcW w:w="238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(TSR042)</w:t>
            </w:r>
          </w:p>
        </w:tc>
        <w:tc>
          <w:tcPr>
            <w:tcW w:w="2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(TSR022)</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(TSR033)</w:t>
            </w:r>
          </w:p>
        </w:tc>
      </w:tr>
      <w:tr>
        <w:trPr>
          <w:trHeight w:val="33"/>
        </w:trPr>
        <w:tc>
          <w:tcPr>
            <w:tcW w:w="4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Quarter</w:t>
            </w:r>
          </w:p>
        </w:tc>
        <w:tc>
          <w:tcPr>
            <w:tcW w:w="1080" w:type="dxa"/>
            <w:vAlign w:val="bottom"/>
          </w:tcPr>
          <w:p>
            <w:pPr>
              <w:spacing w:after="0"/>
              <w:rPr>
                <w:sz w:val="18"/>
                <w:szCs w:val="18"/>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Quarter</w:t>
            </w:r>
          </w:p>
        </w:tc>
        <w:tc>
          <w:tcPr>
            <w:tcW w:w="10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6"/>
              </w:rPr>
              <w:t>Quarter</w:t>
            </w:r>
          </w:p>
        </w:tc>
      </w:tr>
      <w:tr>
        <w:trPr>
          <w:trHeight w:val="210"/>
        </w:trPr>
        <w:tc>
          <w:tcPr>
            <w:tcW w:w="4320" w:type="dxa"/>
            <w:vAlign w:val="bottom"/>
          </w:tcPr>
          <w:p>
            <w:pPr>
              <w:ind w:left="40"/>
              <w:spacing w:after="0"/>
              <w:rPr>
                <w:sz w:val="20"/>
                <w:szCs w:val="20"/>
                <w:color w:val="auto"/>
              </w:rPr>
            </w:pPr>
            <w:r>
              <w:rPr>
                <w:rFonts w:ascii="Arial" w:cs="Arial" w:eastAsia="Arial" w:hAnsi="Arial"/>
                <w:sz w:val="16"/>
                <w:szCs w:val="16"/>
                <w:b w:val="1"/>
                <w:bCs w:val="1"/>
                <w:color w:val="auto"/>
              </w:rPr>
              <w:t>Milestone Event</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Recognized</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Recognized</w:t>
            </w:r>
          </w:p>
        </w:tc>
        <w:tc>
          <w:tcPr>
            <w:tcW w:w="1080" w:type="dxa"/>
            <w:vAlign w:val="bottom"/>
          </w:tcPr>
          <w:p>
            <w:pPr>
              <w:ind w:left="28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Recognized</w:t>
            </w:r>
          </w:p>
        </w:tc>
      </w:tr>
      <w:tr>
        <w:trPr>
          <w:trHeight w:val="33"/>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436"/>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w:t>
            </w: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19"/>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practices (GLPs)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Q2'15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Q4'15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Q3'16</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IND clearance from the FDA</w:t>
            </w: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$4.0M</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Q1'16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Q2'16</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Q2'17</w:t>
            </w:r>
          </w:p>
        </w:tc>
      </w:tr>
      <w:tr>
        <w:trPr>
          <w:trHeight w:val="33"/>
        </w:trPr>
        <w:tc>
          <w:tcPr>
            <w:tcW w:w="4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Phase 2 clinical trial initiation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$3.0M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Q2'17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3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Q4'17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Phase 3 clinical trial initiation</w:t>
            </w: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$5.0M</w:t>
            </w:r>
          </w:p>
        </w:tc>
        <w:tc>
          <w:tcPr>
            <w:tcW w:w="130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Q3'18</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rPr>
              <w:t>—</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35" w:lineRule="exact"/>
        <w:rPr>
          <w:sz w:val="20"/>
          <w:szCs w:val="20"/>
          <w:color w:val="auto"/>
        </w:rPr>
      </w:pPr>
    </w:p>
    <w:p>
      <w:pPr>
        <w:ind w:right="8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166"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We recognized $5.0 million in revenue under this agreement during the year ended December 31, 2018 related to one milestone and recognized $10.0 million during the year ended December 31, 2017 related to three milestones. We recognized aggregated revenue under this agreement of $15.2 million during the year ended December 31, 2016, which includes $9.3 million related to milestones earned, $3.2 million in funding for research and development services and $2.6 million for the amortization of the upfront fee.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90"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 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39"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assessed this arrangement in accordance with ASC Topic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800" w:right="259" w:bottom="1440" w:gutter="0" w:footer="0" w:header="0"/>
        </w:sectPr>
      </w:pPr>
    </w:p>
    <w:bookmarkStart w:id="93" w:name="page94"/>
    <w:bookmarkEnd w:id="93"/>
    <w:p>
      <w:pPr>
        <w:ind w:right="380"/>
        <w:spacing w:after="0" w:line="277" w:lineRule="auto"/>
        <w:rPr>
          <w:sz w:val="20"/>
          <w:szCs w:val="20"/>
          <w:color w:val="auto"/>
        </w:rPr>
      </w:pPr>
      <w:r>
        <w:rPr>
          <w:rFonts w:ascii="Arial" w:cs="Arial" w:eastAsia="Arial" w:hAnsi="Arial"/>
          <w:sz w:val="18"/>
          <w:szCs w:val="18"/>
          <w:color w:val="auto"/>
        </w:rPr>
        <w:t>agreement. Based on these assessments, we identified all services to be interrelated, and therefore concluded that the promises should be combined into a single performance obligation at the inception the arrangement.</w:t>
      </w:r>
    </w:p>
    <w:p>
      <w:pPr>
        <w:spacing w:after="0" w:line="25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of December 31, 2018,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2018 under the Celgene Agreement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Anti-PD-1</w:t>
            </w:r>
          </w:p>
        </w:tc>
      </w:tr>
      <w:tr>
        <w:trPr>
          <w:trHeight w:val="210"/>
        </w:trPr>
        <w:tc>
          <w:tcPr>
            <w:tcW w:w="916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(CC-90006)</w:t>
            </w:r>
          </w:p>
        </w:tc>
      </w:tr>
      <w:tr>
        <w:trPr>
          <w:trHeight w:val="33"/>
        </w:trPr>
        <w:tc>
          <w:tcPr>
            <w:tcW w:w="9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9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Quarter</w:t>
            </w:r>
          </w:p>
        </w:tc>
      </w:tr>
      <w:tr>
        <w:trPr>
          <w:trHeight w:val="21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Milestone Event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r>
      <w:tr>
        <w:trPr>
          <w:trHeight w:val="33"/>
        </w:trPr>
        <w:tc>
          <w:tcPr>
            <w:tcW w:w="9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453"/>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Completion of first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$0.5M</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Q2'16</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Phase 1 clinical trial initiation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$1.0M</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Q4'16</w:t>
            </w:r>
          </w:p>
        </w:tc>
      </w:tr>
    </w:tbl>
    <w:p>
      <w:pPr>
        <w:spacing w:after="0" w:line="316" w:lineRule="exact"/>
        <w:rPr>
          <w:sz w:val="20"/>
          <w:szCs w:val="20"/>
          <w:color w:val="auto"/>
        </w:rPr>
      </w:pPr>
    </w:p>
    <w:p>
      <w:pPr>
        <w:ind w:right="240" w:firstLine="567"/>
        <w:spacing w:after="0" w:line="264" w:lineRule="auto"/>
        <w:rPr>
          <w:sz w:val="20"/>
          <w:szCs w:val="20"/>
          <w:color w:val="auto"/>
        </w:rPr>
      </w:pPr>
      <w:r>
        <w:rPr>
          <w:rFonts w:ascii="Arial" w:cs="Arial" w:eastAsia="Arial" w:hAnsi="Arial"/>
          <w:sz w:val="18"/>
          <w:szCs w:val="18"/>
          <w:color w:val="auto"/>
        </w:rPr>
        <w:t>Milestones achieved during fiscal 2016 were recognized as revenue in the period earned, while revenue from future contingent milestone payments will be recognized when it is more likely than not that the revenue will not be reversed in future periods. Cash is generally received within 30 days of milestone achievement.</w:t>
      </w:r>
    </w:p>
    <w:p>
      <w:pPr>
        <w:spacing w:after="0" w:line="181"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There was no revenue recognized under this agreement during the years ended December 31, 2018 and 2017. Revenue recognized under this agreement aggregated $1.5 million during the year ended December 31, 2016 related to two milestones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280" w:firstLine="567"/>
        <w:spacing w:after="0" w:line="264"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181" w:lineRule="exact"/>
        <w:rPr>
          <w:sz w:val="20"/>
          <w:szCs w:val="20"/>
          <w:color w:val="auto"/>
        </w:rPr>
      </w:pPr>
    </w:p>
    <w:p>
      <w:pPr>
        <w:ind w:right="80" w:firstLine="567"/>
        <w:spacing w:after="0" w:line="297" w:lineRule="auto"/>
        <w:rPr>
          <w:sz w:val="20"/>
          <w:szCs w:val="20"/>
          <w:color w:val="auto"/>
        </w:rPr>
      </w:pPr>
      <w:r>
        <w:rPr>
          <w:rFonts w:ascii="Arial" w:cs="Arial" w:eastAsia="Arial" w:hAnsi="Arial"/>
          <w:sz w:val="16"/>
          <w:szCs w:val="16"/>
          <w:color w:val="auto"/>
        </w:rPr>
        <w:t>In connection with the issuance of the Term A Loans, we issued detachable, fully vested warrants to purchase an aggregate of 41,208 shares of Series C Preferred Stock at an exercise price of $4.55 per share to the lenders.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58"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December 31, 2018, there are 13 monthly principal and interest payments remaining on the Term Loans, with final maturity in January 2020. The Term Loans bear interest equal to the greater of 3-month U.S. LIBOR plus 6.37% or 7.3%. The interest rate was 8.93% as of December 31, 2018.</w:t>
      </w:r>
    </w:p>
    <w:p>
      <w:pPr>
        <w:spacing w:after="0" w:line="179" w:lineRule="exact"/>
        <w:rPr>
          <w:sz w:val="20"/>
          <w:szCs w:val="20"/>
          <w:color w:val="auto"/>
        </w:rPr>
      </w:pPr>
    </w:p>
    <w:p>
      <w:pPr>
        <w:ind w:right="240" w:firstLine="567"/>
        <w:spacing w:after="0" w:line="264" w:lineRule="auto"/>
        <w:rPr>
          <w:sz w:val="20"/>
          <w:szCs w:val="20"/>
          <w:color w:val="auto"/>
        </w:rPr>
      </w:pPr>
      <w:r>
        <w:rPr>
          <w:rFonts w:ascii="Arial" w:cs="Arial" w:eastAsia="Arial" w:hAnsi="Arial"/>
          <w:sz w:val="18"/>
          <w:szCs w:val="18"/>
          <w:color w:val="auto"/>
        </w:rPr>
        <w:t>In connection with the issuance of the Term B &amp; C Loans, we issued detachable, fully vested warrants to purchase an aggregate of 82,416 shares of Series C Preferred Stock at an exercise price of $4.55 per share to the lenders. The grant-date fair value of the warrants of $0.9 million was recorded as a liability, with a reduction to the carrying value of the Term B &amp; 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65" w:right="239" w:bottom="1440" w:gutter="0" w:footer="0" w:header="0"/>
        </w:sectPr>
      </w:pPr>
    </w:p>
    <w:bookmarkStart w:id="94" w:name="page95"/>
    <w:bookmarkEnd w:id="94"/>
    <w:p>
      <w:pPr>
        <w:spacing w:after="0" w:line="297" w:lineRule="auto"/>
        <w:rPr>
          <w:sz w:val="20"/>
          <w:szCs w:val="20"/>
          <w:color w:val="auto"/>
        </w:rPr>
      </w:pPr>
      <w:r>
        <w:rPr>
          <w:rFonts w:ascii="Arial" w:cs="Arial" w:eastAsia="Arial" w:hAnsi="Arial"/>
          <w:sz w:val="16"/>
          <w:szCs w:val="16"/>
          <w:color w:val="auto"/>
        </w:rPr>
        <w:t>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 As discussed in Note 7 below, all of the outstanding warrants to purchase shares of preferred stock automatically converted into warrants to purchase shares of common stock in connection with the IPO and were accounted for as equity from the conversion date forward. All warrants related to Term Loans were exercised during the year ended December 31, 2017.</w:t>
      </w:r>
    </w:p>
    <w:p>
      <w:pPr>
        <w:spacing w:after="0" w:line="15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costs incurred to issue the Term Loans were deferred and are included in the discount to the carrying value of the Term Loans in the accompanying balance sheet. The Term Loans also include a final payment fee of $0.8 million due at the earlier of prepayment or the maturity date of the Term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80" w:firstLine="567"/>
        <w:spacing w:after="0" w:line="312" w:lineRule="auto"/>
        <w:rPr>
          <w:sz w:val="20"/>
          <w:szCs w:val="20"/>
          <w:color w:val="auto"/>
        </w:rPr>
      </w:pPr>
      <w:r>
        <w:rPr>
          <w:rFonts w:ascii="Arial" w:cs="Arial" w:eastAsia="Arial" w:hAnsi="Arial"/>
          <w:sz w:val="16"/>
          <w:szCs w:val="16"/>
          <w:color w:val="auto"/>
        </w:rPr>
        <w:t>As of December 31, 2018, the carrying amount of the Term Loans was $8.2 million, which includes amortized final payment fees of $0.1 million and of which $7.6 million is classified as current liabilities as of December 31, 2018. The effective interest rate on the Term Loans at December 31, 2018 was 13.32%. As of December 31, 2018, future principal maturities of the Term Loans were $7.5 million, and $0.6 million in 2019 and 2020, respectively.</w:t>
      </w:r>
    </w:p>
    <w:p>
      <w:pPr>
        <w:spacing w:after="0" w:line="147"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As of December 31, 2018, we were in compliance with the covenants contained in the Loan Agreement.</w:t>
      </w:r>
    </w:p>
    <w:p>
      <w:pPr>
        <w:spacing w:after="0" w:line="275" w:lineRule="exact"/>
        <w:rPr>
          <w:sz w:val="20"/>
          <w:szCs w:val="20"/>
          <w:color w:val="auto"/>
        </w:rPr>
      </w:pPr>
    </w:p>
    <w:p>
      <w:pPr>
        <w:ind w:left="260" w:right="6520" w:hanging="252"/>
        <w:spacing w:after="0" w:line="503" w:lineRule="auto"/>
        <w:tabs>
          <w:tab w:leader="none" w:pos="197"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jc w:val="both"/>
        <w:ind w:right="160" w:firstLine="567"/>
        <w:spacing w:after="0" w:line="286" w:lineRule="auto"/>
        <w:rPr>
          <w:sz w:val="20"/>
          <w:szCs w:val="20"/>
          <w:color w:val="auto"/>
        </w:rPr>
      </w:pPr>
      <w:r>
        <w:rPr>
          <w:rFonts w:ascii="Arial" w:cs="Arial" w:eastAsia="Arial" w:hAnsi="Arial"/>
          <w:sz w:val="17"/>
          <w:szCs w:val="17"/>
          <w:color w:val="auto"/>
        </w:rPr>
        <w:t>Our financial instruments consist principally of cash, cash equivalents, restricted cash, short-term and long-term investments, receivables, accounts payable, notes payable and, through January 31, 2017, preferred stock warrant liabilities. Certain of our financial assets and liabilities have been recorded at fair value in the consolidated balance sheet in accordance with the accounting standards for fair value measurements.</w:t>
      </w:r>
    </w:p>
    <w:p>
      <w:pPr>
        <w:spacing w:after="0" w:line="166"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3 - Unobservable inputs that are supported by little or no market activities, therefore requiring an entity to develop its own assumptions.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800" w:right="259" w:bottom="1440" w:gutter="0" w:footer="0" w:header="0"/>
        </w:sectPr>
      </w:pPr>
    </w:p>
    <w:bookmarkStart w:id="95" w:name="page96"/>
    <w:bookmarkEnd w:id="95"/>
    <w:p>
      <w:pPr>
        <w:ind w:left="3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FF0FC"/>
            </w:tcBorders>
            <w:gridSpan w:val="3"/>
            <w:shd w:val="clear" w:color="auto" w:fill="CFF0FC"/>
          </w:tcPr>
          <w:p>
            <w:pPr>
              <w:ind w:left="40"/>
              <w:spacing w:after="0" w:line="189" w:lineRule="exact"/>
              <w:rPr>
                <w:sz w:val="20"/>
                <w:szCs w:val="20"/>
                <w:color w:val="auto"/>
              </w:rPr>
            </w:pPr>
            <w:r>
              <w:rPr>
                <w:rFonts w:ascii="Arial" w:cs="Arial" w:eastAsia="Arial" w:hAnsi="Arial"/>
                <w:sz w:val="18"/>
                <w:szCs w:val="18"/>
                <w:b w:val="1"/>
                <w:bCs w:val="1"/>
                <w:color w:val="auto"/>
              </w:rPr>
              <w:t>At December 31, 2018</w:t>
            </w: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680" w:type="dxa"/>
            <w:vAlign w:val="bottom"/>
            <w:tcBorders>
              <w:top w:val="single" w:sz="8" w:color="auto"/>
            </w:tcBorders>
            <w:shd w:val="clear" w:color="auto" w:fill="CFF0FC"/>
          </w:tcPr>
          <w:p>
            <w:pPr>
              <w:spacing w:after="0"/>
              <w:rPr>
                <w:sz w:val="5"/>
                <w:szCs w:val="5"/>
                <w:color w:val="auto"/>
              </w:rPr>
            </w:pPr>
          </w:p>
        </w:tc>
        <w:tc>
          <w:tcPr>
            <w:tcW w:w="344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87,213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87,213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7,967</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164,245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164,245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4,784</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4,784</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81,296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81,296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(1)(2)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153,983</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153,983</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At December 31, 2017</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41,318</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41,318</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28,817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28,817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79,397</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79,397</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 xml:space="preserve">Agency securities </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59,948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59,948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111,660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111,660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and restricted cash in the accompanying consolidated balance sheets.</w:t>
      </w:r>
    </w:p>
    <w:p>
      <w:pPr>
        <w:spacing w:after="0" w:line="28"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81" w:lineRule="exact"/>
        <w:rPr>
          <w:sz w:val="20"/>
          <w:szCs w:val="20"/>
          <w:color w:val="auto"/>
        </w:rPr>
      </w:pPr>
    </w:p>
    <w:p>
      <w:pPr>
        <w:jc w:val="both"/>
        <w:ind w:right="200" w:firstLine="567"/>
        <w:spacing w:after="0" w:line="312" w:lineRule="auto"/>
        <w:rPr>
          <w:sz w:val="20"/>
          <w:szCs w:val="20"/>
          <w:color w:val="auto"/>
        </w:rPr>
      </w:pPr>
      <w:r>
        <w:rPr>
          <w:rFonts w:ascii="Arial" w:cs="Arial" w:eastAsia="Arial" w:hAnsi="Arial"/>
          <w:sz w:val="16"/>
          <w:szCs w:val="16"/>
          <w:i w:val="1"/>
          <w:iCs w:val="1"/>
          <w:color w:val="auto"/>
        </w:rPr>
        <w:t xml:space="preserve">Warrant Liabilities. </w:t>
      </w:r>
      <w:r>
        <w:rPr>
          <w:rFonts w:ascii="Arial" w:cs="Arial" w:eastAsia="Arial" w:hAnsi="Arial"/>
          <w:sz w:val="16"/>
          <w:szCs w:val="16"/>
          <w:color w:val="auto"/>
        </w:rPr>
        <w:t>Our preferred stock warrants were accounted for as derivative liabilities and measured at fair value on a recurring basis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2017 as they contained features that were either not afforded equity classification or embodied risks that were not clearly and closely related to host contracts. We estimated the fair value of these derivatives utilizing the Black-Scholes option-pricing model, which required Level 3 inputs.</w:t>
      </w:r>
    </w:p>
    <w:p>
      <w:pPr>
        <w:spacing w:after="0" w:line="147"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As discussed in Note 7 below,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upon subsequent remeasurement using the Black-Scholes option-pricing model at each reporting date.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weighted-average assumptions were utilized in estimating the value of the liabilities for Series C preferred stock warrants using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January 31, 2017, the conversion date: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00"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15"/>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98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r>
      <w:tr>
        <w:trPr>
          <w:trHeight w:val="250"/>
        </w:trPr>
        <w:tc>
          <w:tcPr>
            <w:tcW w:w="9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Fair value of preferred stock</w:t>
            </w:r>
          </w:p>
        </w:tc>
        <w:tc>
          <w:tcPr>
            <w:tcW w:w="32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8"/>
                <w:szCs w:val="18"/>
                <w:color w:val="auto"/>
              </w:rPr>
              <w:t>16.95</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320" w:type="dxa"/>
            <w:vAlign w:val="bottom"/>
            <w:gridSpan w:val="2"/>
          </w:tcPr>
          <w:p>
            <w:pPr>
              <w:jc w:val="right"/>
              <w:ind w:right="128"/>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4.55</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Contractual term (in years)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3.8</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Weighted-average measurement date fair value per share</w:t>
            </w:r>
          </w:p>
        </w:tc>
        <w:tc>
          <w:tcPr>
            <w:tcW w:w="32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8"/>
                <w:szCs w:val="18"/>
                <w:color w:val="auto"/>
              </w:rPr>
              <w:t>13.71</w:t>
            </w:r>
          </w:p>
        </w:tc>
      </w:tr>
      <w:tr>
        <w:trPr>
          <w:trHeight w:val="418"/>
        </w:trPr>
        <w:tc>
          <w:tcPr>
            <w:tcW w:w="11420" w:type="dxa"/>
            <w:vAlign w:val="bottom"/>
            <w:gridSpan w:val="4"/>
          </w:tcPr>
          <w:p>
            <w:pPr>
              <w:jc w:val="right"/>
              <w:ind w:right="215"/>
              <w:spacing w:after="0"/>
              <w:rPr>
                <w:sz w:val="20"/>
                <w:szCs w:val="20"/>
                <w:color w:val="auto"/>
              </w:rPr>
            </w:pPr>
            <w:r>
              <w:rPr>
                <w:rFonts w:ascii="Arial" w:cs="Arial" w:eastAsia="Arial" w:hAnsi="Arial"/>
                <w:sz w:val="18"/>
                <w:szCs w:val="18"/>
                <w:color w:val="auto"/>
                <w:w w:val="96"/>
              </w:rPr>
              <w:t>The following table summarizes the activity in liabilities measured at fair value on a recurring basis using significant unobservable inputs (Level 3</w:t>
            </w:r>
          </w:p>
        </w:tc>
      </w:t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Inputs):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01"/>
        </w:trPr>
        <w:tc>
          <w:tcPr>
            <w:tcW w:w="9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Year Ended December</w:t>
            </w:r>
          </w:p>
        </w:tc>
      </w:tr>
      <w:tr>
        <w:trPr>
          <w:trHeight w:val="192"/>
        </w:trPr>
        <w:tc>
          <w:tcPr>
            <w:tcW w:w="9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31,</w:t>
            </w:r>
          </w:p>
        </w:tc>
      </w:tr>
      <w:tr>
        <w:trPr>
          <w:trHeight w:val="197"/>
        </w:trPr>
        <w:tc>
          <w:tcPr>
            <w:tcW w:w="986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r>
      <w:tr>
        <w:trPr>
          <w:trHeight w:val="250"/>
        </w:trPr>
        <w:tc>
          <w:tcPr>
            <w:tcW w:w="9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Preferred Stock Warrant Liabilities:</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(3,241)</w:t>
            </w:r>
          </w:p>
        </w:tc>
      </w:tr>
      <w:tr>
        <w:trPr>
          <w:trHeight w:val="27"/>
        </w:trPr>
        <w:tc>
          <w:tcPr>
            <w:tcW w:w="9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gains (losses) included in other expense</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Reclassification of warrant liabilities to equity</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4,607</w:t>
            </w:r>
          </w:p>
        </w:tc>
      </w:tr>
      <w:tr>
        <w:trPr>
          <w:trHeight w:val="27"/>
        </w:trPr>
        <w:tc>
          <w:tcPr>
            <w:tcW w:w="98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9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98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of our other financial instruments estimated as of December 31, 2018 and December 31, 2017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1"/>
              </w:rPr>
              <w:t>December 31, 2018</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66"/>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1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8,199</w:t>
            </w:r>
          </w:p>
        </w:tc>
        <w:tc>
          <w:tcPr>
            <w:tcW w:w="12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8,806</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14,428</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15,650</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225"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187" w:lineRule="exact"/>
        <w:rPr>
          <w:sz w:val="20"/>
          <w:szCs w:val="20"/>
          <w:color w:val="auto"/>
        </w:rPr>
      </w:pPr>
    </w:p>
    <w:p>
      <w:pPr>
        <w:ind w:right="480" w:firstLine="609"/>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225"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2018 are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955"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Unrealized Losses</w:t>
            </w:r>
          </w:p>
        </w:tc>
        <w:tc>
          <w:tcPr>
            <w:tcW w:w="28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1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81,371</w:t>
            </w:r>
          </w:p>
        </w:tc>
        <w:tc>
          <w:tcPr>
            <w:tcW w:w="12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23"/>
                <w:szCs w:val="23"/>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FF0FC"/>
            </w:tcBorders>
            <w:shd w:val="clear" w:color="auto" w:fill="CFF0FC"/>
          </w:tcPr>
          <w:p>
            <w:pPr>
              <w:spacing w:after="0"/>
              <w:rPr>
                <w:sz w:val="23"/>
                <w:szCs w:val="23"/>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81,296</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(3)</w:t>
            </w:r>
          </w:p>
        </w:tc>
        <w:tc>
          <w:tcPr>
            <w:tcW w:w="2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154,070</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153,983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FF0FC"/>
            </w:tcBorders>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164,251</w:t>
            </w:r>
          </w:p>
        </w:tc>
        <w:tc>
          <w:tcPr>
            <w:tcW w:w="1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164,245</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404,476</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404,308</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43053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-205105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-205105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4305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-899795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-899795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460" w:right="120" w:hanging="452"/>
        <w:spacing w:after="0" w:line="216" w:lineRule="auto"/>
        <w:tabs>
          <w:tab w:leader="none" w:pos="4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$67.4 million have maturity dates of less than one year and $13.9 million have a maturity date of between one to two years as of December 31, 2018.</w:t>
      </w:r>
    </w:p>
    <w:p>
      <w:pPr>
        <w:spacing w:after="0" w:line="1" w:lineRule="exact"/>
        <w:rPr>
          <w:rFonts w:ascii="Arial" w:cs="Arial" w:eastAsia="Arial" w:hAnsi="Arial"/>
          <w:sz w:val="25"/>
          <w:szCs w:val="25"/>
          <w:color w:val="auto"/>
          <w:vertAlign w:val="superscript"/>
        </w:rPr>
      </w:pPr>
    </w:p>
    <w:p>
      <w:pPr>
        <w:ind w:left="460" w:hanging="452"/>
        <w:spacing w:after="0" w:line="202" w:lineRule="auto"/>
        <w:tabs>
          <w:tab w:leader="none" w:pos="4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All of our outstanding certificates of deposit have a maturity date of between one to two years as of December 31, 2018.</w:t>
      </w:r>
    </w:p>
    <w:p>
      <w:pPr>
        <w:spacing w:after="0" w:line="29" w:lineRule="exact"/>
        <w:rPr>
          <w:rFonts w:ascii="Arial" w:cs="Arial" w:eastAsia="Arial" w:hAnsi="Arial"/>
          <w:sz w:val="25"/>
          <w:szCs w:val="25"/>
          <w:color w:val="auto"/>
          <w:vertAlign w:val="superscript"/>
        </w:rPr>
      </w:pPr>
    </w:p>
    <w:p>
      <w:pPr>
        <w:ind w:left="460" w:right="220" w:hanging="452"/>
        <w:spacing w:after="0" w:line="208" w:lineRule="auto"/>
        <w:tabs>
          <w:tab w:leader="none" w:pos="4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Of our outstanding commercial and corporate obligations, $126.8 million have maturity dates of less than one year and $27.2 million have a maturity date of between one to two years as of December 31, 2018.</w:t>
      </w:r>
    </w:p>
    <w:p>
      <w:pPr>
        <w:spacing w:after="0" w:line="14" w:lineRule="exact"/>
        <w:rPr>
          <w:rFonts w:ascii="Arial" w:cs="Arial" w:eastAsia="Arial" w:hAnsi="Arial"/>
          <w:sz w:val="25"/>
          <w:szCs w:val="25"/>
          <w:color w:val="auto"/>
          <w:vertAlign w:val="superscript"/>
        </w:rPr>
      </w:pPr>
    </w:p>
    <w:p>
      <w:pPr>
        <w:ind w:left="460" w:right="80" w:hanging="452"/>
        <w:spacing w:after="0" w:line="216" w:lineRule="auto"/>
        <w:tabs>
          <w:tab w:leader="none" w:pos="4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Of our outstanding U.S. Treasury securities $137.0 million have maturity dates of less than one year and $27.3 million have a maturity date of between one to two years as of December 31, 2018.</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17" w:lineRule="exact"/>
        <w:rPr>
          <w:sz w:val="20"/>
          <w:szCs w:val="20"/>
          <w:color w:val="auto"/>
        </w:rPr>
      </w:pPr>
    </w:p>
    <w:p>
      <w:pPr>
        <w:ind w:right="220" w:firstLine="567"/>
        <w:spacing w:after="0" w:line="264" w:lineRule="auto"/>
        <w:rPr>
          <w:sz w:val="20"/>
          <w:szCs w:val="20"/>
          <w:color w:val="auto"/>
        </w:rPr>
      </w:pPr>
      <w:r>
        <w:rPr>
          <w:rFonts w:ascii="Arial" w:cs="Arial" w:eastAsia="Arial" w:hAnsi="Arial"/>
          <w:sz w:val="18"/>
          <w:szCs w:val="18"/>
          <w:color w:val="auto"/>
        </w:rPr>
        <w:t>On January 31, 2017, upon completion of our IPO, we amended our Certificate of Incorporation to increase the number of authorized shares of common stock to 500,000,000 with a par value of $0.001 and decrease the number of authorized shares of preferred stock to 10,000,000 with a par value of $0.001 per share.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340" w:firstLine="567"/>
        <w:spacing w:after="0" w:line="342" w:lineRule="auto"/>
        <w:rPr>
          <w:sz w:val="20"/>
          <w:szCs w:val="20"/>
          <w:color w:val="auto"/>
        </w:rPr>
      </w:pPr>
      <w:r>
        <w:rPr>
          <w:rFonts w:ascii="Arial" w:cs="Arial" w:eastAsia="Arial" w:hAnsi="Arial"/>
          <w:sz w:val="16"/>
          <w:szCs w:val="16"/>
          <w:color w:val="auto"/>
        </w:rPr>
        <w:t>Of the 500,000,000 shares of common stock authorized, 26,921,822 shares were issued and outstanding as of December 31, 2018. Common stock reserved for future issuance upon the exercise, issuance or conversion of the respective equity instruments at December 31, 2018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Issued and Outstanding:</w:t>
            </w:r>
          </w:p>
        </w:tc>
        <w:tc>
          <w:tcPr>
            <w:tcW w:w="1380" w:type="dxa"/>
            <w:vAlign w:val="bottom"/>
            <w:shd w:val="clear" w:color="auto" w:fill="CCEEFF"/>
          </w:tcPr>
          <w:p>
            <w:pPr>
              <w:spacing w:after="0"/>
              <w:rPr>
                <w:sz w:val="23"/>
                <w:szCs w:val="23"/>
                <w:color w:val="auto"/>
              </w:rPr>
            </w:pPr>
          </w:p>
        </w:tc>
      </w:tr>
      <w:tr>
        <w:trPr>
          <w:trHeight w:val="257"/>
        </w:trPr>
        <w:tc>
          <w:tcPr>
            <w:tcW w:w="10020" w:type="dxa"/>
            <w:vAlign w:val="bottom"/>
            <w:gridSpan w:val="2"/>
          </w:tcPr>
          <w:p>
            <w:pPr>
              <w:ind w:left="280"/>
              <w:spacing w:after="0"/>
              <w:rPr>
                <w:sz w:val="20"/>
                <w:szCs w:val="20"/>
                <w:color w:val="auto"/>
              </w:rPr>
            </w:pPr>
            <w:r>
              <w:rPr>
                <w:rFonts w:ascii="Arial" w:cs="Arial" w:eastAsia="Arial" w:hAnsi="Arial"/>
                <w:sz w:val="18"/>
                <w:szCs w:val="18"/>
                <w:color w:val="auto"/>
              </w:rPr>
              <w:t>Stock options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2,152,455</w:t>
            </w:r>
          </w:p>
        </w:tc>
      </w:tr>
      <w:tr>
        <w:trPr>
          <w:trHeight w:val="27"/>
        </w:trPr>
        <w:tc>
          <w:tcPr>
            <w:tcW w:w="100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0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Reserved For:</w:t>
            </w:r>
          </w:p>
        </w:tc>
        <w:tc>
          <w:tcPr>
            <w:tcW w:w="1380" w:type="dxa"/>
            <w:vAlign w:val="bottom"/>
            <w:tcBorders>
              <w:bottom w:val="single" w:sz="8" w:color="CCEEFF"/>
            </w:tcBorders>
            <w:shd w:val="clear" w:color="auto" w:fill="CCEEFF"/>
          </w:tcPr>
          <w:p>
            <w:pPr>
              <w:spacing w:after="0"/>
              <w:rPr>
                <w:sz w:val="21"/>
                <w:szCs w:val="21"/>
                <w:color w:val="auto"/>
              </w:rPr>
            </w:pPr>
          </w:p>
        </w:tc>
      </w:tr>
      <w:tr>
        <w:trPr>
          <w:trHeight w:val="257"/>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2017</w:t>
            </w:r>
          </w:p>
        </w:tc>
        <w:tc>
          <w:tcPr>
            <w:tcW w:w="93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2,021,019</w:t>
            </w:r>
          </w:p>
        </w:tc>
      </w:tr>
      <w:tr>
        <w:trPr>
          <w:trHeight w:val="27"/>
        </w:trPr>
        <w:tc>
          <w:tcPr>
            <w:tcW w:w="6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9"/>
              </w:rPr>
              <w:t>2017</w:t>
            </w:r>
          </w:p>
        </w:tc>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455,193</w:t>
            </w:r>
          </w:p>
        </w:tc>
      </w:tr>
      <w:tr>
        <w:trPr>
          <w:trHeight w:val="237"/>
        </w:trPr>
        <w:tc>
          <w:tcPr>
            <w:tcW w:w="660" w:type="dxa"/>
            <w:vAlign w:val="bottom"/>
          </w:tcPr>
          <w:p>
            <w:pPr>
              <w:ind w:left="40"/>
              <w:spacing w:after="0"/>
              <w:rPr>
                <w:sz w:val="20"/>
                <w:szCs w:val="20"/>
                <w:color w:val="auto"/>
              </w:rPr>
            </w:pPr>
            <w:r>
              <w:rPr>
                <w:rFonts w:ascii="Arial" w:cs="Arial" w:eastAsia="Arial" w:hAnsi="Arial"/>
                <w:sz w:val="18"/>
                <w:szCs w:val="18"/>
                <w:color w:val="auto"/>
              </w:rPr>
              <w:t>Total</w:t>
            </w:r>
          </w:p>
        </w:tc>
        <w:tc>
          <w:tcPr>
            <w:tcW w:w="9360" w:type="dxa"/>
            <w:vAlign w:val="bottom"/>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4,628,667</w:t>
            </w:r>
          </w:p>
        </w:tc>
      </w:tr>
      <w:tr>
        <w:trPr>
          <w:trHeight w:val="27"/>
        </w:trPr>
        <w:tc>
          <w:tcPr>
            <w:tcW w:w="6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jc w:val="both"/>
        <w:ind w:right="560" w:firstLine="567"/>
        <w:spacing w:after="0" w:line="312" w:lineRule="auto"/>
        <w:rPr>
          <w:sz w:val="20"/>
          <w:szCs w:val="20"/>
          <w:color w:val="auto"/>
        </w:rPr>
      </w:pPr>
      <w:r>
        <w:rPr>
          <w:rFonts w:ascii="Arial" w:cs="Arial" w:eastAsia="Arial" w:hAnsi="Arial"/>
          <w:sz w:val="16"/>
          <w:szCs w:val="16"/>
          <w:color w:val="auto"/>
        </w:rPr>
        <w:t>During the year ended December 31, 2018, 16,770 shares of common stock were issued as a result of warrant exercises. During the year ended December 31, 2017, warrants for the purchase of 477,908 shares of common stock were exercised, of which 359,999 were exercised by a net exercise method. As a result, we issued 398,837 shares of common stock. As of December 31, 2018, all warrants have been exercised.</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17"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Certain stock option grants under our 2006 Equity Incentive Plan, or the 2006 Plan, were subject to an early exercise provision. Shares of common stock obtained upon early exercise of unvested options are subject to repurchase by us at the applicable original issue price. During the year ended December 31, 2016, we repurchased 1,457 shares of common stock. No shares were repurchased during the years ended December 31, 2018 or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On January 12, 2017, our board of directors and stockholders approved and adopted the 2017 Equity Incentive Plan, or the 2017 Plan. The 2017 Plan became effective upon the execution and delivery of the underwriting agreement for our initial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26" w:right="239" w:bottom="1440" w:gutter="0" w:footer="0" w:header="0"/>
        </w:sectPr>
      </w:pPr>
    </w:p>
    <w:bookmarkStart w:id="98" w:name="page99"/>
    <w:bookmarkEnd w:id="98"/>
    <w:p>
      <w:pPr>
        <w:spacing w:after="0" w:line="276" w:lineRule="auto"/>
        <w:rPr>
          <w:sz w:val="20"/>
          <w:szCs w:val="20"/>
          <w:color w:val="auto"/>
        </w:rPr>
      </w:pPr>
      <w:r>
        <w:rPr>
          <w:rFonts w:ascii="Arial" w:cs="Arial" w:eastAsia="Arial" w:hAnsi="Arial"/>
          <w:sz w:val="17"/>
          <w:szCs w:val="17"/>
          <w:color w:val="auto"/>
        </w:rPr>
        <w:t>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951,656 shares as of January 1, 2018.</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20" w:firstLine="567"/>
        <w:spacing w:after="0" w:line="276"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237,913 shares as of January 1, 2018.</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while stock options granted to directors vest over a one-year period. Each have a maximum term of ten years from the date of grant, subject to earlier cancellation prior to vesting upon cessation of service to us. A summary of the activity related to stock option awards during the year ended December 31, 2018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300" w:type="dxa"/>
            <w:vAlign w:val="bottom"/>
          </w:tcPr>
          <w:p>
            <w:pPr>
              <w:spacing w:after="0"/>
              <w:rPr>
                <w:sz w:val="14"/>
                <w:szCs w:val="14"/>
                <w:color w:val="auto"/>
              </w:rPr>
            </w:pPr>
          </w:p>
        </w:tc>
        <w:tc>
          <w:tcPr>
            <w:tcW w:w="130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 per</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FF0FC"/>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FF0FC"/>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2018</w:t>
            </w:r>
          </w:p>
        </w:tc>
        <w:tc>
          <w:tcPr>
            <w:tcW w:w="16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2,425,903</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368,607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(583,660)</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(58,395)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7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2,152,455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90,143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vMerge w:val="continue"/>
          </w:tcPr>
          <w:p>
            <w:pPr>
              <w:spacing w:after="0"/>
              <w:rPr>
                <w:sz w:val="21"/>
                <w:szCs w:val="21"/>
                <w:color w:val="auto"/>
              </w:rPr>
            </w:pP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1,265,626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65,718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cash received from the exercise of stock options was approximately $2.9 million during the year ended December 31, 2018.</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13335</wp:posOffset>
            </wp:positionV>
            <wp:extent cx="30702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9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6.25</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94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8"/>
              </w:rPr>
              <w:t>61.41</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4.35</w:t>
            </w:r>
          </w:p>
        </w:tc>
      </w:tr>
      <w:tr>
        <w:trPr>
          <w:trHeight w:val="27"/>
        </w:trPr>
        <w:tc>
          <w:tcPr>
            <w:tcW w:w="65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r>
    </w:tbl>
    <w:p>
      <w:pPr>
        <w:spacing w:after="0" w:line="148" w:lineRule="exact"/>
        <w:rPr>
          <w:sz w:val="20"/>
          <w:szCs w:val="20"/>
          <w:color w:val="auto"/>
        </w:rPr>
      </w:pPr>
    </w:p>
    <w:p>
      <w:pPr>
        <w:ind w:right="60" w:firstLine="567"/>
        <w:spacing w:after="0" w:line="297" w:lineRule="auto"/>
        <w:rPr>
          <w:sz w:val="20"/>
          <w:szCs w:val="20"/>
          <w:color w:val="auto"/>
        </w:rPr>
      </w:pPr>
      <w:r>
        <w:rPr>
          <w:rFonts w:ascii="Arial" w:cs="Arial" w:eastAsia="Arial" w:hAnsi="Arial"/>
          <w:sz w:val="16"/>
          <w:szCs w:val="16"/>
          <w:color w:val="auto"/>
        </w:rPr>
        <w:t>We determine the appropriate risk free interest rate, expected term for employee stock based awards, contractual term for non-employee stock-based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stock-based awards is the remaining contractual life of the award. Estimated volatility incorporates historical volatility of similar entities whose share prices are publicly available. The risk free interest rate is based upon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92" w:right="239" w:bottom="1440" w:gutter="0" w:footer="0" w:header="0"/>
        </w:sectPr>
      </w:pPr>
    </w:p>
    <w:bookmarkStart w:id="99" w:name="page100"/>
    <w:bookmarkEnd w:id="99"/>
    <w:p>
      <w:pPr>
        <w:ind w:right="60"/>
        <w:spacing w:after="0" w:line="277" w:lineRule="auto"/>
        <w:rPr>
          <w:sz w:val="20"/>
          <w:szCs w:val="20"/>
          <w:color w:val="auto"/>
        </w:rPr>
      </w:pPr>
      <w:r>
        <w:rPr>
          <w:rFonts w:ascii="Arial" w:cs="Arial" w:eastAsia="Arial" w:hAnsi="Arial"/>
          <w:sz w:val="18"/>
          <w:szCs w:val="18"/>
          <w:color w:val="auto"/>
        </w:rPr>
        <w:t>Treasury securities with remaining terms similar to the expected or contractual term of the stock-based payment awards. The assumed dividend yield is based on our expectation of not paying dividends in the foreseeable future.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There were 368,607, 1,099,806 and 330,622 stock options granted during the years ended December 31, 2018, 2017 and 2016, respectively.</w:t>
      </w:r>
    </w:p>
    <w:p>
      <w:pPr>
        <w:spacing w:after="0" w:line="237" w:lineRule="exact"/>
        <w:rPr>
          <w:sz w:val="20"/>
          <w:szCs w:val="20"/>
          <w:color w:val="auto"/>
        </w:rPr>
      </w:pPr>
    </w:p>
    <w:p>
      <w:pPr>
        <w:ind w:right="780" w:firstLine="567"/>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740</w:t>
            </w:r>
          </w:p>
        </w:tc>
      </w:tr>
      <w:tr>
        <w:trPr>
          <w:trHeight w:val="27"/>
        </w:trPr>
        <w:tc>
          <w:tcPr>
            <w:tcW w:w="67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9,961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1,160</w:t>
            </w: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At December 31, 2018, there was $25.6 million of unrecognized compensation cost related to unvested stock option awards, which is expected to be recognized over a remaining weighted average vesting period of 2.36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360" w:firstLine="567"/>
        <w:spacing w:after="0" w:line="255" w:lineRule="auto"/>
        <w:rPr>
          <w:sz w:val="20"/>
          <w:szCs w:val="20"/>
          <w:color w:val="auto"/>
        </w:rPr>
      </w:pPr>
      <w:r>
        <w:rPr>
          <w:rFonts w:ascii="Arial" w:cs="Arial" w:eastAsia="Arial" w:hAnsi="Arial"/>
          <w:sz w:val="18"/>
          <w:szCs w:val="18"/>
          <w:color w:val="auto"/>
        </w:rPr>
        <w:t>Our Australian subsidiary, which conducts core research and development activities on our behalf, is eligible to receive a 43.5% refundable tax incentive for qualified research and development activities during fiscal 2018 and fiscal 2017, and 45.0% during fiscal 2016. For the years ended December 31, 2018, 2017 and 2016, $0.1 million, $1.5 million and $7.2 million, respectively, were recorded as a reduction to research and development expenses in the consolidated statements of operations and comprehensive loss. As of December 31, 2018 our tax incentive receivable from the Australian government was $0.2 million. We received approximately $1.5 million and $4.6 million in cash during the years ended December 31, 2018 and 2017, respectively, related to the tax incentive.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ind w:right="300" w:firstLine="567"/>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2018, 2017 and 2016.</w:t>
      </w:r>
    </w:p>
    <w:p>
      <w:pPr>
        <w:spacing w:after="0" w:line="291" w:lineRule="exact"/>
        <w:rPr>
          <w:sz w:val="20"/>
          <w:szCs w:val="20"/>
          <w:color w:val="auto"/>
        </w:rPr>
      </w:pPr>
    </w:p>
    <w:p>
      <w:pPr>
        <w:ind w:left="300" w:right="8600" w:hanging="292"/>
        <w:spacing w:after="0" w:line="425" w:lineRule="auto"/>
        <w:tabs>
          <w:tab w:leader="none" w:pos="277"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In May 2018, we entered into a three-year non-cancellable sub-lease agreement for an additional 18,000 square feet of office space, which we determined to be an operating lease. This lease has three renewal options, each for one year, which we currently do not anticipate exercising. We also continue to lease our headquarters under a non-cancellable operating lease for which we early exercised our option to renew for an additional five-year period in fiscal 2015. Both leases expire in 2021.</w:t>
      </w:r>
    </w:p>
    <w:p>
      <w:pPr>
        <w:spacing w:after="0" w:line="79" w:lineRule="exact"/>
        <w:rPr>
          <w:sz w:val="20"/>
          <w:szCs w:val="20"/>
          <w:color w:val="auto"/>
        </w:rPr>
      </w:pPr>
    </w:p>
    <w:p>
      <w:pPr>
        <w:ind w:right="420" w:firstLine="486"/>
        <w:spacing w:after="0" w:line="312" w:lineRule="auto"/>
        <w:rPr>
          <w:sz w:val="20"/>
          <w:szCs w:val="20"/>
          <w:color w:val="auto"/>
        </w:rPr>
      </w:pPr>
      <w:r>
        <w:rPr>
          <w:rFonts w:ascii="Arial" w:cs="Arial" w:eastAsia="Arial" w:hAnsi="Arial"/>
          <w:sz w:val="16"/>
          <w:szCs w:val="16"/>
          <w:color w:val="auto"/>
        </w:rPr>
        <w:t>Rent expense was $0.7 million, $0.5 million and $0.5 million during the years ended December 31, 2018, 2017 and 2016, respectively. At December 31, 2018, deferred rent aggregated $0.2 million, which is included in both current and noncurrent liabilities in the accompanying consolidated balance sheets. At December 31, 2018, the future minimum annual obligations under non-cancellable operating lease commitments are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46"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2"/>
        </w:trPr>
        <w:tc>
          <w:tcPr>
            <w:tcW w:w="590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 (in thousands)</w:t>
            </w:r>
          </w:p>
        </w:tc>
        <w:tc>
          <w:tcPr>
            <w:tcW w:w="4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1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2020</w:t>
            </w:r>
          </w:p>
        </w:tc>
        <w:tc>
          <w:tcPr>
            <w:tcW w:w="4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969</w:t>
            </w:r>
          </w:p>
        </w:tc>
      </w:tr>
      <w:tr>
        <w:trPr>
          <w:trHeight w:val="27"/>
        </w:trPr>
        <w:tc>
          <w:tcPr>
            <w:tcW w:w="5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2022</w:t>
            </w:r>
          </w:p>
        </w:tc>
        <w:tc>
          <w:tcPr>
            <w:tcW w:w="4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41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2,632</w:t>
            </w:r>
          </w:p>
        </w:tc>
      </w:tr>
      <w:tr>
        <w:trPr>
          <w:trHeight w:val="27"/>
        </w:trPr>
        <w:tc>
          <w:tcPr>
            <w:tcW w:w="59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We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18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19 years and, in some cases, may be subject to earlier termination by either party upon specified circumstances.</w:t>
      </w:r>
    </w:p>
    <w:p>
      <w:pPr>
        <w:spacing w:after="0" w:line="124" w:lineRule="exact"/>
        <w:rPr>
          <w:sz w:val="20"/>
          <w:szCs w:val="20"/>
          <w:color w:val="auto"/>
        </w:rPr>
      </w:pPr>
    </w:p>
    <w:p>
      <w:pPr>
        <w:jc w:val="both"/>
        <w:ind w:right="100" w:firstLine="567"/>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$0.3 million, $0.5 million and $0.3 million during the years ended December 31, 2018, 2017 and 2016, respectively. Total cash paid under these agreements was $0.2 million, $0.6 million, and $0.2 million during the years ended December 31, 2018, 2017, and 2016, respectively.</w:t>
      </w:r>
    </w:p>
    <w:p>
      <w:pPr>
        <w:spacing w:after="0" w:line="181"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Future minimum annual obligations under all such license agreements will be $0.2 million in aggregate during 2019, and thereafter. These obligations are payable through ten years from the first commercial sale, if any, or expiration of the last patent to expire, the dates of which are not determinable at this time.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93" w:lineRule="exact"/>
        <w:rPr>
          <w:sz w:val="20"/>
          <w:szCs w:val="20"/>
          <w:color w:val="auto"/>
        </w:rPr>
      </w:pPr>
    </w:p>
    <w:p>
      <w:pPr>
        <w:jc w:val="both"/>
        <w:ind w:right="280" w:firstLine="567"/>
        <w:spacing w:after="0" w:line="259" w:lineRule="auto"/>
        <w:rPr>
          <w:sz w:val="20"/>
          <w:szCs w:val="20"/>
          <w:color w:val="auto"/>
        </w:rPr>
      </w:pPr>
      <w:r>
        <w:rPr>
          <w:rFonts w:ascii="Arial" w:cs="Arial" w:eastAsia="Arial" w:hAnsi="Arial"/>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06" w:right="239" w:bottom="1440" w:gutter="0" w:footer="0" w:header="0"/>
        </w:sectPr>
      </w:pPr>
    </w:p>
    <w:bookmarkStart w:id="101" w:name="page102"/>
    <w:bookmarkEnd w:id="101"/>
    <w:p>
      <w:pPr>
        <w:ind w:right="100" w:firstLine="567"/>
        <w:spacing w:after="0" w:line="342" w:lineRule="auto"/>
        <w:rPr>
          <w:sz w:val="20"/>
          <w:szCs w:val="20"/>
          <w:color w:val="auto"/>
        </w:rPr>
      </w:pPr>
      <w:r>
        <w:rPr>
          <w:rFonts w:ascii="Arial" w:cs="Arial" w:eastAsia="Arial" w:hAnsi="Arial"/>
          <w:sz w:val="16"/>
          <w:szCs w:val="16"/>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24"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We believe that the fair value of these indemnification obligations is minimal. Accordingly, we have not recognized any liabilities relating to these obligations for any period presented.</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At December 31, 2018 and 2017, we were contingently liable for a standby letter of credit issued by a commercial bank for $60,000 for security on our lease. A restricted cash account with these amounts was held as cash collateral for the letter of credit.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right="20" w:firstLine="567"/>
        <w:spacing w:after="0" w:line="342" w:lineRule="auto"/>
        <w:rPr>
          <w:sz w:val="20"/>
          <w:szCs w:val="20"/>
          <w:color w:val="auto"/>
        </w:rPr>
      </w:pPr>
      <w:r>
        <w:rPr>
          <w:rFonts w:ascii="Arial" w:cs="Arial" w:eastAsia="Arial" w:hAnsi="Arial"/>
          <w:sz w:val="16"/>
          <w:szCs w:val="16"/>
          <w:color w:val="auto"/>
        </w:rPr>
        <w:t>We are, from time to time, involved in legal proceedings, regulatory actions, claims and litigation arising in the ordinary course of business. Currently, we are not involved in any legal proceeding that we expect to have a material effect on our business, financial condition, results of operations and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loss before income tax benefit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80"/>
              <w:spacing w:after="0"/>
              <w:rPr>
                <w:sz w:val="20"/>
                <w:szCs w:val="20"/>
                <w:color w:val="auto"/>
              </w:rPr>
            </w:pPr>
            <w:r>
              <w:rPr>
                <w:rFonts w:ascii="Arial" w:cs="Arial" w:eastAsia="Arial" w:hAnsi="Arial"/>
                <w:sz w:val="18"/>
                <w:szCs w:val="18"/>
                <w:color w:val="auto"/>
                <w:w w:val="98"/>
              </w:rPr>
              <w:t>Significant components of our deferred tax assets and liabilities are as follows: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35,499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23,867</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23,810</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assets, net of valuation allowance</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recorded a full valuation allowance against our net deferred tax assets due to the uncertainty surrounding the realization of such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At December 31, 2018, we had federal and state net operating loss carryforwards, or NOLs, of $145.3 million and $59.1 million, respectively. The federal and state NOLs will both begin to expire in 2028, unless previously utilized. The federal NOLs include $85.2 million of net operating losses generated in 2018. Federal net operating losses generated in 2018 carryforward indefinitely and may generally be used to offset up to 80% of future taxable income in the year it is utilized. At December 31, 2018 we had federal and California research tax credit carryforwards of $6.1 million and $5.9 million, respectively. The federal research tax credit carryforwards will begin to expire in 2026 and the California state credits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801"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carryforward indefinitely. We also have foreign tax losses of $2.7 million, which will carry forward indefinitely, subject to a continuity of ownership test.</w:t>
      </w:r>
    </w:p>
    <w:p>
      <w:pPr>
        <w:spacing w:after="0" w:line="237" w:lineRule="exact"/>
        <w:rPr>
          <w:sz w:val="20"/>
          <w:szCs w:val="20"/>
          <w:color w:val="auto"/>
        </w:rPr>
      </w:pPr>
    </w:p>
    <w:p>
      <w:pPr>
        <w:ind w:right="100" w:firstLine="567"/>
        <w:spacing w:after="0" w:line="287" w:lineRule="auto"/>
        <w:rPr>
          <w:sz w:val="20"/>
          <w:szCs w:val="20"/>
          <w:color w:val="auto"/>
        </w:rPr>
      </w:pPr>
      <w:r>
        <w:rPr>
          <w:rFonts w:ascii="Arial" w:cs="Arial" w:eastAsia="Arial" w:hAnsi="Arial"/>
          <w:sz w:val="16"/>
          <w:szCs w:val="16"/>
          <w:color w:val="auto"/>
        </w:rPr>
        <w:t>The above NOLs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through December 31, 2018, noting an ownership change in 2017 that may limit the utilization of Federal and State NOLs. Our use of federal NOLs could be limited further by the provisions of Section 382 of the Code depending upon the timing and amount of additional equity securities that we have issued or will issue. State NOLs may be similarly limited. If limited, the related asset would be removed from the deferred tax asset schedule with a corresponding reduction in the valuation allowance. Due to the existence of the valuation allowance, limitations created by ownership changes will not impact our effective tax rate.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income tax benefit at federal statutory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items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Equity compensation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preferred stock warrant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expenditure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AMT credit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Return to provision adjustment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differential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 rate adjustment - tax reform</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the valuation allowance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60" w:right="80" w:hanging="126"/>
        <w:spacing w:after="0" w:line="268" w:lineRule="auto"/>
        <w:tabs>
          <w:tab w:leader="none" w:pos="335"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Includes non-deductible stock-based compensation and, beginning in 2017, excess tax benefits from stock-based compensation. During fiscal 2018, our tax provision includes $4.9 million of excess tax benefits associated with the exercise of non-qualified stock options and $2.2 million associated with the disqualifying dispositions of incentive stock options. During fiscal 2017, our tax provision includes $0.4 million of excess tax benefits associated with the exercise of non-qualified stock options and $0.7 million associated with the disqualifying dispositions of incentive stock options.</w:t>
      </w:r>
    </w:p>
    <w:p>
      <w:pPr>
        <w:spacing w:after="0" w:line="182"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The Tax Cuts and Jobs Act, or the 2017 Act, was enacted on December 22, 2017, and includes a number of changes to existing U.S. tax laws that impact us, most notably a reduction of the U.S. corporate income tax rate from 35% to 21% for tax years beginning after December 31, 2017. The 2017 Act also provides for a one-time transition tax on certain foreign earnings and the acceleration of depreciation for certain assets placed in service after September 27, 2017 as well as prospective changes beginning in 2018, including additional limitations on: executive compensation; the deductibility of interest; the usage of NOLs against taxable income; the capitalization of research and development expenditures. While the 2017 Act provides for a territorial tax system, beginning in 2018, it includes two new U.S. tax base erosion provision, the global intangible low-taxed income, or GILTI provisions and the base-erosion and anti-abuse tax, or BEAT, provisions.</w:t>
      </w:r>
    </w:p>
    <w:p>
      <w:pPr>
        <w:spacing w:after="0" w:line="189" w:lineRule="exact"/>
        <w:rPr>
          <w:sz w:val="20"/>
          <w:szCs w:val="20"/>
          <w:color w:val="auto"/>
        </w:rPr>
      </w:pPr>
    </w:p>
    <w:p>
      <w:pPr>
        <w:ind w:right="20" w:firstLine="567"/>
        <w:spacing w:after="0" w:line="312" w:lineRule="auto"/>
        <w:rPr>
          <w:sz w:val="20"/>
          <w:szCs w:val="20"/>
          <w:color w:val="auto"/>
        </w:rPr>
      </w:pPr>
      <w:r>
        <w:rPr>
          <w:rFonts w:ascii="Arial" w:cs="Arial" w:eastAsia="Arial" w:hAnsi="Arial"/>
          <w:sz w:val="16"/>
          <w:szCs w:val="16"/>
          <w:color w:val="auto"/>
        </w:rPr>
        <w:t>We completed our analysis of the 2017 Act income tax effects and remeasured our deferred tax assets and liabilities to reflect the reduction in the U.S. corporate income tax rate from 35% to 21% percent, resulting in a $7.6 million increase in tax expense for the year ended December 31, 2017 and a corresponding $7.6 million decrease in net deferred tax assets for the year ended December 31, 2017. The impact was fully offset by a valuation allowance.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00" w:right="239" w:bottom="1440" w:gutter="0" w:footer="0" w:header="0"/>
        </w:sectPr>
      </w:pPr>
    </w:p>
    <w:bookmarkStart w:id="103" w:name="page104"/>
    <w:bookmarkEnd w:id="103"/>
    <w:p>
      <w:pPr>
        <w:ind w:right="200" w:firstLine="567"/>
        <w:spacing w:after="0" w:line="255" w:lineRule="auto"/>
        <w:rPr>
          <w:sz w:val="20"/>
          <w:szCs w:val="20"/>
          <w:color w:val="auto"/>
        </w:rPr>
      </w:pPr>
      <w:r>
        <w:rPr>
          <w:rFonts w:ascii="Arial" w:cs="Arial" w:eastAsia="Arial" w:hAnsi="Arial"/>
          <w:sz w:val="18"/>
          <w:szCs w:val="18"/>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Act. We applied the guidance in SAB 118 when accounting for all of the enactment-date income tax effects of the Act under ASC 740, Income Taxes, related to the remeasurement of deferred tax assets and liabilities. As of December 31, 2018, we have completed our accounting for all of the enactment-date income tax effects of the Act and no adjustments were made to the provisional amounts recorded at December 31, 2017.</w:t>
      </w:r>
    </w:p>
    <w:p>
      <w:pPr>
        <w:spacing w:after="0" w:line="193" w:lineRule="exact"/>
        <w:rPr>
          <w:sz w:val="20"/>
          <w:szCs w:val="20"/>
          <w:color w:val="auto"/>
        </w:rPr>
      </w:pPr>
    </w:p>
    <w:p>
      <w:pPr>
        <w:ind w:right="460" w:firstLine="567"/>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2018 and 2017,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Increase related to prior year tax positions</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related to current year tax positions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591</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567"/>
        <w:spacing w:after="0" w:line="308" w:lineRule="auto"/>
        <w:rPr>
          <w:sz w:val="20"/>
          <w:szCs w:val="20"/>
          <w:color w:val="auto"/>
        </w:rPr>
      </w:pPr>
      <w:r>
        <w:rPr>
          <w:rFonts w:ascii="Arial" w:cs="Arial" w:eastAsia="Arial" w:hAnsi="Arial"/>
          <w:sz w:val="17"/>
          <w:szCs w:val="17"/>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147"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2018, 2017 and 2016, there were no interest or penalties on uncertain tax benefits.</w:t>
      </w:r>
    </w:p>
    <w:p>
      <w:pPr>
        <w:spacing w:after="0" w:line="170"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is a summary of our quarterly results for the years ended December 31, 2018 and 2017 (in thousands, except for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71"/>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6"/>
                <w:szCs w:val="6"/>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First</w:t>
            </w:r>
          </w:p>
        </w:tc>
        <w:tc>
          <w:tcPr>
            <w:tcW w:w="1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Second</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(15,086)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(16,994)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(61,656)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Loss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80"/>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71"/>
        </w:trPr>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6"/>
                <w:szCs w:val="6"/>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First</w:t>
            </w:r>
          </w:p>
        </w:tc>
        <w:tc>
          <w:tcPr>
            <w:tcW w:w="1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Second</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(11,435)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(6,861)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(30,070)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Loss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As of December 31, 2018, our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Based on this evaluation, our Chief Executive Officer and Chief Financial Officer concluded that, as of December 31, 2018, the design and operation of our disclosure controls and procedures were effective at a reasonable assurance level.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2018. In making this assessment, management used the criteria set forth by the Committee of Sponsoring Organizations of the Treadway Commission (COSO) in Internal Control—Integrated Framework issued in 2013. Based upon the assessments, management has concluded that as of December 31, 2018 our internal control over financial reporting was effective to provide reasonable assurance regarding the reliability of financial reporting and the preparation of financial statements in accordance with GAAP. The effectiveness of our internal control over financial reporting as of December 31, 2018 has been audited by KPMG LLP, an independent registered public accounting firm, as stated in their report which is included herein.</w:t>
      </w:r>
    </w:p>
    <w:p>
      <w:pPr>
        <w:spacing w:after="0" w:line="17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certifications of our Chief Executive Officer and Chief Financial Officer required under Section 302 of the Sarbanes-Oxley Act have been filed as Exhibits 31.1 and 31.2 to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2018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 xml:space="preserve">We have audited AnaptysBio, Inc. and subsidiary (the Company) internal control over financial reporting as of December 31, 2018, based oncriteria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796" w:right="259" w:bottom="1440" w:gutter="0" w:footer="0" w:header="0"/>
        </w:sectPr>
      </w:pPr>
    </w:p>
    <w:bookmarkStart w:id="105" w:name="page106"/>
    <w:bookmarkEnd w:id="105"/>
    <w:p>
      <w:pPr>
        <w:ind w:right="30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and comprehensive loss, convertible preferred stock and stockholders’ equity (deficit), and cash flows for each of the years in the three-year period ended December 31, 2018, and the related notes (collectively, the consolidated financial statements), and our report dated February 28, 2019 expressed an unqualified opinion on those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584" w:right="2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“Executive Officers,” “Election of Class I Directors,” “Corporate Governance Standards and Director Independence” and “Security Ownership of certain Beneficial Owners and Management” in our Definitive Proxy Statement with respect to our 2019 Annual Meeting of Stockholders to be filed with the SEC within 120 days after the end of the fiscal year covered by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00"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“Executive Compensation,” “Election of Class I Directors,” and “Corporate Governance Standards and Director Independence” in our Definitive Proxy Statement with respect to our 2019 Annual Meeting of Stockholders to be filed with the SEC within 120 days after the end of the fiscal year covered by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Information required by this Item is incorporated herein by reference to the section titled “Security Ownership of Certain Beneficial Owners and Management” and “Equity Compensation Plan Information” in our Definitive Proxy Statement with respect to our 2019 Annual Meeting of Stockholders to be filed with the SEC within 120 days after the end of the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2019 Annual Meeting of Stockholders to be filed with the SEC within 120 days after the end of the fiscal year covered by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right="160" w:firstLine="567"/>
        <w:spacing w:after="0" w:line="264" w:lineRule="auto"/>
        <w:rPr>
          <w:sz w:val="20"/>
          <w:szCs w:val="20"/>
          <w:color w:val="auto"/>
        </w:rPr>
      </w:pPr>
      <w:r>
        <w:rPr>
          <w:rFonts w:ascii="Arial" w:cs="Arial" w:eastAsia="Arial" w:hAnsi="Arial"/>
          <w:sz w:val="18"/>
          <w:szCs w:val="18"/>
          <w:color w:val="auto"/>
        </w:rPr>
        <w:t>Information required by this Item is incorporated herein by reference to the section titled “Ratification of Independent Registered Public Accounting Firm” in our Definitive Proxy Statement with respect to our 2019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96"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760" w:hanging="185"/>
        <w:spacing w:after="0"/>
        <w:tabs>
          <w:tab w:leader="none" w:pos="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 Consolidated Financial Statement Schedules</w:t>
      </w:r>
    </w:p>
    <w:p>
      <w:pPr>
        <w:spacing w:after="0" w:line="117" w:lineRule="exact"/>
        <w:rPr>
          <w:sz w:val="20"/>
          <w:szCs w:val="20"/>
          <w:color w:val="auto"/>
        </w:rPr>
      </w:pPr>
    </w:p>
    <w:p>
      <w:pPr>
        <w:ind w:right="620" w:firstLine="1148"/>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 Exhibits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960"/>
              <w:spacing w:after="0"/>
              <w:rPr>
                <w:sz w:val="20"/>
                <w:szCs w:val="20"/>
                <w:color w:val="auto"/>
              </w:rPr>
            </w:pPr>
            <w:r>
              <w:rPr>
                <w:rFonts w:ascii="Arial" w:cs="Arial" w:eastAsia="Arial" w:hAnsi="Arial"/>
                <w:sz w:val="14"/>
                <w:szCs w:val="14"/>
                <w:b w:val="1"/>
                <w:bCs w:val="1"/>
                <w:color w:val="auto"/>
                <w:w w:val="99"/>
              </w:rPr>
              <w:t>Incorporated by reference</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vMerge w:val="restart"/>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7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820" w:type="dxa"/>
            <w:vAlign w:val="bottom"/>
          </w:tcPr>
          <w:p>
            <w:pPr>
              <w:jc w:val="right"/>
              <w:ind w:right="482"/>
              <w:spacing w:after="0" w:line="202"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4"/>
          </w:tcPr>
          <w:p>
            <w:pPr>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Amended and Restated Certificate of Incorporation, as</w:t>
              </w:r>
            </w:hyperlink>
          </w:p>
        </w:tc>
        <w:tc>
          <w:tcPr>
            <w:tcW w:w="7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10-Q</w:t>
            </w:r>
          </w:p>
        </w:tc>
        <w:tc>
          <w:tcPr>
            <w:tcW w:w="138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001-37985</w:t>
            </w:r>
          </w:p>
        </w:tc>
        <w:tc>
          <w:tcPr>
            <w:tcW w:w="100" w:type="dxa"/>
            <w:vAlign w:val="bottom"/>
          </w:tcPr>
          <w:p>
            <w:pPr>
              <w:spacing w:after="0"/>
              <w:rPr>
                <w:sz w:val="17"/>
                <w:szCs w:val="17"/>
                <w:color w:val="auto"/>
              </w:rPr>
            </w:pPr>
          </w:p>
        </w:tc>
        <w:tc>
          <w:tcPr>
            <w:tcW w:w="80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3"/>
              </w:rPr>
              <w:t>May 12, 2017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currently in effect.</w:t>
              </w:r>
            </w:hyperlink>
          </w:p>
        </w:tc>
        <w:tc>
          <w:tcPr>
            <w:tcW w:w="2600" w:type="dxa"/>
            <w:vAlign w:val="bottom"/>
            <w:tcBorders>
              <w:top w:val="single" w:sz="8" w:color="0000FF"/>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420"/>
          </w:cols>
          <w:pgMar w:left="240" w:top="580" w:right="239" w:bottom="1440" w:gutter="0" w:footer="0" w:header="0"/>
        </w:sectPr>
      </w:pPr>
    </w:p>
    <w:tbl>
      <w:tblPr>
        <w:tblLayout w:type="fixed"/>
        <w:tblInd w:w="40" w:type="dxa"/>
        <w:tblCellMar>
          <w:top w:w="0" w:type="dxa"/>
          <w:left w:w="0" w:type="dxa"/>
          <w:bottom w:w="0" w:type="dxa"/>
          <w:right w:w="0" w:type="dxa"/>
        </w:tblCellMar>
      </w:tblPr>
      <w:tr>
        <w:trPr>
          <w:trHeight w:val="207"/>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3.2</w:t>
            </w:r>
          </w:p>
        </w:tc>
        <w:tc>
          <w:tcPr>
            <w:tcW w:w="3680" w:type="dxa"/>
            <w:vAlign w:val="bottom"/>
            <w:gridSpan w:val="5"/>
          </w:tcPr>
          <w:p>
            <w:pPr>
              <w:spacing w:after="0"/>
              <w:rPr>
                <w:rFonts w:ascii="Arial" w:cs="Arial" w:eastAsia="Arial" w:hAnsi="Arial"/>
                <w:sz w:val="18"/>
                <w:szCs w:val="18"/>
                <w:color w:val="0000FF"/>
              </w:rPr>
            </w:pPr>
            <w:hyperlink r:id="rId43">
              <w:r>
                <w:rPr>
                  <w:rFonts w:ascii="Arial" w:cs="Arial" w:eastAsia="Arial" w:hAnsi="Arial"/>
                  <w:sz w:val="18"/>
                  <w:szCs w:val="18"/>
                  <w:color w:val="0000FF"/>
                </w:rPr>
                <w:t>Restated Bylaws, as currently in effect.</w:t>
              </w:r>
            </w:hyperlink>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4.1</w:t>
            </w:r>
          </w:p>
        </w:tc>
        <w:tc>
          <w:tcPr>
            <w:tcW w:w="262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Form of Common Stock Certificate.</w:t>
              </w:r>
            </w:hyperlink>
          </w:p>
        </w:tc>
        <w:tc>
          <w:tcPr>
            <w:tcW w:w="200" w:type="dxa"/>
            <w:vAlign w:val="bottom"/>
            <w:tcBorders>
              <w:top w:val="single" w:sz="8" w:color="0000FF"/>
            </w:tcBorders>
          </w:tcPr>
          <w:p>
            <w:pPr>
              <w:spacing w:after="0"/>
              <w:rPr>
                <w:sz w:val="21"/>
                <w:szCs w:val="21"/>
                <w:color w:val="auto"/>
              </w:rPr>
            </w:pPr>
          </w:p>
        </w:tc>
        <w:tc>
          <w:tcPr>
            <w:tcW w:w="860" w:type="dxa"/>
            <w:vAlign w:val="bottom"/>
            <w:gridSpan w:val="3"/>
          </w:tcPr>
          <w:p>
            <w:pPr>
              <w:spacing w:after="0"/>
              <w:rPr>
                <w:sz w:val="21"/>
                <w:szCs w:val="21"/>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4.2</w:t>
            </w:r>
          </w:p>
        </w:tc>
        <w:tc>
          <w:tcPr>
            <w:tcW w:w="3680" w:type="dxa"/>
            <w:vAlign w:val="bottom"/>
            <w:gridSpan w:val="5"/>
          </w:tcPr>
          <w:p>
            <w:pPr>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Fourth Amended and Restated Investors’ Rights</w:t>
              </w:r>
            </w:hyperlink>
          </w:p>
        </w:tc>
      </w:tr>
      <w:tr>
        <w:trPr>
          <w:trHeight w:val="20"/>
        </w:trPr>
        <w:tc>
          <w:tcPr>
            <w:tcW w:w="92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Agreement, dated July 13, 2015, by and among the</w:t>
              </w:r>
            </w:hyperlink>
          </w:p>
        </w:tc>
      </w:tr>
      <w:tr>
        <w:trPr>
          <w:trHeight w:val="196"/>
        </w:trPr>
        <w:tc>
          <w:tcPr>
            <w:tcW w:w="920" w:type="dxa"/>
            <w:vAlign w:val="bottom"/>
          </w:tcPr>
          <w:p>
            <w:pPr>
              <w:spacing w:after="0"/>
              <w:rPr>
                <w:sz w:val="17"/>
                <w:szCs w:val="17"/>
                <w:color w:val="auto"/>
              </w:rPr>
            </w:pPr>
          </w:p>
        </w:tc>
        <w:tc>
          <w:tcPr>
            <w:tcW w:w="30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Registrant and certain of its stockholders.</w:t>
              </w:r>
            </w:hyperlink>
          </w:p>
        </w:tc>
        <w:tc>
          <w:tcPr>
            <w:tcW w:w="68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9"/>
              </w:rPr>
              <w:t>December 23, 2015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bl>
    <w:p>
      <w:pPr>
        <w:spacing w:after="0" w:line="455" w:lineRule="exact"/>
        <w:rPr>
          <w:sz w:val="20"/>
          <w:szCs w:val="20"/>
          <w:color w:val="auto"/>
        </w:rPr>
      </w:pPr>
    </w:p>
    <w:p>
      <w:pPr>
        <w:sectPr>
          <w:pgSz w:w="11900" w:h="16838" w:orient="portrait"/>
          <w:cols w:equalWidth="0" w:num="2">
            <w:col w:w="4900" w:space="720"/>
            <w:col w:w="5800"/>
          </w:cols>
          <w:pgMar w:left="240" w:top="580"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4420" w:type="dxa"/>
            <w:vAlign w:val="bottom"/>
            <w:gridSpan w:val="19"/>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Indemnity Agreement.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7"/>
              </w:rPr>
              <w:t>September 9, 2015</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4000" w:type="dxa"/>
            <w:vAlign w:val="bottom"/>
            <w:tcBorders>
              <w:bottom w:val="single" w:sz="8" w:color="0000FF"/>
            </w:tcBorders>
            <w:gridSpan w:val="13"/>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Amended and Restated 2006 Equity Incentive Plan and</w:t>
              </w:r>
            </w:hyperlink>
          </w:p>
        </w:tc>
        <w:tc>
          <w:tcPr>
            <w:tcW w:w="420" w:type="dxa"/>
            <w:vAlign w:val="bottom"/>
            <w:gridSpan w:val="6"/>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7"/>
              </w:rPr>
              <w:t>January 17, 2017</w:t>
            </w:r>
          </w:p>
        </w:tc>
      </w:tr>
      <w:tr>
        <w:trPr>
          <w:trHeight w:val="196"/>
        </w:trPr>
        <w:tc>
          <w:tcPr>
            <w:tcW w:w="920" w:type="dxa"/>
            <w:vAlign w:val="bottom"/>
          </w:tcPr>
          <w:p>
            <w:pPr>
              <w:spacing w:after="0"/>
              <w:rPr>
                <w:sz w:val="17"/>
                <w:szCs w:val="17"/>
                <w:color w:val="auto"/>
              </w:rPr>
            </w:pPr>
          </w:p>
        </w:tc>
        <w:tc>
          <w:tcPr>
            <w:tcW w:w="202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forms of award agreements.</w:t>
              </w:r>
            </w:hyperlink>
          </w:p>
        </w:tc>
        <w:tc>
          <w:tcPr>
            <w:tcW w:w="240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4420" w:type="dxa"/>
            <w:vAlign w:val="bottom"/>
            <w:gridSpan w:val="19"/>
          </w:tcPr>
          <w:p>
            <w:pPr>
              <w:spacing w:after="0"/>
              <w:rPr>
                <w:rFonts w:ascii="Arial" w:cs="Arial" w:eastAsia="Arial" w:hAnsi="Arial"/>
                <w:sz w:val="18"/>
                <w:szCs w:val="18"/>
                <w:color w:val="0000FF"/>
              </w:rPr>
            </w:pPr>
            <w:hyperlink r:id="rId48">
              <w:r>
                <w:rPr>
                  <w:rFonts w:ascii="Arial" w:cs="Arial" w:eastAsia="Arial" w:hAnsi="Arial"/>
                  <w:sz w:val="18"/>
                  <w:szCs w:val="18"/>
                  <w:color w:val="0000FF"/>
                </w:rPr>
                <w:t>2017 Equity Incentive Plan, to become effective on the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7"/>
              </w:rPr>
              <w:t>January 17, 2017</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02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date the registration statement is declared effective, and</w:t>
              </w:r>
            </w:hyperlink>
          </w:p>
        </w:tc>
        <w:tc>
          <w:tcPr>
            <w:tcW w:w="40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2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forms of award agreements.</w:t>
              </w:r>
            </w:hyperlink>
          </w:p>
        </w:tc>
        <w:tc>
          <w:tcPr>
            <w:tcW w:w="240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4420" w:type="dxa"/>
            <w:vAlign w:val="bottom"/>
            <w:gridSpan w:val="19"/>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2017 Employee Stock Purchase Plan, to become effective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7"/>
              </w:rPr>
              <w:t>January 17, 2017</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on the date the registration statement is declared effective,</w:t>
              </w:r>
            </w:hyperlink>
          </w:p>
        </w:tc>
        <w:tc>
          <w:tcPr>
            <w:tcW w:w="2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and forms of award agreements.</w:t>
              </w:r>
            </w:hyperlink>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4420" w:type="dxa"/>
            <w:vAlign w:val="bottom"/>
            <w:gridSpan w:val="19"/>
          </w:tcPr>
          <w:p>
            <w:pPr>
              <w:spacing w:after="0"/>
              <w:rPr>
                <w:rFonts w:ascii="Arial" w:cs="Arial" w:eastAsia="Arial" w:hAnsi="Arial"/>
                <w:sz w:val="18"/>
                <w:szCs w:val="18"/>
                <w:color w:val="0000FF"/>
                <w:w w:val="97"/>
              </w:rPr>
            </w:pPr>
            <w:hyperlink r:id="rId50">
              <w:r>
                <w:rPr>
                  <w:rFonts w:ascii="Arial" w:cs="Arial" w:eastAsia="Arial" w:hAnsi="Arial"/>
                  <w:sz w:val="18"/>
                  <w:szCs w:val="18"/>
                  <w:color w:val="0000FF"/>
                  <w:w w:val="97"/>
                </w:rPr>
                <w:t>Employment Agreement, effective as of January 1, 2012,</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2"/>
              </w:rPr>
              <w:t>March 5, 2018</w:t>
            </w: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by and between the Registrant and Hamza Suria, as</w:t>
              </w:r>
            </w:hyperlink>
          </w:p>
        </w:tc>
        <w:tc>
          <w:tcPr>
            <w:tcW w:w="440" w:type="dxa"/>
            <w:vAlign w:val="bottom"/>
            <w:tcBorders>
              <w:top w:val="single" w:sz="8" w:color="0000FF"/>
            </w:tcBorders>
            <w:gridSpan w:val="8"/>
          </w:tcPr>
          <w:p>
            <w:pPr>
              <w:spacing w:after="0"/>
              <w:rPr>
                <w:sz w:val="17"/>
                <w:szCs w:val="17"/>
                <w:color w:val="auto"/>
              </w:rPr>
            </w:pPr>
          </w:p>
        </w:tc>
        <w:tc>
          <w:tcPr>
            <w:tcW w:w="2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amended.</w:t>
              </w:r>
            </w:hyperlink>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4420" w:type="dxa"/>
            <w:vAlign w:val="bottom"/>
            <w:gridSpan w:val="19"/>
          </w:tcPr>
          <w:p>
            <w:pPr>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Employment Agreement, effective as of March 22, 2016,</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December 28, 2016</w:t>
            </w:r>
          </w:p>
        </w:tc>
      </w:tr>
      <w:tr>
        <w:trPr>
          <w:trHeight w:val="196"/>
        </w:trPr>
        <w:tc>
          <w:tcPr>
            <w:tcW w:w="92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by and between the Registrant and Matthew Moyle.</w:t>
              </w:r>
            </w:hyperlink>
          </w:p>
        </w:tc>
        <w:tc>
          <w:tcPr>
            <w:tcW w:w="420" w:type="dxa"/>
            <w:vAlign w:val="bottom"/>
            <w:tcBorders>
              <w:top w:val="single" w:sz="8" w:color="0000FF"/>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4240" w:type="dxa"/>
            <w:vAlign w:val="bottom"/>
            <w:tcBorders>
              <w:bottom w:val="single" w:sz="8" w:color="0000FF"/>
            </w:tcBorders>
            <w:gridSpan w:val="18"/>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Employment Agreement, effective as of October 20, 2014,</w:t>
              </w:r>
            </w:hyperlink>
          </w:p>
        </w:tc>
        <w:tc>
          <w:tcPr>
            <w:tcW w:w="1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2"/>
              </w:rPr>
              <w:t>March 5, 2018</w:t>
            </w: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by and between the Registrant and Marco Londei, as</w:t>
              </w:r>
            </w:hyperlink>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amended.</w:t>
              </w:r>
            </w:hyperlink>
          </w:p>
        </w:tc>
        <w:tc>
          <w:tcPr>
            <w:tcW w:w="6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4420" w:type="dxa"/>
            <w:vAlign w:val="bottom"/>
            <w:gridSpan w:val="19"/>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Employment Agreement, effective as of January 9, 2017,</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2"/>
              </w:rPr>
              <w:t>March 5, 2018</w:t>
            </w:r>
          </w:p>
        </w:tc>
      </w:tr>
      <w:tr>
        <w:trPr>
          <w:trHeight w:val="196"/>
        </w:trPr>
        <w:tc>
          <w:tcPr>
            <w:tcW w:w="920" w:type="dxa"/>
            <w:vAlign w:val="bottom"/>
          </w:tcPr>
          <w:p>
            <w:pPr>
              <w:spacing w:after="0"/>
              <w:rPr>
                <w:sz w:val="17"/>
                <w:szCs w:val="17"/>
                <w:color w:val="auto"/>
              </w:rPr>
            </w:pPr>
          </w:p>
        </w:tc>
        <w:tc>
          <w:tcPr>
            <w:tcW w:w="4160" w:type="dxa"/>
            <w:vAlign w:val="bottom"/>
            <w:tcBorders>
              <w:top w:val="single" w:sz="8" w:color="0000FF"/>
            </w:tcBorders>
            <w:gridSpan w:val="1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by and between the Registrant and Dominic Piscitelli, as</w:t>
              </w:r>
            </w:hyperlink>
          </w:p>
        </w:tc>
        <w:tc>
          <w:tcPr>
            <w:tcW w:w="2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amended.</w:t>
              </w:r>
            </w:hyperlink>
          </w:p>
        </w:tc>
        <w:tc>
          <w:tcPr>
            <w:tcW w:w="34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4420" w:type="dxa"/>
            <w:vAlign w:val="bottom"/>
            <w:gridSpan w:val="19"/>
          </w:tcPr>
          <w:p>
            <w:pPr>
              <w:spacing w:after="0"/>
              <w:rPr>
                <w:rFonts w:ascii="Arial" w:cs="Arial" w:eastAsia="Arial" w:hAnsi="Arial"/>
                <w:sz w:val="18"/>
                <w:szCs w:val="18"/>
                <w:color w:val="0000FF"/>
              </w:rPr>
            </w:pPr>
            <w:hyperlink r:id="rId54">
              <w:r>
                <w:rPr>
                  <w:rFonts w:ascii="Arial" w:cs="Arial" w:eastAsia="Arial" w:hAnsi="Arial"/>
                  <w:sz w:val="18"/>
                  <w:szCs w:val="18"/>
                  <w:color w:val="0000FF"/>
                </w:rPr>
                <w:t>Office Lease, dated April 19, 2011, by and between the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December 23, 2015</w:t>
            </w:r>
          </w:p>
        </w:tc>
      </w:tr>
      <w:tr>
        <w:trPr>
          <w:trHeight w:val="196"/>
        </w:trPr>
        <w:tc>
          <w:tcPr>
            <w:tcW w:w="9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Registrant and Kilroy Realty, L.P., as amended.</w:t>
              </w:r>
            </w:hyperlink>
          </w:p>
        </w:tc>
        <w:tc>
          <w:tcPr>
            <w:tcW w:w="560" w:type="dxa"/>
            <w:vAlign w:val="bottom"/>
            <w:tcBorders>
              <w:top w:val="single" w:sz="8" w:color="0000FF"/>
            </w:tcBorders>
            <w:gridSpan w:val="6"/>
          </w:tcPr>
          <w:p>
            <w:pPr>
              <w:spacing w:after="0"/>
              <w:rPr>
                <w:sz w:val="17"/>
                <w:szCs w:val="17"/>
                <w:color w:val="auto"/>
              </w:rPr>
            </w:pPr>
          </w:p>
        </w:tc>
        <w:tc>
          <w:tcPr>
            <w:tcW w:w="4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3960" w:type="dxa"/>
            <w:vAlign w:val="bottom"/>
            <w:tcBorders>
              <w:bottom w:val="single" w:sz="8" w:color="0000FF"/>
            </w:tcBorders>
            <w:gridSpan w:val="11"/>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Antibody Generation Agreement, dated December 22,</w:t>
              </w:r>
            </w:hyperlink>
          </w:p>
        </w:tc>
        <w:tc>
          <w:tcPr>
            <w:tcW w:w="460" w:type="dxa"/>
            <w:vAlign w:val="bottom"/>
            <w:gridSpan w:val="8"/>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December 28, 2016</w:t>
            </w: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2011, by and between the Registrant and Celgene</w:t>
              </w:r>
            </w:hyperlink>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5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Corporation, as modified.</w:t>
              </w:r>
            </w:hyperlink>
          </w:p>
        </w:tc>
        <w:tc>
          <w:tcPr>
            <w:tcW w:w="86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07"/>
        </w:trPr>
        <w:tc>
          <w:tcPr>
            <w:tcW w:w="9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type w:val="continuous"/>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960"/>
              <w:spacing w:after="0"/>
              <w:rPr>
                <w:sz w:val="20"/>
                <w:szCs w:val="20"/>
                <w:color w:val="auto"/>
              </w:rPr>
            </w:pPr>
            <w:r>
              <w:rPr>
                <w:rFonts w:ascii="Arial" w:cs="Arial" w:eastAsia="Arial" w:hAnsi="Arial"/>
                <w:sz w:val="14"/>
                <w:szCs w:val="14"/>
                <w:b w:val="1"/>
                <w:bCs w:val="1"/>
                <w:color w:val="auto"/>
                <w:w w:val="94"/>
              </w:rPr>
              <w:t>Incorporated by reference</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20"/>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3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8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0"/>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7"/>
          </w:tcPr>
          <w:p>
            <w:pPr>
              <w:spacing w:after="0" w:line="202"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Collaboration and Exclusive License Agreement, dated</w:t>
              </w:r>
            </w:hyperlink>
          </w:p>
        </w:tc>
        <w:tc>
          <w:tcPr>
            <w:tcW w:w="460" w:type="dxa"/>
            <w:vAlign w:val="bottom"/>
            <w:gridSpan w:val="7"/>
          </w:tcPr>
          <w:p>
            <w:pPr>
              <w:spacing w:after="0"/>
              <w:rPr>
                <w:sz w:val="17"/>
                <w:szCs w:val="17"/>
                <w:color w:val="auto"/>
              </w:rPr>
            </w:pPr>
          </w:p>
        </w:tc>
        <w:tc>
          <w:tcPr>
            <w:tcW w:w="7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3"/>
              </w:rPr>
              <w:t>May 10, 2016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March 10, 2014, by and among the Registrant, TESARO,</w:t>
              </w:r>
            </w:hyperlink>
          </w:p>
        </w:tc>
        <w:tc>
          <w:tcPr>
            <w:tcW w:w="3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Inc. and TESARO Development, Ltd., as amended.</w:t>
              </w:r>
            </w:hyperlink>
          </w:p>
        </w:tc>
        <w:tc>
          <w:tcPr>
            <w:tcW w:w="74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4"/>
          </w:tcPr>
          <w:p>
            <w:pPr>
              <w:spacing w:after="0"/>
              <w:rPr>
                <w:rFonts w:ascii="Arial" w:cs="Arial" w:eastAsia="Arial" w:hAnsi="Arial"/>
                <w:sz w:val="18"/>
                <w:szCs w:val="18"/>
                <w:color w:val="0000FF"/>
              </w:rPr>
            </w:pPr>
            <w:hyperlink r:id="rId57">
              <w:r>
                <w:rPr>
                  <w:rFonts w:ascii="Arial" w:cs="Arial" w:eastAsia="Arial" w:hAnsi="Arial"/>
                  <w:sz w:val="18"/>
                  <w:szCs w:val="18"/>
                  <w:color w:val="0000FF"/>
                </w:rPr>
                <w:t>License Agreement, dated August 30, 2006, by and</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between the Registrant and Medical Research Council, as</w:t>
              </w:r>
            </w:hyperlink>
          </w:p>
        </w:tc>
        <w:tc>
          <w:tcPr>
            <w:tcW w:w="3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amended.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tcBorders>
              <w:bottom w:val="single" w:sz="8" w:color="0000FF"/>
            </w:tcBorders>
            <w:gridSpan w:val="12"/>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Non-Exclusive Research and Commercial License</w:t>
              </w:r>
            </w:hyperlink>
          </w:p>
        </w:tc>
        <w:tc>
          <w:tcPr>
            <w:tcW w:w="760" w:type="dxa"/>
            <w:vAlign w:val="bottom"/>
            <w:gridSpan w:val="12"/>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Agreement, dated May 15, 2009, by and between the</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Registrant and Millipore Corporation.</w:t>
              </w:r>
            </w:hyperlink>
          </w:p>
        </w:tc>
        <w:tc>
          <w:tcPr>
            <w:tcW w:w="1080" w:type="dxa"/>
            <w:vAlign w:val="bottom"/>
            <w:tcBorders>
              <w:top w:val="single" w:sz="8" w:color="0000FF"/>
            </w:tcBorders>
            <w:gridSpan w:val="5"/>
          </w:tcPr>
          <w:p>
            <w:pPr>
              <w:spacing w:after="0"/>
              <w:rPr>
                <w:sz w:val="17"/>
                <w:szCs w:val="17"/>
                <w:color w:val="auto"/>
              </w:rPr>
            </w:pPr>
          </w:p>
        </w:tc>
        <w:tc>
          <w:tcPr>
            <w:tcW w:w="6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Borders>
              <w:bottom w:val="single" w:sz="8" w:color="0000FF"/>
            </w:tcBorders>
            <w:gridSpan w:val="20"/>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Loan and Security Agreement, dated December 24, 2014,</w:t>
              </w:r>
            </w:hyperlink>
          </w:p>
        </w:tc>
        <w:tc>
          <w:tcPr>
            <w:tcW w:w="300" w:type="dxa"/>
            <w:vAlign w:val="bottom"/>
            <w:gridSpan w:val="4"/>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February 2, 2016</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by and among the Registrant, Oxford Finance LLC and</w:t>
              </w:r>
            </w:hyperlink>
          </w:p>
        </w:tc>
        <w:tc>
          <w:tcPr>
            <w:tcW w:w="4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Silicon Valley Bank, as amended.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4"/>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Employment Agreement, effective August 6, 2018, by and</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November 8, 2018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between Registrant and Eric Loumeau</w:t>
              </w:r>
            </w:hyperlink>
          </w:p>
        </w:tc>
        <w:tc>
          <w:tcPr>
            <w:tcW w:w="2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tcBorders>
              <w:top w:val="single" w:sz="8" w:color="0000FF"/>
            </w:tcBorders>
            <w:gridSpan w:val="10"/>
          </w:tcPr>
          <w:p>
            <w:pPr>
              <w:spacing w:after="0"/>
              <w:rPr>
                <w:rFonts w:ascii="Arial" w:cs="Arial" w:eastAsia="Arial" w:hAnsi="Arial"/>
                <w:sz w:val="18"/>
                <w:szCs w:val="18"/>
                <w:color w:val="0000FF"/>
              </w:rPr>
            </w:pPr>
            <w:hyperlink r:id="rId61">
              <w:r>
                <w:rPr>
                  <w:rFonts w:ascii="Arial" w:cs="Arial" w:eastAsia="Arial" w:hAnsi="Arial"/>
                  <w:sz w:val="18"/>
                  <w:szCs w:val="18"/>
                  <w:color w:val="0000FF"/>
                </w:rPr>
                <w:t>Investor Rights Agreement.</w:t>
              </w:r>
            </w:hyperlink>
          </w:p>
        </w:tc>
        <w:tc>
          <w:tcPr>
            <w:tcW w:w="1700" w:type="dxa"/>
            <w:vAlign w:val="bottom"/>
            <w:gridSpan w:val="14"/>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November 8, 2018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r:id="rId62">
              <w:r>
                <w:rPr>
                  <w:rFonts w:ascii="Arial" w:cs="Arial" w:eastAsia="Arial" w:hAnsi="Arial"/>
                  <w:sz w:val="18"/>
                  <w:szCs w:val="18"/>
                  <w:color w:val="0000FF"/>
                  <w:w w:val="88"/>
                </w:rPr>
                <w:t>Sub-lease Agreement.</w:t>
              </w:r>
            </w:hyperlink>
          </w:p>
        </w:tc>
        <w:tc>
          <w:tcPr>
            <w:tcW w:w="400" w:type="dxa"/>
            <w:vAlign w:val="bottom"/>
            <w:tcBorders>
              <w:top w:val="single" w:sz="8" w:color="0000FF"/>
            </w:tcBorders>
          </w:tcPr>
          <w:p>
            <w:pPr>
              <w:spacing w:after="0"/>
              <w:rPr>
                <w:sz w:val="21"/>
                <w:szCs w:val="21"/>
                <w:color w:val="auto"/>
              </w:rPr>
            </w:pPr>
          </w:p>
        </w:tc>
        <w:tc>
          <w:tcPr>
            <w:tcW w:w="2460" w:type="dxa"/>
            <w:vAlign w:val="bottom"/>
            <w:gridSpan w:val="19"/>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November 8, 2018</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Subsidiaries of the Registrant.</w:t>
              </w:r>
            </w:hyperlink>
          </w:p>
        </w:tc>
        <w:tc>
          <w:tcPr>
            <w:tcW w:w="2280" w:type="dxa"/>
            <w:vAlign w:val="bottom"/>
            <w:gridSpan w:val="18"/>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Consent of KPMG LLP, an independent registered public</w:t>
              </w:r>
            </w:hyperlink>
          </w:p>
        </w:tc>
        <w:tc>
          <w:tcPr>
            <w:tcW w:w="320" w:type="dxa"/>
            <w:vAlign w:val="bottom"/>
            <w:gridSpan w:val="5"/>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13">
              <w:r>
                <w:rPr>
                  <w:rFonts w:ascii="Arial" w:cs="Arial" w:eastAsia="Arial" w:hAnsi="Arial"/>
                  <w:sz w:val="18"/>
                  <w:szCs w:val="18"/>
                  <w:color w:val="0000FF"/>
                  <w:w w:val="92"/>
                </w:rPr>
                <w:t>accounting firm.</w:t>
              </w:r>
            </w:hyperlink>
          </w:p>
        </w:tc>
        <w:tc>
          <w:tcPr>
            <w:tcW w:w="326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4"/>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Power of Attorney</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tcBorders>
              <w:bottom w:val="single" w:sz="8" w:color="0000FF"/>
            </w:tcBorders>
            <w:gridSpan w:val="18"/>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Certification of Principal Executive Officer, pursuant to</w:t>
              </w:r>
            </w:hyperlink>
          </w:p>
        </w:tc>
        <w:tc>
          <w:tcPr>
            <w:tcW w:w="44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line="196" w:lineRule="exact"/>
              <w:rPr>
                <w:rFonts w:ascii="Arial" w:cs="Arial" w:eastAsia="Arial" w:hAnsi="Arial"/>
                <w:sz w:val="18"/>
                <w:szCs w:val="18"/>
                <w:color w:val="0000FF"/>
                <w:w w:val="96"/>
              </w:rPr>
            </w:pPr>
            <w:hyperlink w:anchor="page114">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14">
              <w:r>
                <w:rPr>
                  <w:rFonts w:ascii="Arial" w:cs="Arial" w:eastAsia="Arial" w:hAnsi="Arial"/>
                  <w:sz w:val="18"/>
                  <w:szCs w:val="18"/>
                  <w:color w:val="0000FF"/>
                </w:rPr>
                <w:t>302 of the Sarbanes-Oxley Act of 2002.</w:t>
              </w:r>
            </w:hyperlink>
          </w:p>
        </w:tc>
        <w:tc>
          <w:tcPr>
            <w:tcW w:w="3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bottom w:val="single" w:sz="8" w:color="0000FF"/>
            </w:tcBorders>
            <w:gridSpan w:val="16"/>
          </w:tcPr>
          <w:p>
            <w:pPr>
              <w:spacing w:after="0"/>
              <w:rPr>
                <w:rFonts w:ascii="Arial" w:cs="Arial" w:eastAsia="Arial" w:hAnsi="Arial"/>
                <w:sz w:val="18"/>
                <w:szCs w:val="18"/>
                <w:color w:val="0000FF"/>
                <w:w w:val="93"/>
              </w:rPr>
            </w:pPr>
            <w:hyperlink w:anchor="page115">
              <w:r>
                <w:rPr>
                  <w:rFonts w:ascii="Arial" w:cs="Arial" w:eastAsia="Arial" w:hAnsi="Arial"/>
                  <w:sz w:val="18"/>
                  <w:szCs w:val="18"/>
                  <w:color w:val="0000FF"/>
                  <w:w w:val="93"/>
                </w:rPr>
                <w:t>Certification of Principal Financial Officer, pursuant to</w:t>
              </w:r>
            </w:hyperlink>
          </w:p>
        </w:tc>
        <w:tc>
          <w:tcPr>
            <w:tcW w:w="480" w:type="dxa"/>
            <w:vAlign w:val="bottom"/>
            <w:gridSpan w:val="8"/>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line="196" w:lineRule="exact"/>
              <w:rPr>
                <w:rFonts w:ascii="Arial" w:cs="Arial" w:eastAsia="Arial" w:hAnsi="Arial"/>
                <w:sz w:val="18"/>
                <w:szCs w:val="18"/>
                <w:color w:val="0000FF"/>
                <w:w w:val="96"/>
              </w:rPr>
            </w:pPr>
            <w:hyperlink w:anchor="page115">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15">
              <w:r>
                <w:rPr>
                  <w:rFonts w:ascii="Arial" w:cs="Arial" w:eastAsia="Arial" w:hAnsi="Arial"/>
                  <w:sz w:val="18"/>
                  <w:szCs w:val="18"/>
                  <w:color w:val="0000FF"/>
                </w:rPr>
                <w:t>302 of the Sarbanes-Oxley Act of 2002.</w:t>
              </w:r>
            </w:hyperlink>
          </w:p>
        </w:tc>
        <w:tc>
          <w:tcPr>
            <w:tcW w:w="3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116">
              <w:r>
                <w:rPr>
                  <w:rFonts w:ascii="Arial" w:cs="Arial" w:eastAsia="Arial" w:hAnsi="Arial"/>
                  <w:sz w:val="18"/>
                  <w:szCs w:val="18"/>
                  <w:color w:val="0000FF"/>
                  <w:w w:val="92"/>
                </w:rPr>
                <w:t>Certification of Chief Executive Officer, pursuant to 18</w:t>
              </w:r>
            </w:hyperlink>
          </w:p>
        </w:tc>
        <w:tc>
          <w:tcPr>
            <w:tcW w:w="460" w:type="dxa"/>
            <w:vAlign w:val="bottom"/>
            <w:gridSpan w:val="7"/>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line="196" w:lineRule="exact"/>
              <w:rPr>
                <w:rFonts w:ascii="Arial" w:cs="Arial" w:eastAsia="Arial" w:hAnsi="Arial"/>
                <w:sz w:val="18"/>
                <w:szCs w:val="18"/>
                <w:color w:val="0000FF"/>
                <w:w w:val="93"/>
              </w:rPr>
            </w:pPr>
            <w:hyperlink w:anchor="page116">
              <w:r>
                <w:rPr>
                  <w:rFonts w:ascii="Arial" w:cs="Arial" w:eastAsia="Arial" w:hAnsi="Arial"/>
                  <w:sz w:val="18"/>
                  <w:szCs w:val="18"/>
                  <w:color w:val="0000FF"/>
                  <w:w w:val="93"/>
                </w:rPr>
                <w:t>U.S.C. Section 1350, as adopted pursuant to Section 906 of</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w:anchor="page116">
              <w:r>
                <w:rPr>
                  <w:rFonts w:ascii="Arial" w:cs="Arial" w:eastAsia="Arial" w:hAnsi="Arial"/>
                  <w:sz w:val="18"/>
                  <w:szCs w:val="18"/>
                  <w:color w:val="0000FF"/>
                  <w:w w:val="91"/>
                </w:rPr>
                <w:t>the Sarbanes-Oxley Act of 2002.</w:t>
              </w:r>
            </w:hyperlink>
          </w:p>
        </w:tc>
        <w:tc>
          <w:tcPr>
            <w:tcW w:w="1860" w:type="dxa"/>
            <w:vAlign w:val="bottom"/>
            <w:tcBorders>
              <w:top w:val="single" w:sz="8" w:color="0000FF"/>
            </w:tcBorders>
            <w:gridSpan w:val="14"/>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4"/>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Certification of Chief Financial Officer, pursuant to 18</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4"/>
          </w:tcPr>
          <w:p>
            <w:pPr>
              <w:spacing w:after="0" w:line="196" w:lineRule="exact"/>
              <w:rPr>
                <w:rFonts w:ascii="Arial" w:cs="Arial" w:eastAsia="Arial" w:hAnsi="Arial"/>
                <w:sz w:val="18"/>
                <w:szCs w:val="18"/>
                <w:color w:val="0000FF"/>
                <w:w w:val="93"/>
              </w:rPr>
            </w:pPr>
            <w:hyperlink w:anchor="page117">
              <w:r>
                <w:rPr>
                  <w:rFonts w:ascii="Arial" w:cs="Arial" w:eastAsia="Arial" w:hAnsi="Arial"/>
                  <w:sz w:val="18"/>
                  <w:szCs w:val="18"/>
                  <w:color w:val="0000FF"/>
                  <w:w w:val="93"/>
                </w:rPr>
                <w:t>U.S.C. Section 1350, as adopted pursuant to Section 906 of</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w:anchor="page117">
              <w:r>
                <w:rPr>
                  <w:rFonts w:ascii="Arial" w:cs="Arial" w:eastAsia="Arial" w:hAnsi="Arial"/>
                  <w:sz w:val="18"/>
                  <w:szCs w:val="18"/>
                  <w:color w:val="0000FF"/>
                  <w:w w:val="90"/>
                </w:rPr>
                <w:t>the Sarbanes-Oxley Act of 2002.</w:t>
              </w:r>
            </w:hyperlink>
          </w:p>
        </w:tc>
        <w:tc>
          <w:tcPr>
            <w:tcW w:w="1900" w:type="dxa"/>
            <w:vAlign w:val="bottom"/>
            <w:tcBorders>
              <w:top w:val="single" w:sz="8" w:color="0000FF"/>
            </w:tcBorders>
            <w:gridSpan w:val="15"/>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460" w:type="dxa"/>
            <w:vAlign w:val="bottom"/>
            <w:gridSpan w:val="24"/>
          </w:tcPr>
          <w:p>
            <w:pPr>
              <w:spacing w:after="0"/>
              <w:rPr>
                <w:sz w:val="20"/>
                <w:szCs w:val="20"/>
                <w:color w:val="auto"/>
              </w:rPr>
            </w:pPr>
            <w:r>
              <w:rPr>
                <w:rFonts w:ascii="Arial" w:cs="Arial" w:eastAsia="Arial" w:hAnsi="Arial"/>
                <w:sz w:val="16"/>
                <w:szCs w:val="16"/>
                <w:color w:val="auto"/>
              </w:rPr>
              <w:t>XBRL Report Instance Document</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4460" w:type="dxa"/>
            <w:vAlign w:val="bottom"/>
            <w:gridSpan w:val="24"/>
          </w:tcPr>
          <w:p>
            <w:pPr>
              <w:spacing w:after="0"/>
              <w:rPr>
                <w:sz w:val="20"/>
                <w:szCs w:val="20"/>
                <w:color w:val="auto"/>
              </w:rPr>
            </w:pPr>
            <w:r>
              <w:rPr>
                <w:rFonts w:ascii="Arial" w:cs="Arial" w:eastAsia="Arial" w:hAnsi="Arial"/>
                <w:sz w:val="16"/>
                <w:szCs w:val="16"/>
                <w:color w:val="auto"/>
              </w:rPr>
              <w:t>XBRL Taxonomy Extension Schema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4460" w:type="dxa"/>
            <w:vAlign w:val="bottom"/>
            <w:gridSpan w:val="24"/>
          </w:tcPr>
          <w:p>
            <w:pPr>
              <w:spacing w:after="0"/>
              <w:rPr>
                <w:sz w:val="20"/>
                <w:szCs w:val="20"/>
                <w:color w:val="auto"/>
              </w:rPr>
            </w:pPr>
            <w:r>
              <w:rPr>
                <w:rFonts w:ascii="Arial" w:cs="Arial" w:eastAsia="Arial" w:hAnsi="Arial"/>
                <w:sz w:val="16"/>
                <w:szCs w:val="16"/>
                <w:color w:val="auto"/>
              </w:rPr>
              <w:t>XBRL Taxonomy Calculation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4460" w:type="dxa"/>
            <w:vAlign w:val="bottom"/>
            <w:gridSpan w:val="24"/>
          </w:tcPr>
          <w:p>
            <w:pPr>
              <w:spacing w:after="0"/>
              <w:rPr>
                <w:sz w:val="20"/>
                <w:szCs w:val="20"/>
                <w:color w:val="auto"/>
              </w:rPr>
            </w:pPr>
            <w:r>
              <w:rPr>
                <w:rFonts w:ascii="Arial" w:cs="Arial" w:eastAsia="Arial" w:hAnsi="Arial"/>
                <w:sz w:val="16"/>
                <w:szCs w:val="16"/>
                <w:color w:val="auto"/>
              </w:rPr>
              <w:t>XBRL Taxonomy Label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4460" w:type="dxa"/>
            <w:vAlign w:val="bottom"/>
            <w:gridSpan w:val="24"/>
          </w:tcPr>
          <w:p>
            <w:pPr>
              <w:spacing w:after="0"/>
              <w:rPr>
                <w:sz w:val="20"/>
                <w:szCs w:val="20"/>
                <w:color w:val="auto"/>
              </w:rPr>
            </w:pPr>
            <w:r>
              <w:rPr>
                <w:rFonts w:ascii="Arial" w:cs="Arial" w:eastAsia="Arial" w:hAnsi="Arial"/>
                <w:sz w:val="16"/>
                <w:szCs w:val="16"/>
                <w:color w:val="auto"/>
              </w:rPr>
              <w:t>XBRL Presentation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4"/>
                <w:szCs w:val="24"/>
                <w:color w:val="auto"/>
              </w:rPr>
            </w:pPr>
          </w:p>
        </w:tc>
        <w:tc>
          <w:tcPr>
            <w:tcW w:w="4460" w:type="dxa"/>
            <w:vAlign w:val="bottom"/>
            <w:gridSpan w:val="24"/>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3" w:lineRule="exact"/>
        <w:rPr>
          <w:sz w:val="20"/>
          <w:szCs w:val="20"/>
          <w:color w:val="auto"/>
        </w:rPr>
      </w:pPr>
    </w:p>
    <w:p>
      <w:pPr>
        <w:ind w:left="660" w:right="60" w:hanging="652"/>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660" w:right="720" w:hanging="652"/>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6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219"/>
          </w:cols>
          <w:pgMar w:left="240" w:top="796"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16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ANAPTYSBIO, INC.</w:t>
      </w:r>
    </w:p>
    <w:p>
      <w:pPr>
        <w:spacing w:after="0" w:line="337" w:lineRule="exact"/>
        <w:rPr>
          <w:sz w:val="20"/>
          <w:szCs w:val="20"/>
          <w:color w:val="auto"/>
        </w:rPr>
      </w:pPr>
    </w:p>
    <w:p>
      <w:pPr>
        <w:ind w:left="64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Hamza Suria and Dominic G. Piscitelli,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Hamza Suria</w:t>
            </w:r>
          </w:p>
        </w:tc>
        <w:tc>
          <w:tcPr>
            <w:tcW w:w="340" w:type="dxa"/>
            <w:vAlign w:val="bottom"/>
          </w:tcPr>
          <w:p>
            <w:pPr>
              <w:spacing w:after="0"/>
              <w:rPr>
                <w:sz w:val="24"/>
                <w:szCs w:val="24"/>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President, Chief Executive Officer and Director</w:t>
            </w:r>
          </w:p>
        </w:tc>
        <w:tc>
          <w:tcPr>
            <w:tcW w:w="2060" w:type="dxa"/>
            <w:vAlign w:val="bottom"/>
          </w:tcPr>
          <w:p>
            <w:pPr>
              <w:spacing w:after="0"/>
              <w:rPr>
                <w:sz w:val="24"/>
                <w:szCs w:val="24"/>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Hamza Suria</w:t>
            </w:r>
          </w:p>
        </w:tc>
        <w:tc>
          <w:tcPr>
            <w:tcW w:w="340" w:type="dxa"/>
            <w:vAlign w:val="bottom"/>
          </w:tcPr>
          <w:p>
            <w:pPr>
              <w:spacing w:after="0"/>
              <w:rPr>
                <w:sz w:val="20"/>
                <w:szCs w:val="20"/>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473"/>
        </w:trPr>
        <w:tc>
          <w:tcPr>
            <w:tcW w:w="4240" w:type="dxa"/>
            <w:vAlign w:val="bottom"/>
          </w:tcPr>
          <w:p>
            <w:pPr>
              <w:jc w:val="center"/>
              <w:spacing w:after="0"/>
              <w:rPr>
                <w:sz w:val="20"/>
                <w:szCs w:val="20"/>
                <w:color w:val="auto"/>
              </w:rPr>
            </w:pPr>
            <w:r>
              <w:rPr>
                <w:rFonts w:ascii="Arial" w:cs="Arial" w:eastAsia="Arial" w:hAnsi="Arial"/>
                <w:sz w:val="18"/>
                <w:szCs w:val="18"/>
                <w:color w:val="auto"/>
                <w:w w:val="95"/>
              </w:rPr>
              <w:t>/s/ Dominic G. Piscitelli</w:t>
            </w:r>
          </w:p>
        </w:tc>
        <w:tc>
          <w:tcPr>
            <w:tcW w:w="340" w:type="dxa"/>
            <w:vAlign w:val="bottom"/>
          </w:tcPr>
          <w:p>
            <w:pPr>
              <w:spacing w:after="0"/>
              <w:rPr>
                <w:sz w:val="24"/>
                <w:szCs w:val="24"/>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Chief Financial Officer</w:t>
            </w:r>
          </w:p>
        </w:tc>
        <w:tc>
          <w:tcPr>
            <w:tcW w:w="2060" w:type="dxa"/>
            <w:vAlign w:val="bottom"/>
          </w:tcPr>
          <w:p>
            <w:pPr>
              <w:spacing w:after="0"/>
              <w:rPr>
                <w:sz w:val="24"/>
                <w:szCs w:val="24"/>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5"/>
              </w:rPr>
              <w:t>Dominic G. Piscitelli</w:t>
            </w:r>
          </w:p>
        </w:tc>
        <w:tc>
          <w:tcPr>
            <w:tcW w:w="340" w:type="dxa"/>
            <w:vAlign w:val="bottom"/>
          </w:tcPr>
          <w:p>
            <w:pPr>
              <w:spacing w:after="0"/>
              <w:rPr>
                <w:sz w:val="20"/>
                <w:szCs w:val="20"/>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(Principal Accounting and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473"/>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Dennis Fenton</w:t>
            </w:r>
          </w:p>
        </w:tc>
        <w:tc>
          <w:tcPr>
            <w:tcW w:w="340" w:type="dxa"/>
            <w:vAlign w:val="bottom"/>
          </w:tcPr>
          <w:p>
            <w:pPr>
              <w:spacing w:after="0"/>
              <w:rPr>
                <w:sz w:val="24"/>
                <w:szCs w:val="24"/>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Dennis Fenton, Ph.D.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Nicholas B. Lydon</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Nicholas B. Lydon, Ph.D., FRS</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Hollings Renton</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4"/>
              </w:rPr>
              <w:t>Hollings Renton</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John Schmid</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John Schmid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/s/ James N. Topper</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James N. Topper, M.D., Ph.D.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 Anthony Ware</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28, 2019</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86"/>
        </w:trPr>
        <w:tc>
          <w:tcPr>
            <w:tcW w:w="4240" w:type="dxa"/>
            <w:vAlign w:val="bottom"/>
          </w:tcPr>
          <w:p>
            <w:pPr>
              <w:spacing w:after="0"/>
              <w:rPr>
                <w:sz w:val="24"/>
                <w:szCs w:val="24"/>
                <w:color w:val="auto"/>
              </w:rPr>
            </w:pPr>
          </w:p>
        </w:tc>
        <w:tc>
          <w:tcPr>
            <w:tcW w:w="4780" w:type="dxa"/>
            <w:vAlign w:val="bottom"/>
            <w:gridSpan w:val="2"/>
          </w:tcPr>
          <w:p>
            <w:pPr>
              <w:jc w:val="right"/>
              <w:ind w:right="3092"/>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40" w:type="dxa"/>
            <w:vAlign w:val="bottom"/>
            <w:gridSpan w:val="2"/>
          </w:tcPr>
          <w:p>
            <w:pPr>
              <w:ind w:left="1280"/>
              <w:spacing w:after="0"/>
              <w:rPr>
                <w:sz w:val="20"/>
                <w:szCs w:val="20"/>
                <w:color w:val="auto"/>
              </w:rPr>
            </w:pPr>
            <w:r>
              <w:rPr>
                <w:rFonts w:ascii="Arial" w:cs="Arial" w:eastAsia="Arial" w:hAnsi="Arial"/>
                <w:sz w:val="18"/>
                <w:szCs w:val="18"/>
                <w:b w:val="1"/>
                <w:bCs w:val="1"/>
                <w:color w:val="auto"/>
              </w:rPr>
              <w:t>SUBSIDIARIES OF THE REGISTRANT</w:t>
            </w:r>
          </w:p>
        </w:tc>
      </w:tr>
      <w:tr>
        <w:trPr>
          <w:trHeight w:val="554"/>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 of Subsidiary</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780" w:type="dxa"/>
            <w:vAlign w:val="bottom"/>
            <w:gridSpan w:val="2"/>
          </w:tcPr>
          <w:p>
            <w:pPr>
              <w:spacing w:after="0"/>
              <w:rPr>
                <w:sz w:val="20"/>
                <w:szCs w:val="20"/>
                <w:color w:val="auto"/>
              </w:rPr>
            </w:pPr>
            <w:r>
              <w:rPr>
                <w:rFonts w:ascii="Arial" w:cs="Arial" w:eastAsia="Arial" w:hAnsi="Arial"/>
                <w:sz w:val="18"/>
                <w:szCs w:val="18"/>
                <w:color w:val="auto"/>
              </w:rPr>
              <w:t>AnaptysBio Pty Ltd</w:t>
            </w:r>
          </w:p>
        </w:tc>
        <w:tc>
          <w:tcPr>
            <w:tcW w:w="29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380"/>
          </w:cols>
          <w:pgMar w:left="28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(No. 333-222868) on Form S-3ASR, and registration statement (Nos. 333-215741, 333-223446) on Form S-8 of AnaptysBio, Inc. of our report dated February 28, 2019, with respect to the consolidated balance sheets of AnaptysBio, Inc. as of December 31, 2018 and 2017, and the related consolidated statements of operations and comprehensive loss, convertible preferred stock and stockholders’ equity (deficit),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10-K of AnaptysBio, Inc.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ectPr>
          <w:pgSz w:w="11900" w:h="16838" w:orient="portrait"/>
          <w:cols w:equalWidth="0" w:num="1">
            <w:col w:w="11420"/>
          </w:cols>
          <w:pgMar w:left="240" w:top="81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212"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5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60" w:hanging="169"/>
        <w:spacing w:after="0" w:line="264" w:lineRule="auto"/>
        <w:tabs>
          <w:tab w:leader="none" w:pos="4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43"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AnaptysBio,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880" w:right="740" w:hanging="440"/>
        <w:spacing w:after="0" w:line="342"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2018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740" w:hanging="440"/>
        <w:spacing w:after="0" w:line="342"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2018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upperLetter"/>
      <w:start w:val="68"/>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lvl w:ilvl="1">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lowerRoman"/>
      <w:start w:val="2"/>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2"/>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3"/>
    </w:lvl>
  </w:abstractNum>
  <w:abstractNum w:abstractNumId="44">
    <w:nsid w:val="79A1DEAA"/>
    <w:multiLevelType w:val="hybridMultilevel"/>
    <w:lvl w:ilvl="0">
      <w:lvlJc w:val="left"/>
      <w:lvlText w:val="%1."/>
      <w:numFmt w:val="decimal"/>
      <w:start w:val="4"/>
    </w:lvl>
  </w:abstractNum>
  <w:abstractNum w:abstractNumId="45">
    <w:nsid w:val="75C6C33A"/>
    <w:multiLevelType w:val="hybridMultilevel"/>
    <w:lvl w:ilvl="0">
      <w:lvlJc w:val="left"/>
      <w:lvlText w:val="%1."/>
      <w:numFmt w:val="decimal"/>
      <w:start w:val="6"/>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lowerLetter"/>
      <w:start w:val="1"/>
    </w:lvl>
    <w:lvl w:ilvl="1">
      <w:lvlJc w:val="left"/>
      <w:lvlText w:val="%2."/>
      <w:numFmt w:val="decimal"/>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43" Type="http://schemas.openxmlformats.org/officeDocument/2006/relationships/hyperlink" Target="http://www.sec.gov/Archives/edgar/data/1370053/000137005317000005/anab-033117x10qxexx31.htm" TargetMode="External"/><Relationship Id="rId44" Type="http://schemas.openxmlformats.org/officeDocument/2006/relationships/hyperlink" Target="http://www.sec.gov/Archives/edgar/data/1370053/000119312515412604/d942137dex41.htm" TargetMode="External"/><Relationship Id="rId45" Type="http://schemas.openxmlformats.org/officeDocument/2006/relationships/hyperlink" Target="http://www.sec.gov/Archives/edgar/data/1370053/000119312515315918/d942137dex42.htm" TargetMode="External"/><Relationship Id="rId46" Type="http://schemas.openxmlformats.org/officeDocument/2006/relationships/hyperlink" Target="http://www.sec.gov/Archives/edgar/data/1370053/000119312515315918/d942137dex101.htm" TargetMode="External"/><Relationship Id="rId47" Type="http://schemas.openxmlformats.org/officeDocument/2006/relationships/hyperlink" Target="http://www.sec.gov/Archives/edgar/data/1370053/000119312517010405/d320192dex102.htm" TargetMode="External"/><Relationship Id="rId48" Type="http://schemas.openxmlformats.org/officeDocument/2006/relationships/hyperlink" Target="http://www.sec.gov/Archives/edgar/data/1370053/000119312517010405/d320192dex103.htm" TargetMode="External"/><Relationship Id="rId49" Type="http://schemas.openxmlformats.org/officeDocument/2006/relationships/hyperlink" Target="http://www.sec.gov/Archives/edgar/data/1370053/000119312517010405/d320192dex104.htm" TargetMode="External"/><Relationship Id="rId50" Type="http://schemas.openxmlformats.org/officeDocument/2006/relationships/hyperlink" Target="http://www.sec.gov/Archives/edgar/data/1370053/000137005318000014/ex105employmentagreementha.htm" TargetMode="External"/><Relationship Id="rId51" Type="http://schemas.openxmlformats.org/officeDocument/2006/relationships/hyperlink" Target="http://www.sec.gov/Archives/edgar/data/1370053/000119312516805335/d320192dex106.htm" TargetMode="External"/><Relationship Id="rId52" Type="http://schemas.openxmlformats.org/officeDocument/2006/relationships/hyperlink" Target="http://www.sec.gov/Archives/edgar/data/1370053/000137005318000014/ex107employmentagreementma.htm" TargetMode="External"/><Relationship Id="rId53" Type="http://schemas.openxmlformats.org/officeDocument/2006/relationships/hyperlink" Target="http://www.sec.gov/Archives/edgar/data/1370053/000137005318000014/ex108employmentagreementdo.htm" TargetMode="External"/><Relationship Id="rId54" Type="http://schemas.openxmlformats.org/officeDocument/2006/relationships/hyperlink" Target="http://www.sec.gov/Archives/edgar/data/1370053/000119312515412604/d942137dex108.htm" TargetMode="External"/><Relationship Id="rId55" Type="http://schemas.openxmlformats.org/officeDocument/2006/relationships/hyperlink" Target="http://www.sec.gov/Archives/edgar/data/1370053/000119312516805335/d320192dex109.htm" TargetMode="External"/><Relationship Id="rId56" Type="http://schemas.openxmlformats.org/officeDocument/2006/relationships/hyperlink" Target="http://www.sec.gov/Archives/edgar/data/1370053/000119312516585556/d942137dex1010.htm" TargetMode="External"/><Relationship Id="rId57" Type="http://schemas.openxmlformats.org/officeDocument/2006/relationships/hyperlink" Target="http://www.sec.gov/Archives/edgar/data/1370053/000119312515315918/d942137dex1012.htm" TargetMode="External"/><Relationship Id="rId58" Type="http://schemas.openxmlformats.org/officeDocument/2006/relationships/hyperlink" Target="http://www.sec.gov/Archives/edgar/data/1370053/000119312515315918/d942137dex1013.htm" TargetMode="External"/><Relationship Id="rId59" Type="http://schemas.openxmlformats.org/officeDocument/2006/relationships/hyperlink" Target="http://www.sec.gov/Archives/edgar/data/1370053/000119312516465517/d942137dex1013.htm" TargetMode="External"/><Relationship Id="rId60" Type="http://schemas.openxmlformats.org/officeDocument/2006/relationships/hyperlink" Target="http://www.sec.gov/Archives/edgar/data/1370053/000137005318000052/employementagreementloumeau.htm" TargetMode="External"/><Relationship Id="rId61" Type="http://schemas.openxmlformats.org/officeDocument/2006/relationships/hyperlink" Target="http://www.sec.gov/Archives/edgar/data/1370053/000137005318000037/investorrightsagramend.htm" TargetMode="External"/><Relationship Id="rId62" Type="http://schemas.openxmlformats.org/officeDocument/2006/relationships/hyperlink" Target="http://www.sec.gov/Archives/edgar/data/1370053/000137005318000037/suble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2019-12-28T15:30:49Z</dcterms:created>
  <dcterms:modified xsi:type="dcterms:W3CDTF">2019-12-28T15:30:49Z</dcterms:modified>
</cp:coreProperties>
</file>