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February 24, 2017</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tbl>
      <w:tblPr>
        <w:tblLayout w:type="fixed"/>
        <w:tblInd w:w="1440" w:type="dxa"/>
        <w:tblCellMar>
          <w:top w:w="0" w:type="dxa"/>
          <w:left w:w="0" w:type="dxa"/>
          <w:bottom w:w="0" w:type="dxa"/>
          <w:right w:w="0" w:type="dxa"/>
        </w:tblCellMar>
      </w:tblPr>
      <w:tr>
        <w:trPr>
          <w:trHeight w:val="525"/>
        </w:trPr>
        <w:tc>
          <w:tcPr>
            <w:tcW w:w="6500" w:type="dxa"/>
            <w:vAlign w:val="bottom"/>
            <w:gridSpan w:val="3"/>
          </w:tcPr>
          <w:p>
            <w:pPr>
              <w:jc w:val="center"/>
              <w:ind w:left="1949"/>
              <w:spacing w:after="0"/>
              <w:rPr>
                <w:sz w:val="20"/>
                <w:szCs w:val="20"/>
                <w:color w:val="auto"/>
              </w:rPr>
            </w:pPr>
            <w:r>
              <w:rPr>
                <w:rFonts w:ascii="Arial" w:cs="Arial" w:eastAsia="Arial" w:hAnsi="Arial"/>
                <w:sz w:val="43"/>
                <w:szCs w:val="43"/>
                <w:b w:val="1"/>
                <w:bCs w:val="1"/>
                <w:color w:val="auto"/>
              </w:rPr>
              <w:t>ANAPTYSBIO, INC.</w:t>
            </w:r>
          </w:p>
        </w:tc>
        <w:tc>
          <w:tcPr>
            <w:tcW w:w="1280" w:type="dxa"/>
            <w:vAlign w:val="bottom"/>
          </w:tcPr>
          <w:p>
            <w:pPr>
              <w:spacing w:after="0"/>
              <w:rPr>
                <w:sz w:val="24"/>
                <w:szCs w:val="24"/>
                <w:color w:val="auto"/>
              </w:rPr>
            </w:pPr>
          </w:p>
        </w:tc>
      </w:tr>
      <w:tr>
        <w:trPr>
          <w:trHeight w:val="234"/>
        </w:trPr>
        <w:tc>
          <w:tcPr>
            <w:tcW w:w="6500" w:type="dxa"/>
            <w:vAlign w:val="bottom"/>
            <w:gridSpan w:val="3"/>
          </w:tcPr>
          <w:p>
            <w:pPr>
              <w:jc w:val="center"/>
              <w:ind w:left="1969"/>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80" w:type="dxa"/>
            <w:vAlign w:val="bottom"/>
          </w:tcPr>
          <w:p>
            <w:pPr>
              <w:spacing w:after="0"/>
              <w:rPr>
                <w:sz w:val="20"/>
                <w:szCs w:val="20"/>
                <w:color w:val="auto"/>
              </w:rPr>
            </w:pPr>
          </w:p>
        </w:tc>
      </w:tr>
      <w:tr>
        <w:trPr>
          <w:trHeight w:val="365"/>
        </w:trPr>
        <w:tc>
          <w:tcPr>
            <w:tcW w:w="3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3"/>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1280" w:type="dxa"/>
            <w:vAlign w:val="bottom"/>
          </w:tcPr>
          <w:p>
            <w:pPr>
              <w:spacing w:after="0"/>
              <w:rPr>
                <w:sz w:val="24"/>
                <w:szCs w:val="24"/>
                <w:color w:val="auto"/>
              </w:rPr>
            </w:pPr>
          </w:p>
        </w:tc>
      </w:tr>
      <w:tr>
        <w:trPr>
          <w:trHeight w:val="186"/>
        </w:trPr>
        <w:tc>
          <w:tcPr>
            <w:tcW w:w="6500" w:type="dxa"/>
            <w:vAlign w:val="bottom"/>
            <w:gridSpan w:val="3"/>
          </w:tcPr>
          <w:p>
            <w:pPr>
              <w:jc w:val="center"/>
              <w:ind w:left="1949"/>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1280" w:type="dxa"/>
            <w:vAlign w:val="bottom"/>
          </w:tcPr>
          <w:p>
            <w:pPr>
              <w:spacing w:after="0"/>
              <w:rPr>
                <w:sz w:val="16"/>
                <w:szCs w:val="16"/>
                <w:color w:val="auto"/>
              </w:rPr>
            </w:pPr>
          </w:p>
        </w:tc>
      </w:tr>
      <w:tr>
        <w:trPr>
          <w:trHeight w:val="421"/>
        </w:trPr>
        <w:tc>
          <w:tcPr>
            <w:tcW w:w="3080" w:type="dxa"/>
            <w:vAlign w:val="bottom"/>
          </w:tcPr>
          <w:p>
            <w:pPr>
              <w:jc w:val="center"/>
              <w:ind w:right="89"/>
              <w:spacing w:after="0"/>
              <w:rPr>
                <w:sz w:val="20"/>
                <w:szCs w:val="20"/>
                <w:color w:val="auto"/>
              </w:rPr>
            </w:pPr>
            <w:r>
              <w:rPr>
                <w:rFonts w:ascii="Arial" w:cs="Arial" w:eastAsia="Arial" w:hAnsi="Arial"/>
                <w:sz w:val="18"/>
                <w:szCs w:val="18"/>
                <w:b w:val="1"/>
                <w:bCs w:val="1"/>
                <w:color w:val="auto"/>
                <w:w w:val="90"/>
              </w:rPr>
              <w:t>001-37985</w:t>
            </w:r>
          </w:p>
        </w:tc>
        <w:tc>
          <w:tcPr>
            <w:tcW w:w="2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20-3828755</w:t>
            </w:r>
          </w:p>
        </w:tc>
      </w:tr>
      <w:tr>
        <w:trPr>
          <w:trHeight w:val="149"/>
        </w:trPr>
        <w:tc>
          <w:tcPr>
            <w:tcW w:w="6500" w:type="dxa"/>
            <w:vAlign w:val="bottom"/>
            <w:gridSpan w:val="3"/>
          </w:tcPr>
          <w:p>
            <w:pPr>
              <w:jc w:val="center"/>
              <w:ind w:right="3600"/>
              <w:spacing w:after="0" w:line="149" w:lineRule="exact"/>
              <w:rPr>
                <w:sz w:val="20"/>
                <w:szCs w:val="20"/>
                <w:color w:val="auto"/>
              </w:rPr>
            </w:pPr>
            <w:r>
              <w:rPr>
                <w:rFonts w:ascii="Arial" w:cs="Arial" w:eastAsia="Arial" w:hAnsi="Arial"/>
                <w:sz w:val="14"/>
                <w:szCs w:val="14"/>
                <w:b w:val="1"/>
                <w:bCs w:val="1"/>
                <w:color w:val="auto"/>
                <w:w w:val="92"/>
              </w:rPr>
              <w:t>(Commission</w:t>
            </w:r>
          </w:p>
        </w:tc>
        <w:tc>
          <w:tcPr>
            <w:tcW w:w="128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500" w:type="dxa"/>
            <w:vAlign w:val="bottom"/>
            <w:gridSpan w:val="3"/>
          </w:tcPr>
          <w:p>
            <w:pPr>
              <w:jc w:val="center"/>
              <w:ind w:right="3600"/>
              <w:spacing w:after="0"/>
              <w:rPr>
                <w:sz w:val="20"/>
                <w:szCs w:val="20"/>
                <w:color w:val="auto"/>
              </w:rPr>
            </w:pPr>
            <w:r>
              <w:rPr>
                <w:rFonts w:ascii="Arial" w:cs="Arial" w:eastAsia="Arial" w:hAnsi="Arial"/>
                <w:sz w:val="14"/>
                <w:szCs w:val="14"/>
                <w:b w:val="1"/>
                <w:bCs w:val="1"/>
                <w:color w:val="auto"/>
                <w:w w:val="95"/>
              </w:rPr>
              <w:t>File Number)</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650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2"/>
              </w:rPr>
              <w:t>AnaptysBio, Inc.</w:t>
            </w:r>
          </w:p>
        </w:tc>
        <w:tc>
          <w:tcPr>
            <w:tcW w:w="1280" w:type="dxa"/>
            <w:vAlign w:val="bottom"/>
          </w:tcPr>
          <w:p>
            <w:pPr>
              <w:spacing w:after="0"/>
              <w:rPr>
                <w:sz w:val="24"/>
                <w:szCs w:val="24"/>
                <w:color w:val="auto"/>
              </w:rPr>
            </w:pPr>
          </w:p>
        </w:tc>
      </w:tr>
      <w:tr>
        <w:trPr>
          <w:trHeight w:val="216"/>
        </w:trPr>
        <w:tc>
          <w:tcPr>
            <w:tcW w:w="650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1"/>
              </w:rPr>
              <w:t>10421 Pacific Center Court, Suite 200</w:t>
            </w:r>
          </w:p>
        </w:tc>
        <w:tc>
          <w:tcPr>
            <w:tcW w:w="1280" w:type="dxa"/>
            <w:vAlign w:val="bottom"/>
          </w:tcPr>
          <w:p>
            <w:pPr>
              <w:spacing w:after="0"/>
              <w:rPr>
                <w:sz w:val="18"/>
                <w:szCs w:val="18"/>
                <w:color w:val="auto"/>
              </w:rPr>
            </w:pPr>
          </w:p>
        </w:tc>
      </w:tr>
      <w:tr>
        <w:trPr>
          <w:trHeight w:val="225"/>
        </w:trPr>
        <w:tc>
          <w:tcPr>
            <w:tcW w:w="650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91"/>
              </w:rPr>
              <w:t>San Diego, CA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92121</w:t>
            </w:r>
          </w:p>
        </w:tc>
      </w:tr>
      <w:tr>
        <w:trPr>
          <w:trHeight w:val="186"/>
        </w:trPr>
        <w:tc>
          <w:tcPr>
            <w:tcW w:w="6500" w:type="dxa"/>
            <w:vAlign w:val="bottom"/>
            <w:gridSpan w:val="3"/>
          </w:tcPr>
          <w:p>
            <w:pPr>
              <w:jc w:val="center"/>
              <w:ind w:right="3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460" w:type="dxa"/>
            <w:vAlign w:val="bottom"/>
            <w:gridSpan w:val="2"/>
          </w:tcPr>
          <w:p>
            <w:pPr>
              <w:jc w:val="center"/>
              <w:ind w:left="3009"/>
              <w:spacing w:after="0"/>
              <w:rPr>
                <w:sz w:val="20"/>
                <w:szCs w:val="20"/>
                <w:color w:val="auto"/>
              </w:rPr>
            </w:pPr>
            <w:r>
              <w:rPr>
                <w:rFonts w:ascii="Arial" w:cs="Arial" w:eastAsia="Arial" w:hAnsi="Arial"/>
                <w:sz w:val="18"/>
                <w:szCs w:val="18"/>
                <w:b w:val="1"/>
                <w:bCs w:val="1"/>
                <w:color w:val="auto"/>
                <w:w w:val="90"/>
              </w:rPr>
              <w:t>(858) 362-6295</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6"/>
        </w:trPr>
        <w:tc>
          <w:tcPr>
            <w:tcW w:w="6500" w:type="dxa"/>
            <w:vAlign w:val="bottom"/>
            <w:gridSpan w:val="3"/>
          </w:tcPr>
          <w:p>
            <w:pPr>
              <w:jc w:val="center"/>
              <w:ind w:left="196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80" w:type="dxa"/>
            <w:vAlign w:val="bottom"/>
          </w:tcPr>
          <w:p>
            <w:pPr>
              <w:spacing w:after="0"/>
              <w:rPr>
                <w:sz w:val="16"/>
                <w:szCs w:val="16"/>
                <w:color w:val="auto"/>
              </w:rPr>
            </w:pPr>
          </w:p>
        </w:tc>
      </w:tr>
      <w:tr>
        <w:trPr>
          <w:trHeight w:val="394"/>
        </w:trPr>
        <w:tc>
          <w:tcPr>
            <w:tcW w:w="3080" w:type="dxa"/>
            <w:vAlign w:val="bottom"/>
          </w:tcPr>
          <w:p>
            <w:pPr>
              <w:spacing w:after="0"/>
              <w:rPr>
                <w:sz w:val="24"/>
                <w:szCs w:val="24"/>
                <w:color w:val="auto"/>
              </w:rPr>
            </w:pPr>
          </w:p>
        </w:tc>
        <w:tc>
          <w:tcPr>
            <w:tcW w:w="34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1280" w:type="dxa"/>
            <w:vAlign w:val="bottom"/>
          </w:tcPr>
          <w:p>
            <w:pPr>
              <w:spacing w:after="0"/>
              <w:rPr>
                <w:sz w:val="24"/>
                <w:szCs w:val="24"/>
                <w:color w:val="auto"/>
              </w:rPr>
            </w:pPr>
          </w:p>
        </w:tc>
      </w:tr>
      <w:tr>
        <w:trPr>
          <w:trHeight w:val="186"/>
        </w:trPr>
        <w:tc>
          <w:tcPr>
            <w:tcW w:w="6500" w:type="dxa"/>
            <w:vAlign w:val="bottom"/>
            <w:gridSpan w:val="3"/>
          </w:tcPr>
          <w:p>
            <w:pPr>
              <w:jc w:val="center"/>
              <w:ind w:left="196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ind w:left="1040" w:right="2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February 24, 2017, the Compensation Committee (the “Committee”) of the Board of Directors (the “Board”) of AnaptysBio, Inc. (the “Company”) approved the 2016 annual bonuses for Hamza Suria, Marco Londei and Matthew Moyle, the Company’s named executive officers. The named executive officers’ other compensation for 2016 was previously reported by the Company in the 2016 Summary Compensation Table included in the Company’s prospectus, dated January 26, 2017 (the “Prospectus”), filed with the Securities and Exchange Commission under Rule 424(b) of the Securities Act of 1933, as amended, relating to the Company’s registration statement on Form S-1, as amended (Registration No. 333-206849). As of the date of the Prospectus, the 2016 bonuses for the named executive officers had not been determined and, therefore, were not included in the 2016 Summary Compensation Table. Below is a revised 2016 Summary Compensation Table, which includes the bonuses paid to the named executive officers and revised total compensation figures for 2016: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w:t>
            </w:r>
          </w:p>
        </w:tc>
        <w:tc>
          <w:tcPr>
            <w:tcW w:w="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6"/>
              </w:rPr>
              <w:t>Bonus</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7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Awards(1)</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Compensation</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Hamza Suria, M.B.A.</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President and Chief Executive Officer</w:t>
            </w: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2015</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$382,083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1,170,840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1,650,894</w:t>
            </w:r>
          </w:p>
        </w:tc>
        <w:tc>
          <w:tcPr>
            <w:tcW w:w="0" w:type="dxa"/>
            <w:vAlign w:val="bottom"/>
          </w:tcPr>
          <w:p>
            <w:pPr>
              <w:spacing w:after="0"/>
              <w:rPr>
                <w:sz w:val="1"/>
                <w:szCs w:val="1"/>
                <w:color w:val="auto"/>
              </w:rPr>
            </w:pPr>
          </w:p>
        </w:tc>
      </w:tr>
      <w:tr>
        <w:trPr>
          <w:trHeight w:val="310"/>
        </w:trPr>
        <w:tc>
          <w:tcPr>
            <w:tcW w:w="5360" w:type="dxa"/>
            <w:vAlign w:val="bottom"/>
            <w:gridSpan w:val="2"/>
          </w:tcPr>
          <w:p>
            <w:pPr>
              <w:spacing w:after="0"/>
              <w:rPr>
                <w:sz w:val="20"/>
                <w:szCs w:val="20"/>
                <w:color w:val="auto"/>
              </w:rPr>
            </w:pPr>
            <w:r>
              <w:rPr>
                <w:rFonts w:ascii="Arial" w:cs="Arial" w:eastAsia="Arial" w:hAnsi="Arial"/>
                <w:sz w:val="18"/>
                <w:szCs w:val="18"/>
                <w:color w:val="auto"/>
              </w:rPr>
              <w:t>Matthew Moyle, Ph.D.(2)</w:t>
            </w:r>
          </w:p>
        </w:tc>
        <w:tc>
          <w:tcPr>
            <w:tcW w:w="880" w:type="dxa"/>
            <w:vAlign w:val="bottom"/>
            <w:gridSpan w:val="3"/>
          </w:tcPr>
          <w:p>
            <w:pPr>
              <w:ind w:left="260"/>
              <w:spacing w:after="0"/>
              <w:rPr>
                <w:sz w:val="20"/>
                <w:szCs w:val="20"/>
                <w:color w:val="auto"/>
              </w:rPr>
            </w:pPr>
            <w:r>
              <w:rPr>
                <w:rFonts w:ascii="Arial" w:cs="Arial" w:eastAsia="Arial" w:hAnsi="Arial"/>
                <w:sz w:val="18"/>
                <w:szCs w:val="18"/>
                <w:color w:val="auto"/>
              </w:rPr>
              <w:t>2016</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$181,250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44,405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614,546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37,726(4)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877,927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340"/>
              <w:spacing w:after="0"/>
              <w:rPr>
                <w:sz w:val="20"/>
                <w:szCs w:val="20"/>
                <w:color w:val="auto"/>
              </w:rPr>
            </w:pPr>
            <w:r>
              <w:rPr>
                <w:rFonts w:ascii="Arial" w:cs="Arial" w:eastAsia="Arial" w:hAnsi="Arial"/>
                <w:sz w:val="18"/>
                <w:szCs w:val="18"/>
                <w:i w:val="1"/>
                <w:iCs w:val="1"/>
                <w:color w:val="auto"/>
              </w:rPr>
              <w:t>Chief Scientific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Marco Londei, M.D.</w:t>
            </w: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2016</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$380,000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11,944(5)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Chief Medical Officer</w:t>
            </w:r>
          </w:p>
        </w:tc>
        <w:tc>
          <w:tcPr>
            <w:tcW w:w="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shd w:val="clear" w:color="auto" w:fill="CCEEFF"/>
              </w:rPr>
              <w:t>2015</w:t>
            </w:r>
          </w:p>
        </w:tc>
        <w:tc>
          <w:tcPr>
            <w:tcW w:w="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shd w:val="clear" w:color="auto" w:fill="CCEEFF"/>
              </w:rPr>
              <w:t>$363,333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shd w:val="clear" w:color="auto" w:fill="CCEEFF"/>
              </w:rPr>
              <w:t>81,094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406,049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shd w:val="clear" w:color="auto" w:fill="CCEEFF"/>
              </w:rPr>
              <w:t>42,042(6)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892,518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80" w:hanging="452"/>
        <w:spacing w:after="0" w:line="284"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2015 and 2016, as computed in accordance with FASB ASC Topic 718. The assumptions used in calculating the grant date fair value of the awards reported in the Stock Option Awards column are set forth in Note 8 to the consolidated financial statements in the prospectus for our initial public offering, filed with the U.S. Securities and Exchange Commission (SEC) on January 26, 2017. Note that the amounts reported in this column reflect the aggregate accounting cost for these awards, and do not necessarily correspond to the actual economic value that may be received by the named executive officers from the awards.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Dr. Moyle’s salary and bonus from the commencement of his employment on May 16, 2016, through December 31,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Moyle during the year ended December 31, 2016, consisting of $36,221 for temporary housing and moving expenses and $1,505 for group term life insurance premiums paid by us on behalf of Dr. Moyle.</w:t>
      </w:r>
    </w:p>
    <w:p>
      <w:pPr>
        <w:ind w:left="460" w:right="18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2016, consisting of $7,984 for moving expenses and $3,960 for group term life insurance premiums paid by us on behalf of Dr. Londei.</w:t>
      </w:r>
    </w:p>
    <w:p>
      <w:pPr>
        <w:ind w:left="460" w:right="12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60"/>
              <w:spacing w:after="0"/>
              <w:rPr>
                <w:sz w:val="20"/>
                <w:szCs w:val="20"/>
                <w:color w:val="auto"/>
              </w:rPr>
            </w:pPr>
            <w:r>
              <w:rPr>
                <w:rFonts w:ascii="Arial" w:cs="Arial" w:eastAsia="Arial" w:hAnsi="Arial"/>
                <w:sz w:val="18"/>
                <w:szCs w:val="18"/>
                <w:b w:val="1"/>
                <w:bCs w:val="1"/>
                <w:color w:val="auto"/>
              </w:rPr>
              <w:t>ANAPTYSBIO,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March 2, 2017</w:t>
            </w:r>
          </w:p>
        </w:tc>
        <w:tc>
          <w:tcPr>
            <w:tcW w:w="2760" w:type="dxa"/>
            <w:vAlign w:val="bottom"/>
          </w:tcPr>
          <w:p>
            <w:pPr>
              <w:ind w:left="21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Dominic Piscitelli</w:t>
            </w:r>
          </w:p>
        </w:tc>
      </w:tr>
      <w:tr>
        <w:trPr>
          <w:trHeight w:val="209"/>
        </w:trPr>
        <w:tc>
          <w:tcPr>
            <w:tcW w:w="3640" w:type="dxa"/>
            <w:vAlign w:val="bottom"/>
          </w:tcPr>
          <w:p>
            <w:pPr>
              <w:spacing w:after="0"/>
              <w:rPr>
                <w:sz w:val="18"/>
                <w:szCs w:val="18"/>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Dominic Piscitelli</w:t>
            </w:r>
          </w:p>
        </w:tc>
      </w:tr>
      <w:tr>
        <w:trPr>
          <w:trHeight w:val="230"/>
        </w:trPr>
        <w:tc>
          <w:tcPr>
            <w:tcW w:w="3640" w:type="dxa"/>
            <w:vAlign w:val="bottom"/>
          </w:tcPr>
          <w:p>
            <w:pPr>
              <w:spacing w:after="0"/>
              <w:rPr>
                <w:sz w:val="20"/>
                <w:szCs w:val="20"/>
                <w:color w:val="auto"/>
              </w:rPr>
            </w:pPr>
          </w:p>
        </w:tc>
        <w:tc>
          <w:tcPr>
            <w:tcW w:w="2760" w:type="dxa"/>
            <w:vAlign w:val="bottom"/>
          </w:tcPr>
          <w:p>
            <w:pPr>
              <w:ind w:left="21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2019-12-07T03:45:40Z</dcterms:created>
  <dcterms:modified xsi:type="dcterms:W3CDTF">2019-12-07T03:45:40Z</dcterms:modified>
</cp:coreProperties>
</file>