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Marquet Magda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2022 until fully vested, subject to the Reporting Person's provision of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Loumeau,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148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2022-02-14T16:48:34Z</dcterms:created>
  <dcterms:modified xsi:type="dcterms:W3CDTF">2022-02-14T16:48:34Z</dcterms:modified>
</cp:coreProperties>
</file>