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4987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98729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RENTON HOLLINGS</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ANAPTYSBIO,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9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11/29/2024</w:t>
            </w:r>
          </w:p>
        </w:tc>
        <w:tc>
          <w:tcPr>
            <w:tcW w:w="20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ANAPTYSBIO, INC.</w:t>
            </w:r>
          </w:p>
        </w:tc>
        <w:tc>
          <w:tcPr>
            <w:tcW w:w="1200" w:type="dxa"/>
            <w:vAlign w:val="bottom"/>
          </w:tcPr>
          <w:p>
            <w:pPr>
              <w:spacing w:after="0"/>
              <w:rPr>
                <w:sz w:val="10"/>
                <w:szCs w:val="10"/>
                <w:color w:val="auto"/>
              </w:rPr>
            </w:pPr>
          </w:p>
        </w:tc>
        <w:tc>
          <w:tcPr>
            <w:tcW w:w="1920" w:type="dxa"/>
            <w:vAlign w:val="bottom"/>
            <w:gridSpan w:val="3"/>
            <w:vMerge w:val="continue"/>
          </w:tcPr>
          <w:p>
            <w:pPr>
              <w:spacing w:after="0"/>
              <w:rPr>
                <w:sz w:val="10"/>
                <w:szCs w:val="10"/>
                <w:color w:val="auto"/>
              </w:rPr>
            </w:pPr>
          </w:p>
        </w:tc>
        <w:tc>
          <w:tcPr>
            <w:tcW w:w="20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10770 WATERIDGE CIRCLE, SUITE 210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DIEGO</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0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5"/>
          </w:tcPr>
          <w:p>
            <w:pPr>
              <w:ind w:left="20"/>
              <w:spacing w:after="0" w:line="128" w:lineRule="exact"/>
              <w:rPr>
                <w:sz w:val="20"/>
                <w:szCs w:val="20"/>
                <w:color w:val="auto"/>
              </w:rPr>
            </w:pPr>
            <w:r>
              <w:rPr>
                <w:rFonts w:ascii="Arial" w:cs="Arial" w:eastAsia="Arial" w:hAnsi="Arial"/>
                <w:sz w:val="12"/>
                <w:szCs w:val="12"/>
                <w:b w:val="1"/>
                <w:bCs w:val="1"/>
                <w:color w:val="auto"/>
                <w:w w:val="98"/>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88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11/29/2024</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42"/>
              <w:spacing w:after="0"/>
              <w:rPr>
                <w:sz w:val="20"/>
                <w:szCs w:val="20"/>
                <w:color w:val="auto"/>
              </w:rPr>
            </w:pPr>
            <w:r>
              <w:rPr>
                <w:rFonts w:ascii="Times New Roman" w:cs="Times New Roman" w:eastAsia="Times New Roman" w:hAnsi="Times New Roman"/>
                <w:sz w:val="13"/>
                <w:szCs w:val="13"/>
                <w:color w:val="0000FF"/>
                <w:w w:val="86"/>
              </w:rPr>
              <w:t>M</w:t>
            </w:r>
          </w:p>
        </w:tc>
        <w:tc>
          <w:tcPr>
            <w:tcW w:w="200" w:type="dxa"/>
            <w:vAlign w:val="bottom"/>
          </w:tcPr>
          <w:p>
            <w:pPr>
              <w:spacing w:after="0"/>
              <w:rPr>
                <w:sz w:val="22"/>
                <w:szCs w:val="22"/>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6.93</w:t>
            </w:r>
          </w:p>
        </w:tc>
        <w:tc>
          <w:tcPr>
            <w:tcW w:w="1300" w:type="dxa"/>
            <w:vAlign w:val="bottom"/>
            <w:gridSpan w:val="3"/>
          </w:tcPr>
          <w:p>
            <w:pPr>
              <w:jc w:val="right"/>
              <w:ind w:right="341"/>
              <w:spacing w:after="0"/>
              <w:rPr>
                <w:sz w:val="20"/>
                <w:szCs w:val="20"/>
                <w:color w:val="auto"/>
              </w:rPr>
            </w:pPr>
            <w:r>
              <w:rPr>
                <w:rFonts w:ascii="Times New Roman" w:cs="Times New Roman" w:eastAsia="Times New Roman" w:hAnsi="Times New Roman"/>
                <w:sz w:val="17"/>
                <w:szCs w:val="17"/>
                <w:color w:val="0000FF"/>
              </w:rPr>
              <w:t>11,950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11/29/2024</w:t>
            </w:r>
          </w:p>
        </w:tc>
        <w:tc>
          <w:tcPr>
            <w:tcW w:w="9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4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17"/>
                <w:szCs w:val="17"/>
                <w:color w:val="0000FF"/>
              </w:rPr>
              <w:t>10,000</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81"/>
              <w:spacing w:after="0"/>
              <w:rPr>
                <w:sz w:val="20"/>
                <w:szCs w:val="20"/>
                <w:color w:val="auto"/>
              </w:rPr>
            </w:pPr>
            <w:r>
              <w:rPr>
                <w:rFonts w:ascii="Times New Roman" w:cs="Times New Roman" w:eastAsia="Times New Roman" w:hAnsi="Times New Roman"/>
                <w:sz w:val="17"/>
                <w:szCs w:val="17"/>
                <w:color w:val="0000FF"/>
              </w:rPr>
              <w:t>1,950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50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6.93</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11/29/2024</w:t>
            </w:r>
          </w:p>
        </w:tc>
        <w:tc>
          <w:tcPr>
            <w:tcW w:w="1140" w:type="dxa"/>
            <w:vAlign w:val="bottom"/>
          </w:tcPr>
          <w:p>
            <w:pPr>
              <w:spacing w:after="0"/>
              <w:rPr>
                <w:sz w:val="21"/>
                <w:szCs w:val="21"/>
                <w:color w:val="auto"/>
              </w:rPr>
            </w:pPr>
          </w:p>
        </w:tc>
        <w:tc>
          <w:tcPr>
            <w:tcW w:w="7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20"/>
              <w:spacing w:after="0"/>
              <w:rPr>
                <w:sz w:val="20"/>
                <w:szCs w:val="20"/>
                <w:color w:val="auto"/>
              </w:rPr>
            </w:pPr>
            <w:r>
              <w:rPr>
                <w:rFonts w:ascii="Times New Roman" w:cs="Times New Roman" w:eastAsia="Times New Roman" w:hAnsi="Times New Roman"/>
                <w:sz w:val="13"/>
                <w:szCs w:val="13"/>
                <w:color w:val="0000FF"/>
              </w:rPr>
              <w:t>10,000</w:t>
            </w:r>
          </w:p>
        </w:tc>
        <w:tc>
          <w:tcPr>
            <w:tcW w:w="760" w:type="dxa"/>
            <w:vAlign w:val="bottom"/>
            <w:gridSpan w:val="2"/>
          </w:tcPr>
          <w:p>
            <w:pPr>
              <w:jc w:val="center"/>
              <w:ind w:right="22"/>
              <w:spacing w:after="0"/>
              <w:rPr>
                <w:sz w:val="20"/>
                <w:szCs w:val="20"/>
                <w:color w:val="auto"/>
              </w:rPr>
            </w:pPr>
            <w:r>
              <w:rPr>
                <w:rFonts w:ascii="Times New Roman" w:cs="Times New Roman" w:eastAsia="Times New Roman" w:hAnsi="Times New Roman"/>
                <w:sz w:val="11"/>
                <w:szCs w:val="11"/>
                <w:color w:val="008000"/>
                <w:w w:val="93"/>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07/05/2025</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10,000</w:t>
            </w:r>
          </w:p>
        </w:tc>
        <w:tc>
          <w:tcPr>
            <w:tcW w:w="40" w:type="dxa"/>
            <w:vAlign w:val="bottom"/>
          </w:tcPr>
          <w:p>
            <w:pPr>
              <w:spacing w:after="0"/>
              <w:rPr>
                <w:sz w:val="21"/>
                <w:szCs w:val="21"/>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20,925</w:t>
            </w:r>
            <w:r>
              <w:rPr>
                <w:rFonts w:ascii="Times New Roman" w:cs="Times New Roman" w:eastAsia="Times New Roman" w:hAnsi="Times New Roman"/>
                <w:sz w:val="21"/>
                <w:szCs w:val="21"/>
                <w:color w:val="008000"/>
                <w:vertAlign w:val="superscript"/>
              </w:rPr>
              <w:t>(3)</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-1920240</wp:posOffset>
            </wp:positionV>
            <wp:extent cx="29210"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53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Rule 10b5-1 trading plan adopted by the Reporting Person on March 14, 2024. Mr. Renton holds various stock options that are expiring in 2025 and wished to put the plan in place to facilitate the orderly exercise of such options before their expiration.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grant was issued on July 6, 2015, is fully vested and exercisable until its expiration date of July 5, 2025.</w:t>
      </w:r>
    </w:p>
    <w:p>
      <w:pPr>
        <w:spacing w:after="0" w:line="43" w:lineRule="exact"/>
        <w:rPr>
          <w:rFonts w:ascii="Times New Roman" w:cs="Times New Roman" w:eastAsia="Times New Roman" w:hAnsi="Times New Roman"/>
          <w:sz w:val="13"/>
          <w:szCs w:val="13"/>
          <w:color w:val="008000"/>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addition to the remaining options to purchase 20,925 shares of common stock as set forth in Table II, the Reporting Person also holds additional options to purchase up to an aggregate of 95,541 shares of common stock, which options vest according to their terms.</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Eric Loumeau, Attorney-in-  </w:t>
      </w:r>
      <w:r>
        <w:rPr>
          <w:rFonts w:ascii="Times New Roman" w:cs="Times New Roman" w:eastAsia="Times New Roman" w:hAnsi="Times New Roman"/>
          <w:sz w:val="32"/>
          <w:szCs w:val="32"/>
          <w:color w:val="0000FF"/>
          <w:vertAlign w:val="subscript"/>
        </w:rPr>
        <w:t>12/03/2024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1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87333"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2024-12-03T15:43:20Z</dcterms:created>
  <dcterms:modified xsi:type="dcterms:W3CDTF">2024-12-03T15:43:20Z</dcterms:modified>
</cp:coreProperties>
</file>