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January 26, 2017.</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111760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TO</w:t>
      </w:r>
    </w:p>
    <w:p>
      <w:pPr>
        <w:jc w:val="center"/>
        <w:spacing w:after="0" w:line="236" w:lineRule="auto"/>
        <w:rPr>
          <w:sz w:val="20"/>
          <w:szCs w:val="20"/>
          <w:color w:val="auto"/>
        </w:rPr>
      </w:pPr>
      <w:r>
        <w:rPr>
          <w:rFonts w:ascii="Times New Roman" w:cs="Times New Roman" w:eastAsia="Times New Roman" w:hAnsi="Times New Roman"/>
          <w:sz w:val="31"/>
          <w:szCs w:val="31"/>
          <w:b w:val="1"/>
          <w:bCs w:val="1"/>
          <w:color w:val="auto"/>
        </w:rPr>
        <w:t>FORM S-1</w:t>
      </w:r>
    </w:p>
    <w:p>
      <w:pPr>
        <w:jc w:val="center"/>
        <w:spacing w:after="0" w:line="237"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111760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w:t>
      </w:r>
      <w:r>
        <w:rPr>
          <w:rFonts w:ascii="Times New Roman" w:cs="Times New Roman" w:eastAsia="Times New Roman" w:hAnsi="Times New Roman"/>
          <w:sz w:val="33"/>
          <w:szCs w:val="33"/>
          <w:b w:val="1"/>
          <w:bCs w:val="1"/>
          <w:color w:val="auto"/>
        </w:rPr>
        <w:t>NAPTYS</w:t>
      </w:r>
      <w:r>
        <w:rPr>
          <w:rFonts w:ascii="Times New Roman" w:cs="Times New Roman" w:eastAsia="Times New Roman" w:hAnsi="Times New Roman"/>
          <w:sz w:val="40"/>
          <w:szCs w:val="40"/>
          <w:b w:val="1"/>
          <w:bCs w:val="1"/>
          <w:color w:val="auto"/>
        </w:rPr>
        <w:t>B</w:t>
      </w:r>
      <w:r>
        <w:rPr>
          <w:rFonts w:ascii="Times New Roman" w:cs="Times New Roman" w:eastAsia="Times New Roman" w:hAnsi="Times New Roman"/>
          <w:sz w:val="33"/>
          <w:szCs w:val="33"/>
          <w:b w:val="1"/>
          <w:bCs w:val="1"/>
          <w:color w:val="auto"/>
        </w:rPr>
        <w:t>IO</w:t>
      </w:r>
      <w:r>
        <w:rPr>
          <w:rFonts w:ascii="Times New Roman" w:cs="Times New Roman" w:eastAsia="Times New Roman" w:hAnsi="Times New Roman"/>
          <w:sz w:val="40"/>
          <w:szCs w:val="40"/>
          <w:b w:val="1"/>
          <w:bCs w:val="1"/>
          <w:color w:val="auto"/>
        </w:rPr>
        <w:t>, I</w:t>
      </w:r>
      <w:r>
        <w:rPr>
          <w:rFonts w:ascii="Times New Roman" w:cs="Times New Roman" w:eastAsia="Times New Roman" w:hAnsi="Times New Roman"/>
          <w:sz w:val="33"/>
          <w:szCs w:val="33"/>
          <w:b w:val="1"/>
          <w:bCs w:val="1"/>
          <w:color w:val="auto"/>
        </w:rPr>
        <w:t>NC</w:t>
      </w:r>
      <w:r>
        <w:rPr>
          <w:rFonts w:ascii="Times New Roman" w:cs="Times New Roman" w:eastAsia="Times New Roman" w:hAnsi="Times New Roman"/>
          <w:sz w:val="40"/>
          <w:szCs w:val="40"/>
          <w:b w:val="1"/>
          <w:bCs w:val="1"/>
          <w:color w:val="auto"/>
        </w:rPr>
        <w: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6"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2834</w:t>
            </w:r>
          </w:p>
        </w:tc>
        <w:tc>
          <w:tcPr>
            <w:tcW w:w="2500" w:type="dxa"/>
            <w:vAlign w:val="bottom"/>
          </w:tcPr>
          <w:p>
            <w:pPr>
              <w:jc w:val="center"/>
              <w:ind w:left="965"/>
              <w:spacing w:after="0"/>
              <w:rPr>
                <w:sz w:val="20"/>
                <w:szCs w:val="20"/>
                <w:color w:val="auto"/>
              </w:rPr>
            </w:pPr>
            <w:r>
              <w:rPr>
                <w:rFonts w:ascii="Times New Roman" w:cs="Times New Roman" w:eastAsia="Times New Roman" w:hAnsi="Times New Roman"/>
                <w:sz w:val="16"/>
                <w:szCs w:val="16"/>
                <w:b w:val="1"/>
                <w:bCs w:val="1"/>
                <w:color w:val="auto"/>
              </w:rPr>
              <w:t>20-3828755</w:t>
            </w:r>
          </w:p>
        </w:tc>
      </w:tr>
      <w:tr>
        <w:trPr>
          <w:trHeight w:val="149"/>
        </w:trPr>
        <w:tc>
          <w:tcPr>
            <w:tcW w:w="2900" w:type="dxa"/>
            <w:vAlign w:val="bottom"/>
          </w:tcPr>
          <w:p>
            <w:pPr>
              <w:jc w:val="center"/>
              <w:ind w:right="94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5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94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5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10421 Pacific Center Court, Suite 200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Hamza Suria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10421 Pacific Center Court, Suite 200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107950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tbl>
      <w:tblPr>
        <w:tblLayout w:type="fixed"/>
        <w:tblInd w:w="1960" w:type="dxa"/>
        <w:tblCellMar>
          <w:top w:w="0" w:type="dxa"/>
          <w:left w:w="0" w:type="dxa"/>
          <w:bottom w:w="0" w:type="dxa"/>
          <w:right w:w="0" w:type="dxa"/>
        </w:tblCellMar>
      </w:tblPr>
      <w:tr>
        <w:trPr>
          <w:trHeight w:val="214"/>
        </w:trPr>
        <w:tc>
          <w:tcPr>
            <w:tcW w:w="2620" w:type="dxa"/>
            <w:vAlign w:val="bottom"/>
          </w:tcPr>
          <w:p>
            <w:pPr>
              <w:spacing w:after="0"/>
              <w:rPr>
                <w:sz w:val="18"/>
                <w:szCs w:val="18"/>
                <w:color w:val="auto"/>
              </w:rPr>
            </w:pPr>
          </w:p>
        </w:tc>
        <w:tc>
          <w:tcPr>
            <w:tcW w:w="4920" w:type="dxa"/>
            <w:vAlign w:val="bottom"/>
          </w:tcPr>
          <w:p>
            <w:pPr>
              <w:ind w:left="800"/>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tc>
      </w:tr>
      <w:tr>
        <w:trPr>
          <w:trHeight w:val="260"/>
        </w:trPr>
        <w:tc>
          <w:tcPr>
            <w:tcW w:w="262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Effie Toshav, Esq.</w:t>
            </w:r>
          </w:p>
        </w:tc>
        <w:tc>
          <w:tcPr>
            <w:tcW w:w="4920" w:type="dxa"/>
            <w:vAlign w:val="bottom"/>
          </w:tcPr>
          <w:p>
            <w:pPr>
              <w:jc w:val="center"/>
              <w:ind w:left="3199"/>
              <w:spacing w:after="0"/>
              <w:rPr>
                <w:sz w:val="20"/>
                <w:szCs w:val="20"/>
                <w:color w:val="auto"/>
              </w:rPr>
            </w:pPr>
            <w:r>
              <w:rPr>
                <w:rFonts w:ascii="Times New Roman" w:cs="Times New Roman" w:eastAsia="Times New Roman" w:hAnsi="Times New Roman"/>
                <w:sz w:val="16"/>
                <w:szCs w:val="16"/>
                <w:b w:val="1"/>
                <w:bCs w:val="1"/>
                <w:color w:val="auto"/>
              </w:rPr>
              <w:t>Charles S. Kim, Esq.</w:t>
            </w:r>
          </w:p>
        </w:tc>
      </w:tr>
      <w:tr>
        <w:trPr>
          <w:trHeight w:val="203"/>
        </w:trPr>
        <w:tc>
          <w:tcPr>
            <w:tcW w:w="262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Matthew S. Rossiter, Esq.</w:t>
            </w:r>
          </w:p>
        </w:tc>
        <w:tc>
          <w:tcPr>
            <w:tcW w:w="4920" w:type="dxa"/>
            <w:vAlign w:val="bottom"/>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Robert W. Phillips, Esq.</w:t>
            </w:r>
          </w:p>
        </w:tc>
      </w:tr>
      <w:tr>
        <w:trPr>
          <w:trHeight w:val="203"/>
        </w:trPr>
        <w:tc>
          <w:tcPr>
            <w:tcW w:w="262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Robert A. Freedman, Esq.</w:t>
            </w:r>
          </w:p>
        </w:tc>
        <w:tc>
          <w:tcPr>
            <w:tcW w:w="4920" w:type="dxa"/>
            <w:vAlign w:val="bottom"/>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Sean M. Clayton, Esq.</w:t>
            </w:r>
          </w:p>
        </w:tc>
      </w:tr>
      <w:tr>
        <w:trPr>
          <w:trHeight w:val="203"/>
        </w:trPr>
        <w:tc>
          <w:tcPr>
            <w:tcW w:w="262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Fenwick &amp; West LLP</w:t>
            </w:r>
          </w:p>
        </w:tc>
        <w:tc>
          <w:tcPr>
            <w:tcW w:w="4920" w:type="dxa"/>
            <w:vAlign w:val="bottom"/>
          </w:tcPr>
          <w:p>
            <w:pPr>
              <w:jc w:val="center"/>
              <w:ind w:left="3199"/>
              <w:spacing w:after="0"/>
              <w:rPr>
                <w:sz w:val="20"/>
                <w:szCs w:val="20"/>
                <w:color w:val="auto"/>
              </w:rPr>
            </w:pPr>
            <w:r>
              <w:rPr>
                <w:rFonts w:ascii="Times New Roman" w:cs="Times New Roman" w:eastAsia="Times New Roman" w:hAnsi="Times New Roman"/>
                <w:sz w:val="16"/>
                <w:szCs w:val="16"/>
                <w:b w:val="1"/>
                <w:bCs w:val="1"/>
                <w:color w:val="auto"/>
              </w:rPr>
              <w:t>Cooley LLP</w:t>
            </w:r>
          </w:p>
        </w:tc>
      </w:tr>
      <w:tr>
        <w:trPr>
          <w:trHeight w:val="203"/>
        </w:trPr>
        <w:tc>
          <w:tcPr>
            <w:tcW w:w="262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555 California Street</w:t>
            </w:r>
          </w:p>
        </w:tc>
        <w:tc>
          <w:tcPr>
            <w:tcW w:w="4920" w:type="dxa"/>
            <w:vAlign w:val="bottom"/>
          </w:tcPr>
          <w:p>
            <w:pPr>
              <w:jc w:val="center"/>
              <w:ind w:left="3199"/>
              <w:spacing w:after="0"/>
              <w:rPr>
                <w:sz w:val="20"/>
                <w:szCs w:val="20"/>
                <w:color w:val="auto"/>
              </w:rPr>
            </w:pPr>
            <w:r>
              <w:rPr>
                <w:rFonts w:ascii="Times New Roman" w:cs="Times New Roman" w:eastAsia="Times New Roman" w:hAnsi="Times New Roman"/>
                <w:sz w:val="16"/>
                <w:szCs w:val="16"/>
                <w:b w:val="1"/>
                <w:bCs w:val="1"/>
                <w:color w:val="auto"/>
              </w:rPr>
              <w:t>4401 Eastgate Mall</w:t>
            </w:r>
          </w:p>
        </w:tc>
      </w:tr>
      <w:tr>
        <w:trPr>
          <w:trHeight w:val="203"/>
        </w:trPr>
        <w:tc>
          <w:tcPr>
            <w:tcW w:w="262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San Francisco, CA 94104</w:t>
            </w:r>
          </w:p>
        </w:tc>
        <w:tc>
          <w:tcPr>
            <w:tcW w:w="4920" w:type="dxa"/>
            <w:vAlign w:val="bottom"/>
          </w:tcPr>
          <w:p>
            <w:pPr>
              <w:jc w:val="center"/>
              <w:ind w:left="3179"/>
              <w:spacing w:after="0"/>
              <w:rPr>
                <w:sz w:val="20"/>
                <w:szCs w:val="20"/>
                <w:color w:val="auto"/>
              </w:rPr>
            </w:pPr>
            <w:r>
              <w:rPr>
                <w:rFonts w:ascii="Times New Roman" w:cs="Times New Roman" w:eastAsia="Times New Roman" w:hAnsi="Times New Roman"/>
                <w:sz w:val="16"/>
                <w:szCs w:val="16"/>
                <w:b w:val="1"/>
                <w:bCs w:val="1"/>
                <w:color w:val="auto"/>
              </w:rPr>
              <w:t>San Diego, CA 92121</w:t>
            </w:r>
          </w:p>
        </w:tc>
      </w:tr>
      <w:tr>
        <w:trPr>
          <w:trHeight w:val="212"/>
        </w:trPr>
        <w:tc>
          <w:tcPr>
            <w:tcW w:w="2620" w:type="dxa"/>
            <w:vAlign w:val="bottom"/>
          </w:tcPr>
          <w:p>
            <w:pPr>
              <w:jc w:val="center"/>
              <w:ind w:right="719"/>
              <w:spacing w:after="0"/>
              <w:rPr>
                <w:sz w:val="20"/>
                <w:szCs w:val="20"/>
                <w:color w:val="auto"/>
              </w:rPr>
            </w:pPr>
            <w:r>
              <w:rPr>
                <w:rFonts w:ascii="Times New Roman" w:cs="Times New Roman" w:eastAsia="Times New Roman" w:hAnsi="Times New Roman"/>
                <w:sz w:val="16"/>
                <w:szCs w:val="16"/>
                <w:b w:val="1"/>
                <w:bCs w:val="1"/>
                <w:color w:val="auto"/>
              </w:rPr>
              <w:t>(415) 875-2300</w:t>
            </w:r>
          </w:p>
        </w:tc>
        <w:tc>
          <w:tcPr>
            <w:tcW w:w="4920" w:type="dxa"/>
            <w:vAlign w:val="bottom"/>
          </w:tcPr>
          <w:p>
            <w:pPr>
              <w:jc w:val="center"/>
              <w:ind w:left="3199"/>
              <w:spacing w:after="0"/>
              <w:rPr>
                <w:sz w:val="20"/>
                <w:szCs w:val="20"/>
                <w:color w:val="auto"/>
              </w:rPr>
            </w:pPr>
            <w:r>
              <w:rPr>
                <w:rFonts w:ascii="Times New Roman" w:cs="Times New Roman" w:eastAsia="Times New Roman" w:hAnsi="Times New Roman"/>
                <w:sz w:val="16"/>
                <w:szCs w:val="16"/>
                <w:b w:val="1"/>
                <w:bCs w:val="1"/>
                <w:color w:val="auto"/>
                <w:w w:val="99"/>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123825</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the effective date of this registration statement.</w:t>
      </w:r>
    </w:p>
    <w:p>
      <w:pPr>
        <w:spacing w:after="0" w:line="75" w:lineRule="exact"/>
        <w:rPr>
          <w:sz w:val="24"/>
          <w:szCs w:val="24"/>
          <w:color w:val="auto"/>
        </w:rPr>
      </w:pPr>
    </w:p>
    <w:p>
      <w:pPr>
        <w:ind w:right="26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8" w:lineRule="exact"/>
        <w:rPr>
          <w:sz w:val="24"/>
          <w:szCs w:val="24"/>
          <w:color w:val="auto"/>
        </w:rPr>
      </w:pPr>
    </w:p>
    <w:p>
      <w:pPr>
        <w:ind w:right="28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right="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8" w:lineRule="exact"/>
        <w:rPr>
          <w:sz w:val="24"/>
          <w:szCs w:val="24"/>
          <w:color w:val="auto"/>
        </w:rPr>
      </w:pPr>
    </w:p>
    <w:p>
      <w:pPr>
        <w:ind w:right="140" w:firstLine="342"/>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333-206849</w:t>
      </w:r>
    </w:p>
    <w:p>
      <w:pPr>
        <w:spacing w:after="0" w:line="28" w:lineRule="exact"/>
        <w:rPr>
          <w:sz w:val="24"/>
          <w:szCs w:val="24"/>
          <w:color w:val="auto"/>
        </w:rPr>
      </w:pPr>
    </w:p>
    <w:p>
      <w:pPr>
        <w:ind w:firstLine="342"/>
        <w:spacing w:after="0" w:line="29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3" w:right="239" w:bottom="1440" w:gutter="0" w:footer="0" w:header="0"/>
        </w:sectPr>
      </w:pP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460"/>
            <w:col w:w="6240" w:space="720"/>
            <w:col w:w="1680" w:space="720"/>
            <w:col w:w="140"/>
          </w:cols>
          <w:pgMar w:left="240" w:top="223"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1711960</wp:posOffset>
            </wp:positionH>
            <wp:positionV relativeFrom="paragraph">
              <wp:posOffset>132080</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9" w:lineRule="exact"/>
        <w:rPr>
          <w:sz w:val="24"/>
          <w:szCs w:val="24"/>
          <w:color w:val="auto"/>
        </w:rPr>
      </w:pPr>
    </w:p>
    <w:p>
      <w:pPr>
        <w:sectPr>
          <w:pgSz w:w="11900" w:h="16838" w:orient="portrait"/>
          <w:cols w:equalWidth="0" w:num="5">
            <w:col w:w="1380" w:space="540"/>
            <w:col w:w="160" w:space="80"/>
            <w:col w:w="6000" w:space="720"/>
            <w:col w:w="1780" w:space="620"/>
            <w:col w:w="140"/>
          </w:cols>
          <w:pgMar w:left="240" w:top="223" w:right="239" w:bottom="1440" w:gutter="0" w:footer="0" w:header="0"/>
          <w:type w:val="continuous"/>
        </w:sectPr>
      </w:pPr>
    </w:p>
    <w:p>
      <w:pPr>
        <w:spacing w:after="0" w:line="6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This Registration Statement shall become effective upon filing in accordance with Rule 462(d)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type w:val="continuous"/>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Post-Effective Amendment No. 1 relates to the Registrant’s Registration Statement on Form S-1, as amended (File No. 333-206849), declared effective by the Securities and Exchange Commission on January 25, 2017. The Registrant is filing this Post-Effective Amendment No. 1 pursuant to Rule 462(d) for the sole purpose of replacing Exhibit 5.1 to the Registration Statement. This Post-Effective Amendment No. 1 does not modify any provision of Part I or Part II of the Registration Statement, other than supplementing Item 16 of Part II as set forth below.</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Index immediately following signature page.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Financial Statement Schedules.</w:t>
      </w:r>
    </w:p>
    <w:p>
      <w:pPr>
        <w:spacing w:after="0" w:line="225" w:lineRule="exact"/>
        <w:rPr>
          <w:sz w:val="20"/>
          <w:szCs w:val="20"/>
          <w:color w:val="auto"/>
        </w:rPr>
      </w:pPr>
    </w:p>
    <w:p>
      <w:pPr>
        <w:jc w:val="center"/>
        <w:ind w:left="700"/>
        <w:spacing w:after="0" w:line="454"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required or is shown either in the financial statements or notes. II-1</w:t>
      </w:r>
    </w:p>
    <w:p>
      <w:pPr>
        <w:sectPr>
          <w:pgSz w:w="11900" w:h="16838" w:orient="portrait"/>
          <w:cols w:equalWidth="0" w:num="1">
            <w:col w:w="11300"/>
          </w:cols>
          <w:pgMar w:left="240" w:top="266" w:right="35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amendment to the registration statement on Form S-1 to be signed on its behalf by the undersigned, thereunto duly authorized, in San Diego, California, on the 26th day of January, 2017.</w:t>
      </w:r>
    </w:p>
    <w:p>
      <w:pPr>
        <w:spacing w:after="0" w:line="18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Hamza Suria</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S-1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20" w:type="dxa"/>
            <w:vAlign w:val="bottom"/>
            <w:gridSpan w:val="2"/>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920" w:type="dxa"/>
            <w:vAlign w:val="bottom"/>
          </w:tcPr>
          <w:p>
            <w:pPr>
              <w:spacing w:after="0"/>
              <w:rPr>
                <w:sz w:val="15"/>
                <w:szCs w:val="15"/>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380" w:type="dxa"/>
            <w:vAlign w:val="bottom"/>
          </w:tcPr>
          <w:p>
            <w:pPr>
              <w:spacing w:after="0"/>
              <w:rPr>
                <w:sz w:val="15"/>
                <w:szCs w:val="15"/>
                <w:color w:val="auto"/>
              </w:rPr>
            </w:pPr>
          </w:p>
        </w:tc>
        <w:tc>
          <w:tcPr>
            <w:tcW w:w="7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26"/>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 Hamza Suria</w:t>
            </w: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President, Chief Executive Officer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178"/>
        </w:trPr>
        <w:tc>
          <w:tcPr>
            <w:tcW w:w="380" w:type="dxa"/>
            <w:vAlign w:val="bottom"/>
          </w:tcPr>
          <w:p>
            <w:pPr>
              <w:spacing w:after="0"/>
              <w:rPr>
                <w:sz w:val="15"/>
                <w:szCs w:val="15"/>
                <w:color w:val="auto"/>
              </w:rPr>
            </w:pPr>
          </w:p>
        </w:tc>
        <w:tc>
          <w:tcPr>
            <w:tcW w:w="3280" w:type="dxa"/>
            <w:vAlign w:val="bottom"/>
            <w:gridSpan w:val="3"/>
          </w:tcPr>
          <w:p>
            <w:pPr>
              <w:jc w:val="center"/>
              <w:ind w:right="380"/>
              <w:spacing w:after="0" w:line="178" w:lineRule="exact"/>
              <w:rPr>
                <w:sz w:val="20"/>
                <w:szCs w:val="20"/>
                <w:color w:val="auto"/>
              </w:rPr>
            </w:pPr>
            <w:r>
              <w:rPr>
                <w:rFonts w:ascii="Times New Roman" w:cs="Times New Roman" w:eastAsia="Times New Roman" w:hAnsi="Times New Roman"/>
                <w:sz w:val="18"/>
                <w:szCs w:val="18"/>
                <w:color w:val="auto"/>
              </w:rPr>
              <w:t>Hamza Suria</w:t>
            </w:r>
          </w:p>
        </w:tc>
        <w:tc>
          <w:tcPr>
            <w:tcW w:w="920" w:type="dxa"/>
            <w:vAlign w:val="bottom"/>
          </w:tcPr>
          <w:p>
            <w:pPr>
              <w:spacing w:after="0"/>
              <w:rPr>
                <w:sz w:val="15"/>
                <w:szCs w:val="15"/>
                <w:color w:val="auto"/>
              </w:rPr>
            </w:pPr>
          </w:p>
        </w:tc>
        <w:tc>
          <w:tcPr>
            <w:tcW w:w="4280" w:type="dxa"/>
            <w:vAlign w:val="bottom"/>
            <w:gridSpan w:val="3"/>
          </w:tcPr>
          <w:p>
            <w:pPr>
              <w:jc w:val="center"/>
              <w:ind w:right="800"/>
              <w:spacing w:after="0" w:line="178" w:lineRule="exact"/>
              <w:rPr>
                <w:sz w:val="20"/>
                <w:szCs w:val="20"/>
                <w:color w:val="auto"/>
              </w:rPr>
            </w:pPr>
            <w:r>
              <w:rPr>
                <w:rFonts w:ascii="Times New Roman" w:cs="Times New Roman" w:eastAsia="Times New Roman" w:hAnsi="Times New Roman"/>
                <w:sz w:val="18"/>
                <w:szCs w:val="18"/>
                <w:color w:val="auto"/>
              </w:rPr>
              <w:t>and Director</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4"/>
        </w:trPr>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6"/>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/s/ Dominic G. Piscitelli</w:t>
            </w: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Dominic G. Piscitelli</w:t>
            </w:r>
          </w:p>
        </w:tc>
        <w:tc>
          <w:tcPr>
            <w:tcW w:w="920" w:type="dxa"/>
            <w:vAlign w:val="bottom"/>
          </w:tcPr>
          <w:p>
            <w:pPr>
              <w:spacing w:after="0"/>
              <w:rPr>
                <w:sz w:val="19"/>
                <w:szCs w:val="19"/>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8"/>
              </w:rPr>
              <w:t>Tiba Aynechi, Ph.D.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Carol G. Gallagher, Pharm.D.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Nicholas B. Lydon, Ph.D., FRS</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Hollings Renton</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John Schmid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James A. Schoeneck</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Director</w:t>
            </w:r>
          </w:p>
        </w:tc>
        <w:tc>
          <w:tcPr>
            <w:tcW w:w="21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color w:val="auto"/>
              </w:rPr>
              <w:t>January 26, 2017</w:t>
            </w:r>
          </w:p>
        </w:tc>
      </w:tr>
      <w:tr>
        <w:trPr>
          <w:trHeight w:val="228"/>
        </w:trPr>
        <w:tc>
          <w:tcPr>
            <w:tcW w:w="380" w:type="dxa"/>
            <w:vAlign w:val="bottom"/>
          </w:tcPr>
          <w:p>
            <w:pPr>
              <w:spacing w:after="0"/>
              <w:rPr>
                <w:sz w:val="19"/>
                <w:szCs w:val="19"/>
                <w:color w:val="auto"/>
              </w:rPr>
            </w:pP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James N. Topper, M.D., Ph.D.</w:t>
            </w:r>
          </w:p>
        </w:tc>
        <w:tc>
          <w:tcPr>
            <w:tcW w:w="9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4"/>
        </w:trPr>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Pursuant to Power of Attorney</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32"/>
        </w:trPr>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Hamza Suria</w:t>
            </w: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5"/>
        </w:trPr>
        <w:tc>
          <w:tcPr>
            <w:tcW w:w="380" w:type="dxa"/>
            <w:vAlign w:val="bottom"/>
          </w:tcPr>
          <w:p>
            <w:pPr>
              <w:spacing w:after="0"/>
              <w:rPr>
                <w:sz w:val="17"/>
                <w:szCs w:val="17"/>
                <w:color w:val="auto"/>
              </w:rPr>
            </w:pPr>
          </w:p>
        </w:tc>
        <w:tc>
          <w:tcPr>
            <w:tcW w:w="328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Hamza Suria</w:t>
            </w:r>
          </w:p>
        </w:tc>
        <w:tc>
          <w:tcPr>
            <w:tcW w:w="920" w:type="dxa"/>
            <w:vAlign w:val="bottom"/>
            <w:tcBorders>
              <w:top w:val="single" w:sz="8" w:color="auto"/>
            </w:tcBorders>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4"/>
        </w:trPr>
        <w:tc>
          <w:tcPr>
            <w:tcW w:w="380" w:type="dxa"/>
            <w:vAlign w:val="bottom"/>
          </w:tcPr>
          <w:p>
            <w:pPr>
              <w:spacing w:after="0"/>
              <w:rPr>
                <w:sz w:val="20"/>
                <w:szCs w:val="20"/>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8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II-2</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020"/>
          </w:cols>
          <w:pgMar w:left="240" w:top="266" w:right="6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4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7"/>
        </w:trPr>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180"/>
        </w:trPr>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920" w:type="dxa"/>
            <w:vAlign w:val="bottom"/>
          </w:tcPr>
          <w:p>
            <w:pPr>
              <w:spacing w:after="0"/>
              <w:rPr>
                <w:sz w:val="15"/>
                <w:szCs w:val="15"/>
                <w:color w:val="auto"/>
              </w:rPr>
            </w:pPr>
          </w:p>
        </w:tc>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4200" w:type="dxa"/>
            <w:vAlign w:val="bottom"/>
          </w:tcPr>
          <w:p>
            <w:pPr>
              <w:spacing w:after="0"/>
              <w:rPr>
                <w:sz w:val="15"/>
                <w:szCs w:val="15"/>
                <w:color w:val="auto"/>
              </w:rPr>
            </w:pP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Underwriting Agreement, including Form of Lock-Up Agreement.</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Amended and Restated Certificate of Incorporation, as currently in effect.</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3.2*</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Restated Certificate of Incorporation to be effective upon the closing of this offering.</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3.3*</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Bylaws, as currently in effect.</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3.4*</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Restated Bylaws to be effective upon the closing of this offering.</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Common Stock Certificate.</w:t>
            </w:r>
          </w:p>
        </w:tc>
      </w:tr>
      <w:tr>
        <w:trPr>
          <w:trHeight w:val="265"/>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4.2*</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Fourth Amended and Restated Investors’ Rights Agreement, dated July 13, 2015, by and among the Registrant and certain of its</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stockholders.</w:t>
            </w:r>
          </w:p>
        </w:tc>
      </w:tr>
      <w:tr>
        <w:trPr>
          <w:trHeight w:val="284"/>
        </w:trPr>
        <w:tc>
          <w:tcPr>
            <w:tcW w:w="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5.1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Opinion of Fenwick &amp; West LLP.</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Form of Indemnity Agreement.</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10.2*</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Amended and Restated 2006 Equity Incentive Plan and forms of award agreements.</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10.3*</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9"/>
              </w:rPr>
              <w:t>2017 Equity Incentive Plan, to become effective on the date the registration statement is declared effective, and forms of award agreements.</w:t>
            </w:r>
          </w:p>
        </w:tc>
      </w:tr>
      <w:tr>
        <w:trPr>
          <w:trHeight w:val="265"/>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10.4*</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2017 Employee Stock Purchase Plan, to become effective on the date the registration statement is declared effective, and forms of award</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agreements.</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10.5*</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Employment Agreement, effective as of January 1, 2012, by and between the Registrant and Hamza Suria, as amended.</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10.6*</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Employment Agreement, effective as of March 22, 2016, by and between the Registrant and Matthew Moyle.</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10.7*</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Employment Agreement, effective as of October 20, 2014, by and between the Registrant and Marco Londei.</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10.8*</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Office Lease, dated April 19, 2011, by and between the Registrant and Kilroy Realty, L.P., as amended.</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10.9*</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Antibody Generation Agreement, dated December 22, 2011, by and between the Registrant and Celgene Corporation, as modified.</w:t>
            </w:r>
          </w:p>
        </w:tc>
      </w:tr>
      <w:tr>
        <w:trPr>
          <w:trHeight w:val="26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Collaboration and Exclusive License Agreement, dated March 10, 2014, by and among the Registrant, TESARO, Inc. and TESARO</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Development, Ltd., as amended.</w:t>
            </w:r>
          </w:p>
        </w:tc>
      </w:tr>
      <w:tr>
        <w:trPr>
          <w:trHeight w:val="284"/>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License Agreement, dated August 30, 2006, by and between the Registrant and Medical Research Council, as amended.</w:t>
            </w:r>
          </w:p>
        </w:tc>
      </w:tr>
      <w:tr>
        <w:trPr>
          <w:trHeight w:val="26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Non-Exclusive Research and Commercial License Agreement, dated May 15, 2009, by and between the Registrant and Millipore</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Corporation.</w:t>
            </w:r>
          </w:p>
        </w:tc>
      </w:tr>
      <w:tr>
        <w:trPr>
          <w:trHeight w:val="265"/>
        </w:trPr>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Loan and Security Agreement, dated December 24, 2014, by and among the Registrant, Oxford Finance LLC and Silicon Valley Bank, as</w:t>
            </w:r>
          </w:p>
        </w:tc>
      </w:tr>
      <w:tr>
        <w:trPr>
          <w:trHeight w:val="234"/>
        </w:trPr>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amended.</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21.1*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23.1*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Consent of KPMG LLP, an independent registered public accounting firm.</w:t>
            </w:r>
          </w:p>
        </w:tc>
      </w:tr>
      <w:tr>
        <w:trPr>
          <w:trHeight w:val="284"/>
        </w:trPr>
        <w:tc>
          <w:tcPr>
            <w:tcW w:w="6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w w:val="95"/>
              </w:rPr>
              <w:t>23.2</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Consent of Fenwick &amp; West LLP (included in Exhibit 5.1).</w:t>
            </w:r>
          </w:p>
        </w:tc>
      </w:tr>
      <w:tr>
        <w:trPr>
          <w:trHeight w:val="284"/>
        </w:trPr>
        <w:tc>
          <w:tcPr>
            <w:tcW w:w="6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w w:val="98"/>
              </w:rPr>
              <w:t>24.1*</w:t>
            </w:r>
          </w:p>
        </w:tc>
        <w:tc>
          <w:tcPr>
            <w:tcW w:w="106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220" w:right="100" w:hanging="212"/>
        <w:spacing w:after="0" w:line="261"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and filed separately with the SEC portions of the exhibit pursuant to a confidential treatment request under Rule 406 promulgated under the Securities Act.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20"/>
          </w:cols>
          <w:pgMar w:left="240" w:top="26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2003425</wp:posOffset>
            </wp:positionH>
            <wp:positionV relativeFrom="paragraph">
              <wp:posOffset>174625</wp:posOffset>
            </wp:positionV>
            <wp:extent cx="3258820" cy="771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82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26,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AnaptysBio,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California 92121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S-1 (File Number 333-206849) filed by AnaptysBio,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on September 9, 2015,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1933, as amended, of an aggregate of 5,750,000 shares of the Company’s Common Stock (the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In rendering this opinion, we have examined such matters of fact as we have deemed necessary in order to render the opinion set forth herein, which included examination of the following:</w:t>
      </w:r>
    </w:p>
    <w:p>
      <w:pPr>
        <w:spacing w:after="0" w:line="67"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Certificate of Incorporation certified by the Delaware Secretary of State on January 13, 2017 (the</w:t>
      </w:r>
    </w:p>
    <w:p>
      <w:pPr>
        <w:spacing w:after="0" w:line="27" w:lineRule="exact"/>
        <w:rPr>
          <w:rFonts w:ascii="Times New Roman" w:cs="Times New Roman" w:eastAsia="Times New Roman" w:hAnsi="Times New Roman"/>
          <w:sz w:val="18"/>
          <w:szCs w:val="18"/>
          <w:color w:val="auto"/>
        </w:rPr>
      </w:pPr>
    </w:p>
    <w:p>
      <w:pPr>
        <w:ind w:left="90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and the Amended and Restated Certificate of Incorporation that the Company intends to file and that will be effective upon the consummation of the sale of the Stock (the “</w:t>
      </w:r>
      <w:r>
        <w:rPr>
          <w:rFonts w:ascii="Times New Roman" w:cs="Times New Roman" w:eastAsia="Times New Roman" w:hAnsi="Times New Roman"/>
          <w:sz w:val="18"/>
          <w:szCs w:val="18"/>
          <w:b w:val="1"/>
          <w:bCs w:val="1"/>
          <w:i w:val="1"/>
          <w:iCs w:val="1"/>
          <w:color w:val="auto"/>
        </w:rPr>
        <w:t>Post-Effective Restated Certificate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900" w:right="460" w:hanging="446"/>
        <w:spacing w:after="0" w:line="268"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Bylaws, adopted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on February 28, 2006, as amended on July 9, 2015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and the Amended and Restated Bylaws that the Company has adopted in connection with, and that will be effective upon the consummation of the sale of the Stock (the “</w:t>
      </w:r>
      <w:r>
        <w:rPr>
          <w:rFonts w:ascii="Times New Roman" w:cs="Times New Roman" w:eastAsia="Times New Roman" w:hAnsi="Times New Roman"/>
          <w:sz w:val="18"/>
          <w:szCs w:val="18"/>
          <w:b w:val="1"/>
          <w:bCs w:val="1"/>
          <w:i w:val="1"/>
          <w:iCs w:val="1"/>
          <w:color w:val="auto"/>
        </w:rPr>
        <w:t>Post-Effective Bylaws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together with the Exhibits filed as a part thereof or incorporated therein by reference;</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prepared in connection with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actions by written consent of the Board and the Company’s stockholders (the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at which, or pursuant to which, the Restated Certificate, the Post-Effective Restated Certificate, the Bylaws and the Post-Effective Bylaws were approved;</w:t>
      </w:r>
    </w:p>
    <w:p>
      <w:pPr>
        <w:spacing w:after="0" w:line="64" w:lineRule="exact"/>
        <w:rPr>
          <w:rFonts w:ascii="Times New Roman" w:cs="Times New Roman" w:eastAsia="Times New Roman" w:hAnsi="Times New Roman"/>
          <w:sz w:val="18"/>
          <w:szCs w:val="18"/>
          <w:color w:val="auto"/>
        </w:rPr>
      </w:pPr>
    </w:p>
    <w:p>
      <w:pPr>
        <w:ind w:left="900" w:right="30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meetings and actions by written consent of the Board and Stockholders at which, or pursuant to which, the sale and issuance of the Stock and related matters were approved;</w:t>
      </w:r>
    </w:p>
    <w:p>
      <w:pPr>
        <w:spacing w:after="0" w:line="67"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records for the Company that the Company has provided to us (consisting of a list of Stockholders and a list of the Company’s option and warrant holders and of any rights to purchase capital stock, each prepared by the Company and dated January 25, 2017, verifying the number of such issued and outstanding securities);</w:t>
      </w:r>
    </w:p>
    <w:p>
      <w:pPr>
        <w:spacing w:after="0" w:line="81" w:lineRule="exact"/>
        <w:rPr>
          <w:rFonts w:ascii="Times New Roman" w:cs="Times New Roman" w:eastAsia="Times New Roman" w:hAnsi="Times New Roman"/>
          <w:sz w:val="18"/>
          <w:szCs w:val="18"/>
          <w:color w:val="auto"/>
        </w:rPr>
      </w:pPr>
    </w:p>
    <w:p>
      <w:pPr>
        <w:ind w:left="900" w:right="500" w:hanging="446"/>
        <w:spacing w:after="0" w:line="282"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issued by the Delaware Secretary of State dated January 25, 2017, stating that the Company is qualified to do business and is in good standing under the laws of the State of Delaware (the “</w:t>
      </w:r>
      <w:r>
        <w:rPr>
          <w:rFonts w:ascii="Times New Roman" w:cs="Times New Roman" w:eastAsia="Times New Roman" w:hAnsi="Times New Roman"/>
          <w:sz w:val="18"/>
          <w:szCs w:val="18"/>
          <w:b w:val="1"/>
          <w:bCs w:val="1"/>
          <w:i w:val="1"/>
          <w:iCs w:val="1"/>
          <w:color w:val="auto"/>
        </w:rPr>
        <w:t>Certificate of Good Standing</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5" w:name="page6"/>
    <w:bookmarkEnd w:id="5"/>
    <w:p>
      <w:pPr>
        <w:ind w:left="900" w:right="10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Management Certificate, addressed to us and dated of even date herewith, executed by the Company, containing certain factual representations (the “</w:t>
      </w:r>
      <w:r>
        <w:rPr>
          <w:rFonts w:ascii="Times New Roman" w:cs="Times New Roman" w:eastAsia="Times New Roman" w:hAnsi="Times New Roman"/>
          <w:sz w:val="18"/>
          <w:szCs w:val="18"/>
          <w:b w:val="1"/>
          <w:bCs w:val="1"/>
          <w:i w:val="1"/>
          <w:iCs w:val="1"/>
          <w:color w:val="auto"/>
        </w:rPr>
        <w:t>Management Certificate</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to be entered into by and among the Company and the several Underwriters named in Schedule I attached thereto.</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our examination of documents for purposes of this opinion, we have assumed, and express no opinion as to, the authenticity and completeness of all documents submitted to us as originals, the conformity to originals and completeness of all documents submitted to us as copies, the legal capacity of all persons or entities executing the same and the lack of any undisclosed termination, modification, waiver or amendment to any document referenced in clauses (5) and (6) above to us.</w:t>
      </w:r>
    </w:p>
    <w:p>
      <w:pPr>
        <w:spacing w:after="0" w:line="180" w:lineRule="exact"/>
        <w:rPr>
          <w:sz w:val="20"/>
          <w:szCs w:val="20"/>
          <w:color w:val="auto"/>
        </w:rPr>
      </w:pPr>
    </w:p>
    <w:p>
      <w:pPr>
        <w:ind w:right="360" w:firstLine="456"/>
        <w:spacing w:after="0" w:line="313" w:lineRule="auto"/>
        <w:rPr>
          <w:sz w:val="20"/>
          <w:szCs w:val="20"/>
          <w:color w:val="auto"/>
        </w:rPr>
      </w:pPr>
      <w:r>
        <w:rPr>
          <w:rFonts w:ascii="Times New Roman" w:cs="Times New Roman" w:eastAsia="Times New Roman" w:hAnsi="Times New Roman"/>
          <w:sz w:val="17"/>
          <w:szCs w:val="17"/>
          <w:color w:val="auto"/>
        </w:rPr>
        <w:t>We render this opinion only with respect to, and express no opinion herein concerning the application or effect of the laws of any jurisdiction other than, the existing laws of the United States of America and of the Delaware General Corporation Law and reported judicial decisions relating thereto.</w:t>
      </w:r>
    </w:p>
    <w:p>
      <w:pPr>
        <w:spacing w:after="0" w:line="138"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our opinion expressed in paragraph (2) below, we have assumed that, at or prior to the time of the delivery of any shares of Stock, the Registration Statement will have been declared effective under the Securities Act of 1933, as amended, that the registration will apply to such shares of Stock and will not have been modified or rescinded and that there will not have occurred any change in law affecting the validity of the issuance of such shares of Stock.</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upon the foregoing, we are of the following opinion:</w:t>
      </w:r>
    </w:p>
    <w:p>
      <w:pPr>
        <w:spacing w:after="0" w:line="117" w:lineRule="exact"/>
        <w:rPr>
          <w:sz w:val="20"/>
          <w:szCs w:val="20"/>
          <w:color w:val="auto"/>
        </w:rPr>
      </w:pPr>
    </w:p>
    <w:p>
      <w:pPr>
        <w:ind w:left="1160" w:hanging="257"/>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validly existing, in good standing, under the laws of the State of Delaware; and</w:t>
      </w:r>
    </w:p>
    <w:p>
      <w:pPr>
        <w:spacing w:after="0" w:line="117" w:lineRule="exact"/>
        <w:rPr>
          <w:rFonts w:ascii="Times New Roman" w:cs="Times New Roman" w:eastAsia="Times New Roman" w:hAnsi="Times New Roman"/>
          <w:sz w:val="18"/>
          <w:szCs w:val="18"/>
          <w:color w:val="auto"/>
        </w:rPr>
      </w:pPr>
    </w:p>
    <w:p>
      <w:pPr>
        <w:ind w:left="1160" w:hanging="257"/>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 to 5,750,000 shares of Stock to be issued and sold by the Company, when issued, sold and delivered in the manner and for the</w:t>
      </w:r>
    </w:p>
    <w:p>
      <w:pPr>
        <w:spacing w:after="0" w:line="27" w:lineRule="exact"/>
        <w:rPr>
          <w:rFonts w:ascii="Times New Roman" w:cs="Times New Roman" w:eastAsia="Times New Roman" w:hAnsi="Times New Roman"/>
          <w:sz w:val="18"/>
          <w:szCs w:val="18"/>
          <w:color w:val="auto"/>
        </w:rPr>
      </w:pPr>
    </w:p>
    <w:p>
      <w:pPr>
        <w:ind w:left="4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stated in the Registration Statement and the Prospectus and in accordance with the resolutions adopted by the Board and to be adopted by the Pricing Committee of the Board, will be validly issued, fully paid and nonassessable.</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all references to us, if any, in the Registration Statement, the Prospectus constituting a part thereof and any amendments thereto.</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This opinion is intended solely for use in connection with the sale of shares subject to the Registration Statement and is not to be relied upon for any other purpose. This opinion is rendered as of the date first written above and based solely on our understanding of facts in existence as of such date after the aforementioned examination. We assume no obligation to advise you of any fact, circumstance, event or change in the law subsequent to the date of effectiveness of the Registration Statement or the facts that may thereafter be brought to our attention whether or not such occurrence would affect or modify the opinions expressed herein.</w:t>
      </w:r>
    </w:p>
    <w:p>
      <w:pPr>
        <w:spacing w:after="0" w:line="2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Fenwick &amp; West LLP</w:t>
      </w:r>
    </w:p>
    <w:p>
      <w:pPr>
        <w:spacing w:after="0" w:line="2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FENWICK &amp; WEST LLP</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2019-12-07T03:45:40Z</dcterms:created>
  <dcterms:modified xsi:type="dcterms:W3CDTF">2019-12-07T03:45:40Z</dcterms:modified>
</cp:coreProperties>
</file>