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45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60" w:type="dxa"/>
            <w:vAlign w:val="bottom"/>
            <w:gridSpan w:val="3"/>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Suria Hamza</w:t>
              </w:r>
            </w:hyperlink>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ANAPTYSBIO,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ANAB</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tcBorders>
              <w:top w:val="single" w:sz="8" w:color="0000EE"/>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300" w:type="dxa"/>
            <w:vAlign w:val="bottom"/>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ANAPTYSBIO, INC.</w:t>
            </w:r>
          </w:p>
        </w:tc>
        <w:tc>
          <w:tcPr>
            <w:tcW w:w="1200" w:type="dxa"/>
            <w:vAlign w:val="bottom"/>
          </w:tcPr>
          <w:p>
            <w:pPr>
              <w:spacing w:after="0"/>
              <w:rPr>
                <w:sz w:val="18"/>
                <w:szCs w:val="18"/>
                <w:color w:val="auto"/>
              </w:rPr>
            </w:pPr>
          </w:p>
        </w:tc>
        <w:tc>
          <w:tcPr>
            <w:tcW w:w="1920" w:type="dxa"/>
            <w:vAlign w:val="bottom"/>
            <w:gridSpan w:val="3"/>
          </w:tcPr>
          <w:p>
            <w:pPr>
              <w:ind w:left="160"/>
              <w:spacing w:after="0"/>
              <w:rPr>
                <w:sz w:val="20"/>
                <w:szCs w:val="20"/>
                <w:color w:val="auto"/>
              </w:rPr>
            </w:pPr>
            <w:r>
              <w:rPr>
                <w:rFonts w:ascii="Arial" w:cs="Arial" w:eastAsia="Arial" w:hAnsi="Arial"/>
                <w:sz w:val="17"/>
                <w:szCs w:val="17"/>
                <w:color w:val="0000FF"/>
              </w:rPr>
              <w:t>03/10/2020</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10421 PACIFIC CENTER COURT, SUITE 200</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0000FF"/>
        </w:rPr>
        <w:t>President, CEO</w:t>
      </w:r>
    </w:p>
    <w:p>
      <w:pPr>
        <w:spacing w:after="0" w:line="398"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0"/>
          <w:szCs w:val="20"/>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03/10/2020</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10,000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1.12</w:t>
            </w: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47,636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40,361</w:t>
            </w:r>
            <w:r>
              <w:rPr>
                <w:rFonts w:ascii="Arial" w:cs="Arial" w:eastAsia="Arial" w:hAnsi="Arial"/>
                <w:sz w:val="21"/>
                <w:szCs w:val="21"/>
                <w:color w:val="008000"/>
                <w:vertAlign w:val="superscript"/>
              </w:rPr>
              <w:t>(2)</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03/10/2020</w:t>
            </w:r>
          </w:p>
        </w:tc>
        <w:tc>
          <w:tcPr>
            <w:tcW w:w="1140" w:type="dxa"/>
            <w:vAlign w:val="bottom"/>
          </w:tcPr>
          <w:p>
            <w:pPr>
              <w:spacing w:after="0"/>
              <w:rPr>
                <w:sz w:val="11"/>
                <w:szCs w:val="11"/>
                <w:color w:val="auto"/>
              </w:rPr>
            </w:pPr>
          </w:p>
        </w:tc>
        <w:tc>
          <w:tcPr>
            <w:tcW w:w="7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ind w:left="420"/>
              <w:spacing w:after="0" w:line="138" w:lineRule="exact"/>
              <w:rPr>
                <w:sz w:val="20"/>
                <w:szCs w:val="20"/>
                <w:color w:val="auto"/>
              </w:rPr>
            </w:pPr>
            <w:r>
              <w:rPr>
                <w:rFonts w:ascii="Arial" w:cs="Arial" w:eastAsia="Arial" w:hAnsi="Arial"/>
                <w:sz w:val="13"/>
                <w:szCs w:val="13"/>
                <w:color w:val="0000FF"/>
              </w:rPr>
              <w:t>10,000</w:t>
            </w: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color w:val="0000FF"/>
                <w:w w:val="98"/>
              </w:rPr>
              <w:t>12/08/2021</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43"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40,361 shares of common stock as set forth in Table II above, the Reporting Person also holds (i) additional options to purchase up to an aggregate of 1,088,477 shares of common stock, which options vest according to their terms, and (ii) 47,636 shares of common stock held directly.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/s/Eric Loumeau,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03/10/2020</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2020-03-10T16:04:15Z</dcterms:created>
  <dcterms:modified xsi:type="dcterms:W3CDTF">2020-03-10T16:04:15Z</dcterms:modified>
</cp:coreProperties>
</file>