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10-K/A</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151"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8" w:lineRule="exact"/>
        <w:rPr>
          <w:sz w:val="24"/>
          <w:szCs w:val="24"/>
          <w:color w:val="auto"/>
        </w:rPr>
      </w:pPr>
    </w:p>
    <w:p>
      <w:pPr>
        <w:ind w:left="840" w:hanging="805"/>
        <w:spacing w:after="0"/>
        <w:tabs>
          <w:tab w:leader="none" w:pos="8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900" w:type="dxa"/>
        <w:tblCellMar>
          <w:top w:w="0" w:type="dxa"/>
          <w:left w:w="0" w:type="dxa"/>
          <w:bottom w:w="0" w:type="dxa"/>
          <w:right w:w="0" w:type="dxa"/>
        </w:tblCellMar>
      </w:tblPr>
      <w:tr>
        <w:trPr>
          <w:trHeight w:val="161"/>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r>
      <w:tr>
        <w:trPr>
          <w:trHeight w:val="20"/>
        </w:trPr>
        <w:tc>
          <w:tcPr>
            <w:tcW w:w="2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38"/>
        </w:trPr>
        <w:tc>
          <w:tcPr>
            <w:tcW w:w="3020" w:type="dxa"/>
            <w:vAlign w:val="bottom"/>
            <w:gridSpan w:val="2"/>
          </w:tcPr>
          <w:p>
            <w:pPr>
              <w:ind w:left="680"/>
              <w:spacing w:after="0"/>
              <w:rPr>
                <w:sz w:val="20"/>
                <w:szCs w:val="20"/>
                <w:color w:val="auto"/>
              </w:rPr>
            </w:pPr>
            <w:r>
              <w:rPr>
                <w:rFonts w:ascii="Arial" w:cs="Arial" w:eastAsia="Arial" w:hAnsi="Arial"/>
                <w:sz w:val="14"/>
                <w:szCs w:val="14"/>
                <w:b w:val="1"/>
                <w:bCs w:val="1"/>
                <w:color w:val="auto"/>
                <w:w w:val="94"/>
              </w:rPr>
              <w:t>Commission File Number: 001-37985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ANAPTYSBIO, INC.</w:t>
      </w:r>
    </w:p>
    <w:p>
      <w:pPr>
        <w:spacing w:after="0" w:line="1" w:lineRule="exact"/>
        <w:rPr>
          <w:sz w:val="24"/>
          <w:szCs w:val="24"/>
          <w:color w:val="auto"/>
        </w:rPr>
      </w:pPr>
    </w:p>
    <w:tbl>
      <w:tblPr>
        <w:tblLayout w:type="fixed"/>
        <w:tblInd w:w="160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5340" w:type="dxa"/>
            <w:vAlign w:val="bottom"/>
          </w:tcPr>
          <w:p>
            <w:pPr>
              <w:jc w:val="center"/>
              <w:ind w:right="1767"/>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5340" w:type="dxa"/>
            <w:vAlign w:val="bottom"/>
          </w:tcPr>
          <w:p>
            <w:pPr>
              <w:jc w:val="center"/>
              <w:ind w:right="1767"/>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0" w:type="dxa"/>
            <w:vAlign w:val="bottom"/>
          </w:tcPr>
          <w:p>
            <w:pPr>
              <w:spacing w:after="0"/>
              <w:rPr>
                <w:sz w:val="1"/>
                <w:szCs w:val="1"/>
                <w:color w:val="auto"/>
              </w:rPr>
            </w:pPr>
          </w:p>
        </w:tc>
      </w:tr>
      <w:tr>
        <w:trPr>
          <w:trHeight w:val="32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5340" w:type="dxa"/>
            <w:vAlign w:val="bottom"/>
          </w:tcPr>
          <w:p>
            <w:pPr>
              <w:jc w:val="right"/>
              <w:ind w:right="187"/>
              <w:spacing w:after="0"/>
              <w:rPr>
                <w:sz w:val="20"/>
                <w:szCs w:val="20"/>
                <w:color w:val="auto"/>
              </w:rPr>
            </w:pPr>
            <w:r>
              <w:rPr>
                <w:rFonts w:ascii="Arial" w:cs="Arial" w:eastAsia="Arial" w:hAnsi="Arial"/>
                <w:sz w:val="14"/>
                <w:szCs w:val="14"/>
                <w:b w:val="1"/>
                <w:bCs w:val="1"/>
                <w:color w:val="auto"/>
              </w:rPr>
              <w:t>20-3828755</w:t>
            </w:r>
          </w:p>
        </w:tc>
        <w:tc>
          <w:tcPr>
            <w:tcW w:w="0" w:type="dxa"/>
            <w:vAlign w:val="bottom"/>
          </w:tcPr>
          <w:p>
            <w:pPr>
              <w:spacing w:after="0"/>
              <w:rPr>
                <w:sz w:val="1"/>
                <w:szCs w:val="1"/>
                <w:color w:val="auto"/>
              </w:rPr>
            </w:pPr>
          </w:p>
        </w:tc>
      </w:tr>
      <w:tr>
        <w:trPr>
          <w:trHeight w:val="156"/>
        </w:trPr>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8"/>
              </w:rPr>
              <w:t>(State or other jurisdiction of</w:t>
            </w:r>
          </w:p>
        </w:tc>
        <w:tc>
          <w:tcPr>
            <w:tcW w:w="5340" w:type="dxa"/>
            <w:vAlign w:val="bottom"/>
          </w:tcPr>
          <w:p>
            <w:pPr>
              <w:jc w:val="center"/>
              <w:ind w:left="4047"/>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9"/>
              </w:rPr>
              <w:t>incorporation or organization)</w:t>
            </w:r>
          </w:p>
        </w:tc>
        <w:tc>
          <w:tcPr>
            <w:tcW w:w="5340" w:type="dxa"/>
            <w:vAlign w:val="bottom"/>
          </w:tcPr>
          <w:p>
            <w:pPr>
              <w:jc w:val="center"/>
              <w:ind w:left="4027"/>
              <w:spacing w:after="0"/>
              <w:rPr>
                <w:sz w:val="20"/>
                <w:szCs w:val="20"/>
                <w:color w:val="auto"/>
              </w:rPr>
            </w:pPr>
            <w:r>
              <w:rPr>
                <w:rFonts w:ascii="Arial" w:cs="Arial" w:eastAsia="Arial" w:hAnsi="Arial"/>
                <w:sz w:val="13"/>
                <w:szCs w:val="13"/>
                <w:b w:val="1"/>
                <w:bCs w:val="1"/>
                <w:color w:val="auto"/>
                <w:w w:val="89"/>
              </w:rPr>
              <w:t>Identification Number)</w:t>
            </w:r>
          </w:p>
        </w:tc>
        <w:tc>
          <w:tcPr>
            <w:tcW w:w="0" w:type="dxa"/>
            <w:vAlign w:val="bottom"/>
          </w:tcPr>
          <w:p>
            <w:pPr>
              <w:spacing w:after="0"/>
              <w:rPr>
                <w:sz w:val="1"/>
                <w:szCs w:val="1"/>
                <w:color w:val="auto"/>
              </w:rPr>
            </w:pPr>
          </w:p>
        </w:tc>
      </w:tr>
      <w:tr>
        <w:trPr>
          <w:trHeight w:val="169"/>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10421 Pacific Center Court, Suite 200</w:t>
            </w:r>
          </w:p>
        </w:tc>
        <w:tc>
          <w:tcPr>
            <w:tcW w:w="5340" w:type="dxa"/>
            <w:vAlign w:val="bottom"/>
            <w:vMerge w:val="restart"/>
          </w:tcPr>
          <w:p>
            <w:pPr>
              <w:jc w:val="right"/>
              <w:ind w:right="367"/>
              <w:spacing w:after="0"/>
              <w:rPr>
                <w:sz w:val="20"/>
                <w:szCs w:val="20"/>
                <w:color w:val="auto"/>
              </w:rPr>
            </w:pPr>
            <w:r>
              <w:rPr>
                <w:rFonts w:ascii="Arial" w:cs="Arial" w:eastAsia="Arial" w:hAnsi="Arial"/>
                <w:sz w:val="14"/>
                <w:szCs w:val="14"/>
                <w:b w:val="1"/>
                <w:bCs w:val="1"/>
                <w:color w:val="auto"/>
              </w:rPr>
              <w:t>92121</w:t>
            </w:r>
          </w:p>
        </w:tc>
        <w:tc>
          <w:tcPr>
            <w:tcW w:w="0" w:type="dxa"/>
            <w:vAlign w:val="bottom"/>
          </w:tcPr>
          <w:p>
            <w:pPr>
              <w:spacing w:after="0"/>
              <w:rPr>
                <w:sz w:val="1"/>
                <w:szCs w:val="1"/>
                <w:color w:val="auto"/>
              </w:rPr>
            </w:pP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San Diego, CA</w:t>
            </w:r>
          </w:p>
        </w:tc>
        <w:tc>
          <w:tcPr>
            <w:tcW w:w="5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5340" w:type="dxa"/>
            <w:vAlign w:val="bottom"/>
          </w:tcPr>
          <w:p>
            <w:pPr>
              <w:jc w:val="center"/>
              <w:ind w:left="4047"/>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5340" w:type="dxa"/>
            <w:vAlign w:val="bottom"/>
          </w:tcPr>
          <w:p>
            <w:pPr>
              <w:jc w:val="center"/>
              <w:ind w:right="1767"/>
              <w:spacing w:after="0"/>
              <w:rPr>
                <w:sz w:val="20"/>
                <w:szCs w:val="20"/>
                <w:color w:val="auto"/>
              </w:rPr>
            </w:pPr>
            <w:r>
              <w:rPr>
                <w:rFonts w:ascii="Arial" w:cs="Arial" w:eastAsia="Arial" w:hAnsi="Arial"/>
                <w:sz w:val="14"/>
                <w:szCs w:val="14"/>
                <w:b w:val="1"/>
                <w:bCs w:val="1"/>
                <w:color w:val="auto"/>
                <w:w w:val="93"/>
              </w:rPr>
              <w:t>(858) 362-6295</w:t>
            </w:r>
          </w:p>
        </w:tc>
        <w:tc>
          <w:tcPr>
            <w:tcW w:w="0" w:type="dxa"/>
            <w:vAlign w:val="bottom"/>
          </w:tcPr>
          <w:p>
            <w:pPr>
              <w:spacing w:after="0"/>
              <w:rPr>
                <w:sz w:val="1"/>
                <w:szCs w:val="1"/>
                <w:color w:val="auto"/>
              </w:rPr>
            </w:pPr>
          </w:p>
        </w:tc>
      </w:tr>
      <w:tr>
        <w:trPr>
          <w:trHeight w:val="166"/>
        </w:trPr>
        <w:tc>
          <w:tcPr>
            <w:tcW w:w="2360" w:type="dxa"/>
            <w:vAlign w:val="bottom"/>
          </w:tcPr>
          <w:p>
            <w:pPr>
              <w:spacing w:after="0"/>
              <w:rPr>
                <w:sz w:val="14"/>
                <w:szCs w:val="14"/>
                <w:color w:val="auto"/>
              </w:rPr>
            </w:pPr>
          </w:p>
        </w:tc>
        <w:tc>
          <w:tcPr>
            <w:tcW w:w="5340" w:type="dxa"/>
            <w:vAlign w:val="bottom"/>
          </w:tcPr>
          <w:p>
            <w:pPr>
              <w:jc w:val="center"/>
              <w:ind w:right="176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5340" w:type="dxa"/>
            <w:vAlign w:val="bottom"/>
          </w:tcPr>
          <w:p>
            <w:pPr>
              <w:jc w:val="center"/>
              <w:ind w:right="1767"/>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0" w:type="dxa"/>
            <w:vAlign w:val="bottom"/>
          </w:tcPr>
          <w:p>
            <w:pPr>
              <w:spacing w:after="0"/>
              <w:rPr>
                <w:sz w:val="1"/>
                <w:szCs w:val="1"/>
                <w:color w:val="auto"/>
              </w:rPr>
            </w:pPr>
          </w:p>
        </w:tc>
      </w:tr>
    </w:tbl>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 Common Stock, Par Value $0.001 Per Share; Common stock traded on the Nasdaq stock market</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ectPr>
          <w:pgSz w:w="11900" w:h="16838" w:orient="portrait"/>
          <w:cols w:equalWidth="0" w:num="1">
            <w:col w:w="11420"/>
          </w:cols>
          <w:pgMar w:left="240" w:top="742" w:right="239" w:bottom="1440" w:gutter="0" w:footer="0" w:header="0"/>
        </w:sectPr>
      </w:pP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4" w:lineRule="exact"/>
        <w:rPr>
          <w:sz w:val="24"/>
          <w:szCs w:val="24"/>
          <w:color w:val="auto"/>
        </w:rPr>
      </w:pPr>
    </w:p>
    <w:p>
      <w:pPr>
        <w:sectPr>
          <w:pgSz w:w="11900" w:h="16838" w:orient="portrait"/>
          <w:cols w:equalWidth="0" w:num="5">
            <w:col w:w="6820" w:space="140"/>
            <w:col w:w="260" w:space="80"/>
            <w:col w:w="120" w:space="40"/>
            <w:col w:w="220" w:space="60"/>
            <w:col w:w="3680"/>
          </w:cols>
          <w:pgMar w:left="240" w:top="742" w:right="239" w:bottom="1440" w:gutter="0" w:footer="0" w:header="0"/>
          <w:type w:val="continuous"/>
        </w:sect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8" w:lineRule="exact"/>
        <w:rPr>
          <w:sz w:val="24"/>
          <w:szCs w:val="24"/>
          <w:color w:val="auto"/>
        </w:rPr>
      </w:pPr>
    </w:p>
    <w:p>
      <w:pPr>
        <w:sectPr>
          <w:pgSz w:w="11900" w:h="16838" w:orient="portrait"/>
          <w:cols w:equalWidth="0" w:num="4">
            <w:col w:w="6480" w:space="140"/>
            <w:col w:w="260" w:space="80"/>
            <w:col w:w="120" w:space="160"/>
            <w:col w:w="4180"/>
          </w:cols>
          <w:pgMar w:left="240" w:top="742" w:right="239" w:bottom="1440" w:gutter="0" w:footer="0" w:header="0"/>
          <w:type w:val="continuous"/>
        </w:sect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6"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80"/>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160"/>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pacing w:after="0" w:line="183"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tcPr>
          <w:p>
            <w:pPr>
              <w:ind w:left="126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0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22"/>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4840" w:type="dxa"/>
            <w:vAlign w:val="bottom"/>
            <w:vMerge w:val="restart"/>
          </w:tcPr>
          <w:p>
            <w:pPr>
              <w:ind w:left="7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440" w:type="dxa"/>
            <w:vAlign w:val="bottom"/>
          </w:tcPr>
          <w:p>
            <w:pPr>
              <w:ind w:left="1260"/>
              <w:spacing w:after="0"/>
              <w:rPr>
                <w:sz w:val="20"/>
                <w:szCs w:val="20"/>
                <w:color w:val="auto"/>
              </w:rPr>
            </w:pPr>
            <w:r>
              <w:rPr>
                <w:rFonts w:ascii="Arial" w:cs="Arial" w:eastAsia="Arial" w:hAnsi="Arial"/>
                <w:sz w:val="14"/>
                <w:szCs w:val="14"/>
                <w:color w:val="auto"/>
              </w:rPr>
              <w:t>Smaller reporting company</w:t>
            </w:r>
          </w:p>
        </w:tc>
        <w:tc>
          <w:tcPr>
            <w:tcW w:w="740" w:type="dxa"/>
            <w:vAlign w:val="bottom"/>
            <w:vMerge w:val="restart"/>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4840" w:type="dxa"/>
            <w:vAlign w:val="bottom"/>
            <w:vMerge w:val="continue"/>
          </w:tcPr>
          <w:p>
            <w:pPr>
              <w:spacing w:after="0"/>
              <w:rPr>
                <w:sz w:val="8"/>
                <w:szCs w:val="8"/>
                <w:color w:val="auto"/>
              </w:rPr>
            </w:pPr>
          </w:p>
        </w:tc>
        <w:tc>
          <w:tcPr>
            <w:tcW w:w="34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20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440" w:type="dxa"/>
            <w:vAlign w:val="bottom"/>
          </w:tcPr>
          <w:p>
            <w:pPr>
              <w:ind w:left="1260"/>
              <w:spacing w:after="0"/>
              <w:rPr>
                <w:sz w:val="20"/>
                <w:szCs w:val="20"/>
                <w:color w:val="auto"/>
              </w:rPr>
            </w:pPr>
            <w:r>
              <w:rPr>
                <w:rFonts w:ascii="Arial" w:cs="Arial" w:eastAsia="Arial" w:hAnsi="Arial"/>
                <w:sz w:val="14"/>
                <w:szCs w:val="14"/>
                <w:color w:val="auto"/>
              </w:rPr>
              <w:t>Emerging growth company</w:t>
            </w:r>
          </w:p>
        </w:tc>
        <w:tc>
          <w:tcPr>
            <w:tcW w:w="740" w:type="dxa"/>
            <w:vAlign w:val="bottom"/>
            <w:vMerge w:val="restart"/>
          </w:tcPr>
          <w:p>
            <w:pPr>
              <w:ind w:left="60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68"/>
        </w:trPr>
        <w:tc>
          <w:tcPr>
            <w:tcW w:w="20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right="1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20" w:val="left"/>
          <w:tab w:leader="none" w:pos="73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voting common equity held by non-affiliates of the Registrant was $267,648,042 as of June 30, 2017.</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was 23,809,914 as of February 28, 2018.</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right="20"/>
        <w:spacing w:after="0" w:line="312" w:lineRule="auto"/>
        <w:rPr>
          <w:sz w:val="20"/>
          <w:szCs w:val="20"/>
          <w:color w:val="auto"/>
        </w:rPr>
      </w:pPr>
      <w:r>
        <w:rPr>
          <w:rFonts w:ascii="Arial" w:cs="Arial" w:eastAsia="Arial" w:hAnsi="Arial"/>
          <w:sz w:val="13"/>
          <w:szCs w:val="13"/>
          <w:color w:val="auto"/>
        </w:rPr>
        <w:t>Portions of the Registrant’s Definitive Proxy Statement relating to the 2018 Annual Meeting of Shareholders, scheduled to be held on June 12, 2018, are incorporated by reference into Part III of this Annual Report on Form 10-K to the extent stated herein. The Definitive Proxy Statement will be filed within 120 days of the Registrant’s fiscal year ended December 31, 2017.</w:t>
      </w:r>
    </w:p>
    <w:p>
      <w:pPr>
        <w:sectPr>
          <w:pgSz w:w="11900" w:h="16838" w:orient="portrait"/>
          <w:cols w:equalWidth="0" w:num="1">
            <w:col w:w="11420"/>
          </w:cols>
          <w:pgMar w:left="240" w:top="74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filing this Amendment No. 1 to Annual Report on Form 10-K/A (this “Amendment”) to amend our Annual Report on Form 10-K for the fiscal year ended December 31, 2017, as filed with the Securities and Exchange Commission (the “SEC”) on March 5, 2018 (the “10-K”). This Amendment is being filed solely to refile the certifications of our principal executive officer and principal financial officer as exhibits to this Amendment as required pursuant to Rules 13a-14(a) and 15d-14(a) under the Securities and Exchange Act of 1934.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attempt has been made in this Amendment to otherwise modify or update the other disclosures presented in the 10-K. This Amendment does not reflect events occurring after the filing of the original 10-K (i.e., those events occurring after March 5, 2018) or modify or update those disclosures that may be affected by subsequent events. Such subsequent matters are addressed in subsequent reports filed with the SEC. Accordingly, this Amendment should be read in conjunction with the 10-K and our other filings with the SEC.</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Consolidated Financial Statement Schedules</w:t>
      </w:r>
    </w:p>
    <w:p>
      <w:pPr>
        <w:spacing w:after="0" w:line="229" w:lineRule="exact"/>
        <w:rPr>
          <w:sz w:val="20"/>
          <w:szCs w:val="20"/>
          <w:color w:val="auto"/>
        </w:rPr>
      </w:pPr>
    </w:p>
    <w:p>
      <w:pPr>
        <w:ind w:left="1220" w:hanging="564"/>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this Amendment.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20" w:type="dxa"/>
            <w:vAlign w:val="bottom"/>
            <w:gridSpan w:val="5"/>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46"/>
        </w:trPr>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gridSpan w:val="5"/>
            <w:vMerge w:val="restart"/>
          </w:tcPr>
          <w:p>
            <w:pPr>
              <w:ind w:left="1380"/>
              <w:spacing w:after="0"/>
              <w:rPr>
                <w:sz w:val="20"/>
                <w:szCs w:val="20"/>
                <w:color w:val="auto"/>
              </w:rPr>
            </w:pPr>
            <w:r>
              <w:rPr>
                <w:rFonts w:ascii="Arial" w:cs="Arial" w:eastAsia="Arial" w:hAnsi="Arial"/>
                <w:sz w:val="14"/>
                <w:szCs w:val="14"/>
                <w:b w:val="1"/>
                <w:bCs w:val="1"/>
                <w:color w:val="auto"/>
              </w:rPr>
              <w:t>Description of Document</w:t>
            </w:r>
          </w:p>
        </w:tc>
        <w:tc>
          <w:tcPr>
            <w:tcW w:w="140" w:type="dxa"/>
            <w:vAlign w:val="bottom"/>
            <w:vMerge w:val="restart"/>
          </w:tcPr>
          <w:p>
            <w:pPr>
              <w:spacing w:after="0"/>
              <w:rPr>
                <w:sz w:val="12"/>
                <w:szCs w:val="12"/>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2"/>
                <w:szCs w:val="12"/>
                <w:color w:val="auto"/>
              </w:rPr>
            </w:pPr>
          </w:p>
        </w:tc>
        <w:tc>
          <w:tcPr>
            <w:tcW w:w="940" w:type="dxa"/>
            <w:vAlign w:val="bottom"/>
            <w:vMerge w:val="restart"/>
          </w:tcPr>
          <w:p>
            <w:pPr>
              <w:ind w:left="440"/>
              <w:spacing w:after="0"/>
              <w:rPr>
                <w:sz w:val="20"/>
                <w:szCs w:val="20"/>
                <w:color w:val="auto"/>
              </w:rPr>
            </w:pPr>
            <w:r>
              <w:rPr>
                <w:rFonts w:ascii="Arial" w:cs="Arial" w:eastAsia="Arial" w:hAnsi="Arial"/>
                <w:sz w:val="14"/>
                <w:szCs w:val="14"/>
                <w:b w:val="1"/>
                <w:bCs w:val="1"/>
                <w:color w:val="auto"/>
                <w:w w:val="94"/>
              </w:rPr>
              <w:t>File No.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480" w:type="dxa"/>
            <w:vAlign w:val="bottom"/>
            <w:vMerge w:val="restart"/>
          </w:tcPr>
          <w:p>
            <w:pPr>
              <w:spacing w:after="0"/>
              <w:rPr>
                <w:sz w:val="12"/>
                <w:szCs w:val="12"/>
                <w:color w:val="auto"/>
              </w:rPr>
            </w:pPr>
          </w:p>
        </w:tc>
        <w:tc>
          <w:tcPr>
            <w:tcW w:w="1560" w:type="dxa"/>
            <w:vAlign w:val="bottom"/>
            <w:gridSpan w:val="2"/>
          </w:tcPr>
          <w:p>
            <w:pPr>
              <w:jc w:val="center"/>
              <w:ind w:right="600"/>
              <w:spacing w:after="0" w:line="147" w:lineRule="exact"/>
              <w:rPr>
                <w:sz w:val="20"/>
                <w:szCs w:val="20"/>
                <w:color w:val="auto"/>
              </w:rPr>
            </w:pPr>
            <w:r>
              <w:rPr>
                <w:rFonts w:ascii="Arial" w:cs="Arial" w:eastAsia="Arial" w:hAnsi="Arial"/>
                <w:sz w:val="14"/>
                <w:szCs w:val="14"/>
                <w:b w:val="1"/>
                <w:bCs w:val="1"/>
                <w:color w:val="auto"/>
                <w:w w:val="96"/>
              </w:rPr>
              <w:t>Filing</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5"/>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2"/>
        </w:trPr>
        <w:tc>
          <w:tcPr>
            <w:tcW w:w="820" w:type="dxa"/>
            <w:vAlign w:val="bottom"/>
          </w:tcPr>
          <w:p>
            <w:pPr>
              <w:jc w:val="right"/>
              <w:ind w:right="379"/>
              <w:spacing w:after="0" w:line="202" w:lineRule="exact"/>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3"/>
          </w:tcPr>
          <w:p>
            <w:pPr>
              <w:spacing w:after="0" w:line="202" w:lineRule="exact"/>
              <w:rPr>
                <w:rFonts w:ascii="Arial" w:cs="Arial" w:eastAsia="Arial" w:hAnsi="Arial"/>
                <w:sz w:val="18"/>
                <w:szCs w:val="18"/>
                <w:color w:val="0000FF"/>
                <w:w w:val="92"/>
              </w:rPr>
            </w:pPr>
            <w:hyperlink w:anchor="page4">
              <w:r>
                <w:rPr>
                  <w:rFonts w:ascii="Arial" w:cs="Arial" w:eastAsia="Arial" w:hAnsi="Arial"/>
                  <w:sz w:val="18"/>
                  <w:szCs w:val="18"/>
                  <w:color w:val="0000FF"/>
                  <w:w w:val="92"/>
                </w:rPr>
                <w:t>Certification of Principal Executive Officer, pursuant to</w:t>
              </w:r>
            </w:hyperlink>
          </w:p>
        </w:tc>
        <w:tc>
          <w:tcPr>
            <w:tcW w:w="4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6"/>
          </w:tcPr>
          <w:p>
            <w:pPr>
              <w:spacing w:after="0" w:line="196" w:lineRule="exact"/>
              <w:rPr>
                <w:rFonts w:ascii="Arial" w:cs="Arial" w:eastAsia="Arial" w:hAnsi="Arial"/>
                <w:sz w:val="18"/>
                <w:szCs w:val="18"/>
                <w:color w:val="0000FF"/>
                <w:w w:val="96"/>
              </w:rPr>
            </w:pPr>
            <w:hyperlink w:anchor="page4">
              <w:r>
                <w:rPr>
                  <w:rFonts w:ascii="Arial" w:cs="Arial" w:eastAsia="Arial" w:hAnsi="Arial"/>
                  <w:sz w:val="18"/>
                  <w:szCs w:val="18"/>
                  <w:color w:val="0000FF"/>
                  <w:w w:val="96"/>
                </w:rPr>
                <w:t>Rule 13a-14(a)/15d-14(a), as adopted pursuant to Section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302 of the Sarbanes-Oxley Act of 2002.</w:t>
              </w:r>
            </w:hyperlink>
          </w:p>
        </w:tc>
        <w:tc>
          <w:tcPr>
            <w:tcW w:w="3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jc w:val="right"/>
              <w:ind w:right="379"/>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Certification of Principal Financial Officer, pursuant to</w:t>
              </w:r>
            </w:hyperlink>
          </w:p>
        </w:tc>
        <w:tc>
          <w:tcPr>
            <w:tcW w:w="480" w:type="dxa"/>
            <w:vAlign w:val="bottom"/>
            <w:gridSpan w:val="4"/>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6"/>
          </w:tcPr>
          <w:p>
            <w:pPr>
              <w:spacing w:after="0" w:line="196" w:lineRule="exact"/>
              <w:rPr>
                <w:rFonts w:ascii="Arial" w:cs="Arial" w:eastAsia="Arial" w:hAnsi="Arial"/>
                <w:sz w:val="18"/>
                <w:szCs w:val="18"/>
                <w:color w:val="0000FF"/>
                <w:w w:val="96"/>
              </w:rPr>
            </w:pPr>
            <w:hyperlink w:anchor="page5">
              <w:r>
                <w:rPr>
                  <w:rFonts w:ascii="Arial" w:cs="Arial" w:eastAsia="Arial" w:hAnsi="Arial"/>
                  <w:sz w:val="18"/>
                  <w:szCs w:val="18"/>
                  <w:color w:val="0000FF"/>
                  <w:w w:val="96"/>
                </w:rPr>
                <w:t>Rule 13a-14(a)/15d-14(a), as adopted pursuant to Section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302 of the Sarbanes-Oxley Act of 2002.</w:t>
              </w:r>
            </w:hyperlink>
          </w:p>
        </w:tc>
        <w:tc>
          <w:tcPr>
            <w:tcW w:w="3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21"/>
          <w:szCs w:val="21"/>
          <w:b w:val="1"/>
          <w:bCs w:val="1"/>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2018</w:t>
      </w:r>
    </w:p>
    <w:p>
      <w:pPr>
        <w:spacing w:after="0" w:line="16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ANAPTYSBIO, INC.</w:t>
      </w:r>
    </w:p>
    <w:p>
      <w:pPr>
        <w:spacing w:after="0" w:line="337" w:lineRule="exact"/>
        <w:rPr>
          <w:sz w:val="20"/>
          <w:szCs w:val="20"/>
          <w:color w:val="auto"/>
        </w:rPr>
      </w:pPr>
    </w:p>
    <w:p>
      <w:pPr>
        <w:ind w:left="64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040"/>
          </w:cols>
          <w:pgMar w:left="240" w:top="580"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31"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60" w:hanging="169"/>
        <w:spacing w:after="0" w:line="264" w:lineRule="auto"/>
        <w:tabs>
          <w:tab w:leader="none" w:pos="443" w:val="left"/>
        </w:tabs>
        <w:numPr>
          <w:ilvl w:val="2"/>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60" w:hanging="169"/>
        <w:spacing w:after="0" w:line="264" w:lineRule="auto"/>
        <w:tabs>
          <w:tab w:leader="none" w:pos="453" w:val="left"/>
        </w:tabs>
        <w:numPr>
          <w:ilvl w:val="2"/>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43" w:val="left"/>
        </w:tabs>
        <w:numPr>
          <w:ilvl w:val="2"/>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53" w:val="left"/>
        </w:tabs>
        <w:numPr>
          <w:ilvl w:val="2"/>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340" w:right="120" w:hanging="170"/>
        <w:spacing w:after="0" w:line="277" w:lineRule="auto"/>
        <w:tabs>
          <w:tab w:leader="none" w:pos="363"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40" w:right="340" w:hanging="170"/>
        <w:spacing w:after="0" w:line="277" w:lineRule="auto"/>
        <w:tabs>
          <w:tab w:leader="none" w:pos="373"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2018</w:t>
      </w:r>
    </w:p>
    <w:p>
      <w:pPr>
        <w:spacing w:after="0" w:line="30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48895</wp:posOffset>
            </wp:positionV>
            <wp:extent cx="3018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8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Hamza Suria</w:t>
      </w:r>
    </w:p>
    <w:p>
      <w:pPr>
        <w:spacing w:after="0" w:line="90"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Chief Executive Officer</w:t>
      </w:r>
    </w:p>
    <w:p>
      <w:pPr>
        <w:spacing w:after="0" w:line="11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64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Dominic G. Piscitelli, certify that:</w:t>
      </w:r>
    </w:p>
    <w:p>
      <w:pPr>
        <w:spacing w:after="0" w:line="131"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40" w:right="20" w:hanging="170"/>
        <w:spacing w:after="0" w:line="264" w:lineRule="auto"/>
        <w:tabs>
          <w:tab w:leader="none" w:pos="363"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sz w:val="20"/>
          <w:szCs w:val="20"/>
          <w:color w:val="auto"/>
        </w:rPr>
      </w:pPr>
    </w:p>
    <w:p>
      <w:pPr>
        <w:ind w:left="420" w:right="60" w:hanging="169"/>
        <w:spacing w:after="0" w:line="264" w:lineRule="auto"/>
        <w:tabs>
          <w:tab w:leader="none" w:pos="453"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40" w:right="180" w:hanging="170"/>
        <w:spacing w:after="0" w:line="277" w:lineRule="auto"/>
        <w:tabs>
          <w:tab w:leader="none" w:pos="363"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53" w:val="left"/>
        </w:tabs>
        <w:numPr>
          <w:ilvl w:val="2"/>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340" w:right="120" w:hanging="170"/>
        <w:spacing w:after="0" w:line="277" w:lineRule="auto"/>
        <w:tabs>
          <w:tab w:leader="none" w:pos="363"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40" w:right="340" w:hanging="170"/>
        <w:spacing w:after="0" w:line="277" w:lineRule="auto"/>
        <w:tabs>
          <w:tab w:leader="none" w:pos="373"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2018</w:t>
      </w:r>
    </w:p>
    <w:p>
      <w:pPr>
        <w:spacing w:after="0" w:line="29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48895</wp:posOffset>
            </wp:positionV>
            <wp:extent cx="3018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8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Dominic G. Piscitelli</w:t>
      </w:r>
    </w:p>
    <w:p>
      <w:pPr>
        <w:spacing w:after="0" w:line="90"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Chief Financial Officer</w:t>
      </w:r>
    </w:p>
    <w:p>
      <w:pPr>
        <w:spacing w:after="0" w:line="9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
    <w:nsid w:val="79E2A9E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7">
    <w:nsid w:val="7545E14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2019-12-28T19:40:24Z</dcterms:created>
  <dcterms:modified xsi:type="dcterms:W3CDTF">2019-12-28T19:40:24Z</dcterms:modified>
</cp:coreProperties>
</file>