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15,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333-206849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5</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w:t>
      </w:r>
      <w:r>
        <w:rPr>
          <w:rFonts w:ascii="Arial" w:cs="Arial" w:eastAsia="Arial" w:hAnsi="Arial"/>
          <w:sz w:val="36"/>
          <w:szCs w:val="36"/>
          <w:b w:val="1"/>
          <w:bCs w:val="1"/>
          <w:color w:val="auto"/>
        </w:rPr>
        <w:t>NAPTYS</w:t>
      </w:r>
      <w:r>
        <w:rPr>
          <w:rFonts w:ascii="Arial" w:cs="Arial" w:eastAsia="Arial" w:hAnsi="Arial"/>
          <w:sz w:val="43"/>
          <w:szCs w:val="43"/>
          <w:b w:val="1"/>
          <w:bCs w:val="1"/>
          <w:color w:val="auto"/>
        </w:rPr>
        <w:t>B</w:t>
      </w:r>
      <w:r>
        <w:rPr>
          <w:rFonts w:ascii="Arial" w:cs="Arial" w:eastAsia="Arial" w:hAnsi="Arial"/>
          <w:sz w:val="36"/>
          <w:szCs w:val="36"/>
          <w:b w:val="1"/>
          <w:bCs w:val="1"/>
          <w:color w:val="auto"/>
        </w:rPr>
        <w:t>IO</w:t>
      </w:r>
      <w:r>
        <w:rPr>
          <w:rFonts w:ascii="Arial" w:cs="Arial" w:eastAsia="Arial" w:hAnsi="Arial"/>
          <w:sz w:val="43"/>
          <w:szCs w:val="43"/>
          <w:b w:val="1"/>
          <w:bCs w:val="1"/>
          <w:color w:val="auto"/>
        </w:rPr>
        <w:t>,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20-3828755</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Hamza Suria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88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496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88"/>
              </w:rPr>
              <w:t>Effie Toshav, Esq.</w:t>
            </w:r>
          </w:p>
        </w:tc>
        <w:tc>
          <w:tcPr>
            <w:tcW w:w="4960" w:type="dxa"/>
            <w:vAlign w:val="bottom"/>
          </w:tcPr>
          <w:p>
            <w:pPr>
              <w:jc w:val="center"/>
              <w:ind w:left="3030"/>
              <w:spacing w:after="0"/>
              <w:rPr>
                <w:sz w:val="20"/>
                <w:szCs w:val="20"/>
                <w:color w:val="auto"/>
              </w:rPr>
            </w:pPr>
            <w:r>
              <w:rPr>
                <w:rFonts w:ascii="Arial" w:cs="Arial" w:eastAsia="Arial" w:hAnsi="Arial"/>
                <w:sz w:val="18"/>
                <w:szCs w:val="18"/>
                <w:b w:val="1"/>
                <w:bCs w:val="1"/>
                <w:color w:val="auto"/>
                <w:w w:val="91"/>
              </w:rPr>
              <w:t>Charles S. Kim, Esq.</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Matthew S. Rossiter, Esq.</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2"/>
              </w:rPr>
              <w:t>Robert W. Phillips, Esq.</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Robert A. Freedman, Esq.</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0"/>
              </w:rPr>
              <w:t>Sean M. Clayton, Esq.</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4"/>
              </w:rPr>
              <w:t>Fenwick &amp; West LLP</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4"/>
              </w:rPr>
              <w:t>Cooley LLP</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555 California Street</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4401 Eastgate Mall</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San Francisco, CA 94104</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0"/>
              </w:rPr>
              <w:t>San Diego, CA 92121</w:t>
            </w:r>
          </w:p>
        </w:tc>
      </w:tr>
      <w:tr>
        <w:trPr>
          <w:trHeight w:val="234"/>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(415) 875-2300</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2"/>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ind w:right="80"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8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252730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NOVEMBER 15, 2016</w:t>
      </w:r>
    </w:p>
    <w:p>
      <w:pPr>
        <w:spacing w:after="0" w:line="210" w:lineRule="exact"/>
        <w:rPr>
          <w:sz w:val="20"/>
          <w:szCs w:val="20"/>
          <w:color w:val="auto"/>
        </w:rPr>
      </w:pPr>
    </w:p>
    <w:p>
      <w:pPr>
        <w:ind w:left="580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173355</wp:posOffset>
            </wp:positionV>
            <wp:extent cx="222948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94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This is the initial public offering of shares of AnaptysBio, Inc. common stock. We are offering the initial public offering price of our common stock will be between $ and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We anticipate that</w:t>
      </w:r>
    </w:p>
    <w:p>
      <w:pPr>
        <w:spacing w:after="0" w:line="464" w:lineRule="exact"/>
        <w:rPr>
          <w:sz w:val="20"/>
          <w:szCs w:val="20"/>
          <w:color w:val="auto"/>
        </w:rPr>
      </w:pPr>
    </w:p>
    <w:p>
      <w:pPr>
        <w:sectPr>
          <w:pgSz w:w="11900" w:h="16838" w:orient="portrait"/>
          <w:cols w:equalWidth="0" w:num="2">
            <w:col w:w="7380" w:space="460"/>
            <w:col w:w="3580"/>
          </w:cols>
          <w:pgMar w:left="240" w:top="459" w:right="239" w:bottom="1440" w:gutter="0" w:footer="0" w:header="0"/>
          <w:type w:val="continuous"/>
        </w:sectPr>
      </w:pPr>
    </w:p>
    <w:p>
      <w:pPr>
        <w:ind w:right="24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common stock. Our common stock has been approved for listing on the Nasdaq Global Select Market under the symbol “ANAB.”</w:t>
      </w:r>
    </w:p>
    <w:p>
      <w:pPr>
        <w:spacing w:after="0" w:line="170" w:lineRule="exact"/>
        <w:rPr>
          <w:sz w:val="20"/>
          <w:szCs w:val="20"/>
          <w:color w:val="auto"/>
        </w:rPr>
      </w:pPr>
    </w:p>
    <w:p>
      <w:pPr>
        <w:ind w:left="460"/>
        <w:spacing w:after="0"/>
        <w:tabs>
          <w:tab w:leader="none" w:pos="7100" w:val="left"/>
        </w:tabs>
        <w:rPr>
          <w:sz w:val="20"/>
          <w:szCs w:val="20"/>
          <w:color w:val="auto"/>
        </w:rPr>
      </w:pPr>
      <w:r>
        <w:rPr>
          <w:rFonts w:ascii="Arial" w:cs="Arial" w:eastAsia="Arial" w:hAnsi="Arial"/>
          <w:sz w:val="18"/>
          <w:szCs w:val="18"/>
          <w:color w:val="auto"/>
        </w:rPr>
        <w:t>The underwriters have the option for a 30-day period to purchase up to an additional</w:t>
      </w:r>
      <w:r>
        <w:rPr>
          <w:sz w:val="20"/>
          <w:szCs w:val="20"/>
          <w:color w:val="auto"/>
        </w:rPr>
        <w:tab/>
      </w:r>
      <w:r>
        <w:rPr>
          <w:rFonts w:ascii="Arial" w:cs="Arial" w:eastAsia="Arial" w:hAnsi="Arial"/>
          <w:sz w:val="16"/>
          <w:szCs w:val="16"/>
          <w:color w:val="auto"/>
        </w:rPr>
        <w:t>shares from us to cover over-allotments of shares.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88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12 of this prospectus.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Price to</w:t>
            </w:r>
          </w:p>
        </w:tc>
        <w:tc>
          <w:tcPr>
            <w:tcW w:w="7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Underwriting</w:t>
            </w:r>
          </w:p>
        </w:tc>
        <w:tc>
          <w:tcPr>
            <w:tcW w:w="8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7"/>
              </w:rPr>
              <w:t>Discounts and</w:t>
            </w:r>
          </w:p>
        </w:tc>
        <w:tc>
          <w:tcPr>
            <w:tcW w:w="8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AnaptysBio,</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w w:val="99"/>
              </w:rPr>
              <w:t>Public</w:t>
            </w:r>
          </w:p>
        </w:tc>
        <w:tc>
          <w:tcPr>
            <w:tcW w:w="78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88"/>
              </w:rPr>
              <w:t>Commissions (1)</w:t>
            </w:r>
          </w:p>
        </w:tc>
        <w:tc>
          <w:tcPr>
            <w:tcW w:w="8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Inc.</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w w:val="93"/>
              </w:rPr>
              <w:t>The underwriters expect to deliver the shares of common stock to the purchasers on or about</w:t>
            </w:r>
          </w:p>
        </w:tc>
        <w:tc>
          <w:tcPr>
            <w:tcW w:w="78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Stifel</w:t>
      </w:r>
    </w:p>
    <w:p>
      <w:pPr>
        <w:spacing w:after="0" w:line="156" w:lineRule="exact"/>
        <w:rPr>
          <w:sz w:val="20"/>
          <w:szCs w:val="20"/>
          <w:color w:val="auto"/>
        </w:rPr>
      </w:pPr>
    </w:p>
    <w:p>
      <w:pPr>
        <w:sectPr>
          <w:pgSz w:w="11900" w:h="16838" w:orient="portrait"/>
          <w:cols w:equalWidth="0" w:num="2">
            <w:col w:w="8380" w:space="720"/>
            <w:col w:w="2320"/>
          </w:cols>
          <w:pgMar w:left="240" w:top="459" w:right="2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ectPr>
          <w:pgSz w:w="11900" w:h="16838" w:orient="portrait"/>
          <w:cols w:equalWidth="0" w:num="2">
            <w:col w:w="8380" w:space="720"/>
            <w:col w:w="2320"/>
          </w:cols>
          <w:pgMar w:left="240" w:top="459" w:right="239" w:bottom="1440" w:gutter="0" w:footer="0" w:header="0"/>
          <w:type w:val="continuous"/>
        </w:sectPr>
      </w:pPr>
    </w:p>
    <w:p>
      <w:pPr>
        <w:spacing w:after="0" w:line="69"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2016.</w:t>
      </w:r>
    </w:p>
    <w:p>
      <w:pPr>
        <w:sectPr>
          <w:pgSz w:w="11900" w:h="16838" w:orient="portrait"/>
          <w:cols w:equalWidth="0" w:num="2">
            <w:col w:w="6240" w:space="540"/>
            <w:col w:w="464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780" w:type="dxa"/>
            <w:vAlign w:val="bottom"/>
            <w:gridSpan w:val="8"/>
            <w:vMerge w:val="restart"/>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w:t>
              </w:r>
              <w:r>
                <w:rPr>
                  <w:rFonts w:ascii="Arial" w:cs="Arial" w:eastAsia="Arial" w:hAnsi="Arial"/>
                  <w:sz w:val="15"/>
                  <w:szCs w:val="15"/>
                  <w:color w:val="0000EE"/>
                  <w:w w:val="93"/>
                </w:rPr>
                <w:t>ROSPECTUS</w:t>
              </w:r>
              <w:r>
                <w:rPr>
                  <w:rFonts w:ascii="Arial" w:cs="Arial" w:eastAsia="Arial" w:hAnsi="Arial"/>
                  <w:sz w:val="18"/>
                  <w:szCs w:val="18"/>
                  <w:color w:val="0000EE"/>
                  <w:w w:val="93"/>
                </w:rPr>
                <w:t xml:space="preserve"> S</w:t>
              </w:r>
              <w:r>
                <w:rPr>
                  <w:rFonts w:ascii="Arial" w:cs="Arial" w:eastAsia="Arial" w:hAnsi="Arial"/>
                  <w:sz w:val="15"/>
                  <w:szCs w:val="15"/>
                  <w:color w:val="0000EE"/>
                  <w:w w:val="93"/>
                </w:rPr>
                <w:t>UMMARY</w:t>
              </w:r>
            </w:hyperlink>
          </w:p>
        </w:tc>
        <w:tc>
          <w:tcPr>
            <w:tcW w:w="3280" w:type="dxa"/>
            <w:vAlign w:val="bottom"/>
            <w:gridSpan w:val="6"/>
            <w:vMerge w:val="restart"/>
          </w:tcPr>
          <w:p>
            <w:pPr>
              <w:spacing w:after="0"/>
              <w:rPr>
                <w:sz w:val="14"/>
                <w:szCs w:val="1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Page</w:t>
            </w:r>
          </w:p>
        </w:tc>
        <w:tc>
          <w:tcPr>
            <w:tcW w:w="5040" w:type="dxa"/>
            <w:vAlign w:val="bottom"/>
            <w:gridSpan w:val="14"/>
            <w:vMerge w:val="restart"/>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M</w:t>
              </w:r>
              <w:r>
                <w:rPr>
                  <w:rFonts w:ascii="Arial" w:cs="Arial" w:eastAsia="Arial" w:hAnsi="Arial"/>
                  <w:sz w:val="15"/>
                  <w:szCs w:val="15"/>
                  <w:color w:val="0000EE"/>
                </w:rPr>
                <w:t>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780" w:type="dxa"/>
            <w:vAlign w:val="bottom"/>
            <w:gridSpan w:val="8"/>
            <w:vMerge w:val="continue"/>
          </w:tcPr>
          <w:p>
            <w:pPr>
              <w:spacing w:after="0"/>
              <w:rPr>
                <w:sz w:val="14"/>
                <w:szCs w:val="14"/>
                <w:color w:val="auto"/>
              </w:rPr>
            </w:pPr>
          </w:p>
        </w:tc>
        <w:tc>
          <w:tcPr>
            <w:tcW w:w="328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4"/>
                <w:szCs w:val="14"/>
                <w:color w:val="auto"/>
              </w:rPr>
            </w:pPr>
          </w:p>
        </w:tc>
        <w:tc>
          <w:tcPr>
            <w:tcW w:w="504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T</w:t>
              </w:r>
              <w:r>
                <w:rPr>
                  <w:rFonts w:ascii="Arial" w:cs="Arial" w:eastAsia="Arial" w:hAnsi="Arial"/>
                  <w:sz w:val="15"/>
                  <w:szCs w:val="15"/>
                  <w:color w:val="0000EE"/>
                </w:rPr>
                <w:t>HE</w:t>
              </w:r>
              <w:r>
                <w:rPr>
                  <w:rFonts w:ascii="Arial" w:cs="Arial" w:eastAsia="Arial" w:hAnsi="Arial"/>
                  <w:sz w:val="18"/>
                  <w:szCs w:val="18"/>
                  <w:color w:val="0000EE"/>
                </w:rPr>
                <w:t xml:space="preserve"> O</w:t>
              </w:r>
              <w:r>
                <w:rPr>
                  <w:rFonts w:ascii="Arial" w:cs="Arial" w:eastAsia="Arial" w:hAnsi="Arial"/>
                  <w:sz w:val="15"/>
                  <w:szCs w:val="15"/>
                  <w:color w:val="0000EE"/>
                </w:rPr>
                <w:t>FFERING</w:t>
              </w:r>
            </w:hyperlink>
          </w:p>
        </w:tc>
        <w:tc>
          <w:tcPr>
            <w:tcW w:w="3280" w:type="dxa"/>
            <w:vAlign w:val="bottom"/>
            <w:gridSpan w:val="6"/>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8</w:t>
            </w:r>
          </w:p>
        </w:tc>
        <w:tc>
          <w:tcPr>
            <w:tcW w:w="5040" w:type="dxa"/>
            <w:vAlign w:val="bottom"/>
            <w:gridSpan w:val="14"/>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C</w:t>
              </w:r>
              <w:r>
                <w:rPr>
                  <w:rFonts w:ascii="Arial" w:cs="Arial" w:eastAsia="Arial" w:hAnsi="Arial"/>
                  <w:sz w:val="15"/>
                  <w:szCs w:val="15"/>
                  <w:color w:val="0000EE"/>
                </w:rPr>
                <w:t>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R</w:t>
              </w:r>
              <w:r>
                <w:rPr>
                  <w:rFonts w:ascii="Arial" w:cs="Arial" w:eastAsia="Arial" w:hAnsi="Arial"/>
                  <w:sz w:val="15"/>
                  <w:szCs w:val="15"/>
                  <w:color w:val="0000EE"/>
                  <w:w w:val="91"/>
                </w:rPr>
                <w:t>ISK</w:t>
              </w:r>
              <w:r>
                <w:rPr>
                  <w:rFonts w:ascii="Arial" w:cs="Arial" w:eastAsia="Arial" w:hAnsi="Arial"/>
                  <w:sz w:val="18"/>
                  <w:szCs w:val="18"/>
                  <w:color w:val="0000EE"/>
                  <w:w w:val="91"/>
                </w:rPr>
                <w:t xml:space="preserve"> F</w:t>
              </w:r>
              <w:r>
                <w:rPr>
                  <w:rFonts w:ascii="Arial" w:cs="Arial" w:eastAsia="Arial" w:hAnsi="Arial"/>
                  <w:sz w:val="15"/>
                  <w:szCs w:val="15"/>
                  <w:color w:val="0000EE"/>
                  <w:w w:val="91"/>
                </w:rPr>
                <w:t>ACTORS</w:t>
              </w:r>
            </w:hyperlink>
          </w:p>
        </w:tc>
        <w:tc>
          <w:tcPr>
            <w:tcW w:w="3960" w:type="dxa"/>
            <w:vAlign w:val="bottom"/>
            <w:tcBorders>
              <w:bottom w:val="single" w:sz="8" w:color="0000EE"/>
            </w:tcBorders>
            <w:gridSpan w:val="10"/>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12</w:t>
            </w:r>
          </w:p>
        </w:tc>
        <w:tc>
          <w:tcPr>
            <w:tcW w:w="470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C</w:t>
              </w:r>
              <w:r>
                <w:rPr>
                  <w:rFonts w:ascii="Arial" w:cs="Arial" w:eastAsia="Arial" w:hAnsi="Arial"/>
                  <w:sz w:val="15"/>
                  <w:szCs w:val="15"/>
                  <w:color w:val="0000EE"/>
                  <w:w w:val="95"/>
                </w:rPr>
                <w:t>ERTAIN</w:t>
              </w:r>
              <w:r>
                <w:rPr>
                  <w:rFonts w:ascii="Arial" w:cs="Arial" w:eastAsia="Arial" w:hAnsi="Arial"/>
                  <w:sz w:val="18"/>
                  <w:szCs w:val="18"/>
                  <w:color w:val="0000EE"/>
                  <w:w w:val="95"/>
                </w:rPr>
                <w:t xml:space="preserve"> R</w:t>
              </w:r>
              <w:r>
                <w:rPr>
                  <w:rFonts w:ascii="Arial" w:cs="Arial" w:eastAsia="Arial" w:hAnsi="Arial"/>
                  <w:sz w:val="15"/>
                  <w:szCs w:val="15"/>
                  <w:color w:val="0000EE"/>
                  <w:w w:val="95"/>
                </w:rPr>
                <w:t>ELATIONSHIPS AND</w:t>
              </w:r>
              <w:r>
                <w:rPr>
                  <w:rFonts w:ascii="Arial" w:cs="Arial" w:eastAsia="Arial" w:hAnsi="Arial"/>
                  <w:sz w:val="18"/>
                  <w:szCs w:val="18"/>
                  <w:color w:val="0000EE"/>
                  <w:w w:val="95"/>
                </w:rPr>
                <w:t xml:space="preserve"> R</w:t>
              </w:r>
              <w:r>
                <w:rPr>
                  <w:rFonts w:ascii="Arial" w:cs="Arial" w:eastAsia="Arial" w:hAnsi="Arial"/>
                  <w:sz w:val="15"/>
                  <w:szCs w:val="15"/>
                  <w:color w:val="0000EE"/>
                  <w:w w:val="95"/>
                </w:rPr>
                <w:t>ELATED</w:t>
              </w:r>
              <w:r>
                <w:rPr>
                  <w:rFonts w:ascii="Arial" w:cs="Arial" w:eastAsia="Arial" w:hAnsi="Arial"/>
                  <w:sz w:val="18"/>
                  <w:szCs w:val="18"/>
                  <w:color w:val="0000EE"/>
                  <w:w w:val="95"/>
                </w:rPr>
                <w:t xml:space="preserve"> P</w:t>
              </w:r>
              <w:r>
                <w:rPr>
                  <w:rFonts w:ascii="Arial" w:cs="Arial" w:eastAsia="Arial" w:hAnsi="Arial"/>
                  <w:sz w:val="15"/>
                  <w:szCs w:val="15"/>
                  <w:color w:val="0000EE"/>
                  <w:w w:val="95"/>
                </w:rPr>
                <w:t>ARTY</w:t>
              </w:r>
              <w:r>
                <w:rPr>
                  <w:rFonts w:ascii="Arial" w:cs="Arial" w:eastAsia="Arial" w:hAnsi="Arial"/>
                  <w:sz w:val="18"/>
                  <w:szCs w:val="18"/>
                  <w:color w:val="0000EE"/>
                  <w:w w:val="95"/>
                </w:rPr>
                <w:t xml:space="preserve"> T</w:t>
              </w:r>
              <w:r>
                <w:rPr>
                  <w:rFonts w:ascii="Arial" w:cs="Arial" w:eastAsia="Arial" w:hAnsi="Arial"/>
                  <w:sz w:val="15"/>
                  <w:szCs w:val="15"/>
                  <w:color w:val="0000EE"/>
                  <w:w w:val="95"/>
                </w:rPr>
                <w:t>RANSACTIONS</w:t>
              </w:r>
            </w:hyperlink>
          </w:p>
        </w:tc>
        <w:tc>
          <w:tcPr>
            <w:tcW w:w="3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 xml:space="preserve"> -L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51</w:t>
            </w:r>
          </w:p>
        </w:tc>
        <w:tc>
          <w:tcPr>
            <w:tcW w:w="5040" w:type="dxa"/>
            <w:vAlign w:val="bottom"/>
            <w:gridSpan w:val="14"/>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w:t>
              </w:r>
              <w:r>
                <w:rPr>
                  <w:rFonts w:ascii="Arial" w:cs="Arial" w:eastAsia="Arial" w:hAnsi="Arial"/>
                  <w:sz w:val="15"/>
                  <w:szCs w:val="15"/>
                  <w:color w:val="0000EE"/>
                </w:rPr>
                <w:t>ARKET AND</w:t>
              </w:r>
              <w:r>
                <w:rPr>
                  <w:rFonts w:ascii="Arial" w:cs="Arial" w:eastAsia="Arial" w:hAnsi="Arial"/>
                  <w:sz w:val="18"/>
                  <w:szCs w:val="18"/>
                  <w:color w:val="0000EE"/>
                </w:rPr>
                <w:t xml:space="preserve"> I</w:t>
              </w:r>
              <w:r>
                <w:rPr>
                  <w:rFonts w:ascii="Arial" w:cs="Arial" w:eastAsia="Arial" w:hAnsi="Arial"/>
                  <w:sz w:val="15"/>
                  <w:szCs w:val="15"/>
                  <w:color w:val="0000EE"/>
                </w:rPr>
                <w:t>NDUSTRY</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440" w:type="dxa"/>
            <w:vAlign w:val="bottom"/>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52</w:t>
            </w:r>
          </w:p>
        </w:tc>
        <w:tc>
          <w:tcPr>
            <w:tcW w:w="5040" w:type="dxa"/>
            <w:vAlign w:val="bottom"/>
            <w:gridSpan w:val="14"/>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C</w:t>
              </w:r>
              <w:r>
                <w:rPr>
                  <w:rFonts w:ascii="Arial" w:cs="Arial" w:eastAsia="Arial" w:hAnsi="Arial"/>
                  <w:sz w:val="15"/>
                  <w:szCs w:val="15"/>
                  <w:color w:val="0000EE"/>
                </w:rPr>
                <w:t>APITAL</w:t>
              </w:r>
              <w:r>
                <w:rPr>
                  <w:rFonts w:ascii="Arial" w:cs="Arial" w:eastAsia="Arial" w:hAnsi="Arial"/>
                  <w:sz w:val="18"/>
                  <w:szCs w:val="18"/>
                  <w:color w:val="0000EE"/>
                </w:rPr>
                <w:t xml:space="preserve"> S</w:t>
              </w:r>
              <w:r>
                <w:rPr>
                  <w:rFonts w:ascii="Arial" w:cs="Arial" w:eastAsia="Arial" w:hAnsi="Arial"/>
                  <w:sz w:val="15"/>
                  <w:szCs w:val="15"/>
                  <w:color w:val="0000EE"/>
                </w:rPr>
                <w:t>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00" w:type="dxa"/>
            <w:vAlign w:val="bottom"/>
            <w:gridSpan w:val="2"/>
          </w:tcPr>
          <w:p>
            <w:pPr>
              <w:spacing w:after="0"/>
              <w:rPr>
                <w:sz w:val="17"/>
                <w:szCs w:val="17"/>
                <w:color w:val="auto"/>
              </w:rPr>
            </w:pPr>
          </w:p>
        </w:tc>
        <w:tc>
          <w:tcPr>
            <w:tcW w:w="2780" w:type="dxa"/>
            <w:vAlign w:val="bottom"/>
            <w:gridSpan w:val="5"/>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53</w:t>
            </w:r>
          </w:p>
        </w:tc>
        <w:tc>
          <w:tcPr>
            <w:tcW w:w="27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50">
              <w:r>
                <w:rPr>
                  <w:rFonts w:ascii="Arial" w:cs="Arial" w:eastAsia="Arial" w:hAnsi="Arial"/>
                  <w:sz w:val="18"/>
                  <w:szCs w:val="18"/>
                  <w:color w:val="0000EE"/>
                  <w:w w:val="95"/>
                </w:rPr>
                <w:t>S</w:t>
              </w:r>
              <w:r>
                <w:rPr>
                  <w:rFonts w:ascii="Arial" w:cs="Arial" w:eastAsia="Arial" w:hAnsi="Arial"/>
                  <w:sz w:val="15"/>
                  <w:szCs w:val="15"/>
                  <w:color w:val="0000EE"/>
                  <w:w w:val="95"/>
                </w:rPr>
                <w:t>HARES</w:t>
              </w:r>
              <w:r>
                <w:rPr>
                  <w:rFonts w:ascii="Arial" w:cs="Arial" w:eastAsia="Arial" w:hAnsi="Arial"/>
                  <w:sz w:val="18"/>
                  <w:szCs w:val="18"/>
                  <w:color w:val="0000EE"/>
                  <w:w w:val="95"/>
                </w:rPr>
                <w:t xml:space="preserve"> E</w:t>
              </w:r>
              <w:r>
                <w:rPr>
                  <w:rFonts w:ascii="Arial" w:cs="Arial" w:eastAsia="Arial" w:hAnsi="Arial"/>
                  <w:sz w:val="15"/>
                  <w:szCs w:val="15"/>
                  <w:color w:val="0000EE"/>
                  <w:w w:val="95"/>
                </w:rPr>
                <w:t>LIGIBLE FOR</w:t>
              </w:r>
              <w:r>
                <w:rPr>
                  <w:rFonts w:ascii="Arial" w:cs="Arial" w:eastAsia="Arial" w:hAnsi="Arial"/>
                  <w:sz w:val="18"/>
                  <w:szCs w:val="18"/>
                  <w:color w:val="0000EE"/>
                  <w:w w:val="95"/>
                </w:rPr>
                <w:t xml:space="preserve"> F</w:t>
              </w:r>
              <w:r>
                <w:rPr>
                  <w:rFonts w:ascii="Arial" w:cs="Arial" w:eastAsia="Arial" w:hAnsi="Arial"/>
                  <w:sz w:val="15"/>
                  <w:szCs w:val="15"/>
                  <w:color w:val="0000EE"/>
                  <w:w w:val="95"/>
                </w:rPr>
                <w:t>UTURE</w:t>
              </w:r>
              <w:r>
                <w:rPr>
                  <w:rFonts w:ascii="Arial" w:cs="Arial" w:eastAsia="Arial" w:hAnsi="Arial"/>
                  <w:sz w:val="18"/>
                  <w:szCs w:val="18"/>
                  <w:color w:val="0000EE"/>
                  <w:w w:val="95"/>
                </w:rPr>
                <w:t xml:space="preserve"> S</w:t>
              </w:r>
              <w:r>
                <w:rPr>
                  <w:rFonts w:ascii="Arial" w:cs="Arial" w:eastAsia="Arial" w:hAnsi="Arial"/>
                  <w:sz w:val="15"/>
                  <w:szCs w:val="15"/>
                  <w:color w:val="0000EE"/>
                  <w:w w:val="95"/>
                </w:rPr>
                <w:t>ALE</w:t>
              </w:r>
            </w:hyperlink>
          </w:p>
        </w:tc>
        <w:tc>
          <w:tcPr>
            <w:tcW w:w="23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D</w:t>
              </w:r>
              <w:r>
                <w:rPr>
                  <w:rFonts w:ascii="Arial" w:cs="Arial" w:eastAsia="Arial" w:hAnsi="Arial"/>
                  <w:sz w:val="15"/>
                  <w:szCs w:val="15"/>
                  <w:color w:val="0000EE"/>
                  <w:w w:val="98"/>
                </w:rPr>
                <w:t>IVIDEND</w:t>
              </w:r>
              <w:r>
                <w:rPr>
                  <w:rFonts w:ascii="Arial" w:cs="Arial" w:eastAsia="Arial" w:hAnsi="Arial"/>
                  <w:sz w:val="18"/>
                  <w:szCs w:val="18"/>
                  <w:color w:val="0000EE"/>
                  <w:w w:val="98"/>
                </w:rPr>
                <w:t xml:space="preserve"> P</w:t>
              </w:r>
              <w:r>
                <w:rPr>
                  <w:rFonts w:ascii="Arial" w:cs="Arial" w:eastAsia="Arial" w:hAnsi="Arial"/>
                  <w:sz w:val="15"/>
                  <w:szCs w:val="15"/>
                  <w:color w:val="0000EE"/>
                  <w:w w:val="98"/>
                </w:rPr>
                <w:t>OLICY</w:t>
              </w:r>
            </w:hyperlink>
          </w:p>
        </w:tc>
        <w:tc>
          <w:tcPr>
            <w:tcW w:w="3700" w:type="dxa"/>
            <w:vAlign w:val="bottom"/>
            <w:gridSpan w:val="8"/>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54</w:t>
            </w:r>
          </w:p>
        </w:tc>
        <w:tc>
          <w:tcPr>
            <w:tcW w:w="45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152">
              <w:r>
                <w:rPr>
                  <w:rFonts w:ascii="Arial" w:cs="Arial" w:eastAsia="Arial" w:hAnsi="Arial"/>
                  <w:sz w:val="18"/>
                  <w:szCs w:val="18"/>
                  <w:color w:val="0000EE"/>
                  <w:w w:val="96"/>
                </w:rPr>
                <w:t>M</w:t>
              </w:r>
              <w:r>
                <w:rPr>
                  <w:rFonts w:ascii="Arial" w:cs="Arial" w:eastAsia="Arial" w:hAnsi="Arial"/>
                  <w:sz w:val="15"/>
                  <w:szCs w:val="15"/>
                  <w:color w:val="0000EE"/>
                  <w:w w:val="96"/>
                </w:rPr>
                <w:t>ATERIAL</w:t>
              </w:r>
              <w:r>
                <w:rPr>
                  <w:rFonts w:ascii="Arial" w:cs="Arial" w:eastAsia="Arial" w:hAnsi="Arial"/>
                  <w:sz w:val="18"/>
                  <w:szCs w:val="18"/>
                  <w:color w:val="0000EE"/>
                  <w:w w:val="96"/>
                </w:rPr>
                <w:t xml:space="preserve"> U.S. F</w:t>
              </w:r>
              <w:r>
                <w:rPr>
                  <w:rFonts w:ascii="Arial" w:cs="Arial" w:eastAsia="Arial" w:hAnsi="Arial"/>
                  <w:sz w:val="15"/>
                  <w:szCs w:val="15"/>
                  <w:color w:val="0000EE"/>
                  <w:w w:val="96"/>
                </w:rPr>
                <w:t>EDERAL</w:t>
              </w:r>
              <w:r>
                <w:rPr>
                  <w:rFonts w:ascii="Arial" w:cs="Arial" w:eastAsia="Arial" w:hAnsi="Arial"/>
                  <w:sz w:val="18"/>
                  <w:szCs w:val="18"/>
                  <w:color w:val="0000EE"/>
                  <w:w w:val="96"/>
                </w:rPr>
                <w:t xml:space="preserve"> I</w:t>
              </w:r>
              <w:r>
                <w:rPr>
                  <w:rFonts w:ascii="Arial" w:cs="Arial" w:eastAsia="Arial" w:hAnsi="Arial"/>
                  <w:sz w:val="15"/>
                  <w:szCs w:val="15"/>
                  <w:color w:val="0000EE"/>
                  <w:w w:val="96"/>
                </w:rPr>
                <w:t>NCOME</w:t>
              </w:r>
              <w:r>
                <w:rPr>
                  <w:rFonts w:ascii="Arial" w:cs="Arial" w:eastAsia="Arial" w:hAnsi="Arial"/>
                  <w:sz w:val="18"/>
                  <w:szCs w:val="18"/>
                  <w:color w:val="0000EE"/>
                  <w:w w:val="96"/>
                </w:rPr>
                <w:t xml:space="preserve"> T</w:t>
              </w:r>
              <w:r>
                <w:rPr>
                  <w:rFonts w:ascii="Arial" w:cs="Arial" w:eastAsia="Arial" w:hAnsi="Arial"/>
                  <w:sz w:val="15"/>
                  <w:szCs w:val="15"/>
                  <w:color w:val="0000EE"/>
                  <w:w w:val="96"/>
                </w:rPr>
                <w:t>AX</w:t>
              </w:r>
              <w:r>
                <w:rPr>
                  <w:rFonts w:ascii="Arial" w:cs="Arial" w:eastAsia="Arial" w:hAnsi="Arial"/>
                  <w:sz w:val="18"/>
                  <w:szCs w:val="18"/>
                  <w:color w:val="0000EE"/>
                  <w:w w:val="96"/>
                </w:rPr>
                <w:t xml:space="preserve"> C</w:t>
              </w:r>
              <w:r>
                <w:rPr>
                  <w:rFonts w:ascii="Arial" w:cs="Arial" w:eastAsia="Arial" w:hAnsi="Arial"/>
                  <w:sz w:val="15"/>
                  <w:szCs w:val="15"/>
                  <w:color w:val="0000EE"/>
                  <w:w w:val="96"/>
                </w:rPr>
                <w:t>ONSIDERATIONS FOR</w:t>
              </w:r>
            </w:hyperlink>
          </w:p>
        </w:tc>
        <w:tc>
          <w:tcPr>
            <w:tcW w:w="4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4860" w:type="dxa"/>
            <w:vAlign w:val="bottom"/>
            <w:gridSpan w:val="13"/>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D</w:t>
              </w:r>
              <w:r>
                <w:rPr>
                  <w:rFonts w:ascii="Arial" w:cs="Arial" w:eastAsia="Arial" w:hAnsi="Arial"/>
                  <w:sz w:val="15"/>
                  <w:szCs w:val="15"/>
                  <w:color w:val="0000EE"/>
                  <w:w w:val="99"/>
                </w:rPr>
                <w:t>ILUTION</w:t>
              </w:r>
            </w:hyperlink>
          </w:p>
        </w:tc>
        <w:tc>
          <w:tcPr>
            <w:tcW w:w="480" w:type="dxa"/>
            <w:vAlign w:val="bottom"/>
            <w:gridSpan w:val="2"/>
          </w:tcPr>
          <w:p>
            <w:pPr>
              <w:spacing w:after="0"/>
              <w:rPr>
                <w:sz w:val="17"/>
                <w:szCs w:val="17"/>
                <w:color w:val="auto"/>
              </w:rPr>
            </w:pPr>
          </w:p>
        </w:tc>
        <w:tc>
          <w:tcPr>
            <w:tcW w:w="3840" w:type="dxa"/>
            <w:vAlign w:val="bottom"/>
            <w:gridSpan w:val="9"/>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57</w:t>
            </w: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57">
              <w:r>
                <w:rPr>
                  <w:rFonts w:ascii="Arial" w:cs="Arial" w:eastAsia="Arial" w:hAnsi="Arial"/>
                  <w:sz w:val="18"/>
                  <w:szCs w:val="18"/>
                  <w:color w:val="0000EE"/>
                  <w:w w:val="96"/>
                </w:rPr>
                <w:t>U</w:t>
              </w:r>
              <w:r>
                <w:rPr>
                  <w:rFonts w:ascii="Arial" w:cs="Arial" w:eastAsia="Arial" w:hAnsi="Arial"/>
                  <w:sz w:val="15"/>
                  <w:szCs w:val="15"/>
                  <w:color w:val="0000EE"/>
                  <w:w w:val="96"/>
                </w:rPr>
                <w:t>NDERWRITING</w:t>
              </w:r>
            </w:hyperlink>
          </w:p>
        </w:tc>
        <w:tc>
          <w:tcPr>
            <w:tcW w:w="38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S</w:t>
              </w:r>
              <w:r>
                <w:rPr>
                  <w:rFonts w:ascii="Arial" w:cs="Arial" w:eastAsia="Arial" w:hAnsi="Arial"/>
                  <w:sz w:val="15"/>
                  <w:szCs w:val="15"/>
                  <w:color w:val="0000EE"/>
                  <w:w w:val="96"/>
                </w:rPr>
                <w:t>ELECTED</w:t>
              </w:r>
              <w:r>
                <w:rPr>
                  <w:rFonts w:ascii="Arial" w:cs="Arial" w:eastAsia="Arial" w:hAnsi="Arial"/>
                  <w:sz w:val="18"/>
                  <w:szCs w:val="18"/>
                  <w:color w:val="0000EE"/>
                  <w:w w:val="96"/>
                </w:rPr>
                <w:t xml:space="preserve"> C</w:t>
              </w:r>
              <w:r>
                <w:rPr>
                  <w:rFonts w:ascii="Arial" w:cs="Arial" w:eastAsia="Arial" w:hAnsi="Arial"/>
                  <w:sz w:val="15"/>
                  <w:szCs w:val="15"/>
                  <w:color w:val="0000EE"/>
                  <w:w w:val="96"/>
                </w:rPr>
                <w:t>ONSOLIDATED</w:t>
              </w:r>
              <w:r>
                <w:rPr>
                  <w:rFonts w:ascii="Arial" w:cs="Arial" w:eastAsia="Arial" w:hAnsi="Arial"/>
                  <w:sz w:val="18"/>
                  <w:szCs w:val="18"/>
                  <w:color w:val="0000EE"/>
                  <w:w w:val="96"/>
                </w:rPr>
                <w:t xml:space="preserve"> F</w:t>
              </w:r>
              <w:r>
                <w:rPr>
                  <w:rFonts w:ascii="Arial" w:cs="Arial" w:eastAsia="Arial" w:hAnsi="Arial"/>
                  <w:sz w:val="15"/>
                  <w:szCs w:val="15"/>
                  <w:color w:val="0000EE"/>
                  <w:w w:val="96"/>
                </w:rPr>
                <w:t>INANCIAL</w:t>
              </w:r>
              <w:r>
                <w:rPr>
                  <w:rFonts w:ascii="Arial" w:cs="Arial" w:eastAsia="Arial" w:hAnsi="Arial"/>
                  <w:sz w:val="18"/>
                  <w:szCs w:val="18"/>
                  <w:color w:val="0000EE"/>
                  <w:w w:val="96"/>
                </w:rPr>
                <w:t xml:space="preserve"> D</w:t>
              </w:r>
              <w:r>
                <w:rPr>
                  <w:rFonts w:ascii="Arial" w:cs="Arial" w:eastAsia="Arial" w:hAnsi="Arial"/>
                  <w:sz w:val="15"/>
                  <w:szCs w:val="15"/>
                  <w:color w:val="0000EE"/>
                  <w:w w:val="96"/>
                </w:rPr>
                <w:t>ATA</w:t>
              </w:r>
            </w:hyperlink>
          </w:p>
        </w:tc>
        <w:tc>
          <w:tcPr>
            <w:tcW w:w="1760" w:type="dxa"/>
            <w:vAlign w:val="bottom"/>
            <w:gridSpan w:val="4"/>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59</w:t>
            </w: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68">
              <w:r>
                <w:rPr>
                  <w:rFonts w:ascii="Arial" w:cs="Arial" w:eastAsia="Arial" w:hAnsi="Arial"/>
                  <w:sz w:val="18"/>
                  <w:szCs w:val="18"/>
                  <w:color w:val="0000EE"/>
                  <w:w w:val="95"/>
                </w:rPr>
                <w:t>L</w:t>
              </w:r>
              <w:r>
                <w:rPr>
                  <w:rFonts w:ascii="Arial" w:cs="Arial" w:eastAsia="Arial" w:hAnsi="Arial"/>
                  <w:sz w:val="15"/>
                  <w:szCs w:val="15"/>
                  <w:color w:val="0000EE"/>
                  <w:w w:val="95"/>
                </w:rPr>
                <w:t>EGAL</w:t>
              </w:r>
              <w:r>
                <w:rPr>
                  <w:rFonts w:ascii="Arial" w:cs="Arial" w:eastAsia="Arial" w:hAnsi="Arial"/>
                  <w:sz w:val="18"/>
                  <w:szCs w:val="18"/>
                  <w:color w:val="0000EE"/>
                  <w:w w:val="95"/>
                </w:rPr>
                <w:t xml:space="preserve"> M</w:t>
              </w:r>
              <w:r>
                <w:rPr>
                  <w:rFonts w:ascii="Arial" w:cs="Arial" w:eastAsia="Arial" w:hAnsi="Arial"/>
                  <w:sz w:val="15"/>
                  <w:szCs w:val="15"/>
                  <w:color w:val="0000EE"/>
                  <w:w w:val="95"/>
                </w:rPr>
                <w:t>ATTERS</w:t>
              </w:r>
            </w:hyperlink>
          </w:p>
        </w:tc>
        <w:tc>
          <w:tcPr>
            <w:tcW w:w="37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w:anchor="page65">
              <w:r>
                <w:rPr>
                  <w:rFonts w:ascii="Arial" w:cs="Arial" w:eastAsia="Arial" w:hAnsi="Arial"/>
                  <w:sz w:val="18"/>
                  <w:szCs w:val="18"/>
                  <w:color w:val="0000EE"/>
                  <w:w w:val="98"/>
                </w:rPr>
                <w:t>M</w:t>
              </w:r>
              <w:r>
                <w:rPr>
                  <w:rFonts w:ascii="Arial" w:cs="Arial" w:eastAsia="Arial" w:hAnsi="Arial"/>
                  <w:sz w:val="15"/>
                  <w:szCs w:val="15"/>
                  <w:color w:val="0000EE"/>
                  <w:w w:val="98"/>
                </w:rPr>
                <w:t>ANAGEMENT</w:t>
              </w:r>
              <w:r>
                <w:rPr>
                  <w:rFonts w:ascii="Arial" w:cs="Arial" w:eastAsia="Arial" w:hAnsi="Arial"/>
                  <w:sz w:val="18"/>
                  <w:szCs w:val="18"/>
                  <w:color w:val="0000EE"/>
                  <w:w w:val="98"/>
                </w:rPr>
                <w:t>’</w:t>
              </w:r>
              <w:r>
                <w:rPr>
                  <w:rFonts w:ascii="Arial" w:cs="Arial" w:eastAsia="Arial" w:hAnsi="Arial"/>
                  <w:sz w:val="15"/>
                  <w:szCs w:val="15"/>
                  <w:color w:val="0000EE"/>
                  <w:w w:val="98"/>
                </w:rPr>
                <w:t>S</w:t>
              </w:r>
              <w:r>
                <w:rPr>
                  <w:rFonts w:ascii="Arial" w:cs="Arial" w:eastAsia="Arial" w:hAnsi="Arial"/>
                  <w:sz w:val="18"/>
                  <w:szCs w:val="18"/>
                  <w:color w:val="0000EE"/>
                  <w:w w:val="98"/>
                </w:rPr>
                <w:t xml:space="preserve"> D</w:t>
              </w:r>
              <w:r>
                <w:rPr>
                  <w:rFonts w:ascii="Arial" w:cs="Arial" w:eastAsia="Arial" w:hAnsi="Arial"/>
                  <w:sz w:val="15"/>
                  <w:szCs w:val="15"/>
                  <w:color w:val="0000EE"/>
                  <w:w w:val="98"/>
                </w:rPr>
                <w:t>ISCUSSION AND</w:t>
              </w:r>
              <w:r>
                <w:rPr>
                  <w:rFonts w:ascii="Arial" w:cs="Arial" w:eastAsia="Arial" w:hAnsi="Arial"/>
                  <w:sz w:val="18"/>
                  <w:szCs w:val="18"/>
                  <w:color w:val="0000EE"/>
                  <w:w w:val="98"/>
                </w:rPr>
                <w:t xml:space="preserve"> A</w:t>
              </w:r>
              <w:r>
                <w:rPr>
                  <w:rFonts w:ascii="Arial" w:cs="Arial" w:eastAsia="Arial" w:hAnsi="Arial"/>
                  <w:sz w:val="15"/>
                  <w:szCs w:val="15"/>
                  <w:color w:val="0000EE"/>
                  <w:w w:val="98"/>
                </w:rPr>
                <w:t>NALYSIS OF</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hyperlink>
          </w:p>
        </w:tc>
        <w:tc>
          <w:tcPr>
            <w:tcW w:w="6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E</w:t>
              </w:r>
              <w:r>
                <w:rPr>
                  <w:rFonts w:ascii="Arial" w:cs="Arial" w:eastAsia="Arial" w:hAnsi="Arial"/>
                  <w:sz w:val="15"/>
                  <w:szCs w:val="15"/>
                  <w:color w:val="0000EE"/>
                  <w:w w:val="88"/>
                </w:rPr>
                <w:t>XPERTS</w:t>
              </w:r>
            </w:hyperlink>
          </w:p>
        </w:tc>
        <w:tc>
          <w:tcPr>
            <w:tcW w:w="438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C</w:t>
              </w:r>
              <w:r>
                <w:rPr>
                  <w:rFonts w:ascii="Arial" w:cs="Arial" w:eastAsia="Arial" w:hAnsi="Arial"/>
                  <w:sz w:val="15"/>
                  <w:szCs w:val="15"/>
                  <w:color w:val="0000EE"/>
                  <w:w w:val="94"/>
                </w:rPr>
                <w:t>ONDITION AND</w:t>
              </w:r>
              <w:r>
                <w:rPr>
                  <w:rFonts w:ascii="Arial" w:cs="Arial" w:eastAsia="Arial" w:hAnsi="Arial"/>
                  <w:sz w:val="18"/>
                  <w:szCs w:val="18"/>
                  <w:color w:val="0000EE"/>
                  <w:w w:val="94"/>
                </w:rPr>
                <w:t xml:space="preserve"> R</w:t>
              </w:r>
              <w:r>
                <w:rPr>
                  <w:rFonts w:ascii="Arial" w:cs="Arial" w:eastAsia="Arial" w:hAnsi="Arial"/>
                  <w:sz w:val="15"/>
                  <w:szCs w:val="15"/>
                  <w:color w:val="0000EE"/>
                  <w:w w:val="94"/>
                </w:rPr>
                <w:t>ESULTS OF</w:t>
              </w:r>
              <w:r>
                <w:rPr>
                  <w:rFonts w:ascii="Arial" w:cs="Arial" w:eastAsia="Arial" w:hAnsi="Arial"/>
                  <w:sz w:val="18"/>
                  <w:szCs w:val="18"/>
                  <w:color w:val="0000EE"/>
                  <w:w w:val="94"/>
                </w:rPr>
                <w:t xml:space="preserve"> O</w:t>
              </w:r>
              <w:r>
                <w:rPr>
                  <w:rFonts w:ascii="Arial" w:cs="Arial" w:eastAsia="Arial" w:hAnsi="Arial"/>
                  <w:sz w:val="15"/>
                  <w:szCs w:val="15"/>
                  <w:color w:val="0000EE"/>
                  <w:w w:val="94"/>
                </w:rPr>
                <w:t>PERATIONS</w:t>
              </w:r>
            </w:hyperlink>
          </w:p>
        </w:tc>
        <w:tc>
          <w:tcPr>
            <w:tcW w:w="1740" w:type="dxa"/>
            <w:vAlign w:val="bottom"/>
            <w:gridSpan w:val="3"/>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61</w:t>
            </w:r>
          </w:p>
        </w:tc>
        <w:tc>
          <w:tcPr>
            <w:tcW w:w="208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29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B</w:t>
              </w:r>
              <w:r>
                <w:rPr>
                  <w:rFonts w:ascii="Arial" w:cs="Arial" w:eastAsia="Arial" w:hAnsi="Arial"/>
                  <w:sz w:val="15"/>
                  <w:szCs w:val="15"/>
                  <w:color w:val="0000EE"/>
                </w:rPr>
                <w:t>USINESS</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77</w:t>
            </w:r>
          </w:p>
        </w:tc>
        <w:tc>
          <w:tcPr>
            <w:tcW w:w="5040" w:type="dxa"/>
            <w:vAlign w:val="bottom"/>
            <w:gridSpan w:val="14"/>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I</w:t>
              </w:r>
              <w:r>
                <w:rPr>
                  <w:rFonts w:ascii="Arial" w:cs="Arial" w:eastAsia="Arial" w:hAnsi="Arial"/>
                  <w:sz w:val="15"/>
                  <w:szCs w:val="15"/>
                  <w:color w:val="0000EE"/>
                </w:rPr>
                <w:t>NDEX TO</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Through and including , 2016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27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427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0"/>
        <w:spacing w:after="0" w:line="29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3"/>
        <w:spacing w:after="0" w:line="297" w:lineRule="auto"/>
        <w:rPr>
          <w:sz w:val="20"/>
          <w:szCs w:val="20"/>
          <w:color w:val="auto"/>
        </w:rPr>
      </w:pPr>
      <w:r>
        <w:rPr>
          <w:rFonts w:ascii="Arial" w:cs="Arial" w:eastAsia="Arial" w:hAnsi="Arial"/>
          <w:sz w:val="16"/>
          <w:szCs w:val="16"/>
          <w:color w:val="auto"/>
        </w:rPr>
        <w:t xml:space="preserve">We are a clinical stage biotechnology company developing first-in-class antibody product candidates focused on unmet medical needs in inflammation. We develop our product candidates to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50"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are currently conducting a Phase 1 trial of ANB020 in healthy volunteers in Australia under an approved Clinical Trial Notification, or CTN, which has produced results that we believe demonstrate the favorable safety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properties of ANB020. We have also cleared an Investigational New Drug application, or IND, with the U.S. Food and Drug Administration, or FDA, and have submitted a Clinical Trial Application, or CTA, with the U.K. Medicines and Healthcare Products Regulatory Agency, or MHRA, to initiate efficacy trials of ANB020 in patients with severe adult peanut allergy and moderate-to-severe adult atopic dermatitis, respectively, each of which are anticipated to be completed during the second half of 2017. In addition, we plan to seek regulatory clearance during the first half of 2017 to initiate an efficacy trial in patients with severe adult eosinophilic asthma, which is anticipated to be completed during the first half of 2018. ANB019 inhibits the interleukin-36, or IL-36R, receptor for the treatment of rare inflammatory diseases including generalized pustular psoriasis, or GPP, and palmo-plantar pustular psoriasis, or PPP. We plan to submit a CTN for ANB019 by the end of 2016 and commence a Phase 1 clinical trial in the first half of 2017.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77" w:lineRule="exact"/>
        <w:rPr>
          <w:sz w:val="20"/>
          <w:szCs w:val="20"/>
          <w:color w:val="auto"/>
        </w:rPr>
      </w:pPr>
    </w:p>
    <w:p>
      <w:pPr>
        <w:ind w:left="200" w:right="340" w:firstLine="443"/>
        <w:spacing w:after="0" w:line="286" w:lineRule="auto"/>
        <w:rPr>
          <w:sz w:val="20"/>
          <w:szCs w:val="20"/>
          <w:color w:val="auto"/>
        </w:rPr>
      </w:pPr>
      <w:r>
        <w:rPr>
          <w:rFonts w:ascii="Arial" w:cs="Arial" w:eastAsia="Arial" w:hAnsi="Arial"/>
          <w:sz w:val="17"/>
          <w:szCs w:val="17"/>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w:t>
      </w:r>
    </w:p>
    <w:p>
      <w:pPr>
        <w:spacing w:after="0" w:line="57"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 xml:space="preserve">Under our TESARO collaboration, a Phase 1 clinical trial was initiated during the first quarter of 2016 to study an AnaptysBio-generated anti-PD-1 antagonist antibody (TSR-042) in patients under an IND cleared by the U.S. Food and Drug Administration, or FDA, and a second Phase 1 trial was initiated during the third quarter of 2016 to study an AnaptysBio-generated anti-TIM-3 antagonist antibody (TSR-022) in patients under a separate IND cleared by the FDA. Under our Celgene collaboration,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or GLPs, for an AnaptysBio-generated antibody was completed during the second quarter of 2016. Including the aforementioned programs, we expect that our collaborators will advance four AnaptysBio-generated antibodies to the clinic by the end of the first half of 2017. Through October 31, 2016, we have received $65.4 million in non-dilutive funding from our collaborators.</w:t>
      </w:r>
    </w:p>
    <w:p>
      <w:pPr>
        <w:spacing w:after="0" w:line="81"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Our company is led by a strong management team with deep experience in antibody discovery and development, collaborations, operations and corporate finance. Through October 31, 2016, we have raised approximately $94.3 million from investors, including Biotechnology Value Fund, Cormorant Asset Management, Frazier Healthcare, HBM Partners, Longwood Capital Partners and Novo A/S.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893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7893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1060" w:hanging="323"/>
        <w:spacing w:after="0" w:line="285"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is 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are conducting a Phase 1 trial of ANB020 in healthy volunteers in Australia under an approved CTN, which has produced results that we believe demonstrate the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of ANB020. We have a cleared U.S. IND and have submitted a U.K. CTA to initiate efficacy trials of ANB020 for the treatment of severe adult peanut allergy and moderate-to-severe adult atopic dermatitis, respectively, each of which are anticipated to be completed during the second half of 2017. In addition, we plan to seek regulatory clearance during the first half of 2017 to initiate an efficacy trial in patients with severe adult eosinophilic asthma, which is anticipated to be completed during the first half of 2018. Based on our analysis of publicly available data sources and interviews with physicians and key opinion leaders in the field of atopic dermatitis, we estimate approximately 1.4 million adults in the United States are affected by atopic dermatitis, of which approximately 280,000 are diagnosed with a moderate-to-severe form of this disease, of which 98,000 are believed to be suitable for treatment with systemic biological therapies.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3.6 million have severe, persistent occurrence of this respiratory disease in the United States.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59" w:right="3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5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555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hanging="323"/>
        <w:spacing w:after="0" w:line="287"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IL-36R, which we are initially developing as a potential first-in-class therapy for GPP</w:t>
      </w:r>
      <w:r>
        <w:rPr>
          <w:rFonts w:ascii="Arial" w:cs="Arial" w:eastAsia="Arial" w:hAnsi="Arial"/>
          <w:sz w:val="16"/>
          <w:szCs w:val="16"/>
          <w:b w:val="1"/>
          <w:bCs w:val="1"/>
          <w:color w:val="auto"/>
        </w:rPr>
        <w:t xml:space="preserve"> </w:t>
      </w:r>
      <w:r>
        <w:rPr>
          <w:rFonts w:ascii="Arial" w:cs="Arial" w:eastAsia="Arial" w:hAnsi="Arial"/>
          <w:sz w:val="16"/>
          <w:szCs w:val="16"/>
          <w:color w:val="auto"/>
        </w:rPr>
        <w:t>and 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 signaling pathway.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the IL-36R in development. We anticipate filing an Australian CTN for ANB019 by the end of 2016, the approval of which would allow us to initiate a Phase 1 clinical trial in Australia in the first half of 2017.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70" w:lineRule="exact"/>
        <w:rPr>
          <w:rFonts w:ascii="Arial" w:cs="Arial" w:eastAsia="Arial" w:hAnsi="Arial"/>
          <w:sz w:val="16"/>
          <w:szCs w:val="16"/>
          <w:color w:val="auto"/>
        </w:rPr>
      </w:pPr>
    </w:p>
    <w:p>
      <w:pPr>
        <w:ind w:left="1060" w:hanging="323"/>
        <w:spacing w:after="0" w:line="27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Checkpoint receptor agonist </w:t>
      </w:r>
      <w:r>
        <w:rPr>
          <w:rFonts w:ascii="Arial" w:cs="Arial" w:eastAsia="Arial" w:hAnsi="Arial"/>
          <w:sz w:val="17"/>
          <w:szCs w:val="17"/>
          <w:color w:val="auto"/>
        </w:rPr>
        <w:t>antibodies are being developed by AnaptysBio to multiple different immune checkpoint receptors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2018.</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Advantages of Our SHM Platform</w:t>
      </w:r>
    </w:p>
    <w:p>
      <w:pPr>
        <w:spacing w:after="0" w:line="121" w:lineRule="exact"/>
        <w:rPr>
          <w:sz w:val="20"/>
          <w:szCs w:val="20"/>
          <w:color w:val="auto"/>
        </w:rPr>
      </w:pPr>
    </w:p>
    <w:p>
      <w:pPr>
        <w:ind w:left="200" w:right="160" w:firstLine="443"/>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90" w:lineRule="exact"/>
        <w:rPr>
          <w:sz w:val="20"/>
          <w:szCs w:val="20"/>
          <w:color w:val="auto"/>
        </w:rPr>
      </w:pPr>
    </w:p>
    <w:p>
      <w:pPr>
        <w:ind w:left="1060" w:right="120" w:hanging="323"/>
        <w:spacing w:after="0" w:line="26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1060" w:right="500" w:hanging="323"/>
        <w:spacing w:after="0" w:line="347"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1060" w:right="200" w:hanging="323"/>
        <w:spacing w:after="0" w:line="26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1060" w:right="180" w:hanging="323"/>
        <w:spacing w:after="0" w:line="26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1060" w:right="580" w:hanging="323"/>
        <w:spacing w:after="0" w:line="282"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antibody expression, formulation and stability during the antibody generation process.</w:t>
      </w:r>
    </w:p>
    <w:p>
      <w:pPr>
        <w:spacing w:after="0" w:line="67" w:lineRule="exact"/>
        <w:rPr>
          <w:rFonts w:ascii="Arial" w:cs="Arial" w:eastAsia="Arial" w:hAnsi="Arial"/>
          <w:sz w:val="18"/>
          <w:szCs w:val="18"/>
          <w:color w:val="auto"/>
        </w:rPr>
      </w:pPr>
    </w:p>
    <w:p>
      <w:pPr>
        <w:ind w:left="1060" w:right="820" w:hanging="323"/>
        <w:spacing w:after="0" w:line="282"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Our novel approach for the generation of bispecific antibodies leverages SHM to combine two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mechanisms into a single natural antibody molecule.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66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7662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left="200" w:right="460" w:firstLine="443"/>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$65.4 million in payments through October 31, 2016. Multiple antibodies, generated by us prior to or during a strategic collaboration, are currently being advanced through development by our collaborators. Our collaborations with TESARO and Celgene are described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jc w:val="both"/>
        <w:ind w:left="1060" w:right="10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Phase 1 clinical trial dosing initiated in the first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dose and schedule by year-end 2016, finalize registration strategy and initiate a registration program in the first half of 2017;</w:t>
      </w:r>
    </w:p>
    <w:p>
      <w:pPr>
        <w:spacing w:after="0" w:line="86"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 (TSR-022)</w:t>
      </w:r>
      <w:r>
        <w:rPr>
          <w:rFonts w:ascii="Arial" w:cs="Arial" w:eastAsia="Arial" w:hAnsi="Arial"/>
          <w:sz w:val="18"/>
          <w:szCs w:val="18"/>
          <w:color w:val="auto"/>
        </w:rPr>
        <w:t>: Phase 1 clinical trial dosing initiated in the third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initiation of an anti-PD-1 combination trial in the first half of 2017;</w:t>
      </w:r>
    </w:p>
    <w:p>
      <w:pPr>
        <w:spacing w:after="0" w:line="75"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 (TSR-033)</w:t>
      </w:r>
      <w:r>
        <w:rPr>
          <w:rFonts w:ascii="Arial" w:cs="Arial" w:eastAsia="Arial" w:hAnsi="Arial"/>
          <w:sz w:val="18"/>
          <w:szCs w:val="18"/>
          <w:color w:val="auto"/>
        </w:rPr>
        <w:t>: currently in preclinical development, expect the initiation of a Phase 1 trial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of 2017;</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left="200" w:right="200" w:firstLine="443"/>
        <w:spacing w:after="0" w:line="276" w:lineRule="auto"/>
        <w:rPr>
          <w:sz w:val="20"/>
          <w:szCs w:val="20"/>
          <w:color w:val="auto"/>
        </w:rPr>
      </w:pPr>
      <w:r>
        <w:rPr>
          <w:rFonts w:ascii="Arial" w:cs="Arial" w:eastAsia="Arial" w:hAnsi="Arial"/>
          <w:sz w:val="17"/>
          <w:szCs w:val="17"/>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 and has completed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under GLP using one of these two antibodies.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1060" w:hanging="323"/>
        <w:spacing w:after="0" w:line="287"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wholly-owned lead product candidates to clinical milestones. </w:t>
      </w:r>
      <w:r>
        <w:rPr>
          <w:rFonts w:ascii="Arial" w:cs="Arial" w:eastAsia="Arial" w:hAnsi="Arial"/>
          <w:sz w:val="16"/>
          <w:szCs w:val="16"/>
          <w:color w:val="auto"/>
        </w:rPr>
        <w:t>We are working to demonstrate the safety and efficacy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our wholly-owned pipeline programs, and are currently conducting a Phase 1 trial of ANB020 in healthy volunteers in Australia, which we believe has to date demonstrated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We have a cleared U.S. IND and have submitted a U.K. CTA to initiate efficacy trials in patients with severe adult peanut allergy and moderate-to-severe adult atopic dermatitis, respectively, each of which are anticipated to be completed during the second half of 2017. In addition, we plan to seek regulatory clearance during the first half of 2017 to initiate an efficacy trial in patients with severe adult eosinophilic asthma, which is anticipated to be completed during the first half of 2018. We plan to initiate a Phase 1 healthy volunteer trial for ANB019 in the first half of 2017, followed by clinical trials in GPP and PPP patients. For both ANB020 and ANB019, we are conducting, or plan to conduct, our initial clinical trials in Australia, and we plan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74" w:lineRule="exact"/>
        <w:rPr>
          <w:rFonts w:ascii="Arial" w:cs="Arial" w:eastAsia="Arial" w:hAnsi="Arial"/>
          <w:sz w:val="16"/>
          <w:szCs w:val="16"/>
          <w:color w:val="auto"/>
        </w:rPr>
      </w:pPr>
    </w:p>
    <w:p>
      <w:pPr>
        <w:ind w:left="1060" w:hanging="323"/>
        <w:spacing w:after="0" w:line="261"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0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2609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hanging="323"/>
        <w:spacing w:after="0" w:line="27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1060" w:right="40" w:hanging="323"/>
        <w:spacing w:after="0" w:line="281"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w:t>
      </w:r>
      <w:r>
        <w:rPr>
          <w:rFonts w:ascii="Arial" w:cs="Arial" w:eastAsia="Arial" w:hAnsi="Arial"/>
          <w:sz w:val="17"/>
          <w:szCs w:val="17"/>
          <w:b w:val="1"/>
          <w:bCs w:val="1"/>
          <w:color w:val="auto"/>
        </w:rPr>
        <w:t xml:space="preserve"> </w:t>
      </w:r>
      <w:r>
        <w:rPr>
          <w:rFonts w:ascii="Arial" w:cs="Arial" w:eastAsia="Arial" w:hAnsi="Arial"/>
          <w:sz w:val="17"/>
          <w:szCs w:val="17"/>
          <w:color w:val="auto"/>
        </w:rPr>
        <w:t>key preclinical and clinical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121" w:lineRule="exact"/>
        <w:rPr>
          <w:sz w:val="20"/>
          <w:szCs w:val="20"/>
          <w:color w:val="auto"/>
        </w:rPr>
      </w:pPr>
    </w:p>
    <w:p>
      <w:pPr>
        <w:ind w:left="200" w:right="660" w:firstLine="443"/>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ind w:left="1060" w:right="7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1060" w:right="300" w:hanging="323"/>
        <w:spacing w:after="0" w:line="31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recently initiated dosing of ANB020 in humans and have never dosed any of our other wholly-owned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2" w:lineRule="exact"/>
        <w:rPr>
          <w:rFonts w:ascii="Arial" w:cs="Arial" w:eastAsia="Arial" w:hAnsi="Arial"/>
          <w:sz w:val="16"/>
          <w:szCs w:val="16"/>
          <w:color w:val="auto"/>
        </w:rPr>
      </w:pPr>
    </w:p>
    <w:p>
      <w:pPr>
        <w:ind w:left="1060" w:right="20" w:hanging="323"/>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1060" w:right="3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 to build a pipeline of product candidates and develop marketable products.</w:t>
      </w:r>
    </w:p>
    <w:p>
      <w:pPr>
        <w:spacing w:after="0" w:line="75" w:lineRule="exact"/>
        <w:rPr>
          <w:rFonts w:ascii="Arial" w:cs="Arial" w:eastAsia="Arial" w:hAnsi="Arial"/>
          <w:sz w:val="18"/>
          <w:szCs w:val="18"/>
          <w:color w:val="auto"/>
        </w:rPr>
      </w:pPr>
    </w:p>
    <w:p>
      <w:pPr>
        <w:ind w:left="1060" w:right="2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1060" w:right="420" w:hanging="323"/>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1060" w:right="220" w:hanging="323"/>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2" w:lineRule="exact"/>
        <w:rPr>
          <w:sz w:val="20"/>
          <w:szCs w:val="20"/>
          <w:color w:val="auto"/>
        </w:rPr>
      </w:pPr>
    </w:p>
    <w:p>
      <w:pPr>
        <w:jc w:val="both"/>
        <w:ind w:left="1060" w:right="180" w:hanging="319"/>
        <w:spacing w:after="0" w:line="264" w:lineRule="auto"/>
        <w:tabs>
          <w:tab w:leader="none" w:pos="1040" w:val="left"/>
        </w:tabs>
        <w:rPr>
          <w:sz w:val="20"/>
          <w:szCs w:val="20"/>
          <w:color w:val="auto"/>
        </w:rPr>
      </w:pPr>
      <w:r>
        <w:rPr>
          <w:rFonts w:ascii="Arial" w:cs="Arial" w:eastAsia="Arial" w:hAnsi="Arial"/>
          <w:sz w:val="18"/>
          <w:szCs w:val="18"/>
          <w:color w:val="auto"/>
        </w:rPr>
        <w:t>•</w:t>
        <w:tab/>
        <w:t>Our executive officers, directors, current 5% or greater stockholders and entities affiliated with any of them, together will own % of our common stock after this offering based on the number of shares outstanding as of September 30, 2016; the concentration of our capital stock ownership will likely limit your ability to influence corporate matters.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71"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200" w:right="360" w:firstLine="443"/>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060" w:right="58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right="2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350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350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37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4737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of common stock offered by us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151" w:lineRule="exact"/>
        <w:rPr>
          <w:sz w:val="20"/>
          <w:szCs w:val="20"/>
          <w:color w:val="auto"/>
        </w:rPr>
      </w:pPr>
    </w:p>
    <w:p>
      <w:pPr>
        <w:sectPr>
          <w:pgSz w:w="11900" w:h="16838" w:orient="portrait"/>
          <w:cols w:equalWidth="0" w:num="2">
            <w:col w:w="4560" w:space="720"/>
            <w:col w:w="59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shares to be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w:t>
      </w:r>
    </w:p>
    <w:p>
      <w:pPr>
        <w:spacing w:after="0" w:line="151" w:lineRule="exact"/>
        <w:rPr>
          <w:sz w:val="20"/>
          <w:szCs w:val="20"/>
          <w:color w:val="auto"/>
        </w:rPr>
      </w:pPr>
    </w:p>
    <w:p>
      <w:pPr>
        <w:sectPr>
          <w:pgSz w:w="11900" w:h="16838" w:orient="portrait"/>
          <w:cols w:equalWidth="0" w:num="2">
            <w:col w:w="4560" w:space="720"/>
            <w:col w:w="59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Shares of common stock to be outstanding immediately</w:t>
      </w:r>
    </w:p>
    <w:p>
      <w:pPr>
        <w:spacing w:after="0" w:line="20" w:lineRule="exact"/>
        <w:rPr>
          <w:sz w:val="20"/>
          <w:szCs w:val="20"/>
          <w:color w:val="auto"/>
        </w:rPr>
      </w:pPr>
      <w:r>
        <w:rPr>
          <w:sz w:val="20"/>
          <w:szCs w:val="20"/>
          <w:color w:val="auto"/>
        </w:rPr>
        <w:br w:type="column"/>
      </w:r>
    </w:p>
    <w:p>
      <w:pPr>
        <w:spacing w:after="0"/>
        <w:tabs>
          <w:tab w:leader="none" w:pos="108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6"/>
          <w:szCs w:val="16"/>
          <w:color w:val="auto"/>
        </w:rPr>
        <w:t>shares if the underwriters exercise their option to purchase</w:t>
      </w:r>
    </w:p>
    <w:p>
      <w:pPr>
        <w:spacing w:after="0" w:line="23" w:lineRule="exact"/>
        <w:rPr>
          <w:sz w:val="20"/>
          <w:szCs w:val="20"/>
          <w:color w:val="auto"/>
        </w:rPr>
      </w:pPr>
    </w:p>
    <w:p>
      <w:pPr>
        <w:sectPr>
          <w:pgSz w:w="11900" w:h="16838" w:orient="portrait"/>
          <w:cols w:equalWidth="0" w:num="2">
            <w:col w:w="4560" w:space="720"/>
            <w:col w:w="5980"/>
          </w:cols>
          <w:pgMar w:left="240" w:top="459" w:right="399" w:bottom="1440" w:gutter="0" w:footer="0" w:header="0"/>
          <w:type w:val="continuous"/>
        </w:sectPr>
      </w:pPr>
    </w:p>
    <w:tbl>
      <w:tblPr>
        <w:tblLayout w:type="fixed"/>
        <w:tblInd w:w="20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after this offering</w:t>
            </w:r>
          </w:p>
        </w:tc>
        <w:tc>
          <w:tcPr>
            <w:tcW w:w="3200" w:type="dxa"/>
            <w:vAlign w:val="bottom"/>
            <w:gridSpan w:val="2"/>
          </w:tcPr>
          <w:p>
            <w:pPr>
              <w:ind w:left="920"/>
              <w:spacing w:after="0"/>
              <w:rPr>
                <w:sz w:val="20"/>
                <w:szCs w:val="20"/>
                <w:color w:val="auto"/>
              </w:rPr>
            </w:pPr>
            <w:r>
              <w:rPr>
                <w:rFonts w:ascii="Arial" w:cs="Arial" w:eastAsia="Arial" w:hAnsi="Arial"/>
                <w:sz w:val="18"/>
                <w:szCs w:val="18"/>
                <w:color w:val="auto"/>
              </w:rPr>
              <w:t>additional shares in full).</w:t>
            </w:r>
          </w:p>
        </w:tc>
        <w:tc>
          <w:tcPr>
            <w:tcW w:w="4240" w:type="dxa"/>
            <w:vAlign w:val="bottom"/>
          </w:tcPr>
          <w:p>
            <w:pPr>
              <w:spacing w:after="0"/>
              <w:rPr>
                <w:sz w:val="20"/>
                <w:szCs w:val="20"/>
                <w:color w:val="auto"/>
              </w:rPr>
            </w:pPr>
          </w:p>
        </w:tc>
      </w:tr>
      <w:tr>
        <w:trPr>
          <w:trHeight w:val="295"/>
        </w:trPr>
        <w:tc>
          <w:tcPr>
            <w:tcW w:w="3620" w:type="dxa"/>
            <w:vAlign w:val="bottom"/>
          </w:tcPr>
          <w:p>
            <w:pPr>
              <w:spacing w:after="0"/>
              <w:rPr>
                <w:sz w:val="20"/>
                <w:szCs w:val="20"/>
                <w:color w:val="auto"/>
              </w:rPr>
            </w:pPr>
            <w:r>
              <w:rPr>
                <w:rFonts w:ascii="Arial" w:cs="Arial" w:eastAsia="Arial" w:hAnsi="Arial"/>
                <w:sz w:val="18"/>
                <w:szCs w:val="18"/>
                <w:color w:val="auto"/>
              </w:rPr>
              <w:t>Voting rights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6"/>
              </w:rPr>
              <w:t>Upon the closing of this offering, each outstanding share of our convertible preferred</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8"/>
              </w:rPr>
              <w:t>stock will automatically convert into one share of common stock. Each share of our</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common stock is entitled to one vote on all matters submitted to a vote of stockholders,</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including the election of directors. See “Description of Capital Stock.”</w:t>
            </w: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Use of proceeds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We estimate that the net proceeds from this offering will be approximately $</w:t>
            </w:r>
          </w:p>
        </w:tc>
      </w:tr>
      <w:tr>
        <w:trPr>
          <w:trHeight w:val="216"/>
        </w:trPr>
        <w:tc>
          <w:tcPr>
            <w:tcW w:w="3620" w:type="dxa"/>
            <w:vAlign w:val="bottom"/>
          </w:tcPr>
          <w:p>
            <w:pPr>
              <w:spacing w:after="0"/>
              <w:rPr>
                <w:sz w:val="18"/>
                <w:szCs w:val="18"/>
                <w:color w:val="auto"/>
              </w:rPr>
            </w:pPr>
          </w:p>
        </w:tc>
        <w:tc>
          <w:tcPr>
            <w:tcW w:w="3200" w:type="dxa"/>
            <w:vAlign w:val="bottom"/>
            <w:gridSpan w:val="2"/>
          </w:tcPr>
          <w:p>
            <w:pPr>
              <w:ind w:left="920"/>
              <w:spacing w:after="0"/>
              <w:rPr>
                <w:sz w:val="20"/>
                <w:szCs w:val="20"/>
                <w:color w:val="auto"/>
              </w:rPr>
            </w:pPr>
            <w:r>
              <w:rPr>
                <w:rFonts w:ascii="Arial" w:cs="Arial" w:eastAsia="Arial" w:hAnsi="Arial"/>
                <w:sz w:val="18"/>
                <w:szCs w:val="18"/>
                <w:color w:val="auto"/>
              </w:rPr>
              <w:t>million (or approximately $</w:t>
            </w:r>
          </w:p>
        </w:tc>
        <w:tc>
          <w:tcPr>
            <w:tcW w:w="4240" w:type="dxa"/>
            <w:vAlign w:val="bottom"/>
          </w:tcPr>
          <w:p>
            <w:pPr>
              <w:ind w:left="300"/>
              <w:spacing w:after="0"/>
              <w:rPr>
                <w:sz w:val="20"/>
                <w:szCs w:val="20"/>
                <w:color w:val="auto"/>
              </w:rPr>
            </w:pPr>
            <w:r>
              <w:rPr>
                <w:rFonts w:ascii="Arial" w:cs="Arial" w:eastAsia="Arial" w:hAnsi="Arial"/>
                <w:sz w:val="18"/>
                <w:szCs w:val="18"/>
                <w:color w:val="auto"/>
              </w:rPr>
              <w:t>million if the underwriters exercise their option to</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9"/>
              </w:rPr>
              <w:t>purchase additional shares in full), based upon the assumed initial offering price of</w:t>
            </w:r>
          </w:p>
        </w:tc>
      </w:tr>
      <w:tr>
        <w:trPr>
          <w:trHeight w:val="216"/>
        </w:trPr>
        <w:tc>
          <w:tcPr>
            <w:tcW w:w="3620" w:type="dxa"/>
            <w:vAlign w:val="bottom"/>
          </w:tcPr>
          <w:p>
            <w:pPr>
              <w:spacing w:after="0"/>
              <w:rPr>
                <w:sz w:val="18"/>
                <w:szCs w:val="18"/>
                <w:color w:val="auto"/>
              </w:rPr>
            </w:pPr>
          </w:p>
        </w:tc>
        <w:tc>
          <w:tcPr>
            <w:tcW w:w="1300" w:type="dxa"/>
            <w:vAlign w:val="bottom"/>
          </w:tcPr>
          <w:p>
            <w:pPr>
              <w:ind w:left="920"/>
              <w:spacing w:after="0"/>
              <w:rPr>
                <w:sz w:val="20"/>
                <w:szCs w:val="20"/>
                <w:color w:val="auto"/>
              </w:rPr>
            </w:pPr>
            <w:r>
              <w:rPr>
                <w:rFonts w:ascii="Arial" w:cs="Arial" w:eastAsia="Arial" w:hAnsi="Arial"/>
                <w:sz w:val="18"/>
                <w:szCs w:val="18"/>
                <w:color w:val="auto"/>
              </w:rPr>
              <w:t>$</w:t>
            </w:r>
          </w:p>
        </w:tc>
        <w:tc>
          <w:tcPr>
            <w:tcW w:w="6140" w:type="dxa"/>
            <w:vAlign w:val="bottom"/>
            <w:gridSpan w:val="2"/>
          </w:tcPr>
          <w:p>
            <w:pPr>
              <w:ind w:left="300"/>
              <w:spacing w:after="0"/>
              <w:rPr>
                <w:sz w:val="20"/>
                <w:szCs w:val="20"/>
                <w:color w:val="auto"/>
              </w:rPr>
            </w:pPr>
            <w:r>
              <w:rPr>
                <w:rFonts w:ascii="Arial" w:cs="Arial" w:eastAsia="Arial" w:hAnsi="Arial"/>
                <w:sz w:val="18"/>
                <w:szCs w:val="18"/>
                <w:color w:val="auto"/>
                <w:w w:val="90"/>
              </w:rPr>
              <w:t>per share, which is the midpoint of the estimated offering price range set forth on</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the cover page of this prospectus, after deducting estimated underwriting discounts and</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commissions and estimated offering expenses payable by us.</w:t>
            </w:r>
          </w:p>
        </w:tc>
      </w:tr>
      <w:tr>
        <w:trPr>
          <w:trHeight w:val="310"/>
        </w:trPr>
        <w:tc>
          <w:tcPr>
            <w:tcW w:w="3620" w:type="dxa"/>
            <w:vAlign w:val="bottom"/>
          </w:tcPr>
          <w:p>
            <w:pPr>
              <w:spacing w:after="0"/>
              <w:rPr>
                <w:sz w:val="24"/>
                <w:szCs w:val="24"/>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4"/>
              </w:rPr>
              <w:t>We intend to use the net proceeds that we receive in this offering for product discovery</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88"/>
              </w:rPr>
              <w:t>and development and general corporate purposes. We may use a portion of the proceeds to</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4"/>
              </w:rPr>
              <w:t>acquire other complementary businesses or technologies. See “Use of Proceeds” for a</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more complete description of the intended use of proceeds from this offering.</w:t>
            </w: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Risk factors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0"/>
              </w:rPr>
              <w:t>You should read the “Risk Factors” section of this prospectus for a discussion of factors to</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consider carefully before deciding to invest in shares of our common stock.</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3200" w:type="dxa"/>
            <w:vAlign w:val="bottom"/>
            <w:gridSpan w:val="2"/>
          </w:tcPr>
          <w:p>
            <w:pPr>
              <w:ind w:left="920"/>
              <w:spacing w:after="0"/>
              <w:rPr>
                <w:sz w:val="20"/>
                <w:szCs w:val="20"/>
                <w:color w:val="auto"/>
              </w:rPr>
            </w:pPr>
            <w:r>
              <w:rPr>
                <w:rFonts w:ascii="Arial" w:cs="Arial" w:eastAsia="Arial" w:hAnsi="Arial"/>
                <w:sz w:val="18"/>
                <w:szCs w:val="18"/>
                <w:color w:val="auto"/>
              </w:rPr>
              <w:t>“ANAB.”</w:t>
            </w:r>
          </w:p>
        </w:tc>
        <w:tc>
          <w:tcPr>
            <w:tcW w:w="4240" w:type="dxa"/>
            <w:vAlign w:val="bottom"/>
          </w:tcPr>
          <w:p>
            <w:pPr>
              <w:spacing w:after="0"/>
              <w:rPr>
                <w:sz w:val="24"/>
                <w:szCs w:val="24"/>
                <w:color w:val="auto"/>
              </w:rPr>
            </w:pPr>
          </w:p>
        </w:tc>
      </w:tr>
    </w:tbl>
    <w:p>
      <w:pPr>
        <w:spacing w:after="0" w:line="94"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99,115,774 shares of our common stock outstanding as of September 30, 2016, and excludes:</w:t>
      </w:r>
    </w:p>
    <w:p>
      <w:pPr>
        <w:spacing w:after="0" w:line="76" w:lineRule="exact"/>
        <w:rPr>
          <w:sz w:val="20"/>
          <w:szCs w:val="20"/>
          <w:color w:val="auto"/>
        </w:rPr>
      </w:pPr>
    </w:p>
    <w:p>
      <w:pPr>
        <w:ind w:left="1060" w:right="28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12,997,698 shares of common stock issuable upon the exercise of options outstanding as of September 30, 2016, with a weighted-average exercise price of $0.59 per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4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3949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00" w:hanging="863"/>
        <w:spacing w:after="0"/>
        <w:tabs>
          <w:tab w:leader="none" w:pos="1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3,593,212 shares of</w:t>
      </w:r>
    </w:p>
    <w:p>
      <w:pPr>
        <w:spacing w:after="0" w:line="46" w:lineRule="exact"/>
        <w:rPr>
          <w:sz w:val="20"/>
          <w:szCs w:val="20"/>
          <w:color w:val="auto"/>
        </w:rPr>
      </w:pPr>
    </w:p>
    <w:p>
      <w:pPr>
        <w:ind w:left="1060" w:right="22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September 30, 2016, (b) shares of common stock reserved for future issuance under our 2016 Equity Incentive Plan, which will become effective on the date immediately prior to the</w:t>
      </w:r>
    </w:p>
    <w:p>
      <w:pPr>
        <w:spacing w:after="0" w:line="1" w:lineRule="exact"/>
        <w:rPr>
          <w:sz w:val="20"/>
          <w:szCs w:val="20"/>
          <w:color w:val="auto"/>
        </w:rPr>
      </w:pPr>
    </w:p>
    <w:p>
      <w:pPr>
        <w:ind w:left="1060"/>
        <w:spacing w:after="0" w:line="252" w:lineRule="auto"/>
        <w:rPr>
          <w:sz w:val="20"/>
          <w:szCs w:val="20"/>
          <w:color w:val="auto"/>
        </w:rPr>
      </w:pPr>
      <w:r>
        <w:rPr>
          <w:rFonts w:ascii="Arial" w:cs="Arial" w:eastAsia="Arial" w:hAnsi="Arial"/>
          <w:sz w:val="18"/>
          <w:szCs w:val="18"/>
          <w:color w:val="auto"/>
        </w:rPr>
        <w:t>date of this prospectus and (c) shares of common stock reserved for future issuance under our 2016 Employee Stock Purchase Plan, which will become effective on the date of this prospectus. Upon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 Employee Benefit and Stock Plans;”</w:t>
      </w:r>
    </w:p>
    <w:p>
      <w:pPr>
        <w:spacing w:after="0" w:line="100" w:lineRule="exact"/>
        <w:rPr>
          <w:sz w:val="20"/>
          <w:szCs w:val="20"/>
          <w:color w:val="auto"/>
        </w:rPr>
      </w:pPr>
    </w:p>
    <w:p>
      <w:pPr>
        <w:ind w:left="1060" w:right="38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1060" w:right="40" w:hanging="323"/>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our Series C convertible preferred stock that were outstanding as of September 30, 2016, with an exercise price of $0.65 per share, that do not expire upon the closing of this offering.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right="700" w:hanging="323"/>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September 30, 2016 into an aggregate of 80,645,051 shares of common stock immediately prior to the closing of this offering;</w:t>
      </w:r>
    </w:p>
    <w:p>
      <w:pPr>
        <w:spacing w:after="0" w:line="76" w:lineRule="exact"/>
        <w:rPr>
          <w:sz w:val="20"/>
          <w:szCs w:val="20"/>
          <w:color w:val="auto"/>
        </w:rPr>
      </w:pPr>
    </w:p>
    <w:p>
      <w:pPr>
        <w:ind w:left="1060" w:right="600" w:hanging="319"/>
        <w:spacing w:after="0" w:line="277" w:lineRule="auto"/>
        <w:tabs>
          <w:tab w:leader="none" w:pos="1040" w:val="left"/>
        </w:tabs>
        <w:rPr>
          <w:sz w:val="20"/>
          <w:szCs w:val="20"/>
          <w:color w:val="auto"/>
        </w:rPr>
      </w:pPr>
      <w:r>
        <w:rPr>
          <w:rFonts w:ascii="Arial" w:cs="Arial" w:eastAsia="Arial" w:hAnsi="Arial"/>
          <w:sz w:val="18"/>
          <w:szCs w:val="18"/>
          <w:color w:val="auto"/>
        </w:rPr>
        <w:t>•</w:t>
        <w:tab/>
        <w:t>a -for- reverse stock split of our common stock and convertible preferred stock, which will become effective prior to the completion of this offering;</w:t>
      </w:r>
    </w:p>
    <w:p>
      <w:pPr>
        <w:spacing w:after="0" w:line="76" w:lineRule="exact"/>
        <w:rPr>
          <w:sz w:val="20"/>
          <w:szCs w:val="20"/>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in connection with the closing of this offering;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September 30, 2016;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7362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7362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The summary statements of operations data presented below for the years ended December 31, 2014 and 2015 are derived from our audited financial statements included elsewhere in this prospectus. The selected consolidated statements of operations data for the nine months ended September 30, 2015 and 2016 and the summary consolidated balance sheet data as of September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15,838</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17,571</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13,517</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ind w:left="106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13,247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operations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other income (expense), net</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before income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060"/>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income attributed to participating securities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w w:val="99"/>
              </w:rPr>
              <w:t>(319)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(5,405)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Net income (loss) per common share: </w:t>
            </w:r>
            <w:r>
              <w:rPr>
                <w:rFonts w:ascii="Arial" w:cs="Arial" w:eastAsia="Arial" w:hAnsi="Arial"/>
                <w:sz w:val="15"/>
                <w:szCs w:val="15"/>
                <w:color w:val="auto"/>
              </w:rPr>
              <w:t>(1)</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Weighted-average number of shares outstanding: </w:t>
            </w:r>
            <w:r>
              <w:rPr>
                <w:rFonts w:ascii="Arial" w:cs="Arial" w:eastAsia="Arial" w:hAnsi="Arial"/>
                <w:sz w:val="15"/>
                <w:szCs w:val="15"/>
                <w:color w:val="auto"/>
              </w:rPr>
              <w:t>(1)</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17,857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Pro forma net income (loss) per common share (unaudited): </w:t>
            </w:r>
            <w:r>
              <w:rPr>
                <w:rFonts w:ascii="Arial" w:cs="Arial" w:eastAsia="Arial" w:hAnsi="Arial"/>
                <w:sz w:val="15"/>
                <w:szCs w:val="15"/>
                <w:color w:val="auto"/>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Basic and diluted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Pro forma weighted-average number of shares outstanding (unaudited): </w:t>
            </w:r>
            <w:r>
              <w:rPr>
                <w:rFonts w:ascii="Arial" w:cs="Arial" w:eastAsia="Arial" w:hAnsi="Arial"/>
                <w:sz w:val="15"/>
                <w:szCs w:val="15"/>
                <w:color w:val="auto"/>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77,926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77,926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104,906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20" w:hanging="427"/>
        <w:spacing w:after="0" w:line="26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2 to our annual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6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386334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As of</w:t>
            </w: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September 30, 2016</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4"/>
              </w:rPr>
              <w:t>(unaudited)</w:t>
            </w:r>
          </w:p>
        </w:tc>
        <w:tc>
          <w:tcPr>
            <w:tcW w:w="1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Actual</w:t>
            </w:r>
          </w:p>
        </w:tc>
        <w:tc>
          <w:tcPr>
            <w:tcW w:w="17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xml:space="preserve">Pro Forma </w:t>
            </w:r>
            <w:r>
              <w:rPr>
                <w:rFonts w:ascii="Arial" w:cs="Arial" w:eastAsia="Arial" w:hAnsi="Arial"/>
                <w:sz w:val="12"/>
                <w:szCs w:val="12"/>
                <w:b w:val="1"/>
                <w:bCs w:val="1"/>
                <w:color w:val="auto"/>
              </w:rPr>
              <w:t>(1)</w:t>
            </w:r>
          </w:p>
        </w:tc>
        <w:tc>
          <w:tcPr>
            <w:tcW w:w="1100" w:type="dxa"/>
            <w:vAlign w:val="bottom"/>
          </w:tcPr>
          <w:p>
            <w:pPr>
              <w:jc w:val="center"/>
              <w:ind w:left="131"/>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4"/>
              </w:rPr>
              <w:t xml:space="preserve">Adjusted </w:t>
            </w:r>
            <w:r>
              <w:rPr>
                <w:rFonts w:ascii="Arial" w:cs="Arial" w:eastAsia="Arial" w:hAnsi="Arial"/>
                <w:sz w:val="12"/>
                <w:szCs w:val="12"/>
                <w:b w:val="1"/>
                <w:bCs w:val="1"/>
                <w:color w:val="auto"/>
                <w:w w:val="94"/>
              </w:rPr>
              <w:t>(2)(3)</w:t>
            </w:r>
          </w:p>
        </w:tc>
        <w:tc>
          <w:tcPr>
            <w:tcW w:w="0" w:type="dxa"/>
            <w:vAlign w:val="bottom"/>
          </w:tcPr>
          <w:p>
            <w:pPr>
              <w:spacing w:after="0"/>
              <w:rPr>
                <w:sz w:val="1"/>
                <w:szCs w:val="1"/>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47,134</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55,837</w:t>
            </w: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3,393</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1,214</w:t>
            </w: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77,516</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8"/>
              </w:rPr>
              <w:t>(33,973)</w:t>
            </w: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hanging="423"/>
        <w:spacing w:after="0" w:line="291"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 forma consolidated balance sheet data give effect to: (i) the automatic conversion of all outstanding shares of our convertible preferred stock as of September 30, 2016 into 80,645,051 shares of common stock immediately prior to the closing of this offering and (ii) the conversion of</w:t>
      </w:r>
    </w:p>
    <w:tbl>
      <w:tblPr>
        <w:tblLayout w:type="fixed"/>
        <w:tblInd w:w="20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10600" w:type="dxa"/>
            <w:vAlign w:val="bottom"/>
            <w:gridSpan w:val="6"/>
          </w:tcPr>
          <w:p>
            <w:pPr>
              <w:ind w:left="100"/>
              <w:spacing w:after="0" w:line="202" w:lineRule="exact"/>
              <w:rPr>
                <w:sz w:val="20"/>
                <w:szCs w:val="20"/>
                <w:color w:val="auto"/>
              </w:rPr>
            </w:pPr>
            <w:r>
              <w:rPr>
                <w:rFonts w:ascii="Arial" w:cs="Arial" w:eastAsia="Arial" w:hAnsi="Arial"/>
                <w:sz w:val="18"/>
                <w:szCs w:val="18"/>
                <w:color w:val="auto"/>
                <w:w w:val="91"/>
              </w:rPr>
              <w:t>the preferred stock warrants into common stock warrants and the related reclassification of the preferred stock warrant liability to additional paid-</w:t>
            </w:r>
          </w:p>
        </w:tc>
      </w:tr>
      <w:tr>
        <w:trPr>
          <w:trHeight w:val="216"/>
        </w:trPr>
        <w:tc>
          <w:tcPr>
            <w:tcW w:w="3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in capital.</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7620" w:type="dxa"/>
            <w:vAlign w:val="bottom"/>
            <w:gridSpan w:val="5"/>
          </w:tcPr>
          <w:p>
            <w:pPr>
              <w:ind w:left="100"/>
              <w:spacing w:after="0"/>
              <w:rPr>
                <w:sz w:val="20"/>
                <w:szCs w:val="20"/>
                <w:color w:val="auto"/>
              </w:rPr>
            </w:pPr>
            <w:r>
              <w:rPr>
                <w:rFonts w:ascii="Arial" w:cs="Arial" w:eastAsia="Arial" w:hAnsi="Arial"/>
                <w:sz w:val="18"/>
                <w:szCs w:val="18"/>
                <w:color w:val="auto"/>
                <w:w w:val="92"/>
              </w:rPr>
              <w:t>The pro forma as adjusted balance sheet data give effect to the pro forma adjustments and the sale of</w:t>
            </w:r>
          </w:p>
        </w:tc>
        <w:tc>
          <w:tcPr>
            <w:tcW w:w="2980" w:type="dxa"/>
            <w:vAlign w:val="bottom"/>
          </w:tcPr>
          <w:p>
            <w:pPr>
              <w:jc w:val="right"/>
              <w:spacing w:after="0"/>
              <w:rPr>
                <w:sz w:val="20"/>
                <w:szCs w:val="20"/>
                <w:color w:val="auto"/>
              </w:rPr>
            </w:pPr>
            <w:r>
              <w:rPr>
                <w:rFonts w:ascii="Arial" w:cs="Arial" w:eastAsia="Arial" w:hAnsi="Arial"/>
                <w:sz w:val="18"/>
                <w:szCs w:val="18"/>
                <w:color w:val="auto"/>
                <w:w w:val="98"/>
              </w:rPr>
              <w:t>shares of common stock by us in this</w:t>
            </w:r>
          </w:p>
        </w:tc>
      </w:tr>
      <w:tr>
        <w:trPr>
          <w:trHeight w:val="216"/>
        </w:trPr>
        <w:tc>
          <w:tcPr>
            <w:tcW w:w="32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Arial" w:cs="Arial" w:eastAsia="Arial" w:hAnsi="Arial"/>
                <w:sz w:val="18"/>
                <w:szCs w:val="18"/>
                <w:color w:val="auto"/>
                <w:w w:val="97"/>
              </w:rPr>
              <w:t>offering, based on an assumed initial public offering price of $</w:t>
            </w:r>
          </w:p>
        </w:tc>
        <w:tc>
          <w:tcPr>
            <w:tcW w:w="5720" w:type="dxa"/>
            <w:vAlign w:val="bottom"/>
            <w:gridSpan w:val="3"/>
          </w:tcPr>
          <w:p>
            <w:pPr>
              <w:jc w:val="right"/>
              <w:ind w:right="90"/>
              <w:spacing w:after="0"/>
              <w:rPr>
                <w:sz w:val="20"/>
                <w:szCs w:val="20"/>
                <w:color w:val="auto"/>
              </w:rPr>
            </w:pPr>
            <w:r>
              <w:rPr>
                <w:rFonts w:ascii="Arial" w:cs="Arial" w:eastAsia="Arial" w:hAnsi="Arial"/>
                <w:sz w:val="18"/>
                <w:szCs w:val="18"/>
                <w:color w:val="auto"/>
                <w:w w:val="94"/>
              </w:rPr>
              <w:t>per share, the midpoint of the estimated price range set forth on the cover</w:t>
            </w:r>
          </w:p>
        </w:tc>
      </w:tr>
      <w:tr>
        <w:trPr>
          <w:trHeight w:val="216"/>
        </w:trPr>
        <w:tc>
          <w:tcPr>
            <w:tcW w:w="320" w:type="dxa"/>
            <w:vAlign w:val="bottom"/>
          </w:tcPr>
          <w:p>
            <w:pPr>
              <w:spacing w:after="0"/>
              <w:rPr>
                <w:sz w:val="18"/>
                <w:szCs w:val="18"/>
                <w:color w:val="auto"/>
              </w:rPr>
            </w:pPr>
          </w:p>
        </w:tc>
        <w:tc>
          <w:tcPr>
            <w:tcW w:w="10600" w:type="dxa"/>
            <w:vAlign w:val="bottom"/>
            <w:gridSpan w:val="6"/>
          </w:tcPr>
          <w:p>
            <w:pPr>
              <w:ind w:left="100"/>
              <w:spacing w:after="0"/>
              <w:rPr>
                <w:sz w:val="20"/>
                <w:szCs w:val="20"/>
                <w:color w:val="auto"/>
              </w:rPr>
            </w:pPr>
            <w:r>
              <w:rPr>
                <w:rFonts w:ascii="Arial" w:cs="Arial" w:eastAsia="Arial" w:hAnsi="Arial"/>
                <w:sz w:val="18"/>
                <w:szCs w:val="18"/>
                <w:color w:val="auto"/>
                <w:w w:val="94"/>
              </w:rPr>
              <w:t>page of this prospectus, after deducting estimated 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40" w:type="dxa"/>
            <w:vAlign w:val="bottom"/>
            <w:gridSpan w:val="4"/>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56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per share, the midpoint of the price range set forth on the</w:t>
            </w:r>
          </w:p>
        </w:tc>
      </w:tr>
      <w:tr>
        <w:trPr>
          <w:trHeight w:val="216"/>
        </w:trPr>
        <w:tc>
          <w:tcPr>
            <w:tcW w:w="320" w:type="dxa"/>
            <w:vAlign w:val="bottom"/>
          </w:tcPr>
          <w:p>
            <w:pPr>
              <w:spacing w:after="0"/>
              <w:rPr>
                <w:sz w:val="18"/>
                <w:szCs w:val="18"/>
                <w:color w:val="auto"/>
              </w:rPr>
            </w:pPr>
          </w:p>
        </w:tc>
        <w:tc>
          <w:tcPr>
            <w:tcW w:w="10600" w:type="dxa"/>
            <w:vAlign w:val="bottom"/>
            <w:gridSpan w:val="6"/>
          </w:tcPr>
          <w:p>
            <w:pPr>
              <w:ind w:left="100"/>
              <w:spacing w:after="0"/>
              <w:rPr>
                <w:sz w:val="20"/>
                <w:szCs w:val="20"/>
                <w:color w:val="auto"/>
              </w:rPr>
            </w:pPr>
            <w:r>
              <w:rPr>
                <w:rFonts w:ascii="Arial" w:cs="Arial" w:eastAsia="Arial" w:hAnsi="Arial"/>
                <w:sz w:val="18"/>
                <w:szCs w:val="18"/>
                <w:color w:val="auto"/>
                <w:w w:val="93"/>
              </w:rPr>
              <w:t>cover page of this prospectus, would increase (decrease) each of our pro forma as adjusted cash and cash equivalents, total assets and total</w:t>
            </w:r>
          </w:p>
        </w:tc>
      </w:tr>
      <w:tr>
        <w:trPr>
          <w:trHeight w:val="216"/>
        </w:trPr>
        <w:tc>
          <w:tcPr>
            <w:tcW w:w="3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stockholders’ equity (deficit) by approximately $</w:t>
            </w:r>
          </w:p>
        </w:tc>
        <w:tc>
          <w:tcPr>
            <w:tcW w:w="6680" w:type="dxa"/>
            <w:vAlign w:val="bottom"/>
            <w:gridSpan w:val="4"/>
          </w:tcPr>
          <w:p>
            <w:pPr>
              <w:jc w:val="right"/>
              <w:ind w:right="170"/>
              <w:spacing w:after="0"/>
              <w:rPr>
                <w:sz w:val="20"/>
                <w:szCs w:val="20"/>
                <w:color w:val="auto"/>
              </w:rPr>
            </w:pPr>
            <w:r>
              <w:rPr>
                <w:rFonts w:ascii="Arial" w:cs="Arial" w:eastAsia="Arial" w:hAnsi="Arial"/>
                <w:sz w:val="18"/>
                <w:szCs w:val="18"/>
                <w:color w:val="auto"/>
                <w:w w:val="93"/>
              </w:rPr>
              <w:t>million, assuming that the number of shares offered by us, remains the same and after</w:t>
            </w:r>
          </w:p>
        </w:tc>
      </w:tr>
      <w:tr>
        <w:trPr>
          <w:trHeight w:val="216"/>
        </w:trPr>
        <w:tc>
          <w:tcPr>
            <w:tcW w:w="320" w:type="dxa"/>
            <w:vAlign w:val="bottom"/>
          </w:tcPr>
          <w:p>
            <w:pPr>
              <w:spacing w:after="0"/>
              <w:rPr>
                <w:sz w:val="18"/>
                <w:szCs w:val="18"/>
                <w:color w:val="auto"/>
              </w:rPr>
            </w:pPr>
          </w:p>
        </w:tc>
        <w:tc>
          <w:tcPr>
            <w:tcW w:w="10600" w:type="dxa"/>
            <w:vAlign w:val="bottom"/>
            <w:gridSpan w:val="6"/>
          </w:tcPr>
          <w:p>
            <w:pPr>
              <w:ind w:left="100"/>
              <w:spacing w:after="0"/>
              <w:rPr>
                <w:sz w:val="20"/>
                <w:szCs w:val="20"/>
                <w:color w:val="auto"/>
              </w:rPr>
            </w:pPr>
            <w:r>
              <w:rPr>
                <w:rFonts w:ascii="Arial" w:cs="Arial" w:eastAsia="Arial" w:hAnsi="Arial"/>
                <w:sz w:val="18"/>
                <w:szCs w:val="18"/>
                <w:color w:val="auto"/>
                <w:w w:val="91"/>
              </w:rPr>
              <w:t>deducting estimated underwriting discounts and commissions. Similarly, each increase (decrease) of one million shares in the number of shares</w:t>
            </w:r>
          </w:p>
        </w:tc>
      </w:tr>
      <w:tr>
        <w:trPr>
          <w:trHeight w:val="216"/>
        </w:trPr>
        <w:tc>
          <w:tcPr>
            <w:tcW w:w="320" w:type="dxa"/>
            <w:vAlign w:val="bottom"/>
          </w:tcPr>
          <w:p>
            <w:pPr>
              <w:spacing w:after="0"/>
              <w:rPr>
                <w:sz w:val="18"/>
                <w:szCs w:val="18"/>
                <w:color w:val="auto"/>
              </w:rPr>
            </w:pPr>
          </w:p>
        </w:tc>
        <w:tc>
          <w:tcPr>
            <w:tcW w:w="10600" w:type="dxa"/>
            <w:vAlign w:val="bottom"/>
            <w:gridSpan w:val="6"/>
          </w:tcPr>
          <w:p>
            <w:pPr>
              <w:ind w:left="100"/>
              <w:spacing w:after="0"/>
              <w:rPr>
                <w:sz w:val="20"/>
                <w:szCs w:val="20"/>
                <w:color w:val="auto"/>
              </w:rPr>
            </w:pPr>
            <w:r>
              <w:rPr>
                <w:rFonts w:ascii="Arial" w:cs="Arial" w:eastAsia="Arial" w:hAnsi="Arial"/>
                <w:sz w:val="18"/>
                <w:szCs w:val="18"/>
                <w:color w:val="auto"/>
                <w:w w:val="91"/>
              </w:rPr>
              <w:t>offered by us would increase (decrease) each of our pro forma as adjusted cash and cash equivalents, total assets and total stockholders’ equity</w:t>
            </w:r>
          </w:p>
        </w:tc>
      </w:tr>
      <w:tr>
        <w:trPr>
          <w:trHeight w:val="230"/>
        </w:trPr>
        <w:tc>
          <w:tcPr>
            <w:tcW w:w="32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(deficit) by approximately $</w:t>
            </w:r>
          </w:p>
        </w:tc>
        <w:tc>
          <w:tcPr>
            <w:tcW w:w="8200" w:type="dxa"/>
            <w:vAlign w:val="bottom"/>
            <w:gridSpan w:val="5"/>
          </w:tcPr>
          <w:p>
            <w:pPr>
              <w:jc w:val="right"/>
              <w:ind w:right="170"/>
              <w:spacing w:after="0"/>
              <w:rPr>
                <w:sz w:val="20"/>
                <w:szCs w:val="20"/>
                <w:color w:val="auto"/>
              </w:rPr>
            </w:pPr>
            <w:r>
              <w:rPr>
                <w:rFonts w:ascii="Arial" w:cs="Arial" w:eastAsia="Arial" w:hAnsi="Arial"/>
                <w:sz w:val="18"/>
                <w:szCs w:val="18"/>
                <w:color w:val="auto"/>
                <w:w w:val="93"/>
              </w:rPr>
              <w:t>million, assuming the assumed initial public offering price remains the same and after deducting estimated</w:t>
            </w:r>
          </w:p>
        </w:tc>
      </w:tr>
    </w:tbl>
    <w:p>
      <w:pPr>
        <w:ind w:left="620"/>
        <w:spacing w:after="0"/>
        <w:rPr>
          <w:sz w:val="20"/>
          <w:szCs w:val="20"/>
          <w:color w:val="auto"/>
        </w:rPr>
      </w:pPr>
      <w:r>
        <w:rPr>
          <w:rFonts w:ascii="Arial" w:cs="Arial" w:eastAsia="Arial" w:hAnsi="Arial"/>
          <w:sz w:val="18"/>
          <w:szCs w:val="18"/>
          <w:color w:val="auto"/>
        </w:rPr>
        <w:t>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7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have recently initiated dosing of ANB020 in humans and have never dosed any of our other wholly-owned product candidates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recently initiated our Phase 1 clinical trial for ANB020 and have not yet initiated any clinical trials or dosed any of our other wholly-owned product candidates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 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In our ongoing Phase 1 clinical trial of ANB020, the most common adverse events were upper respiratory tract infection and headache, and the most severe was a reduction of white blood cell counts. No adverse events were determined to be drug related. Subjects in our ongoing and planned clinical trials may in the future suffer significant adverse events or other side effects not observed in our preclinical studies or in our ongoing Phase 1 clinical trial.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and submitting a CTA for ANB020 in the United Kingdom,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ten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16" w:lineRule="exact"/>
        <w:rPr>
          <w:sz w:val="20"/>
          <w:szCs w:val="20"/>
          <w:color w:val="auto"/>
        </w:rPr>
      </w:pPr>
    </w:p>
    <w:p>
      <w:pPr>
        <w:ind w:left="900" w:right="2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3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 to build a pipeline of product candidates and develop marketable products.</w:t>
      </w:r>
    </w:p>
    <w:p>
      <w:pPr>
        <w:spacing w:after="0" w:line="62"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3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in the United States, none of our employees have experience with clinical trials in Australia or the United Kingdom and, as a company, we have no experience conducting clinical trials in any jurisdiction and have not had previous experience commercializing product candidates, including submitting an IND or a BLA to the FDA. We have only recently initiated our Phase 1 trial in Australia, and have not obtained marketing authorization from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78"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7" w:lineRule="exact"/>
        <w:rPr>
          <w:sz w:val="20"/>
          <w:szCs w:val="20"/>
          <w:color w:val="auto"/>
        </w:rPr>
      </w:pPr>
    </w:p>
    <w:p>
      <w:pPr>
        <w:ind w:left="900" w:right="1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 ST2-binding antibody which Roche has in-licensed from Amgen (previously known as AMG 282) and plans to advance into Phase 2 clinical trials, and CNTO 7160, which is another ST2-binding antibody that GSK in-licensed from Janssen.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(Regeneron, Sanofi), which has recently been filed for approval by the FDA, crisaborole (Anacor, Pfizer), which has recently been filed for approval by the FDA, and VTP-38543 (Vitae), which is currently in a Phase 2 trial.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6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On March 6, 2015, the FDA approved the first biosimilar product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7"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6"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76" w:lineRule="exact"/>
        <w:rPr>
          <w:sz w:val="20"/>
          <w:szCs w:val="20"/>
          <w:color w:val="auto"/>
        </w:rPr>
      </w:pPr>
    </w:p>
    <w:p>
      <w:pPr>
        <w:ind w:left="900" w:right="5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30"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33"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b w:val="1"/>
          <w:bCs w:val="1"/>
          <w:i w:val="1"/>
          <w:i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3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cGMPs, the FDA may deny BLA approval until the deficiencies are corrected or we replace the manufacturer in our BLA with a manufacturer that is in compliance.</w:t>
      </w:r>
    </w:p>
    <w:p>
      <w:pPr>
        <w:spacing w:after="0" w:line="19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and during the nine months ended September 30, 2016. Our collaboration revenue was $15.8 million and our net income was $3.5 million for the year ended December 31, 2014 and our collaboration revenue was $17.6 million and our net loss was $5.4 million for the year ended December 31, 2015. For the nine months ended September 30, 2016, our collaboration revenue was $13.9 million and our net income was $0.3 million. As of September 30, 2016, we had an accumulated deficit of $50.3 million.</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5"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53"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900" w:right="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and size of clinical trials needed to show safety, efficacy and an acceptable risk/benefit profile for any of our product candidates;</w:t>
      </w:r>
    </w:p>
    <w:p>
      <w:pPr>
        <w:spacing w:after="0" w:line="153" w:lineRule="exact"/>
        <w:rPr>
          <w:rFonts w:ascii="Arial" w:cs="Arial" w:eastAsia="Arial" w:hAnsi="Arial"/>
          <w:sz w:val="16"/>
          <w:szCs w:val="16"/>
          <w:color w:val="auto"/>
        </w:rPr>
      </w:pPr>
    </w:p>
    <w:p>
      <w:pPr>
        <w:ind w:left="900" w:right="480" w:hanging="325"/>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30" w:lineRule="exact"/>
        <w:rPr>
          <w:rFonts w:ascii="Arial" w:cs="Arial" w:eastAsia="Arial" w:hAnsi="Arial"/>
          <w:sz w:val="18"/>
          <w:szCs w:val="18"/>
          <w:color w:val="auto"/>
        </w:rPr>
      </w:pPr>
    </w:p>
    <w:p>
      <w:pPr>
        <w:ind w:left="900" w:right="58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5"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 xml:space="preserve">Risks Related to Managing Growth, Operations and Macroeconomic Conditions </w:t>
      </w:r>
      <w:r>
        <w:rPr>
          <w:rFonts w:ascii="Arial" w:cs="Arial" w:eastAsia="Arial" w:hAnsi="Arial"/>
          <w:sz w:val="16"/>
          <w:szCs w:val="16"/>
          <w:b w:val="1"/>
          <w:bCs w:val="1"/>
          <w:i w:val="1"/>
          <w:iCs w:val="1"/>
          <w:color w:val="auto"/>
        </w:rPr>
        <w:t>We must attract and retain highly skilled employees in order to succeed.</w:t>
      </w:r>
    </w:p>
    <w:p>
      <w:pPr>
        <w:spacing w:after="0" w:line="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45.0%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vulnerable to disruption, damage and financial obligation as a result of system failures.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generation and/or development collaborations with various collaborators, including TESARO and Celgene, under which we have generated therapeutic quality antibodies using our technology platform and conducted certain preclinical studies in collaboration. These collaborations have provided us with $65.4 million in non-dilutive funding through October 31, 2016.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additional development collaborations, which could adversely affect our ability to develop and commercialize product candidates.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7" w:lineRule="exact"/>
        <w:rPr>
          <w:sz w:val="20"/>
          <w:szCs w:val="20"/>
          <w:color w:val="auto"/>
        </w:rPr>
      </w:pPr>
    </w:p>
    <w:p>
      <w:pPr>
        <w:ind w:left="5620" w:right="2020" w:hanging="5045"/>
        <w:spacing w:after="0" w:line="449" w:lineRule="auto"/>
        <w:tabs>
          <w:tab w:leader="none" w:pos="8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 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2"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We are conducting,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conducting, or plan to conduct, our initial clinical trials for ANB020 and ANB019 in Australia. We believe that clinical data generated in Australia will subsequently be accepted by the FDA and its foreign equivalents outside of Australia, and therefore may enable us to commence Phase 2 and possibly registration clinical trials in the United States or the United Kingdom following submission of an IND or CTA, without the need for us to repeat our Phase 1 trials in the United States or the United Kingdom. However, there can be no assurance the FDA, MHRA or other foreign equivalents will accept data from the clinical trials we plan to conduct in Australia.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3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62"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95"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drugs we develop may become subject to unfavorable third-party reimbursement practices and pricing regulations.</w:t>
      </w:r>
    </w:p>
    <w:p>
      <w:pPr>
        <w:spacing w:after="0" w:line="11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Recently enacted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(“SGR”), was adjusted to reflect the comparison of actual expenditures to target expenditures. Because one of the factors for calculating the SGR was linked to the growth in the U.S. gross domestic product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900" w:right="8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87" w:lineRule="exact"/>
        <w:rPr>
          <w:sz w:val="20"/>
          <w:szCs w:val="20"/>
          <w:color w:val="auto"/>
        </w:rPr>
      </w:pPr>
    </w:p>
    <w:p>
      <w:pPr>
        <w:ind w:left="900" w:right="20" w:hanging="325"/>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6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62"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agreements related to our product candidates, we could lose the ability to continue the development and commercialization of our product candidates.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3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harmed.</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approximately 84.1% of our voting stock and, upon the closing of this offering, that same group will hold approximately % of our outstanding voting stock (based on the number of shares of common stock outstanding as of September 30, 2016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w:t>
      </w:r>
    </w:p>
    <w:p>
      <w:pPr>
        <w:spacing w:after="0"/>
        <w:tabs>
          <w:tab w:leader="none" w:pos="6700" w:val="left"/>
        </w:tabs>
        <w:rPr>
          <w:sz w:val="20"/>
          <w:szCs w:val="20"/>
          <w:color w:val="auto"/>
        </w:rPr>
      </w:pPr>
      <w:r>
        <w:rPr>
          <w:rFonts w:ascii="Arial" w:cs="Arial" w:eastAsia="Arial" w:hAnsi="Arial"/>
          <w:sz w:val="18"/>
          <w:szCs w:val="18"/>
          <w:color w:val="auto"/>
        </w:rPr>
        <w:t>investors purchasing common stock in this offering will incur immediate dilution of $</w:t>
      </w:r>
      <w:r>
        <w:rPr>
          <w:sz w:val="20"/>
          <w:szCs w:val="20"/>
          <w:color w:val="auto"/>
        </w:rPr>
        <w:tab/>
      </w:r>
      <w:r>
        <w:rPr>
          <w:rFonts w:ascii="Arial" w:cs="Arial" w:eastAsia="Arial" w:hAnsi="Arial"/>
          <w:sz w:val="16"/>
          <w:szCs w:val="16"/>
          <w:color w:val="auto"/>
        </w:rPr>
        <w:t>per share, based upon an assumed initial public offering price of</w:t>
      </w:r>
    </w:p>
    <w:p>
      <w:pPr>
        <w:ind w:left="640" w:hanging="632"/>
        <w:spacing w:after="0"/>
        <w:tabs>
          <w:tab w:leader="none" w:pos="640" w:val="left"/>
        </w:tabs>
        <w:numPr>
          <w:ilvl w:val="0"/>
          <w:numId w:val="38"/>
        </w:numPr>
        <w:rPr>
          <w:rFonts w:ascii="Arial" w:cs="Arial" w:eastAsia="Arial" w:hAnsi="Arial"/>
          <w:sz w:val="1"/>
          <w:szCs w:val="1"/>
          <w:color w:val="auto"/>
        </w:rPr>
      </w:pPr>
      <w:r>
        <w:rPr>
          <w:rFonts w:ascii="Arial" w:cs="Arial" w:eastAsia="Arial" w:hAnsi="Arial"/>
          <w:sz w:val="1"/>
          <w:szCs w:val="1"/>
          <w:color w:val="auto"/>
        </w:rPr>
        <w:t>per share (the midpoint of the price range set forth on the cover page of this prospectus). Further, investors purchasing common stock in this offering</w:t>
      </w:r>
    </w:p>
    <w:p>
      <w:pPr>
        <w:spacing w:after="0" w:line="1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will contribute approximately % of the total amount invested by stockholders since our inception, but will own only approximately % of the shares of common stock outstanding after giving effect to this offering.</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September 30, 2016, options to purchase 12,997,698 shares of our common stock at a weighted-average exercise price of $0.59 per share, warrants exercisable for 822,386 shares of our common stock at an exercise price of $0.65 per share and warrants exercisable for Series C convertible preferred stock convertible into 2,063,484 shares of our common stock at an exercise price of $0.65 per share were outstanding.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3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the preparation of our 2015 consolidated financial statements, we and our independent registered public accounting firm identified a material weakness in our internal control over financial reporting with respect to the design of our controls over the calculation of our accrued research and contract manufacturing expenses, including the verification of the level and timing of completion of our CRO and CMO activities. Under standards established by the Public Company Accounting Oversight Board, a deficiency in internal control over financial reporting exists when the design or operation of a control does not allow management or personnel, in the normal course of performing their assigned functions, to prevent or detect misstatements on a timely basis.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During the first quarter of 2016, we implemented additional controls to remediate the material weakness, including additional controls to verify the level and timing of completion of our CRO and CMO activities and controls over the completeness and accuracy of spreadsheets used to calculate the accrued research and contract manufacturing expenses. We cannot assure you that these measures will significantly improve or remediate the material weakness described above. We, and our independent registered public accounting firm, were not required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perform an evaluation of our internal control over financial reporting as of December 31, 2015 in accordance with the provisions of the Sarbanes-Oxley Act. Accordingly, we cannot assure you that we have identified all material weaknesses or that there will not be additional material weaknesses or deficiencies that our independent registered public accounting firm or we will identify. If we are unable to successfully remediate the existing material weakness in our internal control over financial reporting, or if we identify any additional issues, we may be unable to produce accurate and timely financial statements, our stock price may be adversely affected and we may be unable to maintain compliance with the Nasdaq Stock Market listing requirements.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spacing w:after="0" w:line="281" w:lineRule="auto"/>
        <w:rPr>
          <w:sz w:val="20"/>
          <w:szCs w:val="20"/>
          <w:color w:val="auto"/>
        </w:rPr>
      </w:pPr>
      <w:r>
        <w:rPr>
          <w:rFonts w:ascii="Arial" w:cs="Arial" w:eastAsia="Arial" w:hAnsi="Arial"/>
          <w:sz w:val="16"/>
          <w:szCs w:val="16"/>
          <w:color w:val="auto"/>
        </w:rPr>
        <w:t>outstanding shares of common stock based on the number of shares outstanding as of September 30, 2016, assuming: (i) no exercise of the underwriters’ option to purchase additional shares and (ii) the conversion of all outstanding shares of our convertible preferred stock into 80,645,051 shares of common stock immediately prior to the closing of this offering. This includes the shares that we sell in this offering, which may be resold in the public market</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immediately without restriction, unless purchased by our affiliates. Of the remaining shares, shares of our common stock are currently restricted as a result of securities laws or lock-up agreements but will be able to be sold after this offering as described in the “Shares Eligible for Future Sale” section of</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prospectus.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2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w:t>
      </w:r>
    </w:p>
    <w:p>
      <w:pPr>
        <w:spacing w:after="0" w:line="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$0.2 million in both federal and state research tax credits. In October 2016, we extended the analysis period of the study through December 31, 2015, noting no ownership changes during fiscal 2015. Our use of federal NOL carryforwards could be limited further by the provisions of Section 382 of the Code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likelihood that the clinical data generated in Australia will be subsequently accepted by the FDA and its foreign equivalents outside of Australia;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We estimate that the net proceeds from our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2"/>
          <w:szCs w:val="2"/>
          <w:color w:val="auto"/>
        </w:rPr>
      </w:pPr>
      <w:r>
        <w:rPr>
          <w:rFonts w:ascii="Arial" w:cs="Arial" w:eastAsia="Arial" w:hAnsi="Arial"/>
          <w:sz w:val="2"/>
          <w:szCs w:val="2"/>
          <w:color w:val="auto"/>
        </w:rPr>
        <w:t>per share, the midpoint of the price range set forth on the cover page of this prospectus, after deducting estimated underwriting discounts and</w:t>
      </w:r>
    </w:p>
    <w:p>
      <w:pPr>
        <w:spacing w:after="0" w:line="2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commissions and estimated offering expenses payable by us, will be approximately $ million, or $ million if the underwriters exercise their option to purchase additional shares in full.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$1.00 increase (decrease) in the assumed initial public offering price would increase (decrease) the net proceeds to us from this offering by</w:t>
      </w:r>
    </w:p>
    <w:p>
      <w:pPr>
        <w:spacing w:after="0" w:line="35" w:lineRule="exact"/>
        <w:rPr>
          <w:sz w:val="20"/>
          <w:szCs w:val="20"/>
          <w:color w:val="auto"/>
        </w:rPr>
      </w:pPr>
    </w:p>
    <w:p>
      <w:pPr>
        <w:ind w:right="200" w:firstLine="8"/>
        <w:spacing w:after="0" w:line="281" w:lineRule="auto"/>
        <w:tabs>
          <w:tab w:leader="none" w:pos="63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w:t>
      </w:r>
    </w:p>
    <w:p>
      <w:pPr>
        <w:spacing w:after="0" w:line="1" w:lineRule="exact"/>
        <w:rPr>
          <w:rFonts w:ascii="Arial" w:cs="Arial" w:eastAsia="Arial" w:hAnsi="Arial"/>
          <w:sz w:val="16"/>
          <w:szCs w:val="16"/>
          <w:color w:val="auto"/>
        </w:rPr>
      </w:pPr>
    </w:p>
    <w:p>
      <w:pPr>
        <w:ind w:right="400"/>
        <w:spacing w:after="0" w:line="261" w:lineRule="auto"/>
        <w:rPr>
          <w:rFonts w:ascii="Arial" w:cs="Arial" w:eastAsia="Arial" w:hAnsi="Arial"/>
          <w:sz w:val="16"/>
          <w:szCs w:val="16"/>
          <w:color w:val="auto"/>
        </w:rPr>
      </w:pPr>
      <w:r>
        <w:rPr>
          <w:rFonts w:ascii="Arial" w:cs="Arial" w:eastAsia="Arial" w:hAnsi="Arial"/>
          <w:sz w:val="18"/>
          <w:szCs w:val="18"/>
          <w:color w:val="auto"/>
        </w:rPr>
        <w:t>we receive from this offering by $ million, assuming that the assumed initial public offering price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pacing w:after="0" w:line="142" w:lineRule="exact"/>
        <w:rPr>
          <w:sz w:val="20"/>
          <w:szCs w:val="20"/>
          <w:color w:val="auto"/>
        </w:rPr>
      </w:pPr>
    </w:p>
    <w:p>
      <w:pPr>
        <w:ind w:left="900" w:right="2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 million to fund development of ANB020 and ANB019 through initial clinical trials intended to demonstrate efficacy in multiple indications;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 million to fund continued development of other wholly-owned product, including our checkpoint receptor agonist antibodies, candidates and discovery of new product candidates to further expand our proprietary pipeline;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240" w:top="45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2016 on:</w:t>
      </w:r>
    </w:p>
    <w:p>
      <w:pPr>
        <w:spacing w:after="0" w:line="13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right="60" w:hanging="325"/>
        <w:spacing w:after="0" w:line="279"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pro forma basis, giving effect to (i) the automatic conversion of all outstanding shares of our convertible preferred stock as of September 30, 2016 into 80,645,051 shares of common stock immediately prior to the closing of this offering, (ii) the conversion of the preferred stock warrants into common stock warrants and the related reclassification of the preferred stock warrant liability to additional paid-in capital and (iii) the effectiveness of our restated certificate of incorporation in connection with the closing of this offering; and</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 pro forma as adjusted basis, giving effect to the pro forma adjustments and the sale of shares of common stock by us in this offering, based on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380" w:firstLine="456"/>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As of September 30, 2016</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Actual</w:t>
            </w:r>
          </w:p>
        </w:tc>
        <w:tc>
          <w:tcPr>
            <w:tcW w:w="44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96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As Adjusted (1)</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47,134</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Notes payable, net of current portion</w:t>
            </w:r>
          </w:p>
        </w:tc>
        <w:tc>
          <w:tcPr>
            <w:tcW w:w="2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gridSpan w:val="3"/>
          </w:tcPr>
          <w:p>
            <w:pPr>
              <w:spacing w:after="0" w:line="201" w:lineRule="exact"/>
              <w:rPr>
                <w:sz w:val="20"/>
                <w:szCs w:val="20"/>
                <w:color w:val="auto"/>
              </w:rPr>
            </w:pPr>
            <w:r>
              <w:rPr>
                <w:rFonts w:ascii="Arial" w:cs="Arial" w:eastAsia="Arial" w:hAnsi="Arial"/>
                <w:sz w:val="18"/>
                <w:szCs w:val="18"/>
                <w:color w:val="auto"/>
              </w:rPr>
              <w:t>Series B convertible preferred stock, $0.001 par value; 27,742,877 shares authorized, 27,742,877</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28,220</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C convertible preferred stock, $0.001 par value; 13,210,753 shares authorized, 11,147,269</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6,452</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tcPr>
          <w:p>
            <w:pPr>
              <w:spacing w:after="0" w:line="201" w:lineRule="exact"/>
              <w:rPr>
                <w:sz w:val="20"/>
                <w:szCs w:val="20"/>
                <w:color w:val="auto"/>
              </w:rPr>
            </w:pPr>
            <w:r>
              <w:rPr>
                <w:rFonts w:ascii="Arial" w:cs="Arial" w:eastAsia="Arial" w:hAnsi="Arial"/>
                <w:sz w:val="18"/>
                <w:szCs w:val="18"/>
                <w:color w:val="auto"/>
              </w:rPr>
              <w:t>Series C-1 convertible preferred stock, $0.001 par value; 3,318,054 shares authorized, 3,318,054</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2,156</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D convertible preferred stock, $0.001 par value; 38,436,851 shares authorized, 38,436,851</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40,688</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$0.001 par value; no shares authorized, issued or outstanding, actual;</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10,000,000 shares authorized, no shares issued or outstanding, pro forma and pro forma as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Common stock, $0.001 par value; 120,500,000 shares authorized, 18,470,723 shares issued</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40"/>
              <w:spacing w:after="0"/>
              <w:rPr>
                <w:sz w:val="20"/>
                <w:szCs w:val="20"/>
                <w:color w:val="auto"/>
              </w:rPr>
            </w:pPr>
            <w:r>
              <w:rPr>
                <w:rFonts w:ascii="Arial" w:cs="Arial" w:eastAsia="Arial" w:hAnsi="Arial"/>
                <w:sz w:val="18"/>
                <w:szCs w:val="18"/>
                <w:color w:val="auto"/>
                <w:w w:val="95"/>
              </w:rPr>
              <w:t>and outstanding, actual; 500,000,000 shares authorized,</w:t>
            </w:r>
          </w:p>
        </w:tc>
        <w:tc>
          <w:tcPr>
            <w:tcW w:w="2980" w:type="dxa"/>
            <w:vAlign w:val="bottom"/>
            <w:gridSpan w:val="2"/>
          </w:tcPr>
          <w:p>
            <w:pPr>
              <w:jc w:val="right"/>
              <w:ind w:right="1325"/>
              <w:spacing w:after="0"/>
              <w:rPr>
                <w:sz w:val="20"/>
                <w:szCs w:val="20"/>
                <w:color w:val="auto"/>
              </w:rPr>
            </w:pPr>
            <w:r>
              <w:rPr>
                <w:rFonts w:ascii="Arial" w:cs="Arial" w:eastAsia="Arial" w:hAnsi="Arial"/>
                <w:sz w:val="18"/>
                <w:szCs w:val="18"/>
                <w:color w:val="auto"/>
              </w:rPr>
              <w:t>shares issued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40"/>
              <w:spacing w:after="0"/>
              <w:rPr>
                <w:sz w:val="20"/>
                <w:szCs w:val="20"/>
                <w:color w:val="auto"/>
              </w:rPr>
            </w:pPr>
            <w:r>
              <w:rPr>
                <w:rFonts w:ascii="Arial" w:cs="Arial" w:eastAsia="Arial" w:hAnsi="Arial"/>
                <w:sz w:val="18"/>
                <w:szCs w:val="18"/>
                <w:color w:val="auto"/>
                <w:w w:val="96"/>
              </w:rPr>
              <w:t>outstanding, pro forma; 500,000,000 shares authorized,</w:t>
            </w:r>
          </w:p>
        </w:tc>
        <w:tc>
          <w:tcPr>
            <w:tcW w:w="2980" w:type="dxa"/>
            <w:vAlign w:val="bottom"/>
            <w:gridSpan w:val="2"/>
          </w:tcPr>
          <w:p>
            <w:pPr>
              <w:jc w:val="right"/>
              <w:ind w:right="1345"/>
              <w:spacing w:after="0"/>
              <w:rPr>
                <w:sz w:val="20"/>
                <w:szCs w:val="20"/>
                <w:color w:val="auto"/>
              </w:rPr>
            </w:pPr>
            <w:r>
              <w:rPr>
                <w:rFonts w:ascii="Arial" w:cs="Arial" w:eastAsia="Arial" w:hAnsi="Arial"/>
                <w:sz w:val="18"/>
                <w:szCs w:val="18"/>
                <w:color w:val="auto"/>
              </w:rPr>
              <w:t>shares issued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540"/>
              <w:spacing w:after="0"/>
              <w:rPr>
                <w:sz w:val="20"/>
                <w:szCs w:val="20"/>
                <w:color w:val="auto"/>
              </w:rPr>
            </w:pPr>
            <w:r>
              <w:rPr>
                <w:rFonts w:ascii="Arial" w:cs="Arial" w:eastAsia="Arial" w:hAnsi="Arial"/>
                <w:sz w:val="18"/>
                <w:szCs w:val="18"/>
                <w:color w:val="auto"/>
              </w:rPr>
              <w:t>outstanding, 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 in capital</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16,354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(50,345)</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(33,973)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2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48,150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80" w:type="dxa"/>
            <w:vAlign w:val="bottom"/>
            <w:vMerge w:val="restart"/>
          </w:tcPr>
          <w:p>
            <w:pPr>
              <w:jc w:val="right"/>
              <w:ind w:right="185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80" w:hanging="459"/>
        <w:spacing w:after="0" w:line="288" w:lineRule="auto"/>
        <w:tabs>
          <w:tab w:leader="none" w:pos="440" w:val="left"/>
        </w:tabs>
        <w:rPr>
          <w:sz w:val="20"/>
          <w:szCs w:val="20"/>
          <w:color w:val="auto"/>
        </w:rPr>
      </w:pPr>
      <w:r>
        <w:rPr>
          <w:rFonts w:ascii="Arial" w:cs="Arial" w:eastAsia="Arial" w:hAnsi="Arial"/>
          <w:sz w:val="16"/>
          <w:szCs w:val="16"/>
          <w:color w:val="auto"/>
        </w:rPr>
        <w:t>(1)</w:t>
        <w:tab/>
        <w:t>Each $1.00 increase (decrease) in the assumed initial public offering price of $ per share, the midpoint of the price range set forth on the cover page of this prospectus, would increase (decrease) each of our pro forma as adjusted cash and cash equivalents, additional paid-in capital, total stockholders’ equity (deficit) and total capitalization by approximately $ million, assuming that the number of shares offered by us remains the</w:t>
      </w:r>
    </w:p>
    <w:p>
      <w:pPr>
        <w:ind w:left="460" w:right="60"/>
        <w:spacing w:after="0" w:line="421" w:lineRule="auto"/>
        <w:rPr>
          <w:sz w:val="20"/>
          <w:szCs w:val="20"/>
          <w:color w:val="auto"/>
        </w:rPr>
      </w:pPr>
      <w:r>
        <w:rPr>
          <w:rFonts w:ascii="Arial" w:cs="Arial" w:eastAsia="Arial" w:hAnsi="Arial"/>
          <w:sz w:val="16"/>
          <w:szCs w:val="16"/>
          <w:color w:val="auto"/>
        </w:rPr>
        <w:t>same and after deducting estimated underwriting discounts and commissions. Similarly, each increase (decrease) of one million shares in the number of shares offered by us would increase (decrease) each of our pro forma as adjusted cash and cash equivalents, additional paid-in capital,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stockholders’ equity (deficit) and total capitalization by approximately $ million, assuming the assumed initial public offering price remains the same and after deducting estimated underwriting discounts and commissions.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99,115,774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excludes:</w:t>
      </w:r>
    </w:p>
    <w:p>
      <w:pPr>
        <w:spacing w:after="0" w:line="116" w:lineRule="exact"/>
        <w:rPr>
          <w:sz w:val="20"/>
          <w:szCs w:val="20"/>
          <w:color w:val="auto"/>
        </w:rPr>
      </w:pPr>
    </w:p>
    <w:p>
      <w:pPr>
        <w:ind w:left="900" w:right="6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12,997,698 shares of common stock issuable upon the exercise of options outstanding as of September 30, 2016, with a weighted-average exercise price of $0.59 per share;</w:t>
      </w:r>
    </w:p>
    <w:p>
      <w:pPr>
        <w:spacing w:after="0" w:line="75" w:lineRule="exact"/>
        <w:rPr>
          <w:rFonts w:ascii="Arial" w:cs="Arial" w:eastAsia="Arial" w:hAnsi="Arial"/>
          <w:sz w:val="18"/>
          <w:szCs w:val="18"/>
          <w:color w:val="auto"/>
        </w:rPr>
      </w:pPr>
    </w:p>
    <w:p>
      <w:pPr>
        <w:ind w:left="1440" w:hanging="865"/>
        <w:spacing w:after="0"/>
        <w:tabs>
          <w:tab w:leader="none" w:pos="1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3,593,212 shares of</w:t>
      </w:r>
    </w:p>
    <w:p>
      <w:pPr>
        <w:spacing w:after="0" w:line="46" w:lineRule="exact"/>
        <w:rPr>
          <w:sz w:val="20"/>
          <w:szCs w:val="20"/>
          <w:color w:val="auto"/>
        </w:rPr>
      </w:pPr>
    </w:p>
    <w:p>
      <w:pPr>
        <w:ind w:left="900" w:right="16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September 30, 2016, (b) shares of common stock reserved for future issuance under our 2016 Equity Incentive Plan, which will become effective on the date immediately prior to the date of this</w:t>
      </w:r>
    </w:p>
    <w:p>
      <w:pPr>
        <w:spacing w:after="0" w:line="1" w:lineRule="exact"/>
        <w:rPr>
          <w:sz w:val="20"/>
          <w:szCs w:val="20"/>
          <w:color w:val="auto"/>
        </w:rPr>
      </w:pPr>
    </w:p>
    <w:p>
      <w:pPr>
        <w:ind w:left="900"/>
        <w:spacing w:after="0" w:line="252" w:lineRule="auto"/>
        <w:rPr>
          <w:sz w:val="20"/>
          <w:szCs w:val="20"/>
          <w:color w:val="auto"/>
        </w:rPr>
      </w:pPr>
      <w:r>
        <w:rPr>
          <w:rFonts w:ascii="Arial" w:cs="Arial" w:eastAsia="Arial" w:hAnsi="Arial"/>
          <w:sz w:val="18"/>
          <w:szCs w:val="18"/>
          <w:color w:val="auto"/>
        </w:rPr>
        <w:t>prospectus 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900" w:right="2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September 30, 2016, with an exercise price of $0.65 per share, that do not expire upon the closing of this offering.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September 30, 2016, our pro forma net tangible book value was approximately $41.8 million, or $0.42 per share of common stock. Our pro forma net tangible book value per share represents the amount of our total tangible assets reduced by the amount of our total liabilities and divided by the total number of shares of our common stock outstanding as of September 30, 2016, assuming (i) the automatic conversion of all outstanding shares of our convertible preferred stock as of September 30, 2016 into 80,645,051 shares of common stock as of immediately prior to the closing of this offering and</w:t>
      </w:r>
    </w:p>
    <w:p>
      <w:pPr>
        <w:spacing w:after="0" w:line="2" w:lineRule="exact"/>
        <w:rPr>
          <w:sz w:val="20"/>
          <w:szCs w:val="20"/>
          <w:color w:val="auto"/>
        </w:rPr>
      </w:pPr>
    </w:p>
    <w:p>
      <w:pPr>
        <w:ind w:right="520" w:firstLine="8"/>
        <w:spacing w:after="0" w:line="261"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conversion of the preferred stock warrants into common stock warrants and the related reclassification of the preferred stock warrant liability to additional paid-in capital.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820" w:type="dxa"/>
            <w:vAlign w:val="bottom"/>
            <w:gridSpan w:val="3"/>
          </w:tcPr>
          <w:p>
            <w:pPr>
              <w:ind w:left="80"/>
              <w:spacing w:after="0"/>
              <w:rPr>
                <w:sz w:val="20"/>
                <w:szCs w:val="20"/>
                <w:color w:val="auto"/>
              </w:rPr>
            </w:pPr>
            <w:r>
              <w:rPr>
                <w:rFonts w:ascii="Arial" w:cs="Arial" w:eastAsia="Arial" w:hAnsi="Arial"/>
                <w:sz w:val="18"/>
                <w:szCs w:val="18"/>
                <w:color w:val="auto"/>
              </w:rPr>
              <w:t>After giving effect to our sale in this offering of</w:t>
            </w:r>
          </w:p>
        </w:tc>
        <w:tc>
          <w:tcPr>
            <w:tcW w:w="6120" w:type="dxa"/>
            <w:vAlign w:val="bottom"/>
            <w:gridSpan w:val="8"/>
          </w:tcPr>
          <w:p>
            <w:pPr>
              <w:ind w:left="280"/>
              <w:spacing w:after="0"/>
              <w:rPr>
                <w:sz w:val="20"/>
                <w:szCs w:val="20"/>
                <w:color w:val="auto"/>
              </w:rPr>
            </w:pPr>
            <w:r>
              <w:rPr>
                <w:rFonts w:ascii="Arial" w:cs="Arial" w:eastAsia="Arial" w:hAnsi="Arial"/>
                <w:sz w:val="18"/>
                <w:szCs w:val="18"/>
                <w:color w:val="auto"/>
                <w:w w:val="98"/>
              </w:rPr>
              <w:t>shares of our common stock at an assumed initial public offering price of $</w:t>
            </w:r>
          </w:p>
        </w:tc>
        <w:tc>
          <w:tcPr>
            <w:tcW w:w="1080" w:type="dxa"/>
            <w:vAlign w:val="bottom"/>
          </w:tcPr>
          <w:p>
            <w:pPr>
              <w:ind w:left="100"/>
              <w:spacing w:after="0"/>
              <w:rPr>
                <w:sz w:val="20"/>
                <w:szCs w:val="20"/>
                <w:color w:val="auto"/>
              </w:rPr>
            </w:pPr>
            <w:r>
              <w:rPr>
                <w:rFonts w:ascii="Arial" w:cs="Arial" w:eastAsia="Arial" w:hAnsi="Arial"/>
                <w:sz w:val="18"/>
                <w:szCs w:val="18"/>
                <w:color w:val="auto"/>
                <w:w w:val="86"/>
              </w:rPr>
              <w:t>per share, the</w:t>
            </w:r>
          </w:p>
        </w:tc>
        <w:tc>
          <w:tcPr>
            <w:tcW w:w="0" w:type="dxa"/>
            <w:vAlign w:val="bottom"/>
          </w:tcPr>
          <w:p>
            <w:pPr>
              <w:spacing w:after="0"/>
              <w:rPr>
                <w:sz w:val="1"/>
                <w:szCs w:val="1"/>
                <w:color w:val="auto"/>
              </w:rPr>
            </w:pPr>
          </w:p>
        </w:tc>
      </w:tr>
      <w:tr>
        <w:trPr>
          <w:trHeight w:val="216"/>
        </w:trPr>
        <w:tc>
          <w:tcPr>
            <w:tcW w:w="11400" w:type="dxa"/>
            <w:vAlign w:val="bottom"/>
            <w:gridSpan w:val="13"/>
          </w:tcPr>
          <w:p>
            <w:pPr>
              <w:spacing w:after="0"/>
              <w:rPr>
                <w:sz w:val="20"/>
                <w:szCs w:val="20"/>
                <w:color w:val="auto"/>
              </w:rPr>
            </w:pPr>
            <w:r>
              <w:rPr>
                <w:rFonts w:ascii="Arial" w:cs="Arial" w:eastAsia="Arial" w:hAnsi="Arial"/>
                <w:sz w:val="18"/>
                <w:szCs w:val="18"/>
                <w:color w:val="auto"/>
                <w:w w:val="95"/>
              </w:rPr>
              <w:t>midpoint of the price range set forth on the cover page of this prospectus, and after deducting estimated underwriting discounts and commissions and</w:t>
            </w:r>
          </w:p>
        </w:tc>
        <w:tc>
          <w:tcPr>
            <w:tcW w:w="0" w:type="dxa"/>
            <w:vAlign w:val="bottom"/>
          </w:tcPr>
          <w:p>
            <w:pPr>
              <w:spacing w:after="0"/>
              <w:rPr>
                <w:sz w:val="1"/>
                <w:szCs w:val="1"/>
                <w:color w:val="auto"/>
              </w:rPr>
            </w:pPr>
          </w:p>
        </w:tc>
      </w:tr>
      <w:tr>
        <w:trPr>
          <w:trHeight w:val="216"/>
        </w:trPr>
        <w:tc>
          <w:tcPr>
            <w:tcW w:w="10320" w:type="dxa"/>
            <w:vAlign w:val="bottom"/>
            <w:gridSpan w:val="12"/>
          </w:tcPr>
          <w:p>
            <w:pPr>
              <w:spacing w:after="0"/>
              <w:rPr>
                <w:sz w:val="20"/>
                <w:szCs w:val="20"/>
                <w:color w:val="auto"/>
              </w:rPr>
            </w:pPr>
            <w:r>
              <w:rPr>
                <w:rFonts w:ascii="Arial" w:cs="Arial" w:eastAsia="Arial" w:hAnsi="Arial"/>
                <w:sz w:val="18"/>
                <w:szCs w:val="18"/>
                <w:color w:val="auto"/>
                <w:w w:val="90"/>
              </w:rPr>
              <w:t>estimated offering expenses payable by us, our pro forma net tangible book value as of September 30, 2016 would have been approximately $</w:t>
            </w:r>
          </w:p>
        </w:tc>
        <w:tc>
          <w:tcPr>
            <w:tcW w:w="1080" w:type="dxa"/>
            <w:vAlign w:val="bottom"/>
          </w:tcPr>
          <w:p>
            <w:pPr>
              <w:ind w:left="4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or $</w:t>
            </w:r>
          </w:p>
        </w:tc>
        <w:tc>
          <w:tcPr>
            <w:tcW w:w="8740" w:type="dxa"/>
            <w:vAlign w:val="bottom"/>
            <w:gridSpan w:val="7"/>
          </w:tcPr>
          <w:p>
            <w:pPr>
              <w:ind w:left="460"/>
              <w:spacing w:after="0"/>
              <w:rPr>
                <w:sz w:val="20"/>
                <w:szCs w:val="20"/>
                <w:color w:val="auto"/>
              </w:rPr>
            </w:pPr>
            <w:r>
              <w:rPr>
                <w:rFonts w:ascii="Arial" w:cs="Arial" w:eastAsia="Arial" w:hAnsi="Arial"/>
                <w:sz w:val="18"/>
                <w:szCs w:val="18"/>
                <w:color w:val="auto"/>
                <w:w w:val="92"/>
              </w:rPr>
              <w:t>per share of our common stock. This represents an immediate increase in pro forma net tangible book value of $</w:t>
            </w:r>
          </w:p>
        </w:tc>
        <w:tc>
          <w:tcPr>
            <w:tcW w:w="200" w:type="dxa"/>
            <w:vAlign w:val="bottom"/>
          </w:tcPr>
          <w:p>
            <w:pPr>
              <w:spacing w:after="0"/>
              <w:rPr>
                <w:sz w:val="18"/>
                <w:szCs w:val="18"/>
                <w:color w:val="auto"/>
              </w:rPr>
            </w:pPr>
          </w:p>
        </w:tc>
        <w:tc>
          <w:tcPr>
            <w:tcW w:w="2080" w:type="dxa"/>
            <w:vAlign w:val="bottom"/>
            <w:gridSpan w:val="4"/>
          </w:tcPr>
          <w:p>
            <w:pPr>
              <w:ind w:left="140"/>
              <w:spacing w:after="0"/>
              <w:rPr>
                <w:sz w:val="20"/>
                <w:szCs w:val="20"/>
                <w:color w:val="auto"/>
              </w:rPr>
            </w:pPr>
            <w:r>
              <w:rPr>
                <w:rFonts w:ascii="Arial" w:cs="Arial" w:eastAsia="Arial" w:hAnsi="Arial"/>
                <w:sz w:val="18"/>
                <w:szCs w:val="18"/>
                <w:color w:val="auto"/>
                <w:w w:val="99"/>
              </w:rPr>
              <w:t>per share to our existing</w:t>
            </w: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w w:val="98"/>
              </w:rPr>
              <w:t>stockholders and an immediate dilution of $</w:t>
            </w:r>
          </w:p>
        </w:tc>
        <w:tc>
          <w:tcPr>
            <w:tcW w:w="5680" w:type="dxa"/>
            <w:vAlign w:val="bottom"/>
            <w:gridSpan w:val="5"/>
          </w:tcPr>
          <w:p>
            <w:pPr>
              <w:ind w:left="280"/>
              <w:spacing w:after="0"/>
              <w:rPr>
                <w:sz w:val="20"/>
                <w:szCs w:val="20"/>
                <w:color w:val="auto"/>
              </w:rPr>
            </w:pPr>
            <w:r>
              <w:rPr>
                <w:rFonts w:ascii="Arial" w:cs="Arial" w:eastAsia="Arial" w:hAnsi="Arial"/>
                <w:sz w:val="18"/>
                <w:szCs w:val="18"/>
                <w:color w:val="auto"/>
              </w:rPr>
              <w:t>per share to investors purchasing shares in this offering, as follows: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000" w:type="dxa"/>
            <w:vAlign w:val="bottom"/>
            <w:vMerge w:val="restart"/>
          </w:tcPr>
          <w:p>
            <w:pPr>
              <w:spacing w:after="0"/>
              <w:rPr>
                <w:sz w:val="21"/>
                <w:szCs w:val="21"/>
                <w:color w:val="auto"/>
              </w:rPr>
            </w:pPr>
          </w:p>
        </w:tc>
        <w:tc>
          <w:tcPr>
            <w:tcW w:w="672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 per share as of September 30, 2016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4"/>
              </w:rPr>
              <w:t>Increase in pro forma net tangible book value per share attributable to new investors</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720" w:type="dxa"/>
            <w:vAlign w:val="bottom"/>
            <w:gridSpan w:val="4"/>
          </w:tcPr>
          <w:p>
            <w:pPr>
              <w:ind w:left="100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price range set forth on the cover page of this prospectus, would increase (decrease) our pro forma net tangible book value, as adjusted to give effect to this offering, by $ per share, the increase (decrease) attributable to this offering by $ per share, and the dilution in pro forma as adjusted net tangible book value per share to new investors in this offering by $ per share, assuming the number of shares offered by us, as set forth on the cover page of this prospectus, remains the</w:t>
      </w:r>
    </w:p>
    <w:p>
      <w:pPr>
        <w:spacing w:after="0" w:line="2" w:lineRule="exact"/>
        <w:rPr>
          <w:sz w:val="20"/>
          <w:szCs w:val="20"/>
          <w:color w:val="auto"/>
        </w:rPr>
      </w:pPr>
    </w:p>
    <w:p>
      <w:pPr>
        <w:ind w:right="80"/>
        <w:spacing w:after="0" w:line="562" w:lineRule="auto"/>
        <w:rPr>
          <w:sz w:val="20"/>
          <w:szCs w:val="20"/>
          <w:color w:val="auto"/>
        </w:rPr>
      </w:pPr>
      <w:r>
        <w:rPr>
          <w:rFonts w:ascii="Arial" w:cs="Arial" w:eastAsia="Arial" w:hAnsi="Arial"/>
          <w:sz w:val="16"/>
          <w:szCs w:val="16"/>
          <w:color w:val="auto"/>
        </w:rPr>
        <w:t>same, and after 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dilution per share to investors in this offering, by $ per share. Each decrease of one million shares in the number of shares offered by us would decrease our pro forma as adjusted net tangible book value per share, and increase the dilution per share to investors in this offering, by $ per share.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in full to purchase additional shares, the pro forma net tangible book value per share of our common stock after</w:t>
      </w:r>
    </w:p>
    <w:p>
      <w:pPr>
        <w:spacing w:after="0" w:line="46"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giving effect to this offering would be $</w:t>
      </w:r>
      <w:r>
        <w:rPr>
          <w:sz w:val="20"/>
          <w:szCs w:val="20"/>
          <w:color w:val="auto"/>
        </w:rPr>
        <w:tab/>
      </w:r>
      <w:r>
        <w:rPr>
          <w:rFonts w:ascii="Arial" w:cs="Arial" w:eastAsia="Arial" w:hAnsi="Arial"/>
          <w:sz w:val="16"/>
          <w:szCs w:val="16"/>
          <w:color w:val="auto"/>
        </w:rPr>
        <w:t>per share, and the dilution in net tangible book value per share to investors in this offering would be</w:t>
      </w:r>
    </w:p>
    <w:p>
      <w:pPr>
        <w:spacing w:after="0" w:line="9"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 share.</w:t>
      </w:r>
    </w:p>
    <w:p>
      <w:pPr>
        <w:spacing w:after="0" w:line="21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following table summarizes, on a pro forma as adjusted basis as of September 30, 2016 after giving effect to (i) the automatic conversion of all outstanding shares of our convertible preferred stock into 80,645,051 shares of common stock as of immediately prior to the closing of this offering and</w:t>
      </w:r>
    </w:p>
    <w:p>
      <w:pPr>
        <w:spacing w:after="0"/>
        <w:tabs>
          <w:tab w:leader="none" w:pos="1860" w:val="left"/>
          <w:tab w:leader="none" w:pos="8620" w:val="left"/>
        </w:tabs>
        <w:rPr>
          <w:sz w:val="20"/>
          <w:szCs w:val="20"/>
          <w:color w:val="auto"/>
        </w:rPr>
      </w:pPr>
      <w:r>
        <w:rPr>
          <w:rFonts w:ascii="Arial" w:cs="Arial" w:eastAsia="Arial" w:hAnsi="Arial"/>
          <w:sz w:val="18"/>
          <w:szCs w:val="18"/>
          <w:color w:val="auto"/>
        </w:rPr>
        <w:t>(ii) the issuance of</w:t>
      </w:r>
      <w:r>
        <w:rPr>
          <w:sz w:val="20"/>
          <w:szCs w:val="20"/>
          <w:color w:val="auto"/>
        </w:rPr>
        <w:tab/>
      </w:r>
      <w:r>
        <w:rPr>
          <w:rFonts w:ascii="Arial" w:cs="Arial" w:eastAsia="Arial" w:hAnsi="Arial"/>
          <w:sz w:val="18"/>
          <w:szCs w:val="18"/>
          <w:color w:val="auto"/>
        </w:rPr>
        <w:t>shares of common stock in this offering at an assumed initial public offering price of $</w:t>
      </w:r>
      <w:r>
        <w:rPr>
          <w:sz w:val="20"/>
          <w:szCs w:val="20"/>
          <w:color w:val="auto"/>
        </w:rPr>
        <w:tab/>
      </w:r>
      <w:r>
        <w:rPr>
          <w:rFonts w:ascii="Arial" w:cs="Arial" w:eastAsia="Arial" w:hAnsi="Arial"/>
          <w:sz w:val="15"/>
          <w:szCs w:val="15"/>
          <w:color w:val="auto"/>
        </w:rPr>
        <w:t>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midpoint of the price range set forth on the cover page of this prospectus,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6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4"/>
                <w:szCs w:val="4"/>
                <w:color w:val="auto"/>
              </w:rPr>
            </w:pPr>
          </w:p>
        </w:tc>
        <w:tc>
          <w:tcPr>
            <w:tcW w:w="82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460" w:type="dxa"/>
            <w:vAlign w:val="bottom"/>
          </w:tcPr>
          <w:p>
            <w:pPr>
              <w:spacing w:after="0"/>
              <w:rPr>
                <w:sz w:val="4"/>
                <w:szCs w:val="4"/>
                <w:color w:val="auto"/>
              </w:rPr>
            </w:pPr>
          </w:p>
        </w:tc>
        <w:tc>
          <w:tcPr>
            <w:tcW w:w="84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New public investors</w:t>
            </w:r>
          </w:p>
        </w:tc>
        <w:tc>
          <w:tcPr>
            <w:tcW w:w="6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tcPr>
          <w:p>
            <w:pPr>
              <w:ind w:left="460"/>
              <w:spacing w:after="0"/>
              <w:rPr>
                <w:sz w:val="20"/>
                <w:szCs w:val="20"/>
                <w:color w:val="auto"/>
              </w:rPr>
            </w:pPr>
            <w:r>
              <w:rPr>
                <w:rFonts w:ascii="Arial" w:cs="Arial" w:eastAsia="Arial" w:hAnsi="Arial"/>
                <w:sz w:val="18"/>
                <w:szCs w:val="18"/>
                <w:color w:val="auto"/>
                <w:w w:val="95"/>
              </w:rPr>
              <w:t>A $1.00 increase (decrease) in the assumed initial public offering price of $</w:t>
            </w:r>
          </w:p>
        </w:tc>
        <w:tc>
          <w:tcPr>
            <w:tcW w:w="5260" w:type="dxa"/>
            <w:vAlign w:val="bottom"/>
            <w:gridSpan w:val="13"/>
          </w:tcPr>
          <w:p>
            <w:pPr>
              <w:ind w:left="280"/>
              <w:spacing w:after="0"/>
              <w:rPr>
                <w:sz w:val="20"/>
                <w:szCs w:val="20"/>
                <w:color w:val="auto"/>
              </w:rPr>
            </w:pPr>
            <w:r>
              <w:rPr>
                <w:rFonts w:ascii="Arial" w:cs="Arial" w:eastAsia="Arial" w:hAnsi="Arial"/>
                <w:sz w:val="18"/>
                <w:szCs w:val="18"/>
                <w:color w:val="auto"/>
                <w:w w:val="90"/>
              </w:rPr>
              <w:t>per share, the midpoint of the price range set forth on the cover page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of this prospectus, would increase (decrease) total consideration paid by new investors and total consideration paid by all stockholders by approximately</w:t>
      </w:r>
    </w:p>
    <w:p>
      <w:pPr>
        <w:spacing w:after="0" w:line="32" w:lineRule="exact"/>
        <w:rPr>
          <w:sz w:val="20"/>
          <w:szCs w:val="20"/>
          <w:color w:val="auto"/>
        </w:rPr>
      </w:pPr>
    </w:p>
    <w:p>
      <w:pPr>
        <w:ind w:right="300" w:firstLine="8"/>
        <w:spacing w:after="0" w:line="261" w:lineRule="auto"/>
        <w:tabs>
          <w:tab w:leader="none" w:pos="6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are exercised, investors will experience further dilution.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Except as otherwise indicated, the above discussion and tables assume no exercise of the underwriters’ option to purchase additional shares. If the</w:t>
      </w:r>
    </w:p>
    <w:p>
      <w:pPr>
        <w:spacing w:after="0" w:line="35" w:lineRule="exact"/>
        <w:rPr>
          <w:sz w:val="20"/>
          <w:szCs w:val="20"/>
          <w:color w:val="auto"/>
        </w:rPr>
      </w:pPr>
    </w:p>
    <w:p>
      <w:pPr>
        <w:ind w:left="540" w:right="420" w:hanging="539"/>
        <w:spacing w:after="0" w:line="261" w:lineRule="auto"/>
        <w:rPr>
          <w:sz w:val="20"/>
          <w:szCs w:val="20"/>
          <w:color w:val="auto"/>
        </w:rPr>
      </w:pPr>
      <w:r>
        <w:rPr>
          <w:rFonts w:ascii="Arial" w:cs="Arial" w:eastAsia="Arial" w:hAnsi="Arial"/>
          <w:sz w:val="18"/>
          <w:szCs w:val="18"/>
          <w:color w:val="auto"/>
        </w:rPr>
        <w:t>underwriters exercise their option to purchase additional shares in full, our existing stockholders would own</w:t>
      </w:r>
      <w:r>
        <w:rPr>
          <w:sz w:val="20"/>
          <w:szCs w:val="20"/>
          <w:color w:val="auto"/>
        </w:rPr>
        <w:t xml:space="preserve"> </w:t>
      </w:r>
      <w:r>
        <w:rPr>
          <w:rFonts w:ascii="Arial" w:cs="Arial" w:eastAsia="Arial" w:hAnsi="Arial"/>
          <w:sz w:val="18"/>
          <w:szCs w:val="18"/>
          <w:color w:val="auto"/>
        </w:rPr>
        <w:t>% and our new investors would own % of the total number of shares of our common stock outstanding upon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99,115,774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excludes:</w:t>
      </w:r>
    </w:p>
    <w:p>
      <w:pPr>
        <w:spacing w:after="0" w:line="116" w:lineRule="exact"/>
        <w:rPr>
          <w:sz w:val="20"/>
          <w:szCs w:val="20"/>
          <w:color w:val="auto"/>
        </w:rPr>
      </w:pPr>
    </w:p>
    <w:p>
      <w:pPr>
        <w:ind w:left="900" w:right="6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12,997,698 shares of common stock issuable upon the exercise of options outstanding as of September 30, 2016, with a weighted-average exercise price of $0.59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3,593,212 shares of common</w:t>
      </w:r>
    </w:p>
    <w:p>
      <w:pPr>
        <w:spacing w:after="0" w:line="46" w:lineRule="exact"/>
        <w:rPr>
          <w:sz w:val="20"/>
          <w:szCs w:val="20"/>
          <w:color w:val="auto"/>
        </w:rPr>
      </w:pPr>
    </w:p>
    <w:p>
      <w:pPr>
        <w:ind w:left="900" w:right="20"/>
        <w:spacing w:after="0" w:line="281" w:lineRule="auto"/>
        <w:rPr>
          <w:sz w:val="20"/>
          <w:szCs w:val="20"/>
          <w:color w:val="auto"/>
        </w:rPr>
      </w:pPr>
      <w:r>
        <w:rPr>
          <w:rFonts w:ascii="Arial" w:cs="Arial" w:eastAsia="Arial" w:hAnsi="Arial"/>
          <w:sz w:val="16"/>
          <w:szCs w:val="16"/>
          <w:color w:val="auto"/>
        </w:rPr>
        <w:t>stock reserved for future issuance under our 2006 Equity Incentive Plan as of September 30, 2016, (b) shares of common stock reserved for future issuance under our 2016 Equity Incentive Plan, which will become effective on the date immediately prior to the date of this prospectus</w:t>
      </w:r>
    </w:p>
    <w:p>
      <w:pPr>
        <w:spacing w:after="0" w:line="1" w:lineRule="exact"/>
        <w:rPr>
          <w:sz w:val="20"/>
          <w:szCs w:val="20"/>
          <w:color w:val="auto"/>
        </w:rPr>
      </w:pPr>
    </w:p>
    <w:p>
      <w:pPr>
        <w:ind w:left="900"/>
        <w:spacing w:after="0" w:line="292" w:lineRule="auto"/>
        <w:rPr>
          <w:sz w:val="20"/>
          <w:szCs w:val="20"/>
          <w:color w:val="auto"/>
        </w:rPr>
      </w:pPr>
      <w:r>
        <w:rPr>
          <w:rFonts w:ascii="Arial" w:cs="Arial" w:eastAsia="Arial" w:hAnsi="Arial"/>
          <w:sz w:val="16"/>
          <w:szCs w:val="16"/>
          <w:color w:val="auto"/>
        </w:rPr>
        <w:t>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68" w:lineRule="exact"/>
        <w:rPr>
          <w:sz w:val="20"/>
          <w:szCs w:val="20"/>
          <w:color w:val="auto"/>
        </w:rPr>
      </w:pPr>
    </w:p>
    <w:p>
      <w:pPr>
        <w:ind w:left="900" w:right="28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September 30, 2016, with an exercise price of $0.65 per share, that do not expire upon the closing of this offering.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selected statements of operations data for the years ended December 31, 2014 and 2015 and the balance sheet data as of December 31, 2014 and 2015 are derived from our audited financial statements included elsewhere in this prospectus. The selected consolidated statements of operations data for the nine months ended September 30, 2015 and 2016 and the consolidated balance sheet data as of September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7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15,838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17,571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13,517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10,732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2"/>
          </w:tcPr>
          <w:p>
            <w:pPr>
              <w:ind w:left="10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13,247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(1,528)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(2,113)</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ind w:left="106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(1,893)</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income attributed to participating securities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(1,893)</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Net income (loss) per common share: </w:t>
            </w:r>
            <w:r>
              <w:rPr>
                <w:rFonts w:ascii="Arial" w:cs="Arial" w:eastAsia="Arial" w:hAnsi="Arial"/>
                <w:sz w:val="15"/>
                <w:szCs w:val="15"/>
                <w:color w:val="auto"/>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Weighted-average number of shares outstanding: </w:t>
            </w:r>
            <w:r>
              <w:rPr>
                <w:rFonts w:ascii="Arial" w:cs="Arial" w:eastAsia="Arial" w:hAnsi="Arial"/>
                <w:sz w:val="15"/>
                <w:szCs w:val="15"/>
                <w:color w:val="auto"/>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17,368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17,694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17,857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17,694</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Pro forma net income (loss) per common share (unaudited):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Pro forma weighted-average number of shares outstanding (unaudited):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77,926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77,926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8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2 to our annual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7"/>
              </w:rPr>
              <w:t>As of</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4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4160" w:type="dxa"/>
            <w:vAlign w:val="bottom"/>
          </w:tcPr>
          <w:p>
            <w:pPr>
              <w:spacing w:after="0"/>
              <w:rPr>
                <w:sz w:val="12"/>
                <w:szCs w:val="12"/>
                <w:color w:val="auto"/>
              </w:rPr>
            </w:pPr>
          </w:p>
        </w:tc>
        <w:tc>
          <w:tcPr>
            <w:tcW w:w="6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0" w:type="dxa"/>
            <w:vAlign w:val="bottom"/>
            <w:gridSpan w:val="3"/>
          </w:tcPr>
          <w:p>
            <w:pPr>
              <w:jc w:val="right"/>
              <w:ind w:right="308"/>
              <w:spacing w:after="0"/>
              <w:rPr>
                <w:sz w:val="20"/>
                <w:szCs w:val="20"/>
                <w:color w:val="auto"/>
              </w:rPr>
            </w:pPr>
            <w:r>
              <w:rPr>
                <w:rFonts w:ascii="Arial" w:cs="Arial" w:eastAsia="Arial" w:hAnsi="Arial"/>
                <w:sz w:val="18"/>
                <w:szCs w:val="18"/>
                <w:color w:val="auto"/>
              </w:rPr>
              <w:t>$ 22,188</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6"/>
              </w:rPr>
              <w:t>$ 51,684</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47,134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25,065</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56,280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5200" w:type="dxa"/>
            <w:vAlign w:val="bottom"/>
            <w:gridSpan w:val="3"/>
          </w:tcPr>
          <w:p>
            <w:pPr>
              <w:jc w:val="right"/>
              <w:ind w:right="308"/>
              <w:spacing w:after="0"/>
              <w:rPr>
                <w:sz w:val="20"/>
                <w:szCs w:val="20"/>
                <w:color w:val="auto"/>
              </w:rPr>
            </w:pPr>
            <w:r>
              <w:rPr>
                <w:rFonts w:ascii="Arial" w:cs="Arial" w:eastAsia="Arial" w:hAnsi="Arial"/>
                <w:sz w:val="18"/>
                <w:szCs w:val="18"/>
                <w:color w:val="auto"/>
              </w:rPr>
              <w:t>4,793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52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569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5200" w:type="dxa"/>
            <w:vAlign w:val="bottom"/>
            <w:gridSpan w:val="3"/>
          </w:tcPr>
          <w:p>
            <w:pPr>
              <w:jc w:val="right"/>
              <w:ind w:right="308"/>
              <w:spacing w:after="0"/>
              <w:rPr>
                <w:sz w:val="20"/>
                <w:szCs w:val="20"/>
                <w:color w:val="auto"/>
              </w:rPr>
            </w:pPr>
            <w:r>
              <w:rPr>
                <w:rFonts w:ascii="Arial" w:cs="Arial" w:eastAsia="Arial" w:hAnsi="Arial"/>
                <w:sz w:val="18"/>
                <w:szCs w:val="18"/>
                <w:color w:val="auto"/>
              </w:rPr>
              <w:t>36,828</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77,516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77,516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52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(30,835)</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(35,179)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(33,973)</w:t>
            </w:r>
          </w:p>
        </w:tc>
      </w:tr>
      <w:tr>
        <w:trPr>
          <w:trHeight w:val="365"/>
        </w:trPr>
        <w:tc>
          <w:tcPr>
            <w:tcW w:w="4120" w:type="dxa"/>
            <w:vAlign w:val="bottom"/>
          </w:tcPr>
          <w:p>
            <w:pPr>
              <w:spacing w:after="0"/>
              <w:rPr>
                <w:sz w:val="24"/>
                <w:szCs w:val="24"/>
                <w:color w:val="auto"/>
              </w:rPr>
            </w:pPr>
          </w:p>
        </w:tc>
        <w:tc>
          <w:tcPr>
            <w:tcW w:w="4160" w:type="dxa"/>
            <w:vAlign w:val="bottom"/>
          </w:tcPr>
          <w:p>
            <w:pPr>
              <w:jc w:val="right"/>
              <w:ind w:right="239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are currently conducting a Phase 1 trial of ANB020 in healthy volunteers in Australia under an approved Clinical Trial Notification, or CTN, which has produced results that we believe demonstrate the favorable safety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properties of ANB020. We have also cleared an Investigational New Drug application, or IND, with the U.S. Food and Drug Administration, or FDA, and have submitted a Clinical Trial Application, or CTA, to the U.K. Medicines and Healthcare Products Regulatory Agency, or MHRA, to initiate efficacy trials of ANB020 in patients with severe adult peanut allergy and moderate-to-severe adult atopic dermatitis, respectively, each of which are anticipated to be completed during the second half of 2017. In addition, we plan to seek regulatory clearance during the first half of 2017 to initiate an efficacy trial in patients with severe adult eosinophilic asthma, which is anticipated to be completed during the first half of 2018. ANB019 inhibits the interleukin-36, or IL-36R, receptor for the treatment of rare inflammatory diseases including generalized pustular psoriasis, or GPP, and palmo-plantar pustular psoriasis, or PPP. We plan to submit a CTN for ANB019 by the end of 2016 and commence a Phase 1 clinical trial in the first half of 2017. In addition to ANB020 and ANB019, our wholly-owned pipeline includes novel checkpoint receptor agonist antibodies that we believe are applicable for treatment of certain autoimmune diseases where immune checkpoint receptors are insufficiently activated, and which have demonstrated efficacy in an animal model of graft-versus-host disease.</w:t>
      </w:r>
    </w:p>
    <w:p>
      <w:pPr>
        <w:spacing w:after="0" w:line="18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Under our TESARO collaboration, a Phase 1 clinical trial was initiated during the first quarter of 2016 to study an AnaptysBio-generated anti-PD-1 antagonist antibody (TSR-042) in patients under an IND cleared by the U.S. Food and Drug Administration, or FDA, and a second Phase 1 trial was initiated during the third quarter of 2016 to study an AnaptysBio-generated anti-TIM-3 antagonist antibody (TSR-022) in patients under a separate IND cleared by the FDA. Under our Celgene collaboration,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or GLPs, for an AnaptysBio-generated antibody was completed during the second quarter of 2016. Including the aforementioned programs, we expect that our collaborators will advance four AnaptysBio-generated antibodies to the clinic by the end of the first half of 2017. Through October 31, 2016, we have received $65.4 million in non-dilutive funding from our collaborators.</w:t>
      </w:r>
    </w:p>
    <w:p>
      <w:pPr>
        <w:spacing w:after="0" w:line="189"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October 31, 2016, we have raised $94.3 million from investors, including Biotechnology Value Fund, Cormorant Asset Management, Frazier Healthcare, HBM Partners, Longwood Capital Partners and Novo A/S.</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have generated multiple antibodies by using our SHM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September 30, 2016, we had an accumulated deficit of $50.3 million primarily as a result of losses incurred since our inception in 2005. Although we reported net income of $3.5 million during the year ended December 31, 2014 and $0.3 million during the nine months ended September 30, 2016, we expect to continue to incur net operating losses for at least the next several years as we advance our products</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459" w:right="2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900" w:firstLine="456"/>
        <w:spacing w:after="0" w:line="308"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Exclusive License Agreement with TESARO</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In March 2014, we entered into an exclusive worldwide license and collaboration agreement with TESARO for the development and commercialization of therapeutic monospecific and bispecific antibodies that antagonize PD-1, TIM-3, LAG-3 and/or a fourth undisclosed checkpoint receptor.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over the same period that our research and development services, for which we are reimbursed, are performed, which was extended through December 31, 2016 by amendment of the agreement in February 2016. From inception of the agreement through September 30, 2016, we have recognized $42.5 million in total revenue from TESARO.</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June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anti-PD-1 antagonist antibody (TSR-042) resulting in us receiving a $1.0 million milestone in July 2015. In October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anti-TIM-3 antagonist antibody (TSR-022) resulting in us receiving a $1.0 million milestone in November 2015. In January 2016, TESARO received clearance of their IND from the FDA for an AnaptysBio-generated anti-PD-1 antagonist antibody (TSR-042) resulting in us receiving a $4.0 million milestone payment in February 2016. In June 2016, TESARO received clearance of their IND from the FDA for an AnaptysBio-generated anti-TIM-3 antagonist antibody (TSR-022) resulting in us receiving a $4.0 million milestone payment in June 2016. In September 2016,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anti-LAG-3 antagonist antibody (TSR-033) resulting in us receiving a $1.0 million milestone in September 2016. We expect to receive an additional aggregate of $4.0 million in IND-related milestone payments by the end of the first half of 2017.</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Antibody Generation Agreement with Celgene Corporation</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September 30, 2016, we have recognized $9.0 million in total revenue from Celgene.</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receiving a $0.5 million milestone payment in June 2016. For one of the two programs being advanced by Celgene, we expect to receive an additional $1.0 million IND-related milestone payment by the first half of 2017.</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Collaborative Agreements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are party to other collaboration agreements for which we recognized $1.7 million and $3.7 million in collaboration revenue during the years ended December 31, 2013 and 2014, respectively. We completed our obligations under these agreements in 2014 and did not recognize any additional revenue from them subsequent to the year ended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76" w:lineRule="exact"/>
        <w:rPr>
          <w:sz w:val="20"/>
          <w:szCs w:val="20"/>
          <w:color w:val="auto"/>
        </w:rPr>
      </w:pPr>
    </w:p>
    <w:p>
      <w:pPr>
        <w:ind w:left="900" w:right="62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conducting initial clinical trials for ANB020 and plan to conduct initial clinical trials for ANB019 in Australia to rapidly enter into first-in-human studies and benefit from research and development-related financial incentives related to the development of ANB020 and ANB019. Taking into account any financial incentives, we expect our research and development expenses to be higher in the fourth quarter of 2016 and in 2017 as we advance our product candidates into clinical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Interest expense consists of stated interest and amortization of discounts on our outstanding notes payable relating to our Loan and Security Agreement with Oxford Finance LLC and Silicon Valley Bank, as amended, which we refer to as the Loan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 convert into warrants to purchase shares of common stock, the preferred stock warrant liabilities will be reclassified to additional paid-in capital and periodic fair value adjustments will no longer be recorded.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Research and Development Tax Credit Carryforwards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our inception through December 31, 2013, we accumulated net operating losses, or NOLs. We generated taxable income in the United States for the years ended December 31, 2014 and 2015 as a result of our collaboration agreement with TESARO as well as expenses incurred by our Australian subsidiary which are not deductible for U.S. income tax purposes. While we utilized NOLs in 2014 and 2015, we continue to have a valuation allowance against our net deferred tax assets due to the uncertainty of the realization of such assets.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December 31, 2015, we had federal and state NOL carryforwards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 forward indefinitely.</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an IRC Section 382/383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In October 2016, we extended the analysis period of the study through December 31, 2015, noting no ownership changes during fiscal 2015. If a change in ownership occurs as a result of this offering, additional NOL and tax credits carryforwards could be eliminated or restricted.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6" w:lineRule="exact"/>
        <w:rPr>
          <w:sz w:val="20"/>
          <w:szCs w:val="20"/>
          <w:color w:val="auto"/>
        </w:rPr>
      </w:pPr>
    </w:p>
    <w:p>
      <w:pPr>
        <w:ind w:left="900" w:right="120" w:hanging="325"/>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93" w:lineRule="exact"/>
        <w:rPr>
          <w:rFonts w:ascii="Arial" w:cs="Arial" w:eastAsia="Arial" w:hAnsi="Arial"/>
          <w:sz w:val="18"/>
          <w:szCs w:val="18"/>
          <w:color w:val="auto"/>
        </w:rPr>
      </w:pPr>
    </w:p>
    <w:p>
      <w:pPr>
        <w:ind w:left="900" w:right="100" w:hanging="325"/>
        <w:spacing w:after="0" w:line="297"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9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7" w:lineRule="exact"/>
        <w:rPr>
          <w:sz w:val="20"/>
          <w:szCs w:val="20"/>
          <w:color w:val="auto"/>
        </w:rPr>
      </w:pPr>
    </w:p>
    <w:p>
      <w:pPr>
        <w:ind w:left="900" w:right="260" w:hanging="325"/>
        <w:spacing w:after="0" w:line="34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fair value of the underlying common shares</w:t>
      </w:r>
      <w:r>
        <w:rPr>
          <w:rFonts w:ascii="Arial" w:cs="Arial" w:eastAsia="Arial" w:hAnsi="Arial"/>
          <w:sz w:val="16"/>
          <w:szCs w:val="16"/>
          <w:color w:val="auto"/>
        </w:rPr>
        <w:t>, as approved by our board of directors, which was determined using the option-pricing method, or</w:t>
      </w:r>
      <w:r>
        <w:rPr>
          <w:rFonts w:ascii="Arial" w:cs="Arial" w:eastAsia="Arial" w:hAnsi="Arial"/>
          <w:sz w:val="16"/>
          <w:szCs w:val="16"/>
          <w:i w:val="1"/>
          <w:iCs w:val="1"/>
          <w:color w:val="auto"/>
        </w:rPr>
        <w:t xml:space="preserve"> </w:t>
      </w:r>
      <w:r>
        <w:rPr>
          <w:rFonts w:ascii="Arial" w:cs="Arial" w:eastAsia="Arial" w:hAnsi="Arial"/>
          <w:sz w:val="16"/>
          <w:szCs w:val="16"/>
          <w:color w:val="auto"/>
        </w:rPr>
        <w:t>OPM, in periods through December 31, 2014, and the probability-weighted expected return method, or PWERM, beginning March 31, 2015;</w:t>
      </w:r>
    </w:p>
    <w:p>
      <w:pPr>
        <w:spacing w:after="0" w:line="29"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which historical information is available. Because we are privately held as of the date of these financial statements, we do not have relevant historical data to support our expected volatility;</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vesting period for all option tranches, as we have insufficient historical information regarding our stock options to provide a basis for an estimate.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computed the fair value of stock options at the date of grant using the following weighted average assumptions:</w:t>
      </w:r>
    </w:p>
    <w:p>
      <w:pPr>
        <w:spacing w:after="0" w:line="24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Nine Months Ended</w:t>
      </w:r>
    </w:p>
    <w:p>
      <w:pPr>
        <w:jc w:val="center"/>
        <w:ind w:left="75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7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69.2%</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6.10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$ 0.61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$ 0.52</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6,029,814 and 1,952,425 stock options granted during the nine months ended September 30, 2015 and 2016, respectively.</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Stock-based compensation expense related to unvested stock option grants not yet recognized as of September 30, 2016 was $2.8 million and the weighted average period over which these grants are expected to vest is 2.8 years. We expect to continue to grant stock options in the future, and to the extent we do, our actual stock-based compensation expense recognized in future periods will likely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9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 guidelines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66"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67" w:lineRule="exact"/>
        <w:rPr>
          <w:sz w:val="20"/>
          <w:szCs w:val="20"/>
          <w:color w:val="auto"/>
        </w:rPr>
      </w:pPr>
    </w:p>
    <w:p>
      <w:pPr>
        <w:ind w:left="900" w:right="80" w:hanging="325"/>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Guideline Public Company Method. </w:t>
      </w:r>
      <w:r>
        <w:rPr>
          <w:rFonts w:ascii="Arial" w:cs="Arial" w:eastAsia="Arial" w:hAnsi="Arial"/>
          <w:sz w:val="18"/>
          <w:szCs w:val="18"/>
          <w:color w:val="auto"/>
        </w:rPr>
        <w:t>The guideline public company method, or GPC method, compares the subject company with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40" w:hanging="325"/>
        <w:spacing w:after="0" w:line="281"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Similar Transaction Method. </w:t>
      </w:r>
      <w:r>
        <w:rPr>
          <w:rFonts w:ascii="Arial" w:cs="Arial" w:eastAsia="Arial" w:hAnsi="Arial"/>
          <w:sz w:val="17"/>
          <w:szCs w:val="17"/>
          <w:color w:val="auto"/>
        </w:rPr>
        <w:t>The similar transaction method, or ST method, relies on data of actual transactions, such as mergers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or 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6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Methods Used to Allocate Our Enterprise Value to Classes of Securities</w:t>
      </w:r>
      <w:r>
        <w:rPr>
          <w:rFonts w:ascii="Arial" w:cs="Arial" w:eastAsia="Arial" w:hAnsi="Arial"/>
          <w:sz w:val="18"/>
          <w:szCs w:val="18"/>
          <w:color w:val="auto"/>
        </w:rPr>
        <w:t>. In accordance with the Practice Aid, we considered the various methods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83" w:lineRule="exact"/>
        <w:rPr>
          <w:sz w:val="20"/>
          <w:szCs w:val="20"/>
          <w:color w:val="auto"/>
        </w:rPr>
      </w:pPr>
    </w:p>
    <w:p>
      <w:pPr>
        <w:ind w:left="900" w:right="320" w:hanging="325"/>
        <w:spacing w:after="0" w:line="347"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preferences and conversion terms of each equity class. The values of the preferred and common stock are inferred by analyzing these options.</w:t>
      </w:r>
    </w:p>
    <w:p>
      <w:pPr>
        <w:spacing w:after="0" w:line="21" w:lineRule="exact"/>
        <w:rPr>
          <w:rFonts w:ascii="Arial" w:cs="Arial" w:eastAsia="Arial" w:hAnsi="Arial"/>
          <w:sz w:val="16"/>
          <w:szCs w:val="16"/>
          <w:color w:val="auto"/>
        </w:rPr>
      </w:pPr>
    </w:p>
    <w:p>
      <w:pPr>
        <w:ind w:left="90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PWERM is a scenario based analysis that estimates the value per share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probability-weighted present value of expected future investment returns, considering each of the possible outcomes available to us, as well as the economic and control rights of each share class.</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the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eight specific cash flows issues for which it provides specific guidance on treatment within the cash flow statement, with the intent of reducing diversity in practice. As permitted by this ASU, we elected to early adopt the standard beginning with our quarterly reporting period ended September 30, 2016, with retrospective application of the amended guidance. Upon adoption, there was no effect to our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outlines a single comprehensive model for entities to use in accounting for revenue from contracts with customers and supersedes most current revenue recognition guidance in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is intended to simplify the accounting for share-based payments including forfeiture rates, expected option terms, intrinsic value,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54"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29" w:lineRule="exact"/>
        <w:rPr>
          <w:sz w:val="20"/>
          <w:szCs w:val="20"/>
          <w:color w:val="auto"/>
        </w:rPr>
      </w:pPr>
    </w:p>
    <w:p>
      <w:pPr>
        <w:ind w:left="900" w:right="2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2015 and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Collaboration revenue was $13.5 million and $13.9 million during the nine months ended September 30, 2015 and 2016, respectively. A comparison of revenue by collaborator is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6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5,267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(2,250)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TESARO-milestone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8,437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7,687</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Celgene-milestone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13,517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13,930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During the first and fourth quarter of 2014 we received $17.0 million and $2.0 million, respectively, in upfront fees under our collaboration and exclusive license agreement with TESARO. For the nine months ended September 30, 2015 and 2016, we recognized the amortized portion of these upfront fees in the amounts of $7.5 million and $2.0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$5.3 million and $3.0 million during the nine months ended September 30, 2015 and 2016, respectively, for research and development services performed under the agreement.</w:t>
      </w:r>
    </w:p>
    <w:p>
      <w:pPr>
        <w:spacing w:after="0" w:line="17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 xml:space="preserve">In June 2015, TESARO initiated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using GLPs for an AnaptysBio-generated anti-PD-1 antagonist antibody (TSR-042) resulting in us earning a $1.0 million milestone. We recognized revenue of $0.8 million and $0.1 million during the nine months ended September 30, 2015 and 2016, respectively. The remaining milestone is being recognized ratably through December 2016, and was received in July 2015.</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February 2016.</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June 2016.</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earning a $0.5 million milestone payment in June 2016. We recognized the $0.5 million milestone payment as revenue during the nine months ended September 30, 2016. The $0.5 million milestone payment was received in June 2016.</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of approximately $0.9 million. The remaining unrecognized milestone payments of $0.1 million at September 30, 2016 will be recognized ratably through December 31, 2016. The $1.0 million milestone payment was received in September 2016.</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ectPr>
          <w:pgSz w:w="11900" w:h="16838" w:orient="portrait"/>
          <w:cols w:equalWidth="0" w:num="1">
            <w:col w:w="11380"/>
          </w:cols>
          <w:pgMar w:left="240" w:top="459"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Research and development expenses were $10.7 million and $10.4 million during the nine months ended September 30, 2015 and 2016, respectively, for a decrease of $0.3 million. The decrease was due primarily to the recognition of a tax incentive, which reduced our expenses by $6.2 million during the nine months ended September 30, 2016, upon our determination that the tax incentive was collectible. No tax incentive was recorded during the nine months ended September 30, 2015. The decrease was offset by a $3.4 million increase in outside service for preclinical trial work, a $1.7 million increase in clinical trial work, as well as a $1.0 million increase in salaries and related expenses including recruiting and relocation expense, resulting primarily from an increase in research and development personnel.</w:t>
      </w:r>
    </w:p>
    <w:p>
      <w:pPr>
        <w:spacing w:after="0" w:line="19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expect our research and development expenses to increase as we advance our development programs further and, in particular, as we enter into clinical trials.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General and administrative expenses were $2.5 million and $3.4 million during the nine months ended September 30, 2015 and 2016, respectively, for an increase of $0.9 million. The increase was due primarily to a $0.7 million increase in salaries and related expenses for new senior level positions, and a $0.2 million increase in intellectual property related legal expenses, primarily those related to prosecuting and maintaining patent applications.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Interest expense was $0.3 million during each of the nine months ended September 30, 2015 and 2016. The interest expense represents effective interest of 9.25% and 9.29% during the nine months ended September 30, 2015 and 2016, respectively, on our outstanding Term A Loans, which had an outstanding principal balance of $5.0 million as of September 30, 2015 and 2016.</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$1.5 million and income of $0.3 million during the nine months ended September 30, 2015 and 2016, respectively, due to changes in the valuation of our Series C convertible preferred stock which impacts the estimated fair value of the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income (expense) was ($0.2) million during the nine months ended September 30, 2015 and primarily consisted of a foreign exchange loss of ($0.3) million related to our Australian subsidiary, which was established in March 2015. Other income (expense) was $0.2 million during the nine months ended September 30, 2016 and primarily consisted of interest income from our money market fund, as well as foreign exchange gains related to our Australian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Collaboration revenue was $15.8 million and $17.6 million during the years ended December 31, 2014 and 2015, respectively. A comparison of revenue by collaborator is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105"/>
              <w:spacing w:after="0"/>
              <w:rPr>
                <w:sz w:val="20"/>
                <w:szCs w:val="20"/>
                <w:color w:val="auto"/>
              </w:rPr>
            </w:pPr>
            <w:r>
              <w:rPr>
                <w:rFonts w:ascii="Arial" w:cs="Arial" w:eastAsia="Arial" w:hAnsi="Arial"/>
                <w:sz w:val="14"/>
                <w:szCs w:val="14"/>
                <w:b w:val="1"/>
                <w:bCs w:val="1"/>
                <w:color w:val="auto"/>
                <w:w w:val="98"/>
              </w:rPr>
              <w:t>Year</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80"/>
              <w:spacing w:after="0"/>
              <w:rPr>
                <w:sz w:val="20"/>
                <w:szCs w:val="20"/>
                <w:color w:val="auto"/>
              </w:rPr>
            </w:pPr>
            <w:r>
              <w:rPr>
                <w:rFonts w:ascii="Arial" w:cs="Arial" w:eastAsia="Arial" w:hAnsi="Arial"/>
                <w:sz w:val="14"/>
                <w:szCs w:val="14"/>
                <w:b w:val="1"/>
                <w:bCs w:val="1"/>
                <w:color w:val="auto"/>
              </w:rPr>
              <w:t>Ended December 31,</w:t>
            </w:r>
          </w:p>
        </w:tc>
        <w:tc>
          <w:tcPr>
            <w:tcW w:w="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4,568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6,480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TESARO-milestone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Momenta</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Celgene Corporation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15,838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17,571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During the first and fourth quarter of 2014 we received $17.0 million and $2.0 million, respectively, in upfront fees under our collaboration and exclusive license agreement with TESARO. For the years ended December 31, 2014 and 2015, we recognized the amortized portion of these upfront fees in the amounts of $7.0 million and $9.4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$4.6 million and $6.5 million during the years ended December 31, 2014 and 2015, respectively, for research and development services performed under the agreement. 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under the principles of good laboratory practice, using the AnaptysBio-generated anti-PD-1 antagonist antibody (TSR-042) and the AnaptysBio-generated anti-TIM-3 antagonist antibody (TSR-</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022), each being advanced by TESARO. The remaining unrecognized milestone payments of $0.3 million at December 31, 2015 will be recognized ratably through December 2016.</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year ended December 31, 2014, we recognized revenue of $0.6 million, which relates to $0.5 million for a success fee and $92,000 for research and development services performed under this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 party to other collaboration agreements for which in the year ended December 31, 2014 we recognized $0.6 million in collaboration revenue. We completed our obligations under these agreements in 2014 and do not anticipate any additional revenue from them beyond 2014, and we did not recognize any additional revenue from them during the year ended December 31,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Research and development expenses were $8.6 million and $17.3 million during the years ended December 31, 2014 and 2015, respectively, for an increase of $8.7 million. The increase is due primarily to a $6.6 million increase in outside services for preclinical trial work performed primarily in Australia, as well as a $1.7 million increase in salaries and related expenses resulting primarily from an increase in research and development personnel.</w:t>
      </w:r>
    </w:p>
    <w:p>
      <w:pPr>
        <w:sectPr>
          <w:pgSz w:w="11900" w:h="16838" w:orient="portrait"/>
          <w:cols w:equalWidth="0" w:num="1">
            <w:col w:w="11400"/>
          </w:cols>
          <w:pgMar w:left="240" w:top="459" w:right="25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459" w:right="2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General and administrative expenses were $2.4 million and $3.6 million during the years ended December 31, 2014 and 2015, respectively, for an increase of $1.2 million. The increase is due primarily to a $0.7 million increase in salaries and related expenses for new senior level positions, and a $0.4 million increase in audit and tax fees for additional quarterly and annual services required in preparation for our initial public offering.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Interest expense was $1.3 million and $0.5 million during the years ended December 31, 2014 and 2015, respectively, for a decrease of $0.8 million. The interest expense for the year ended December 31, 2014 represents stated interest of 10.0% on our convertible promissory notes principal of $2.0 million, as well as the write-off of the remaining discount on our convertible promissory notes upon conversion of the notes into shares of Series C-1 preferred stock. The interest expense for the year ended December 31, 2015 represents effective interest of 9.25% on our outstanding Term A Loans, which had an outstanding principal balance of $5.0 million as of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and $1.3 million during the years ended December 31, 2014 and 2015, respectively, due to an increase in the valuation of our Series C convertible preferred stock which had the effect of increasing the estimated fair value of the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Other income (expense) was ($0.2) million during the year ended December 31, 2015 and primarily consisted of a foreign exchange loss of ($0.2) million related to our Australian subsidiary, which was established in March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recorded a provision for income taxes of $0.1 million during the year ended December 31, 2015 related to alternative minimum taxes, which we were not subject to during the year ended December 31, 2014.</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00"/>
          </w:cols>
          <w:pgMar w:left="24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9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TESARO-</w:t>
            </w: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6,980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4,568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Momenta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3,100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(3,154)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(1,139)</w:t>
            </w:r>
          </w:p>
        </w:tc>
        <w:tc>
          <w:tcPr>
            <w:tcW w:w="0" w:type="dxa"/>
            <w:vAlign w:val="bottom"/>
          </w:tcPr>
          <w:p>
            <w:pPr>
              <w:spacing w:after="0"/>
              <w:rPr>
                <w:sz w:val="1"/>
                <w:szCs w:val="1"/>
                <w:color w:val="auto"/>
              </w:rPr>
            </w:pPr>
          </w:p>
        </w:tc>
      </w:tr>
      <w:tr>
        <w:trPr>
          <w:trHeight w:val="223"/>
        </w:trPr>
        <w:tc>
          <w:tcPr>
            <w:tcW w:w="68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5,483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our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2013 and 2014, we recognized revenues aggregating $1.7 million and $0.6 million, respectively from other collaborative agreements for which our obligations were completed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Stock Warrants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From our inception through September 30, 2016, we have received an aggregate of $158.8 million to fund our operations which included $84.9 million from the sale of equity securities, $64.5 million from our collaboration agreements and $9.4 million from venture debt. As of September 30, 2016, we had $47.1 million in cash and cash equivalents.</w:t>
      </w:r>
    </w:p>
    <w:p>
      <w:pPr>
        <w:spacing w:after="0" w:line="18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73"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Under the Loan Agreement, we may borrow up to $15.0 million in three separate draws of $5.0 million each, of which, at September 30, 2016, $5.0 million of the Term A Loans were outstanding and $5.0 million of the Term B Loans and $5.0 million of the Term C Loans were undrawn.</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January 2016, we amended the Loan Agreement to combine Term B Loans and Term C Loans for a total of $10.0 million available for draw and delay the principal repayments for our Term A Loans from February 1, 2016 until February 1, 2017. The Term B Loans and Term C Loans became available for draw on July 1, 2016, which was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occurred in the first quarter of 2016) and (ii) July 1, 2016. The draw period will end upon the earlier of (i) an event of default as defined in the Loan Agreement and (ii) December 31, 2016. If the Term B Loans and Term C Loans are issued, they will bear interest at the greater of 6.95% or the 3-month LIBOR plus 6.72%, with principal payments beginning February 1, 2017 and with final maturity in January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Net cash used in operating activities during the nine months ended September 30, 2015 of $7.0 million was primarily due to cash operating expenses of $13.2 million offset by cash received from our collaboration agreement with TESARO of $5.8 million. Net cash used in operating activities during the nine months ended September 30, 2016 of $3.5 million was primarily due to cash operating expenses of $16.4 million, offset by cash received from our collaboration agreement with TESARO of $12.4 million and cash received from our collaboration agreement with Celgene of $0.5 million.</w:t>
      </w:r>
    </w:p>
    <w:p>
      <w:pPr>
        <w:spacing w:after="0" w:line="15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Net cash used in operating activities during the year ended December 31, 2013 of $5.8 million was primarily due to cash operating expenses for the period. Net cash provided by operating activities during the year ended December 31, 2014 of $14.6 million was primarily due to cash received pursuant to our collaboration agreement with TESARO. Net cash used in operating activities during the year ended December 31, 2015 of $9.7 million was primarily due to cash operating expenses of $18.4 million, offset by cash received from our collaboration agreement with TESARO of $8.7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Cash used in investing activities during the nine months ended September 30, 2015 and 2016 and the years ended December 31, 2013, 2014 and 2015 was primarily due to our purchases of property and equipment. As of this time, we plan to focus on our growth strategies and do not plan on using a significant amount of our cash resources in investing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provided by financing activities during the nine months ended September 30, 2015 was $40.3 million. The cash proceeds primarily relate to the issuance of Series D Convertible Preferred Stock for net proceeds of $40.7 million in July 2015 offset by $0.5 million in payments related to deferred offering costs. The cash used in financing activities during the nine months ended September 30, 2016 was $1.0 million and was primarily related to payments made for our deferred offering costs.</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 The cash provided by financing activities during the year ended December 31, 2015 was $39.4 million and was primarily related to the issuance of Series D Convertible Preferred Stock for net proceeds of $40.7 million in July 2015, partially offset by $1.4 million in payments related to deferred offering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 xml:space="preserve">Total </w:t>
            </w:r>
            <w:r>
              <w:rPr>
                <w:rFonts w:ascii="Arial" w:cs="Arial" w:eastAsia="Arial" w:hAnsi="Arial"/>
                <w:sz w:val="12"/>
                <w:szCs w:val="12"/>
                <w:b w:val="1"/>
                <w:bCs w:val="1"/>
                <w:color w:val="auto"/>
                <w:w w:val="92"/>
              </w:rPr>
              <w:t>(1)</w:t>
            </w:r>
          </w:p>
        </w:tc>
        <w:tc>
          <w:tcPr>
            <w:tcW w:w="40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0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1-3</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3-5</w:t>
            </w:r>
          </w:p>
        </w:tc>
        <w:tc>
          <w:tcPr>
            <w:tcW w:w="3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Notes payable, including interest and final payment fee </w:t>
            </w:r>
            <w:r>
              <w:rPr>
                <w:rFonts w:ascii="Arial" w:cs="Arial" w:eastAsia="Arial" w:hAnsi="Arial"/>
                <w:sz w:val="15"/>
                <w:szCs w:val="15"/>
                <w:color w:val="auto"/>
              </w:rPr>
              <w:t>(2)</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$5,999</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349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$5,176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15"/>
                <w:szCs w:val="15"/>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3,152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512</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1,158</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9,151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861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1,632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right="10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 minimum annual obligations for license payments under all collaborative in-license agreements at December 31, 2015 were $0.2 million. These obligations are excluded from the table above as the annual minimum payments are payable through ten years from the first commercial sale, if any, or expiration of the last patent to expire, the dates of which are not determinable at this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hanging="452"/>
        <w:spacing w:after="0" w:line="25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January 2016, we amended the Loan Agreement, which deferred principal repayments on our Term A Loans from February 1, 2016 to February 1, 2017 as described in “Liquidity and Capital Resources” above.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Operating lease obligation includes future rent payments under an office lease, which was amended in October 2015, and expires on August 31, 2021.</w:t>
      </w:r>
    </w:p>
    <w:p>
      <w:pPr>
        <w:spacing w:after="0" w:line="23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bear interest at fixed rates and, therefore, have no exposure to changes in interest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$84,000 during the nine months ended September 30, 2016. We do not expect the effects of changes in exchange rates to have a material impact on our financial statements.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are currently conducting a Phase 1 trial of ANB020 in healthy volunteers in Australia under an approved Clinical Trial Notification, or CTN, which has produced results that we believe demonstrate the favorable safety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properties of ANB020. We have also cleared an Investigational New Drug application, or IND, with the U.S. Food and Drug Administration, or FDA, and have submitted a Clinical Trial Application, or CTA, to the U.K. Medicines and Healthcare Products Regulatory Agency, or MHRA, to initiate efficacy trials of ANB020 in patients with severe adult peanut allergy and moderate-to-severe adult atopic dermatitis, respectively, each of which are anticipated to be completed during the second half of 2017. In addition, we plan to seek regulatory clearance during the first half of 2017 to initiate an efficacy trial in patients with severe adult eosinophilic asthma, which is anticipated to be completed during the first half of 2018. ANB019 inhibits the interleukin-36, or IL-36R, receptor for the treatment of rare inflammatory diseases including generalized pustular psoriasis, or GPP, and palmo-plantar pustular psoriasis, or PPP. We plan to submit a CTN for ANB019 by the end of 2016 and commence a Phase 1 clinical trial in the first half of 2017.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8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Under our TESARO collaboration a Phase 1 clinical trial was initiated during the first quarter of 2016 to study an AnaptysBio-generated anti-PD-1 antagonist antibody (TSR-042) in patients under an IND cleared by the U.S. Food and Drug Administration, or FDA, and a second Phase 1 trial was initiated during the third quarter of 2016 to study an AnaptysBio-generated anti-TIM-3 antagonist antibody (TSR-022) in patients under a separate IND cleared by the FDA. Under our Celgene collaboration,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or GLPs, for an AnaptysBio-generated antibody was completed during the second quarter of 2016. Including the aforementioned programs, we expect that our collaborators will advance four AnaptysBio-generated antibodies to the clinic by the end of the first half of 2017. Through October 31, 2016, we have received $65.4 million in significant, non-dilutive funding from our collaborators.</w:t>
      </w:r>
    </w:p>
    <w:p>
      <w:pPr>
        <w:spacing w:after="0" w:line="18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October 31, 2016, we have raised approximately $94.3 million from investors, including Biotechnology Value Fund, Cormorant Asset Management, Frazier Healthcare, HBM Partners, Longwood Capital Partners and Novo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104775</wp:posOffset>
            </wp:positionV>
            <wp:extent cx="5574030" cy="3644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4030"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900" w:hanging="325"/>
        <w:spacing w:after="0" w:line="285"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is 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are conducting a Phase 1 trial of ANB020 in healthy volunteers in Australia under an approved CTN, which has produced results that we believe demonstrate the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of ANB020. We have a cleared U.S. IND and have submitted a U.K. CTA to initiate efficacy trials of ANB020 for the treatment of severe adult peanut allergy and moderate-to-severe adult atopic dermatitis, respectively, each of which are anticipated to be completed in the second half of 2017. In addition, we plan to seek regulatory clearance during the first half of 2017 to initiate an efficacy trial in patients with severe adult eosinophilic asthma, which is anticipated to be completed during the first half of 2018. Based on our analysis of publicly available data sources and interviews with physicians and key opinion leaders in the field of atopic dermatitis, we estimate approximately 1.4 million adults are affected by atopic dermatitis, of which approximately 280,000 are diagnosed with a moderate-to-severe form of this disease, of which 98,000 are believed to be suitable for treatment with systemic biological therapies in the United States.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3.6 million have severe, persistent occurrence of this respiratory disease in the United States.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20" w:hanging="325"/>
        <w:spacing w:after="0" w:line="269"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IL-36R, which we are initially developing as a potential first-in-class therapy for GPP and</w:t>
      </w:r>
      <w:r>
        <w:rPr>
          <w:rFonts w:ascii="Arial" w:cs="Arial" w:eastAsia="Arial" w:hAnsi="Arial"/>
          <w:sz w:val="17"/>
          <w:szCs w:val="17"/>
          <w:b w:val="1"/>
          <w:bCs w:val="1"/>
          <w:color w:val="auto"/>
        </w:rPr>
        <w:t xml:space="preserve"> </w:t>
      </w:r>
      <w:r>
        <w:rPr>
          <w:rFonts w:ascii="Arial" w:cs="Arial" w:eastAsia="Arial" w:hAnsi="Arial"/>
          <w:sz w:val="17"/>
          <w:szCs w:val="17"/>
          <w:color w:val="auto"/>
        </w:rPr>
        <w:t>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 signaling pathway.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the IL-36R in development. We anticipate filing an Australian CTN for ANB019 by the end of 2016, the approval of which would allow us to initiate Phase 1 trials in Australia in the first half of 2017.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82" w:lineRule="exact"/>
        <w:rPr>
          <w:rFonts w:ascii="Arial" w:cs="Arial" w:eastAsia="Arial" w:hAnsi="Arial"/>
          <w:sz w:val="17"/>
          <w:szCs w:val="17"/>
          <w:color w:val="auto"/>
        </w:rPr>
      </w:pPr>
    </w:p>
    <w:p>
      <w:pPr>
        <w:ind w:left="900" w:right="20" w:hanging="325"/>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Checkpoint receptor agonist </w:t>
      </w:r>
      <w:r>
        <w:rPr>
          <w:rFonts w:ascii="Arial" w:cs="Arial" w:eastAsia="Arial" w:hAnsi="Arial"/>
          <w:sz w:val="18"/>
          <w:szCs w:val="18"/>
          <w:color w:val="auto"/>
        </w:rPr>
        <w:t>antibodies are being developed by AnaptysBio to multiple different immune checkpoint receptors for the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SHM Platform</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 is designed to replicate the natural process of SHM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74" w:lineRule="exact"/>
        <w:rPr>
          <w:sz w:val="20"/>
          <w:szCs w:val="20"/>
          <w:color w:val="auto"/>
        </w:rPr>
      </w:pPr>
    </w:p>
    <w:p>
      <w:pPr>
        <w:ind w:left="900" w:right="500" w:hanging="325"/>
        <w:spacing w:after="0" w:line="26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900" w:right="100" w:hanging="325"/>
        <w:spacing w:after="0" w:line="313"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82"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antibody expression, formulation and stability during the antibody generation process.</w:t>
      </w:r>
    </w:p>
    <w:p>
      <w:pPr>
        <w:spacing w:after="0" w:line="67"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A bispecific antibody is a single therapeutic molecule designed to bind two different targets. Bispecific antibodies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spacing w:after="0" w:line="286" w:lineRule="auto"/>
        <w:rPr>
          <w:sz w:val="20"/>
          <w:szCs w:val="20"/>
          <w:color w:val="auto"/>
        </w:rPr>
      </w:pPr>
      <w:r>
        <w:rPr>
          <w:rFonts w:ascii="Arial" w:cs="Arial" w:eastAsia="Arial" w:hAnsi="Arial"/>
          <w:sz w:val="17"/>
          <w:szCs w:val="17"/>
          <w:color w:val="auto"/>
        </w:rPr>
        <w:t>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w:t>
      </w:r>
    </w:p>
    <w:p>
      <w:pPr>
        <w:spacing w:after="0" w:line="72" w:lineRule="exact"/>
        <w:rPr>
          <w:sz w:val="20"/>
          <w:szCs w:val="20"/>
          <w:color w:val="auto"/>
        </w:rPr>
      </w:pPr>
    </w:p>
    <w:p>
      <w:pPr>
        <w:ind w:left="900" w:hanging="325"/>
        <w:spacing w:after="0" w:line="269"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Advancing our wholly-owned lead product candidates to clinical milestones. </w:t>
      </w:r>
      <w:r>
        <w:rPr>
          <w:rFonts w:ascii="Arial" w:cs="Arial" w:eastAsia="Arial" w:hAnsi="Arial"/>
          <w:sz w:val="17"/>
          <w:szCs w:val="17"/>
          <w:color w:val="auto"/>
        </w:rPr>
        <w:t>We are working to demonstrate the safety and efficacy of our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wholly-owned pipeline programs, and are currently conducting a Phase 1 trial of ANB020 in healthy volunteers in Australia, which we believe has to date demonstrated favorable safety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properties. We have a cleared U.S. IND and have submitted a U.K. CTA to initiate trials in patients with severe adult peanut allergy and moderate-to-severe adult atopic dermatitis, respectively, each of which are anticipated to be completed during the second half of 2017. In addition, we plan to seek regulatory clearance during the first half of 2017 to initiate an efficacy trial in patients with severe adult eosinophilic asthma, which is anticipated to be completed during the first half of 2018. We plan to initiate a Phase 1 healthy volunteer trial for ANB019 in the first half of 2017, followed by clinical trials in GPP and PPP patients. For both ANB020 and ANB019, we are conducting, or plan to conduct, our initial clinical trials in Australia, and we plan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85" w:lineRule="exact"/>
        <w:rPr>
          <w:rFonts w:ascii="Arial" w:cs="Arial" w:eastAsia="Arial" w:hAnsi="Arial"/>
          <w:sz w:val="17"/>
          <w:szCs w:val="17"/>
          <w:color w:val="auto"/>
        </w:rPr>
      </w:pPr>
    </w:p>
    <w:p>
      <w:pPr>
        <w:ind w:left="900" w:hanging="325"/>
        <w:spacing w:after="0" w:line="314"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47"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900" w:right="100" w:hanging="325"/>
        <w:spacing w:after="0" w:line="281"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 key</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and clinical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$65.4 million in payments through October 31, 2016. Multiple antibodies, generated by us prior to or during a strategic collaboration, are currently being advanced through development by our collaborators. Our collaborations with TESARO and Celgene are described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90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Phase 1 clinical trial dosing initiated in the first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dose and schedule by year-end 2016, finalize registration strategy and initiate a registration program in the first half of 2017;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Anti-TIM-3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TSR-022</w:t>
      </w:r>
      <w:r>
        <w:rPr>
          <w:rFonts w:ascii="Arial" w:cs="Arial" w:eastAsia="Arial" w:hAnsi="Arial"/>
          <w:sz w:val="18"/>
          <w:szCs w:val="18"/>
          <w:color w:val="auto"/>
        </w:rPr>
        <w:t>): Phase 1 clinical trial dosing initiated in the third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initiation of an anti-PD-1 combination trial in the first half of 2017;</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Anti-LAG-3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TSR-033</w:t>
      </w:r>
      <w:r>
        <w:rPr>
          <w:rFonts w:ascii="Arial" w:cs="Arial" w:eastAsia="Arial" w:hAnsi="Arial"/>
          <w:sz w:val="18"/>
          <w:szCs w:val="18"/>
          <w:color w:val="auto"/>
        </w:rPr>
        <w:t>): currently in preclinical development, expect the initiation of a Phase 1 trial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 and has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under GLP using one of these two antibodies.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Anti-IL-33 Antibody</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ANB020 is a potentially first-in-class antibody that inhibits the activity of IL-33 and is being developed to treat atopic diseases, including moderate-to-severe adult atopic dermatitis, severe adult peanut allergy and severe adult eosinophilic asthma.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are currently conducting a Phase 1 trial of ANB020 in healthy volunteers in Australia under an approved CTN.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IL-33 Target Biology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atopic dermatitis, food allergies, asthma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 helper 2, or Th2, effector cells and Innate Lymphoid Cell Type 2, or ILC2, two types of white blood cells that initiate and orchestrate atopic responses.</w:t>
      </w:r>
    </w:p>
    <w:p>
      <w:pPr>
        <w:spacing w:after="0" w:line="18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2366645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205740</wp:posOffset>
            </wp:positionV>
            <wp:extent cx="2769870" cy="1920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6987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14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2671445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141605</wp:posOffset>
            </wp:positionV>
            <wp:extent cx="2058035" cy="22898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803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8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Description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ANB020, which is a potential first-in-class therapeutic antibody, is our wholly-owned anti-IL-33 antibody product candidate generated using our SHM technology platform.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 D , and half-maximal inhibitory concentration values, or IC 50 . ANB020 demonstrated highly potent K D values of approximately 1 pM and 37 pM for human and cynomolgus monkey IL-33, respectively. ANB020 inhibits secretion of IL-5 from primary basophils purified from peripheral blood of healthy subjects with an IC 50 of approximately 1.5 nM, which is approximately 15-fold greater than that of the soluble ST2 antagonist, as shown in Figure 3 below. Lower K D and IC 50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2343785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139700</wp:posOffset>
            </wp:positionV>
            <wp:extent cx="5137150" cy="19640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3715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assay indicates that ANB020 has approximately 15-fold greater potency than soluble ST2 in inhibiting IL-5 release.</w:t>
      </w:r>
    </w:p>
    <w:p>
      <w:pPr>
        <w:spacing w:after="0" w:line="229"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Using peripheral blood mononuclear cells, or PBMC, ANB020 inhibited human and cynomolgus monkey interferon-gamma release with an IC 50 of approximately 1.1 nM and approximately 20.4 nM, respectively as shown in Figure 4 below. We have developed a whole blood version of the PBMC assay, which we are utilizing in our Phase 1 trial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2052320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131445</wp:posOffset>
            </wp:positionV>
            <wp:extent cx="5093970" cy="1680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9397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Figure 4. ANB020 inhibits the activity of human and cynomolgus IL-33 as measured by interferongamma release from PBMCs treated overnight with 100 mg/ml IL-12, challenged with ten (human) or five (cynomolgus) nM IL-33 for 48 hours.</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80"/>
          </w:cols>
          <w:pgMar w:left="24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proved to be fully active in cynomolgus monkey sera two weeks after dosing. We have conducted preclinical toxicology studies under GLPs for ANB020. In addition, we have conducted manufacturing under good manufacturing practice to produce ANB020 in quantities for initial clinical use.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We are conducting a Phase 1 trial of ANB020 in healthy volunteers in Australia under an approved CTN. Our Phase 1 trial is intended to assess, in single ascending doses, or SAD, and multiple ascending doses, or MAD, safety, tolerability and pharmacokinetic characteristics of ANB020. The SAD cohorts of this Phase 1 trial have been completed and, subsequent to review of the clinical data generated under the SAD, the Australian regulatory authority approved the initiation of MAD cohorts which are currently ongoing. In the double-blind, placebo-controlled Phase 1 trial, 96 healthy volunteer subjects were dosed with either a single subcutaneous or intravenous dose of ANB020 ranging between 10 mg and 750 mg, or four multiple doses of ANB020 ranging between 40 mg and 300 mg over a period of four consecutive weeks. There were no adverse events that were determined to be drug-related, and no dose-limiting toxicities were observed at any dose level. We have concurrently utilized a whole blood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 to evaluate pharmacodynamics, and we believe the results of this assay suggest that the pharmacodynamic activity of ANB020 can, at certain dose levels, extend to three months subsequent to a single administration. Conducting early clinical trials in Australia permits us to benefit from Australia’s streamlined approval processes for the initiation of first-in-human studies.</w:t>
      </w:r>
    </w:p>
    <w:p>
      <w:pPr>
        <w:spacing w:after="0" w:line="19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a cleared U.S. IND and have submitted a U.K. CTA to initiate Phase 2a efficacy trials for ANB020 in patients with severe adult peanut allergy and moderate-to-severe adult atopic dermatitis, respectively, each of which are anticipated to be completed during the second half of 2017. In addition, we plan to seek regulatory clearance during the first half of 2017 to initiate an efficacy trial in patients with severe adult eosinophilic asthma, which is anticipated to be completed during the first half of 2018. Our planned Phase 2a trial in the U.K. in moderate-to-severe atopic dermatitis patients will assess the efficacy and safety of ANB020, as measured by clinical disease remission and mechanistic inflammatory cells and cytokines within lesions, among 12-20 moderate-to-severe adult atopic dermatitis patients treated with a single dose of ANB020. Our planned Phase 2a trial in severe adult peanut allergy in the United States will assess the efficacy and safety of ANB020, as measured by oral food challenge, among 20 severe adult peanut allergy patients treated with either a single dose of ANB020 or placebo. Our planned Phase 2a trial in severe adult eosinophilic asthma is intended to assess the efficacy and safety of ANB020 among 20 severe adult eosinophilic asthma patients treated with one or more doses of ANB020. Each of the aforementioned clinical trials are subject to regulatory review by the respective regulatory authority applicable to the jurisdiction of the trial.</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Upon demonstrating initial efficacy in Phase 2a trials, we intend to conduct subsequent Phase 2 trials and Phase 3 registration trials for ANB020 in one or more of the aforementioned clinical indications. These later-stage trials may be conducted through collaboration with a leading pharmaceutical company with strong commercial infrastructure in respiratory and allergic therapeutic areas.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243320" cy="3215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43320"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5. Anticipated ANB020 clinical development strategy.</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described above, we are pursuing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a streamlined approval processes for the initiation of first-in-human studies, which we believe has allowed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national regulatory agency in Australia, the Therapeutic Goods Administration, or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we believe that clinical data generated in Australia will subsequently be accepted by the FDA and its foreign equivalents outside of Australia, and therefore may enable us to commence Phase 2 clinical trials in the United States following submission of an IND, without any need for us to repeat our Phase 1 trials in the United States or Europe. As discussed below under “Government Regulation and Product Approval—Foreign Clinical Studies to Support an IND,” we believe the FDA will generally accept data from well-designed, well-conducted foreign clinical trials that are conducted in accordance with good clinical practice, or GCP, where the FDA is able to validate data through onsite inspection, if the FDA deems such inspection necessary. We believe that our Phase 1</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clinical trials for ANB020 have been well-designed and conducted in accordance with GCP and therefore believe that the data from the trials will be accepted by the FDA. However, the FDA and other foreign regulatory agencies are not required to accept Phase 1 data generated in Australia. If they do not accept any such data, we would likely be required to conduct additional Phase 1 clinical trials.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Market Opportunity</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three indications: severe adult eosinophilic asthma, severe adult peanut allergy and moderate-to-severe adult atopic dermatitis.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 asthma</w:t>
      </w:r>
      <w:r>
        <w:rPr>
          <w:rFonts w:ascii="Arial" w:cs="Arial" w:eastAsia="Arial" w:hAnsi="Arial"/>
          <w:sz w:val="18"/>
          <w:szCs w:val="18"/>
          <w:i w:val="1"/>
          <w:iCs w:val="1"/>
          <w:color w:val="auto"/>
        </w:rPr>
        <w:t xml:space="preserve"> </w:t>
      </w:r>
      <w:r>
        <w:rPr>
          <w:rFonts w:ascii="Arial" w:cs="Arial" w:eastAsia="Arial" w:hAnsi="Arial"/>
          <w:sz w:val="18"/>
          <w:szCs w:val="18"/>
          <w:color w:val="auto"/>
        </w:rPr>
        <w:t>affects approximately 7.7% of the adult U.S. population, or 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9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and Nucala, which the FDA recently approved for the add-on maintenance treatment in patients aged 12 years or older with severe eosinophilic asthma. Other emerging therapies currently in development, such as lebrikizumab, benralizumab, tralokinumab, anrukinzumab, dupilumab, AMG 317 and CNTO 7160, have yet to be approved by the FDA for treatment of asthma, while the FDA’s Pulmonary-Allergy Drugs Advisory Committee recommended that the FDA approve reslizumab in adult patients aged 18 years and older for the treatment of inadequately controlled asthma in patients with elevated eosinophils, despite an inhaled corticosteroids treatment regimen. Xolair is a difficult drug to prescribe due to complex dosing algorithms, frequent administration and risk of anaphylaxis, and we expect the indications for Nucala, reslizumab and lebrikizumab will be limited to asthma patients defined by biomarkers. We believe that ANB020 may have therapeutic benefit across a broad range of ICS-refractory severe adult eosinophilic asthma patients, and plan to utilize biomarkers during development to differentiate ANB020 relative to competitors.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Peanut Allergy. </w:t>
      </w:r>
      <w:r>
        <w:rPr>
          <w:rFonts w:ascii="Arial" w:cs="Arial" w:eastAsia="Arial" w:hAnsi="Arial"/>
          <w:sz w:val="18"/>
          <w:szCs w:val="18"/>
          <w:color w:val="auto"/>
        </w:rPr>
        <w:t>Peanuts are the most common cause of food-induced allergy in the United States. We estimate, based on our analysis of publicly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8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increasing quantities of peanut antigens over time. If patients are able to overcome the toxicities of this allergen-based approach, therapeutic benefit, on an allergen-specific basis, may be observed after 12 to 24 months of oral or skin patch based delivery of peanut allergens. The long-term safety and efficacy of immunotherapy is still uncertain, and these desensitization treatments have not yet been approved by the FDA.</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Atopic dermatitis is a chronic inflammatory skin disease that affects approximately 1.4 million adults in the United States. Human studies</w:t>
      </w:r>
      <w:r>
        <w:rPr>
          <w:rFonts w:ascii="Arial" w:cs="Arial" w:eastAsia="Arial" w:hAnsi="Arial"/>
          <w:sz w:val="17"/>
          <w:szCs w:val="17"/>
          <w:i w:val="1"/>
          <w:iCs w:val="1"/>
          <w:color w:val="auto"/>
        </w:rPr>
        <w:t xml:space="preserve"> </w:t>
      </w:r>
      <w:r>
        <w:rPr>
          <w:rFonts w:ascii="Arial" w:cs="Arial" w:eastAsia="Arial" w:hAnsi="Arial"/>
          <w:sz w:val="17"/>
          <w:szCs w:val="17"/>
          <w:color w:val="auto"/>
        </w:rPr>
        <w:t>have demonstrated that IL-33 is highly expressed in atopic dermatitis lesions and leads to the recruitment of downstream cytokines (IL-4, IL-5 and IL-13) and eosinophils to the disease site in patients. By inhibiting IL-33 function in patients, we believe ANB020 will suppress the production of the aforementioned downstream cytokines and lead to therapeutic benefit in moderate to severe adult atopic dermatitis.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Current therapies for atopic dermatitis are generally focused on the topical use of non-biologic small molecules. Dupilumab is currently in development for the treatment of atopic dermatitis, and has shown some benefit in disease remission, but requires the administration of a significantly large antibody dose (300 mg) every week or every other week, which we believe may not be convenient for atopic dermatitis patients.</w:t>
      </w:r>
    </w:p>
    <w:p>
      <w:pPr>
        <w:spacing w:after="0" w:line="166"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Based upon public data analyses and discussions with physicians and key opinion leaders in the field, we believe approximately 280,000 atopic dermatitis patients in the United States are diagnosed with a moderate-to-severe form of this disease that significantly impairs their daily professional and social lifestyle. Existing therapies include topical steroids and related therapies, however such approaches have not demonstrated significant benefit for moderate-to-severe patients. We estimate that 98,000 atopic dermatitis patients would be eligible for treatment with a systemic biologic therapy such as ANB020.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ANB019 is an antibody that inhibits the function of IL-36R, which we are initially developing as a potential first-in-class therapy for GPP and PPP patients. GPP is a life-threatening, rare systemic inflammatory disorder reported to affect approximately 3,000 patients in the United States alone, with no currently approved therapies.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believe ANB019 is the most advanced antibody targeting the IL-36R in development.</w:t>
      </w:r>
    </w:p>
    <w:p>
      <w:pPr>
        <w:spacing w:after="0" w:line="1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anticipate filing an Australian CTN for ANB019 by the end of 2016 and initiating a Phase 1 trial in Australia in the first half of 2017.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IL-36R Target Biology</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720080" cy="3336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2008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Figure 6. IL-36 Receptor Signaling. Signaling is maintained in balance by the receptor antagonist. Mutations render the receptor antagonist dysfunctional and/or increased cytokine levels lead to uncontrolled signaling causing GPP. PPP is caused by excess cytokine signaling that overcomes a normal receptor antagonist.</w:t>
      </w:r>
    </w:p>
    <w:p>
      <w:pPr>
        <w:spacing w:after="0" w:line="1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ectPr>
          <w:pgSz w:w="11900" w:h="16838" w:orient="portrait"/>
          <w:cols w:equalWidth="0" w:num="1">
            <w:col w:w="11400"/>
          </w:cols>
          <w:pgMar w:left="240" w:top="459" w:right="259" w:bottom="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459" w:right="259" w:bottom="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Recent human studies have demonstrated that mutations in the IL-36RA lead to the occurrence of GPP by rendering it non-functional and unable to dampen IL-36R signaling</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conducted by AnaptysBio have also demonstrated that a significant number of GPP patients do not have mutations in the IL-36RA but are likely to have excessive levels of IL-36 cytokines leading to the same disease as patients with mutations. These findings support our hypothesis that IL-36 signaling plays a significant role in GPP.</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 and PPP.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Description</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ANB019 was generated using our SHM technology platform and has demonstrated high functional potency in blocking human and cynomolgus monkey IL-36 signaling in preclinical studies.</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to determine K D, and IC 50 values. ANB019 has demonstrated potent K D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both human and cynomolgus systems, which is measured as the IC 50 of inhibition of interleukin-8, or IL-8, release from human and cynomolgus keratinocytes. ANB019 functional activity has been demonstrated through inhibition of IL-8 secretion from human and cynomolgus primary keratinocytes when stimulated by IL-36 gamma of approximately 0.15 nM and 1.2 nM, respectively. Lower K D and IC 50 values indicate higher potency and functional activity, respectively. Similar IC 50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2172970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132080</wp:posOffset>
            </wp:positionV>
            <wp:extent cx="5274310" cy="1800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7431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Figure 7. ANB019 demonstrated functional inhibition in our preclinical studies and inhibited functional activity of IL-36 cytokines with at least 100-fold greater potency than IL-36RA.</w:t>
      </w:r>
    </w:p>
    <w:p>
      <w:pPr>
        <w:spacing w:after="0" w:line="16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initiated manufacturing, pharmacokinetic and safety studies with ANB019, and plan to initiate clinical development in the first half of 2017. 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We plan to initiate clinical development of ANB019 in Australia with a healthy volunteer, Phase 1 dose escalation trial involving single and multiple ascending dose protocols, while also utilizing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assays to determine the antibody’s pharmacodynamic activity range. Following completion of this initial Phase 1 trial, we plan to submit a U.S. IND and/or a UK CTA to support further clinical testing of ANB019 in patients.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initial patient testing of ANB019 will focus primarily on GPP and PPP patients. We currently plan to conduct GPP efficacy testing of ANB019 in the United States and/or the United Kingdom using a clinical trial that enrolls GPP patients irrespective of mutation status. We believe a small trial, potentially with fewer than 100 patients, may be sufficient to demonstrate substantial evidence of efficacy and safety of ANB019 in GPP. We intend to obtain input from FDA on clinical trial design before conducting a pivotal clinical trial in patients with GPP.</w:t>
      </w:r>
    </w:p>
    <w:p>
      <w:pPr>
        <w:spacing w:after="0" w:line="18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also intend to develop ANB019 for PPP. We anticipate a dose-ranging placebo-controlled Phase 2 trial for PPP within the United States and/or United Kingdom,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182995" cy="3224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8299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8. Anticipated ANB019 clinical development strategy.</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GCP where the FDA is able to validate data through onsite inspection, if the FDA deems such inspection necessary. We expect that our Phase 1 clinical trials for ANB019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Market Opportunity</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Generalized Pustular Psoriasis. </w:t>
      </w:r>
      <w:r>
        <w:rPr>
          <w:rFonts w:ascii="Arial" w:cs="Arial" w:eastAsia="Arial" w:hAnsi="Arial"/>
          <w:sz w:val="16"/>
          <w:szCs w:val="16"/>
          <w:color w:val="auto"/>
        </w:rPr>
        <w:t>GPP is a chronic, life-threatening, rare disease with no currently approved therapies. GPP is a systemic inflammatory disease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translational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Refractory Psoriasis Vulgaris. </w:t>
      </w:r>
      <w:r>
        <w:rPr>
          <w:rFonts w:ascii="Arial" w:cs="Arial" w:eastAsia="Arial" w:hAnsi="Arial"/>
          <w:sz w:val="17"/>
          <w:szCs w:val="17"/>
          <w:color w:val="auto"/>
        </w:rPr>
        <w:t>Refractory psoriasis vulgaris is another potential market opportunity for the development of ANB019. While the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Receptor Agonist Programs</w:t>
      </w:r>
    </w:p>
    <w:p>
      <w:pPr>
        <w:spacing w:after="0" w:line="12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Our strategy includes the discovery and development of therapeutic antibodies targeting emerging opportunities in inflammation. Checkpoint receptor agonist antibodies are being developed by AnaptysBio, to multiple different immune checkpoint receptors, for the treatment of certain autoimmune diseases where we believe checkpoint receptor function is insufficiently activated. Known human immune checkpoint receptors include CTLA-4, PD-1, LAG-3, BTLA and TIGIT. Certain checkpoint receptor agonist antibodies developed by AnaptysBio have demonstrated efficacy in a rodent model of graft-versus-host disease. We anticipate that, subsequent to regulatory clearance, one of our checkpoint receptor antibodies will initiate human testing during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Overview</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1649095</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148590</wp:posOffset>
            </wp:positionV>
            <wp:extent cx="1431925" cy="12604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3192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3" w:lineRule="exact"/>
        <w:rPr>
          <w:sz w:val="20"/>
          <w:szCs w:val="20"/>
          <w:color w:val="auto"/>
        </w:rPr>
      </w:pPr>
    </w:p>
    <w:p>
      <w:pPr>
        <w:ind w:left="900" w:right="18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81" w:lineRule="exact"/>
        <w:rPr>
          <w:rFonts w:ascii="Arial" w:cs="Arial" w:eastAsia="Arial" w:hAnsi="Arial"/>
          <w:sz w:val="18"/>
          <w:szCs w:val="18"/>
          <w:color w:val="auto"/>
        </w:rPr>
      </w:pPr>
    </w:p>
    <w:p>
      <w:pPr>
        <w:ind w:left="900" w:right="10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w:t>
      </w:r>
      <w:r>
        <w:rPr>
          <w:rFonts w:ascii="Arial" w:cs="Arial" w:eastAsia="Arial" w:hAnsi="Arial"/>
          <w:sz w:val="18"/>
          <w:szCs w:val="18"/>
          <w:b w:val="1"/>
          <w:bCs w:val="1"/>
          <w:color w:val="auto"/>
        </w:rPr>
        <w:t xml:space="preserve"> </w:t>
      </w:r>
      <w:r>
        <w:rPr>
          <w:rFonts w:ascii="Arial" w:cs="Arial" w:eastAsia="Arial" w:hAnsi="Arial"/>
          <w:sz w:val="18"/>
          <w:szCs w:val="18"/>
          <w:color w:val="auto"/>
        </w:rPr>
        <w:t>Full length antibodies tend to exhibit serum half-lives of seven to 24 days in humans, leading to bi-weekly or monthly dosing as typical practice for therapeutic antibodies.</w:t>
      </w:r>
    </w:p>
    <w:p>
      <w:pPr>
        <w:spacing w:after="0" w:line="81" w:lineRule="exact"/>
        <w:rPr>
          <w:rFonts w:ascii="Arial" w:cs="Arial" w:eastAsia="Arial" w:hAnsi="Arial"/>
          <w:sz w:val="18"/>
          <w:szCs w:val="18"/>
          <w:color w:val="auto"/>
        </w:rPr>
      </w:pPr>
    </w:p>
    <w:p>
      <w:pPr>
        <w:ind w:left="900" w:hanging="325"/>
        <w:spacing w:after="0" w:line="347"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Competing Antibody Technologies</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73" w:lineRule="exact"/>
        <w:rPr>
          <w:sz w:val="20"/>
          <w:szCs w:val="20"/>
          <w:color w:val="auto"/>
        </w:rPr>
      </w:pPr>
    </w:p>
    <w:p>
      <w:pPr>
        <w:ind w:left="900" w:right="60" w:hanging="325"/>
        <w:spacing w:after="0" w:line="289"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63" w:lineRule="exact"/>
        <w:rPr>
          <w:rFonts w:ascii="Arial" w:cs="Arial" w:eastAsia="Arial" w:hAnsi="Arial"/>
          <w:sz w:val="17"/>
          <w:szCs w:val="17"/>
          <w:color w:val="auto"/>
        </w:rPr>
      </w:pPr>
    </w:p>
    <w:p>
      <w:pPr>
        <w:ind w:left="900" w:right="36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81"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81" w:lineRule="exact"/>
        <w:rPr>
          <w:rFonts w:ascii="Arial" w:cs="Arial" w:eastAsia="Arial" w:hAnsi="Arial"/>
          <w:sz w:val="18"/>
          <w:szCs w:val="18"/>
          <w:color w:val="auto"/>
        </w:rPr>
      </w:pPr>
    </w:p>
    <w:p>
      <w:pPr>
        <w:ind w:left="900" w:right="42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 human</w:t>
      </w:r>
      <w:r>
        <w:rPr>
          <w:rFonts w:ascii="Arial" w:cs="Arial" w:eastAsia="Arial" w:hAnsi="Arial"/>
          <w:sz w:val="18"/>
          <w:szCs w:val="18"/>
          <w:i w:val="1"/>
          <w:iCs w:val="1"/>
          <w:color w:val="auto"/>
        </w:rPr>
        <w:t xml:space="preserve"> </w:t>
      </w:r>
      <w:r>
        <w:rPr>
          <w:rFonts w:ascii="Arial" w:cs="Arial" w:eastAsia="Arial" w:hAnsi="Arial"/>
          <w:sz w:val="18"/>
          <w:szCs w:val="18"/>
          <w:color w:val="auto"/>
        </w:rPr>
        <w:t>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Solution</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2219960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135890</wp:posOffset>
            </wp:positionV>
            <wp:extent cx="3319145" cy="18440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1914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1886585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146050</wp:posOffset>
            </wp:positionV>
            <wp:extent cx="2967355" cy="15005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6735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Figure 11. SHM Antibody Generation Process. Our platform initiates antibody selection from starting libraries of human and non-human diversity, which is further optimized through iterative rounds of SHM and selection.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900" w:right="300" w:hanging="325"/>
        <w:spacing w:after="0" w:line="26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00" w:hanging="325"/>
        <w:spacing w:after="0" w:line="313"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(TSR-022), LAG-3 (TSR-033)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 2014. TESARO is also required to reimburse us on a quarterly 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TESARO will also be required to pay us tiered single-digit royalties, on a product-by-product basis, on worldwide annual net sales, and additional commercial milestone payments if specified levels of annual net sales of a product are attained.</w:t>
      </w:r>
    </w:p>
    <w:p>
      <w:pPr>
        <w:spacing w:after="0" w:line="16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anti-inflammatory antibodies to the clinic.</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MRC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16 patents and seven pending patent applications worldwide.</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Millipore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45.0%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 During the nine months ended September 30, 2016, we received and recognized as a reduction in research and development expense $3.0 million in refundable tax credits related to fiscal 2015 eligible expenditures. In September 2016, we determined that we would meet the criteria for eligibility for fiscal 2016, therefore we recognized a reduction to research and development expense of $3.2 million equal to 45% of our eligible expenditures for the nine-month period ended September 30, 2016, as collectability was considered reasonably assured. We recorded $3.3 million as a receivable as of September 30, 2016.</w:t>
      </w:r>
    </w:p>
    <w:p>
      <w:pPr>
        <w:spacing w:after="0" w:line="18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MRC and patents licensed from Kyoto University, consisted of 38 issued patents and 44 pending patent applications as of October 31, 2016.</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As of October 31, 2016, we owned 13 patent applications in various countries directed to the antibody sequence of ANB020 and its variants, epitopes, methods of use and related matters. We intend to prosecute the pending applications and pursue patent issuance and protection in key commercial markets where significant product sales may occur. Patents that may issue from these pending applications would provide protection until January 2035.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October 31, 2016, we owned one international patent application, filed under the PCT, which is directed to the antibody sequence of ANB019 and its variants, epitopes, methods of use and related matters. We intend to prosecute the pending international application, and pursue patent issuance and protection in key commercial markets where significant product sales may occur. Patents that may issue from the expected international application would provide protection until April 2036.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wholly-owned portfolio, currently under prosecution in various jurisdictions.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wholly-owned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and an ST2-binding antibody which Roche has in-licensed from Amgen (previously known as AMG 282) and plans to advance into Phase 2 clinical trials.</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88"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atopic dermatitis, our competitors include dupilumab (Regeneron, Sanofi), which has recently been filed for approval by the FDA, crisaborole (Anacor, Pfizer) which has recently been filed for approval by the FDA and VTP-38543 (Vitae) which is currently in a Phase 2 trial.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w:t>
      </w:r>
    </w:p>
    <w:p>
      <w:pPr>
        <w:spacing w:after="0" w:line="2" w:lineRule="exact"/>
        <w:rPr>
          <w:sz w:val="20"/>
          <w:szCs w:val="20"/>
          <w:color w:val="auto"/>
        </w:rPr>
      </w:pPr>
    </w:p>
    <w:p>
      <w:pPr>
        <w:jc w:val="both"/>
        <w:ind w:right="60" w:firstLine="8"/>
        <w:spacing w:after="0" w:line="254" w:lineRule="auto"/>
        <w:tabs>
          <w:tab w:leader="none" w:pos="2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9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clinical studies to support an IND</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52"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controls for biologics</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If use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7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76" w:lineRule="exact"/>
        <w:rPr>
          <w:sz w:val="20"/>
          <w:szCs w:val="20"/>
          <w:color w:val="auto"/>
        </w:rPr>
      </w:pPr>
    </w:p>
    <w:p>
      <w:pPr>
        <w:ind w:left="900" w:right="680" w:hanging="325"/>
        <w:spacing w:after="0" w:line="34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2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and other countries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6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CTN process broadly involves:</w:t>
      </w:r>
    </w:p>
    <w:p>
      <w:pPr>
        <w:spacing w:after="0" w:line="13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CTX process:</w:t>
      </w:r>
    </w:p>
    <w:p>
      <w:pPr>
        <w:spacing w:after="0" w:line="13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it is required that:</w:t>
      </w:r>
    </w:p>
    <w:p>
      <w:pPr>
        <w:spacing w:after="0" w:line="13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evidence is compiled which demonstrates that the manufacture of the therapeutic drug product complies with the principles of cGMP;</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October 31, 2016, we had 47 full-time employees. Of these employees, 39 were primarily engaged in research and development activities and 13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459"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October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340" w:type="dxa"/>
            <w:vAlign w:val="bottom"/>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6"/>
                <w:szCs w:val="16"/>
                <w:color w:val="auto"/>
              </w:rPr>
            </w:pPr>
          </w:p>
        </w:tc>
        <w:tc>
          <w:tcPr>
            <w:tcW w:w="514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182"/>
        </w:trPr>
        <w:tc>
          <w:tcPr>
            <w:tcW w:w="57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40" w:type="dxa"/>
            <w:vAlign w:val="bottom"/>
          </w:tcPr>
          <w:p>
            <w:pPr>
              <w:spacing w:after="0"/>
              <w:rPr>
                <w:sz w:val="15"/>
                <w:szCs w:val="15"/>
                <w:color w:val="auto"/>
              </w:rPr>
            </w:pP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Hamza Suria</w:t>
            </w: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Marco Londei, M.D.</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Chief Medical Officer</w:t>
            </w:r>
          </w:p>
        </w:tc>
      </w:tr>
      <w:tr>
        <w:trPr>
          <w:trHeight w:val="212"/>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Matthew Moyle, Ph.D.</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Chief Scientific Officer</w:t>
            </w: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Tiba Aynechi, Ph.D.*</w:t>
            </w:r>
          </w:p>
        </w:tc>
        <w:tc>
          <w:tcPr>
            <w:tcW w:w="240" w:type="dxa"/>
            <w:vAlign w:val="bottom"/>
          </w:tcPr>
          <w:p>
            <w:pPr>
              <w:jc w:val="right"/>
              <w:spacing w:after="0"/>
              <w:rPr>
                <w:sz w:val="20"/>
                <w:szCs w:val="20"/>
                <w:color w:val="auto"/>
              </w:rPr>
            </w:pPr>
            <w:r>
              <w:rPr>
                <w:rFonts w:ascii="Arial" w:cs="Arial" w:eastAsia="Arial" w:hAnsi="Arial"/>
                <w:sz w:val="18"/>
                <w:szCs w:val="18"/>
                <w:color w:val="auto"/>
              </w:rPr>
              <w:t>41</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Carol G. Gallagher, Pharm.D. </w:t>
            </w:r>
            <w:r>
              <w:rPr>
                <w:rFonts w:ascii="Arial" w:cs="Arial" w:eastAsia="Arial" w:hAnsi="Arial"/>
                <w:sz w:val="15"/>
                <w:szCs w:val="15"/>
                <w:color w:val="auto"/>
              </w:rPr>
              <w:t>(1)(2)(3)</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Nicholas B. Lydon, Ph.D., FRS </w:t>
            </w:r>
            <w:r>
              <w:rPr>
                <w:rFonts w:ascii="Arial" w:cs="Arial" w:eastAsia="Arial" w:hAnsi="Arial"/>
                <w:sz w:val="15"/>
                <w:szCs w:val="15"/>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Hollings Renton </w:t>
            </w:r>
            <w:r>
              <w:rPr>
                <w:rFonts w:ascii="Arial" w:cs="Arial" w:eastAsia="Arial" w:hAnsi="Arial"/>
                <w:sz w:val="15"/>
                <w:szCs w:val="15"/>
                <w:color w:val="auto"/>
              </w:rPr>
              <w:t>(3)(4)</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John P. Schmid </w:t>
            </w:r>
            <w:r>
              <w:rPr>
                <w:rFonts w:ascii="Arial" w:cs="Arial" w:eastAsia="Arial" w:hAnsi="Arial"/>
                <w:sz w:val="15"/>
                <w:szCs w:val="15"/>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James A. Schoeneck </w:t>
            </w:r>
            <w:r>
              <w:rPr>
                <w:rFonts w:ascii="Arial" w:cs="Arial" w:eastAsia="Arial" w:hAnsi="Arial"/>
                <w:sz w:val="15"/>
                <w:szCs w:val="15"/>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James N. Topper, M.D., Ph.D. </w:t>
            </w:r>
            <w:r>
              <w:rPr>
                <w:rFonts w:ascii="Arial" w:cs="Arial" w:eastAsia="Arial" w:hAnsi="Arial"/>
                <w:sz w:val="15"/>
                <w:szCs w:val="15"/>
                <w:color w:val="auto"/>
              </w:rPr>
              <w:t>(3)(5)</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Dr. Aynechi has notified us that she will resign from our board of directors contingent upon and effective immediately prior to the effectiveness of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statement of which this prospectus forms a part.</w:t>
      </w:r>
    </w:p>
    <w:p>
      <w:pPr>
        <w:spacing w:after="0" w:line="9"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Hamza Suria </w:t>
      </w:r>
      <w:r>
        <w:rPr>
          <w:rFonts w:ascii="Arial" w:cs="Arial" w:eastAsia="Arial" w:hAnsi="Arial"/>
          <w:sz w:val="17"/>
          <w:szCs w:val="17"/>
          <w:color w:val="auto"/>
        </w:rPr>
        <w:t>has served as our President and Chief Executive Officer and a member of our board of directors since July 2011. From January 2009 to</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Marco Londei, M.D. </w:t>
      </w:r>
      <w:r>
        <w:rPr>
          <w:rFonts w:ascii="Arial" w:cs="Arial" w:eastAsia="Arial" w:hAnsi="Arial"/>
          <w:sz w:val="17"/>
          <w:szCs w:val="17"/>
          <w:color w:val="auto"/>
        </w:rPr>
        <w:t>has served as our Chief Medical Officer since September 2016. Prior to that, Dr. Londei served as our Chief Development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October 2014. Before joining our company, Dr. Londei worked as Therapeutic 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Matthew Moyle, Ph.D. </w:t>
      </w:r>
      <w:r>
        <w:rPr>
          <w:rFonts w:ascii="Arial" w:cs="Arial" w:eastAsia="Arial" w:hAnsi="Arial"/>
          <w:sz w:val="16"/>
          <w:szCs w:val="16"/>
          <w:color w:val="auto"/>
        </w:rPr>
        <w:t>commenced serving as our Chief Scientific Officer in May 2016. Dr. Moyle has more than 25 years of industry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drug discovery and development of biologics. Before joining us, from October 2010 to August 2015, Dr. Moyle served as Vice President of Biotherapeutics at Boehringer Ingelheim GmbH, a German pharmaceutical company, where he chaired Boehringer Ingelheim’s International Biologics Council. Prior to that, Dr. Moyle held positions as Senior Vice President of Research and Development and Chief Scientific Officer at Theraclone Sciences, Inc., a private biotechnology company, from May 2007 to October 2010, and as Vice President of Research and Corporate Officer at Tanox, Inc., a public biotechnology company that was acquired in 2006 by Genentech, Inc., from January 2001 to August 2005, where his research organizations designed and developed several monoclonal antibody therapeutic candidates, including three that are currently in mid- to late-stage clinical trials and clinical development at leading pharmaceutical companies. Before Tanox, Dr. Moyle served in various positions at Amgen Inc. from 1995 to 2001, including heading a research department with responsibility for building and running the company’s high-throughput expression-profiling facility. Before that, Dr. Moyle was a Group Leader at Corvas, International, Inc., from 1991 to 1995, where he co-discovered two novel natural product biologics that subsequently advanced to pivotal clinical trials. Dr. Moyle was a postdoctoral scientist at Genentech Inc. from 1989 to 1991, where he was part of the company’s first program in small molecule therapeutics. Dr. Moyle earned a Ph.D. and B.Sc. in Biochemistry at the University of Toronto.</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Tiba Aynechi, Ph.D. </w:t>
      </w:r>
      <w:r>
        <w:rPr>
          <w:rFonts w:ascii="Arial" w:cs="Arial" w:eastAsia="Arial" w:hAnsi="Arial"/>
          <w:sz w:val="18"/>
          <w:szCs w:val="18"/>
          <w:color w:val="auto"/>
        </w:rPr>
        <w:t>has served as a member of our board of directors since April 2015. Dr. Aynechi is employed as a Partner at Novo Ventures (US)</w:t>
      </w:r>
      <w:r>
        <w:rPr>
          <w:rFonts w:ascii="Arial" w:cs="Arial" w:eastAsia="Arial" w:hAnsi="Arial"/>
          <w:sz w:val="18"/>
          <w:szCs w:val="18"/>
          <w:i w:val="1"/>
          <w:iCs w:val="1"/>
          <w:color w:val="auto"/>
        </w:rPr>
        <w:t xml:space="preserve"> </w:t>
      </w:r>
      <w:r>
        <w:rPr>
          <w:rFonts w:ascii="Arial" w:cs="Arial" w:eastAsia="Arial" w:hAnsi="Arial"/>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9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that Dr. Aynechi’s extensive experience in the biotechnology and pharmaceutical industries, makes her qualified to serve on our own board of directors.</w:t>
      </w:r>
    </w:p>
    <w:p>
      <w:pPr>
        <w:spacing w:after="0" w:line="170" w:lineRule="exact"/>
        <w:rPr>
          <w:sz w:val="20"/>
          <w:szCs w:val="20"/>
          <w:color w:val="auto"/>
        </w:rPr>
      </w:pPr>
    </w:p>
    <w:p>
      <w:pPr>
        <w:ind w:right="320" w:firstLine="456"/>
        <w:spacing w:after="0" w:line="285" w:lineRule="auto"/>
        <w:rPr>
          <w:sz w:val="20"/>
          <w:szCs w:val="20"/>
          <w:color w:val="auto"/>
        </w:rPr>
      </w:pPr>
      <w:r>
        <w:rPr>
          <w:rFonts w:ascii="Arial" w:cs="Arial" w:eastAsia="Arial" w:hAnsi="Arial"/>
          <w:sz w:val="16"/>
          <w:szCs w:val="16"/>
          <w:i w:val="1"/>
          <w:iCs w:val="1"/>
          <w:color w:val="auto"/>
        </w:rPr>
        <w:t xml:space="preserve">Carol G. Gallagher, Pharm.D. </w:t>
      </w:r>
      <w:r>
        <w:rPr>
          <w:rFonts w:ascii="Arial" w:cs="Arial" w:eastAsia="Arial" w:hAnsi="Arial"/>
          <w:sz w:val="16"/>
          <w:szCs w:val="16"/>
          <w:color w:val="auto"/>
        </w:rPr>
        <w:t>has served as a member of our board of directors since October 2011. Dr. Gallagher has been a partner at New</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attended Vanderbilt University and received her B.S. and Pharm.D. degrees from the University of Kentucky.</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w:t>
      </w:r>
    </w:p>
    <w:p>
      <w:pPr>
        <w:spacing w:after="0" w:line="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Amgen in 2000. Prior to joining Kinetix, Dr. Lydon worked at CIBA-GEIGY, AG (Novartis) in Basel, Switzerland from 1985 to 1997, where he was responsible for the protein kinase inhibitor program, including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i w:val="1"/>
          <w:iCs w:val="1"/>
          <w:color w:val="auto"/>
        </w:rPr>
        <w:t xml:space="preserve">Hollings Renton </w:t>
      </w:r>
      <w:r>
        <w:rPr>
          <w:rFonts w:ascii="Arial" w:cs="Arial" w:eastAsia="Arial" w:hAnsi="Arial"/>
          <w:sz w:val="17"/>
          <w:szCs w:val="17"/>
          <w:color w:val="auto"/>
        </w:rPr>
        <w:t>has served as a member of our board of directors since June 2015. Mr. Renton previously served as the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Onyx Pharmaceuticals, Inc. from 1993 to 2008 and as the chairperson of the board of directors from 2000 to 2008. Before joining Onyx Pharmaceuticals, Mr. Renton worked for Chiron Corporation, a pharmaceutical company, as President and Chief Operating Officer from 1991 to 1993, following its acquisition of Cetus Corporation. Before joining Onyx Pharmaceuticals, Mr. Renton worked for Cetus Corporation as President from 1990 to 1991, as Chief Operating Officer from 1987 to 1990, and as Chief Financial Officer from 1983 to 1987. Mr. Renton currently serves as a director of multiple life sciences companies, including as chairperson of the board of directors of Portola Pharmaceuticals, Inc., and is a member of the board of directors of Cepheid Inc. and Kythera Biopharmaceuticals, Inc. He previously served on the boards of directors of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8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John P. Schmid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James A. Schoeneck </w:t>
      </w:r>
      <w:r>
        <w:rPr>
          <w:rFonts w:ascii="Arial" w:cs="Arial" w:eastAsia="Arial" w:hAnsi="Arial"/>
          <w:sz w:val="18"/>
          <w:szCs w:val="18"/>
          <w:color w:val="auto"/>
        </w:rPr>
        <w:t>has served as a member of our board of directors since November 2015. Mr. Schoeneck has served as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Depomed, Inc. since April 2011 and as a director of Depomed since December 2007. Before joining Depomed, Mr. Schoeneck served as Chief Executive Officer of BrainCells Inc., a private biopharmaceutical company in San Diego, from September 2005 to April 2011. Mr. Schoeneck has served as a director of FibroGen, Inc., a public biopharmaceutical company since June 2010. Mr. Schoeneck received his B.S. in Education from Jacksonville State University.</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believe that Mr. Schoeneck’s extensive industry and leadership experience provide him with the qualifications and skills to serve on our board of directors.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 xml:space="preserve">James N. Topper, M.D., Ph.D. </w:t>
      </w:r>
      <w:r>
        <w:rPr>
          <w:rFonts w:ascii="Arial" w:cs="Arial" w:eastAsia="Arial" w:hAnsi="Arial"/>
          <w:sz w:val="18"/>
          <w:szCs w:val="18"/>
          <w:color w:val="auto"/>
        </w:rPr>
        <w:t>has served as a member of our board of directors since November 2007. Dr. Topper has been a partner with Frazier</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since August 2003, serving as General Partner since 2005.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adopted a code of business conduct and ethics that applies to all of our employees, officers and directors, including our Chief Executive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eight members. Our current certificate of incorporation and a voting agreement by and among us and certain of our investors provide for up to eight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7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214" w:lineRule="exact"/>
        <w:rPr>
          <w:sz w:val="20"/>
          <w:szCs w:val="20"/>
          <w:color w:val="auto"/>
        </w:rPr>
      </w:pPr>
    </w:p>
    <w:p>
      <w:pPr>
        <w:ind w:left="5580" w:right="300" w:hanging="5126"/>
        <w:spacing w:after="0" w:line="449" w:lineRule="auto"/>
        <w:tabs>
          <w:tab w:leader="none" w:pos="89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Class I directors will be Dr. Gallagher and Dr. Topper and their terms will expire at the annual meeting of stockholders to be held in 2018; 118</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Class II directors will be Mr. Suria and Dr. Lydon and their terms will expire at the annual meeting of stockholders to be held in 2019; and</w:t>
      </w:r>
    </w:p>
    <w:p>
      <w:pPr>
        <w:spacing w:after="0" w:line="153"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Class III directors will be Mr. Renton, Mr. Schmid and Mr. Schoeneck and their terms will expire at the annual meeting of stockholders to be held in 2020.</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connection with this offering, our common stock has been approved for listing on the Nasdaq Global Select Market. Under the rules of the Nasdaq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audit committee is comprised of Dr. Gallagher, Mr. Schoeneck and Mr. Schmid, with Mr. Schmid as the chairman of our audit committee. The composition of our audit committee meets the requirements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92"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considering the adequacy of our internal controls;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compensation committee is comprised of Dr. Gallagher, Dr. Lydon and Mr. Schoeneck, with Dr. Gallagher as the chairperson of our compensation committee. Each member of this committee is a non-employee director, as defined by Rule 16b-3 promulgated under the Exchange Act, and an outside director, as defined pursuant to Section 162(m) of the Code and meets the requirements for independence under the current Nasdaq listing standards and SEC rules and regulations. Our compensation committee is responsible for, among other things:</w:t>
      </w:r>
    </w:p>
    <w:p>
      <w:pPr>
        <w:spacing w:after="0" w:line="77"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nominating and governance committee is comprised of Dr. Gallagher, Mr. Renton and Dr. Topper, with Mr. Renton as the chairman of our nominating and governance committee. Each member of the Committee meets the requirements for independence under the current Nasdaq listing standards. Our nominating and governance committee is responsible for, among other things:</w:t>
      </w:r>
    </w:p>
    <w:p>
      <w:pPr>
        <w:spacing w:after="0" w:line="8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30" w:lineRule="exact"/>
        <w:rPr>
          <w:rFonts w:ascii="Arial" w:cs="Arial" w:eastAsia="Arial" w:hAnsi="Arial"/>
          <w:sz w:val="18"/>
          <w:szCs w:val="18"/>
          <w:color w:val="auto"/>
        </w:rPr>
      </w:pPr>
    </w:p>
    <w:p>
      <w:pPr>
        <w:ind w:left="5580" w:right="4660" w:hanging="5126"/>
        <w:spacing w:after="0" w:line="44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 120</w:t>
      </w:r>
    </w:p>
    <w:p>
      <w:pPr>
        <w:sectPr>
          <w:pgSz w:w="11900" w:h="16838" w:orient="portrait"/>
          <w:cols w:equalWidth="0" w:num="1">
            <w:col w:w="11340"/>
          </w:cols>
          <w:pgMar w:left="240" w:top="459" w:right="3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evaluating, and overseeing the process of evaluating, the performance of our board of directors and individual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2015.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following table presents the total compensation earned or paid in the year ended December 31, 2015 for each member of our board of directors, except for our President and Chief Executive Officer, Mr. Suria, who receives no additional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2015.</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Fees Earned</w:t>
            </w:r>
          </w:p>
        </w:tc>
        <w:tc>
          <w:tcPr>
            <w:tcW w:w="14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2"/>
                <w:szCs w:val="12"/>
                <w:b w:val="1"/>
                <w:bCs w:val="1"/>
                <w:color w:val="auto"/>
              </w:rPr>
              <w:t>(2)(3)</w:t>
            </w:r>
          </w:p>
        </w:tc>
        <w:tc>
          <w:tcPr>
            <w:tcW w:w="22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 xml:space="preserve">Cash </w:t>
            </w:r>
            <w:r>
              <w:rPr>
                <w:rFonts w:ascii="Arial" w:cs="Arial" w:eastAsia="Arial" w:hAnsi="Arial"/>
                <w:sz w:val="12"/>
                <w:szCs w:val="12"/>
                <w:b w:val="1"/>
                <w:bCs w:val="1"/>
                <w:color w:val="auto"/>
                <w:w w:val="94"/>
              </w:rPr>
              <w:t>(1)</w:t>
            </w:r>
            <w:r>
              <w:rPr>
                <w:rFonts w:ascii="Arial" w:cs="Arial" w:eastAsia="Arial" w:hAnsi="Arial"/>
                <w:sz w:val="14"/>
                <w:szCs w:val="14"/>
                <w:b w:val="1"/>
                <w:bCs w:val="1"/>
                <w:color w:val="auto"/>
                <w:w w:val="94"/>
              </w:rPr>
              <w:t xml:space="preserv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40" w:type="dxa"/>
            <w:vAlign w:val="bottom"/>
          </w:tcPr>
          <w:p>
            <w:pPr>
              <w:spacing w:after="0"/>
              <w:rPr>
                <w:sz w:val="14"/>
                <w:szCs w:val="14"/>
                <w:color w:val="auto"/>
              </w:rPr>
            </w:pPr>
          </w:p>
        </w:tc>
        <w:tc>
          <w:tcPr>
            <w:tcW w:w="66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Carol</w:t>
            </w:r>
          </w:p>
        </w:tc>
        <w:tc>
          <w:tcPr>
            <w:tcW w:w="57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 Gallagher, Pharm.D.</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37,500</w:t>
            </w:r>
          </w:p>
        </w:tc>
        <w:tc>
          <w:tcPr>
            <w:tcW w:w="14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225,235</w:t>
            </w:r>
            <w:r>
              <w:rPr>
                <w:rFonts w:ascii="Arial" w:cs="Arial" w:eastAsia="Arial" w:hAnsi="Arial"/>
                <w:sz w:val="15"/>
                <w:szCs w:val="15"/>
                <w:color w:val="auto"/>
                <w:w w:val="95"/>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250,235</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John P. Schmid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23,333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174,888</w:t>
            </w:r>
            <w:r>
              <w:rPr>
                <w:rFonts w:ascii="Arial" w:cs="Arial" w:eastAsia="Arial" w:hAnsi="Arial"/>
                <w:sz w:val="15"/>
                <w:szCs w:val="15"/>
                <w:color w:val="auto"/>
                <w:w w:val="95"/>
              </w:rPr>
              <w:t>(5)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198,221</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Schoeneck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232,861</w:t>
            </w:r>
            <w:r>
              <w:rPr>
                <w:rFonts w:ascii="Arial" w:cs="Arial" w:eastAsia="Arial" w:hAnsi="Arial"/>
                <w:sz w:val="15"/>
                <w:szCs w:val="15"/>
                <w:color w:val="auto"/>
                <w:w w:val="95"/>
              </w:rPr>
              <w:t>(6)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232,861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1"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Dr. Gallagher was paid a $50,000 annual retainer fee in connection with her service on our board of directors. Dr. Lydon and Mr. Renton were each paid a prorated annual retainer fee of $50,000 in connection with their service on our board of directors. Mr. Schmid was paid a prorated annual retainer fee of $35,000 and $5,000 in connection with his service on our board of directors and audit committee, respectively.</w:t>
      </w:r>
    </w:p>
    <w:p>
      <w:pPr>
        <w:ind w:left="460" w:right="22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reported in this column represents the aggregate grant date fair value of stock options as computed in accordance with FASB ASC Topic 718. The amounts reported in this column reflect the accounting cost for these stock options, and do not correspond to the actual economic value that may be received by the non-employee directors from the awards. The assumptions used in calculating the grant date fair value of the stock options reported in this column are set forth in Note 8 to our financial statements.</w:t>
      </w:r>
    </w:p>
    <w:p>
      <w:pPr>
        <w:spacing w:after="0" w:line="1" w:lineRule="exact"/>
        <w:rPr>
          <w:rFonts w:ascii="Arial" w:cs="Arial" w:eastAsia="Arial" w:hAnsi="Arial"/>
          <w:sz w:val="18"/>
          <w:szCs w:val="18"/>
          <w:color w:val="auto"/>
        </w:rPr>
      </w:pPr>
    </w:p>
    <w:p>
      <w:pPr>
        <w:ind w:left="460" w:right="380" w:hanging="452"/>
        <w:spacing w:after="0" w:line="290"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following table sets forth information on stock options granted to non-employee directors in 2015 as well as the expected aggregate number of shares of our common stock subject to outstanding stock options held by our non-employee directors as of December 31, 2015:</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2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Underlying Stock</w:t>
            </w:r>
          </w:p>
        </w:tc>
        <w:tc>
          <w:tcPr>
            <w:tcW w:w="8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Options Held as</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Director Name</w:t>
            </w:r>
          </w:p>
        </w:tc>
        <w:tc>
          <w:tcPr>
            <w:tcW w:w="23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Options Granted</w:t>
            </w:r>
          </w:p>
        </w:tc>
        <w:tc>
          <w:tcPr>
            <w:tcW w:w="8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120" w:type="dxa"/>
            <w:vAlign w:val="bottom"/>
          </w:tcPr>
          <w:p>
            <w:pPr>
              <w:jc w:val="right"/>
              <w:ind w:right="261"/>
              <w:spacing w:after="0" w:line="158" w:lineRule="exact"/>
              <w:rPr>
                <w:sz w:val="20"/>
                <w:szCs w:val="20"/>
                <w:color w:val="auto"/>
              </w:rPr>
            </w:pPr>
            <w:r>
              <w:rPr>
                <w:rFonts w:ascii="Arial" w:cs="Arial" w:eastAsia="Arial" w:hAnsi="Arial"/>
                <w:sz w:val="14"/>
                <w:szCs w:val="14"/>
                <w:b w:val="1"/>
                <w:bCs w:val="1"/>
                <w:color w:val="auto"/>
              </w:rPr>
              <w:t>in 2015</w:t>
            </w:r>
          </w:p>
        </w:tc>
        <w:tc>
          <w:tcPr>
            <w:tcW w:w="1940" w:type="dxa"/>
            <w:vAlign w:val="bottom"/>
            <w:gridSpan w:val="2"/>
          </w:tcPr>
          <w:p>
            <w:pPr>
              <w:jc w:val="center"/>
              <w:ind w:left="736"/>
              <w:spacing w:after="0" w:line="158"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Carol G. Gallagher, Pharm.D.</w:t>
            </w:r>
          </w:p>
        </w:tc>
        <w:tc>
          <w:tcPr>
            <w:tcW w:w="2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684,057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228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217,088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358,098</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John P. Schmid</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296,370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296,370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Schoeneck</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296,365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80" w:type="dxa"/>
            <w:vAlign w:val="bottom"/>
          </w:tcPr>
          <w:p>
            <w:pPr>
              <w:jc w:val="right"/>
              <w:ind w:right="974"/>
              <w:spacing w:after="0"/>
              <w:rPr>
                <w:sz w:val="20"/>
                <w:szCs w:val="20"/>
                <w:color w:val="auto"/>
              </w:rPr>
            </w:pPr>
            <w:r>
              <w:rPr>
                <w:rFonts w:ascii="Arial" w:cs="Arial" w:eastAsia="Arial" w:hAnsi="Arial"/>
                <w:sz w:val="18"/>
                <w:szCs w:val="18"/>
                <w:color w:val="auto"/>
              </w:rPr>
              <w:t>121</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53"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Renton was granted (i) an early-exercisable stock-option award on July 6, 2015 under our 2006 Equity Incentive Plan to purchase up to 286,478 shares of our common stock at a per-share price of $0.99. 1/36 of the shares underlying the option vested on July 23, 2015, and, thereafter, 1/36 of the underlying shares vest on the twenty-third day of each succeeding calendar month, starting August 23, 2015; and (ii) an early-exercisable stock-option award on August 14, 2015 under our 2006 Equity Incentive Plan to purchase up to 71,620 shares of our common stock at a per-share price of $0.99. 1/36 of the shares underlying the option vested on August 6, 2015, and, thereafter, 1/36 of the underlying shares vest on the sixth day of each succeeding calendar month, starting September 6, 2015.</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Schmid was granted (i) a stock-option award on June 10, 2015 under our 2006 Equity Incentive Plan to purchase up to 151,849 shares of our common stock at a per-share price of $0.65. 1/36 of the shares underlying the option vested on July 10, 2015, and, thereafter, 1/36 of the underlying shares vest on the tenth day of each succeeding calendar month, starting August 10, 2015; and (ii) an early-exercisable stock-option award on November 16, 2015 under our 2006 Equity Incentive Plan to purchase up to 144,521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2"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Mr. Schoeneck was granted an early-exercisable stock-option award on November 16, 2015 under our 2006 Equity Incentive Plan to purchase up to 296,365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September 2015, our board of directors approved a non-employee director compensation policy, which will take effect following the completion of this offering. Pursuant to this policy, each of our non-employee directors will receive an annual retainer of $40,000. Additionally, a lead independent director will receive an additional annual payment of $20,000; the chairperson of our board of directors will receive an additional annual payment of $15,000 when a lead independent director is also serving and $30,000 when no lead independent director is serving; the chairpersons of our audit, compensation and nominating and corporate governance committees will receive an additional annual payment of $15,000, $10,000 and $7,500, respectively; and the members of our audit, compensation and nominating and corporate governance committees will receive an additional annual payment of $7,500, $5,000 and $3,750, respectively.</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Beginning in 2016, each of our non-employee directors will also receive an annual option to purchase 100,000 shares of common stock, which will vest in a single installment 12 months after the grant date, subject to the applicable director’s continuous service through such date. Additionally, new non-employee directors will receive upon election to our board of directors, an option to purchase 200,000 shares of common stock, which will vest in 36 equal monthly installments after the grant date, subject to the applicable director’s continuous service through such date. The exercise price of such grants will be the fair market value as of the grant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following tables and accompanying narrative disclosure set forth information about the compensation provided to our executive officers during the years ended December 31, 2014 and 2015. These executive officers, who include our principal executive officer and who we expect to be the two most highly-compensated executive officers (other than our principal executive officer) serving as executive officers as of December 31, 2015, were:</w:t>
      </w:r>
    </w:p>
    <w:p>
      <w:pPr>
        <w:spacing w:after="0" w:line="52"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Robert E. Hoffman, our former Chief Financial Officer;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Marco Londei, Chief Medical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years ended December 31, 2014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90"/>
              </w:rPr>
              <w:t>Fiscal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9"/>
              </w:rPr>
              <w:t>Salary</w:t>
            </w: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6"/>
              </w:rPr>
              <w:t xml:space="preserve">Bonus </w:t>
            </w:r>
            <w:r>
              <w:rPr>
                <w:rFonts w:ascii="Arial" w:cs="Arial" w:eastAsia="Arial" w:hAnsi="Arial"/>
                <w:sz w:val="12"/>
                <w:szCs w:val="12"/>
                <w:b w:val="1"/>
                <w:bCs w:val="1"/>
                <w:color w:val="auto"/>
                <w:w w:val="96"/>
              </w:rPr>
              <w:t>(1)</w:t>
            </w: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06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2"/>
                <w:szCs w:val="12"/>
                <w:b w:val="1"/>
                <w:bCs w:val="1"/>
                <w:color w:val="auto"/>
              </w:rPr>
              <w:t>(2)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3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Hamza Suria</w:t>
            </w:r>
          </w:p>
        </w:tc>
        <w:tc>
          <w:tcPr>
            <w:tcW w:w="420" w:type="dxa"/>
            <w:vAlign w:val="bottom"/>
            <w:tcBorders>
              <w:top w:val="single" w:sz="8" w:color="auto"/>
            </w:tcBorders>
            <w:shd w:val="clear" w:color="auto" w:fill="CCEEFF"/>
          </w:tcPr>
          <w:p>
            <w:pPr>
              <w:ind w:left="60"/>
              <w:spacing w:after="0" w:line="198" w:lineRule="exact"/>
              <w:rPr>
                <w:sz w:val="20"/>
                <w:szCs w:val="20"/>
                <w:color w:val="auto"/>
              </w:rPr>
            </w:pPr>
            <w:r>
              <w:rPr>
                <w:rFonts w:ascii="Arial" w:cs="Arial" w:eastAsia="Arial" w:hAnsi="Arial"/>
                <w:sz w:val="18"/>
                <w:szCs w:val="18"/>
                <w:color w:val="auto"/>
                <w:w w:val="84"/>
              </w:rPr>
              <w:t>2015</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89"/>
              </w:rPr>
              <w:t>382,083</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97,431</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w w:val="87"/>
              </w:rPr>
              <w:t>1,170,840</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540</w:t>
            </w:r>
          </w:p>
        </w:tc>
        <w:tc>
          <w:tcPr>
            <w:tcW w:w="300" w:type="dxa"/>
            <w:vAlign w:val="bottom"/>
            <w:tcBorders>
              <w:top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87"/>
              </w:rPr>
              <w:t>(6)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87"/>
              </w:rPr>
              <w:t>1,650,894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326,759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166,000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621</w:t>
            </w:r>
            <w:r>
              <w:rPr>
                <w:rFonts w:ascii="Arial" w:cs="Arial" w:eastAsia="Arial" w:hAnsi="Arial"/>
                <w:sz w:val="15"/>
                <w:szCs w:val="15"/>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547,211</w:t>
            </w:r>
          </w:p>
        </w:tc>
        <w:tc>
          <w:tcPr>
            <w:tcW w:w="0" w:type="dxa"/>
            <w:vAlign w:val="bottom"/>
          </w:tcPr>
          <w:p>
            <w:pPr>
              <w:spacing w:after="0"/>
              <w:rPr>
                <w:sz w:val="1"/>
                <w:szCs w:val="1"/>
                <w:color w:val="auto"/>
              </w:rPr>
            </w:pP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rPr>
              <w:t>Robert E. Hoffman</w:t>
            </w:r>
            <w:r>
              <w:rPr>
                <w:rFonts w:ascii="Arial" w:cs="Arial" w:eastAsia="Arial" w:hAnsi="Arial"/>
                <w:sz w:val="15"/>
                <w:szCs w:val="15"/>
                <w:color w:val="auto"/>
              </w:rPr>
              <w:t>(3)</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40" w:type="dxa"/>
            <w:vAlign w:val="bottom"/>
          </w:tcPr>
          <w:p>
            <w:pPr>
              <w:ind w:left="360"/>
              <w:spacing w:after="0"/>
              <w:rPr>
                <w:sz w:val="20"/>
                <w:szCs w:val="20"/>
                <w:color w:val="auto"/>
              </w:rPr>
            </w:pPr>
            <w:r>
              <w:rPr>
                <w:rFonts w:ascii="Arial" w:cs="Arial" w:eastAsia="Arial" w:hAnsi="Arial"/>
                <w:sz w:val="18"/>
                <w:szCs w:val="18"/>
                <w:i w:val="1"/>
                <w:iCs w:val="1"/>
                <w:color w:val="auto"/>
              </w:rPr>
              <w:t>Former Chief Financial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152,708</w:t>
            </w:r>
            <w:r>
              <w:rPr>
                <w:rFonts w:ascii="Arial" w:cs="Arial" w:eastAsia="Arial" w:hAnsi="Arial"/>
                <w:sz w:val="15"/>
                <w:szCs w:val="15"/>
                <w:color w:val="auto"/>
                <w:w w:val="91"/>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32,726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746,021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3"/>
              <w:spacing w:after="0"/>
              <w:rPr>
                <w:sz w:val="20"/>
                <w:szCs w:val="20"/>
                <w:color w:val="auto"/>
              </w:rPr>
            </w:pPr>
            <w:r>
              <w:rPr>
                <w:rFonts w:ascii="Arial" w:cs="Arial" w:eastAsia="Arial" w:hAnsi="Arial"/>
                <w:sz w:val="18"/>
                <w:szCs w:val="18"/>
                <w:color w:val="auto"/>
              </w:rPr>
              <w:t>518</w:t>
            </w:r>
            <w:r>
              <w:rPr>
                <w:rFonts w:ascii="Arial" w:cs="Arial" w:eastAsia="Arial" w:hAnsi="Arial"/>
                <w:sz w:val="15"/>
                <w:szCs w:val="15"/>
                <w:color w:val="auto"/>
              </w:rPr>
              <w:t>(7)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931,973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Marco Londei, M.D.</w:t>
            </w:r>
          </w:p>
        </w:tc>
        <w:tc>
          <w:tcPr>
            <w:tcW w:w="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4"/>
              </w:rPr>
              <w:t>2015</w:t>
            </w: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1"/>
              </w:rPr>
              <w:t>363,333</w:t>
            </w:r>
            <w:r>
              <w:rPr>
                <w:rFonts w:ascii="Arial" w:cs="Arial" w:eastAsia="Arial" w:hAnsi="Arial"/>
                <w:sz w:val="15"/>
                <w:szCs w:val="15"/>
                <w:color w:val="auto"/>
                <w:w w:val="91"/>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81,094</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406,049</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3"/>
              <w:spacing w:after="0" w:line="201" w:lineRule="exact"/>
              <w:rPr>
                <w:sz w:val="20"/>
                <w:szCs w:val="20"/>
                <w:color w:val="auto"/>
              </w:rPr>
            </w:pPr>
            <w:r>
              <w:rPr>
                <w:rFonts w:ascii="Arial" w:cs="Arial" w:eastAsia="Arial" w:hAnsi="Arial"/>
                <w:sz w:val="18"/>
                <w:szCs w:val="18"/>
                <w:color w:val="auto"/>
              </w:rPr>
              <w:t>42,042</w:t>
            </w:r>
            <w:r>
              <w:rPr>
                <w:rFonts w:ascii="Arial" w:cs="Arial" w:eastAsia="Arial" w:hAnsi="Arial"/>
                <w:sz w:val="15"/>
                <w:szCs w:val="15"/>
                <w:color w:val="auto"/>
              </w:rPr>
              <w:t>(8)</w:t>
            </w:r>
          </w:p>
        </w:tc>
        <w:tc>
          <w:tcPr>
            <w:tcW w:w="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892,518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Chief Medical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29,086</w:t>
            </w:r>
            <w:r>
              <w:rPr>
                <w:rFonts w:ascii="Arial" w:cs="Arial" w:eastAsia="Arial" w:hAnsi="Arial"/>
                <w:sz w:val="15"/>
                <w:szCs w:val="15"/>
                <w:color w:val="auto"/>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w:t>
      </w:r>
    </w:p>
    <w:p>
      <w:pPr>
        <w:spacing w:after="0" w:line="23"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grant-date fair value of the awards granted under our 2006 Equity Incentive Plan to our named executive officers during the years ended December 31, 2014 and 2015, as computed in accordance with FASB ASC Topic 718. The assumptions used in calculating the grant date fair value of the awards reported in the Stock Option Awards column are set forth in Note 8 to our consolidated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Hoffman’s employment as our Chief Financial Officer terminated as of September 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Mr. Hoffman’s salary from the commencement of his employment on July 13, 2015, through December 31,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Dr. Londei’s salary from the commencement of his employment on September 26, 2014, through December 31,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Suria.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Hoffman.</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2015, consisting of $39,462 for temporary housing and moving expenses, including tax gross-up with respect to temporary housing payments, and $2,580 for group term life insurance premiums paid by us on behalf of Dr. Londei.</w:t>
      </w:r>
    </w:p>
    <w:p>
      <w:pPr>
        <w:spacing w:after="0" w:line="1" w:lineRule="exact"/>
        <w:rPr>
          <w:rFonts w:ascii="Arial" w:cs="Arial" w:eastAsia="Arial" w:hAnsi="Arial"/>
          <w:sz w:val="18"/>
          <w:szCs w:val="18"/>
          <w:color w:val="auto"/>
        </w:rPr>
      </w:pPr>
    </w:p>
    <w:p>
      <w:pPr>
        <w:jc w:val="both"/>
        <w:ind w:left="460" w:right="20" w:hanging="452"/>
        <w:spacing w:after="0" w:line="255"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2014, consisting of (a) $28,011 for temporary housing and moving expenses, including tax gross-up with respect to temporary housing payments, (b) $646 for travel expenses and (c) $430 for group term life insurance premiums paid by us on behalf of Dr. Londei.</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initial terms and conditions of employment of each of Mr. Suria, Mr. Hoffman and Dr. Londei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Suria’s Employment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an employment agreement effective as of January 1, 2012 and amended October 9, 2012 and September 16, 2014, or collectively the Suria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Mr. Suria serves as our President and Chief Executive Officer. The Suria Employment Agreement sets forth the principal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of his employment, including his initial annual base salary of $285,000 and an annual target cash bonus opportunity of 25% of his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pro rata adjustment for any partial years worked, which bonus is earned based on our achievement of specified milestones and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objectives, as well as Mr. Suria’s performance relative to one or more performance objectives established by Mr. Suria, our compensation committee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the achievement of which is evaluated by us. On August 14, 2015, our board of directors increased Mr. Suria’s annual base salary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$420,000, effective as of August 1, 2015. The Suria Employment Agreement provided for the grant of a time-based stock option to purchase up to 1,499,684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under our 2006 Equity Incentive Plan. The Suria Employment Agreement also provided for the grant of a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 to purchase up to 684,056 shares of our common stock under our 2006 Equity Incentive Plan, all of which would vest immediately in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change of control or qualified initial public offering. These options were granted with an exercise price equal to the fair value of our common stock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date of grant and vest over four years as described in more detail in “—Outstanding Equity Awards at Fiscal Year-End Table” below. Mr. Suria’s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employment is at will and may be terminated at any time, with or without cause. However, pursuant to the terms of the Suria Employment Agreement,</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Suria will be entitled to severance benefits upon a qualifying termination of employment as described in “—Potential Payments upon IPO, Termination or Change in Control”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Hoffman’s Employment Agreement</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Pursuant to an Employment Agreement effective as of July 13, 2015 and amended December 14, 2015, or collectively the Hoffman Employment Agreement, Mr. Hoffman previously served as our Chief Financial Officer. The Hoffman Employment Agreement set forth the principal terms and conditions of his employment, including his initial annual base salary of $325,000 and an annual target cash bonus opportunity of 25% of his base salary, subject to pro rata adjustment for any partial years worked, which bonus was earned based on our achievement of specified milestones and performance objectives, as well as Mr. Hoffman’s performance relative to one or more performance objectives established by Mr. Hoffman, our compensation committee and our board of directors. The Hoffman Employment Agreement provided for the grant of a time-based stock option to purchase up to 754,055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Mr. Hoffman resigned as our Chief Financial Officer, effective September 1, 2016. In connection with Mr. Hoffman’s resignation, on July 18, 2016 we entered into a resignation and transition letter agreement and general release of claims with Mr. Hoffman whereby Mr. Hoffman would remain as an employee for a designated transition period until October 31, 2016. During the transition period, Mr. Hoffman continued to receive pro-rated salary, benefits and option vesting as detailed above. Pursuant to the resignation and transition letter agreement, Mr. Hoffman elected to terminate the transition period early on September 1,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Londei’s Employment Agreement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an employment agreement effective as of October 20, 2014, or the Londei Employment Agreement, Dr. Londei serves as our Chief Medical Officer. The Londei Employment Agreement sets forth the principal terms and conditions of his employment, including his initial annual base salary of $350,000 and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On August 14, 2015, our board of directors increased Mr. Londei’s annual base salary to $375,000, effective as of August 1, 2015. Likewise, the Londei Employment Agreement provides for additional discretionary performance-based bonuses. The Londei Employment Agreement provides for the grant of a time-based stock option to purchase 1,126,756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 Dr. Londei will be entitled to severance benefits upon a qualifying termination of employment as described in “—Potential Payments upon IPO, Termination or Change in Control”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following table presents, for each of the named executive officers, information regarding expected outstanding stock options held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Underlying</w:t>
            </w:r>
          </w:p>
        </w:tc>
        <w:tc>
          <w:tcPr>
            <w:tcW w:w="840" w:type="dxa"/>
            <w:vAlign w:val="bottom"/>
            <w:gridSpan w:val="3"/>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540" w:type="dxa"/>
            <w:vAlign w:val="bottom"/>
            <w:vMerge w:val="restart"/>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Grant Date </w:t>
            </w:r>
            <w:r>
              <w:rPr>
                <w:rFonts w:ascii="Arial" w:cs="Arial" w:eastAsia="Arial" w:hAnsi="Arial"/>
                <w:sz w:val="12"/>
                <w:szCs w:val="12"/>
                <w:b w:val="1"/>
                <w:bCs w:val="1"/>
                <w:color w:val="auto"/>
                <w:w w:val="95"/>
              </w:rPr>
              <w:t>(1)</w:t>
            </w:r>
          </w:p>
        </w:tc>
        <w:tc>
          <w:tcPr>
            <w:tcW w:w="220" w:type="dxa"/>
            <w:vAlign w:val="bottom"/>
            <w:vMerge w:val="restart"/>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 (#)</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55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Unexercisable</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9, 2008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0.37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8, 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 10, 2010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0.32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Feb. 9, 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Feb. 24, 2011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43,457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23,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9, 2011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986,642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0.16</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Dec. 8, 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Feb. 1, 2012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684,056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 1, 2012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513,042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0.16</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17, 2012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135,978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 16,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 16, 2014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362,880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Sep. 15,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1,861,499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 xml:space="preserve">Robert E. Hoffman </w:t>
            </w:r>
            <w:r>
              <w:rPr>
                <w:rFonts w:ascii="Arial" w:cs="Arial" w:eastAsia="Arial" w:hAnsi="Arial"/>
                <w:sz w:val="15"/>
                <w:szCs w:val="15"/>
                <w:color w:val="auto"/>
              </w:rPr>
              <w:t>(3)</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432,032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0.99</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754,055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 xml:space="preserve">Marco Londei, M.D. </w:t>
            </w:r>
            <w:r>
              <w:rPr>
                <w:rFonts w:ascii="Arial" w:cs="Arial" w:eastAsia="Arial" w:hAnsi="Arial"/>
                <w:sz w:val="15"/>
                <w:szCs w:val="15"/>
                <w:color w:val="auto"/>
              </w:rPr>
              <w:t>(4)</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Oct. 28, 2014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1,126,756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Oct. 27,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645,570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53"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460" w:right="20" w:hanging="452"/>
        <w:spacing w:after="0" w:line="285"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the shares underlying the options granted on December 9, 2008, February 10, 2010, February 24, 2011, and December 9, 2011 have fully vested; (ii) of the 684,056 shares underlying an option granted on February 1, 2012, all vest only upon a Change in Control (as defined in the 2006 Equity Incentive Plan) or Qualified IPO (as defined in our restated certificate of incorporation) that is approved by our board of directors, subject to Mr. Suria’s employment on such date; (iii) of the 513,042 shares underlying the option granted on February 1, 2012, 1/4 vested on January 1, 2013, and thereafter, 1/48 vest on the first day of each succeeding calendar month, starting February 1, 2013,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 (iv) of the 135,978 shares underlying the option granted on December 17, 2012, 1/4 vested on December 17, 2013, and thereafter, 1/48 vest on the seventeenth day of each succeeding calendar month, starting January 17, 2014; (v) of the 362,880 shares underlying the option granted on September 16, 2014, 1/4 vested on September 16, 2015, and thereafter 1/48 vest on the sixteenth day of each succeeding calendar month, starting October 16 2015; and (vi) of the 1,861,499 shares underlying the option granted on August 14, 2015, 1/4 vest on August 13, 2016, and 1/48 vest on the thirteenth day of each succeeding calendar month, starting September 13, 2016, provided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8" w:lineRule="auto"/>
        <w:rPr>
          <w:sz w:val="20"/>
          <w:szCs w:val="20"/>
          <w:color w:val="auto"/>
        </w:rPr>
      </w:pPr>
      <w:r>
        <w:rPr>
          <w:rFonts w:ascii="Arial" w:cs="Arial" w:eastAsia="Arial" w:hAnsi="Arial"/>
          <w:sz w:val="18"/>
          <w:szCs w:val="18"/>
          <w:color w:val="auto"/>
        </w:rPr>
        <w:t>that if Mr. Suria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1" w:lineRule="exact"/>
        <w:rPr>
          <w:sz w:val="20"/>
          <w:szCs w:val="20"/>
          <w:color w:val="auto"/>
        </w:rPr>
      </w:pPr>
    </w:p>
    <w:p>
      <w:pPr>
        <w:ind w:left="460" w:right="80" w:hanging="452"/>
        <w:spacing w:after="0" w:line="265"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These options are not early-exercisable. The options vest as to their underlying shares as follows: (i) of the 432,032 shares underlying the option granted on August 14, 2015, 1/4 vest on August 13, 2016, and 1/48 vest on the thirteenth day of each succeeding calendar month, starting September 13, 2016; (ii) of the 754,055 shares underlying the option granted on August 14, 2015, 1/4 vest on July 13, 2016, and 1/48 vest on the thirteenth day of each succeeding calendar month, starting August 13, 2016, provided that if Mr. Hoffman is terminated without Cause or resigns for Good Reason (as each is defined in his employment agreement) in connection with a Change in Control (as defined in the 2006 Equity Incentive Plan), then all of the shares underlying the options shall vest at that time. Mr. Hoffman’s employment was terminated on September 1, 2016, at which time these options ceased vesting according to the schedules detailed above.</w:t>
      </w:r>
    </w:p>
    <w:p>
      <w:pPr>
        <w:spacing w:after="0" w:line="1" w:lineRule="exact"/>
        <w:rPr>
          <w:rFonts w:ascii="Arial" w:cs="Arial" w:eastAsia="Arial" w:hAnsi="Arial"/>
          <w:sz w:val="17"/>
          <w:szCs w:val="17"/>
          <w:color w:val="auto"/>
        </w:rPr>
      </w:pPr>
    </w:p>
    <w:p>
      <w:pPr>
        <w:ind w:left="460" w:right="60" w:hanging="452"/>
        <w:spacing w:after="0" w:line="287"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of the 1,126,756 shares underlying the option granted on October 28, 2014, 1/4 of the shares vested on October 24, 2015, and thereafter, 1/48 vest on the 24th day of each succeeding calendar month, starting November 24, 2015, provided that if Dr. Londei is terminated without Cause or resigns for Good Reason (as each is defined in his employment agreement) in connection with a Change in Control (as defined in the 2006 Equity Incentive Plan), then all of the shares underlying the option shall vest at that time; and (ii) of the 645,570 shares underlying the option granted on August 14, 2015, 1/4 vest on August 13, 2016, and 1/48 vest on the thirteenth day of each succeeding calendar month, starting September 13, 2016, provided that if Mr. Londei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IPO, Termination or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w:t>
      </w:r>
    </w:p>
    <w:p>
      <w:pPr>
        <w:spacing w:after="0" w:line="11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right="500" w:firstLine="456"/>
        <w:spacing w:after="0" w:line="288" w:lineRule="auto"/>
        <w:rPr>
          <w:sz w:val="20"/>
          <w:szCs w:val="20"/>
          <w:color w:val="auto"/>
        </w:rPr>
      </w:pPr>
      <w:r>
        <w:rPr>
          <w:rFonts w:ascii="Arial" w:cs="Arial" w:eastAsia="Arial" w:hAnsi="Arial"/>
          <w:sz w:val="16"/>
          <w:szCs w:val="16"/>
          <w:color w:val="auto"/>
        </w:rPr>
        <w:t>Pursuant to the Suria Employment Agreement, the Hoffman Employment Agreement and the Londei Employment Agreement, in the event that Mr. Suria, Mr. Hoffman or Dr. Londei is terminated without “Cause” or resigns for “Good Reason” (each as defined in the applicable employment agreement), provided that each delivers a signed settlement and general release in favor of us and satisfies all conditions to make such release effective,</w:t>
      </w:r>
    </w:p>
    <w:p>
      <w:pPr>
        <w:ind w:left="5580" w:right="4420" w:hanging="5572"/>
        <w:spacing w:after="0" w:line="433" w:lineRule="auto"/>
        <w:tabs>
          <w:tab w:leader="none" w:pos="2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will receive continued severance payments for 12 months, nine months and nine months, 126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respectively and (ii) and if each elects continuation coverage under the Consolidated Omnibus Budget Reconciliation Act of 1985, or COBRA, we will pay directly to the insurance provider of our group health plans, the monthly premium for such continuation coverage, for 12 months, nine months and nine months, respectively, or such earlier date on which coverage with a new employer is obtained. Mr. Hoffman’s employment terminated on September 1, 2016 and no severance benefits were paid to him upon his termination.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 control, and provided that Mr. Suria delivers a signed settlement and general release in favor of us and satisfies all conditions to make such release effective, (i) Mr. Suria will receive the continued severance payments and COBRA premiums described above for 12 months and (ii) certain of his currently outstanding stock options will vest in full as described in more detail in “—Outstanding Equity Awards at Fiscal Year-End Table” above. In addition, Mr. Suria’s option granted on February 1, 2012, will vest in full upon a change in control, subject to Mr. Suria’s employment on such date.</w:t>
      </w:r>
    </w:p>
    <w:p>
      <w:pPr>
        <w:spacing w:after="0" w:line="18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Pursuant to the Hoffman Employment Agreement, if we experience a change in control and Mr. Hoffman is terminated without “cause” or resigns for “good reason” (each as defined in the employment agreement or applicable option agreement) upon the occurrence of, or within 13 months following, such change in control, and provided that Mr. Hoffman delivers a signed settlement and general release in favor of us and satisfies all conditions to make such release effective, (i) Mr. Hoffman will receive the severance payments and COBRA premiums described above for nine months and (ii) each of his currently outstanding stock options will vest in full. Mr. Hoffman’s stock options ceased vesting on September 1, 2016 upon the termination of his employment.</w:t>
      </w:r>
    </w:p>
    <w:p>
      <w:pPr>
        <w:spacing w:after="0" w:line="15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w:t>
      </w:r>
    </w:p>
    <w:p>
      <w:pPr>
        <w:ind w:right="240" w:firstLine="8"/>
        <w:spacing w:after="0" w:line="261" w:lineRule="auto"/>
        <w:tabs>
          <w:tab w:leader="none" w:pos="2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Dr. Londei will receive the severance payments and COBRA premiums described above for nine months and (ii) each of his currently outstanding stock options will vest in full.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employment agreement contains a “better after-tax” provision, which provides that if any of the payments to Mr. Suria, Mr. Hoffman or</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Dr. Londei,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Equity Incentive Plan</w:t>
      </w:r>
    </w:p>
    <w:p>
      <w:pPr>
        <w:spacing w:after="0" w:line="11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Our 2006 Equity Incentive Plan was adopted by our board of directors on April 24, 2006 and approved by our stockholders on May 26, 2006, which was later amended by our board of directors on July 11, 2014 and approved by our stockholders on April 29, 2015. Most recently, on April 22, 2016, our board of directors amended and restated our 2006 Equity Incentive Plan to extend the term of the plan by ten years, such that it now expires on April 21, 2026. We expect to receive stockholder approval regarding the extension in the next several months.</w:t>
      </w:r>
    </w:p>
    <w:p>
      <w:pPr>
        <w:spacing w:after="0" w:line="17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As of September 30, 2016, we had reserved 18,871,272 shares of our common stock for issuance under our 2006 Equity Incentive Plan. As of September 30, 2016, options to purchase 2,540,561 of these shares had been exercised, options to purchase 12,997,698 of these shares remained outstanding and 3,593,212 of these shares remained available for grant. The options outstanding as of September 30, 2016 had a weighted-average exercise price of $0.59 per share. We will cease issuing awards under our 2006 Equity Incentive Plan upon the effective date of our 2016 Equity Incentive Plan. Our 2016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a 2016 Equity Incentive Plan that will become effective on the date immediately prior to the date of this prospectus and will serve as</w:t>
      </w:r>
    </w:p>
    <w:p>
      <w:pPr>
        <w:spacing w:after="0" w:line="46"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the successor to our 2006 Equity Incentive Plan. We reserved shares of our common stock to be issued under our 2016 Equity Incentive Plan. The number of shares reserved for issuance under our 2016 Equity Incentive Plan will increase automatically on January 1 of each of</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2017 through 2026 by the number of shares equal to %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2016 Equity Incentive Plan:</w:t>
      </w:r>
    </w:p>
    <w:p>
      <w:pPr>
        <w:spacing w:after="0" w:line="87" w:lineRule="exact"/>
        <w:rPr>
          <w:sz w:val="20"/>
          <w:szCs w:val="20"/>
          <w:color w:val="auto"/>
        </w:rPr>
      </w:pPr>
    </w:p>
    <w:p>
      <w:pPr>
        <w:ind w:left="900" w:right="12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2016 Equity Incentive Plan that cease to be subject to the option or stock appreciation right for any reason other than exercise of the option or stock appreciation right;</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subject to awards granted under our 2016 Equity Incentive Plan that are subsequently forfeited or repurchased by us at the original issue price;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subject to awards granted under our 2016 Equity Incentive Plan that otherwise terminate without shares being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or a different award (or combination thereof);</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of common stock reserved but not issued or subject to outstanding grants under our 2006 Equity Incentive Plan on the date of this prospectus will be available for grant and issuance under our 2016 Equity Incentive Plan;</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2016 Equity Incentive Plan;</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of common stock issued under our 2006 Equity Incentive Plan that are forfeited or repurchased by us after the date of this prospectus will be available for grant and issuance under our 2016 Equity Incentive Plan; and</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2016 Equity Incentive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2016 Equity Incentive Plan authorizes the award of stock options, restricted stock awards, or RSAs, stock appreciation rights, or SARs, restricted</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stock units, or RSUs, performance awards and stock bonuses. No person will be eligible to receive more than shares in any calendar year under our 2016 Equity Incentive Plan other than a new employee of ours, who will be eligible to receive no more than shares under the plan in the calendar year in which the employee commences employment. No more than shares will be issued pursuant to the exercise of incentive stock options.</w:t>
      </w:r>
    </w:p>
    <w:p>
      <w:pPr>
        <w:spacing w:after="0" w:line="17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Our 2016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2016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5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2016 Equity Incentive Plan will provide for the grant of awards to our employees, directors, consultants, independent contractors and advisors, provided the consultants, independent contractors, directors and advisors are natural persons that render services not in connection with the offer and sale of</w:t>
      </w:r>
    </w:p>
    <w:p>
      <w:pPr>
        <w:spacing w:after="0"/>
        <w:tabs>
          <w:tab w:leader="none" w:pos="9540" w:val="left"/>
        </w:tabs>
        <w:rPr>
          <w:sz w:val="20"/>
          <w:szCs w:val="20"/>
          <w:color w:val="auto"/>
        </w:rPr>
      </w:pPr>
      <w:r>
        <w:rPr>
          <w:rFonts w:ascii="Arial" w:cs="Arial" w:eastAsia="Arial" w:hAnsi="Arial"/>
          <w:sz w:val="18"/>
          <w:szCs w:val="18"/>
          <w:color w:val="auto"/>
        </w:rPr>
        <w:t>securities in a capital-raising transaction. The aggregate number of shares granted to non-employee directors shall not exceed</w:t>
      </w:r>
      <w:r>
        <w:rPr>
          <w:sz w:val="20"/>
          <w:szCs w:val="20"/>
          <w:color w:val="auto"/>
        </w:rPr>
        <w:tab/>
      </w:r>
      <w:r>
        <w:rPr>
          <w:rFonts w:ascii="Arial" w:cs="Arial" w:eastAsia="Arial" w:hAnsi="Arial"/>
          <w:sz w:val="15"/>
          <w:szCs w:val="15"/>
          <w:color w:val="auto"/>
        </w:rPr>
        <w:t>shares in a calendar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of stock options must be at least equal to the fair market value of our common stock on the date of grant.</w:t>
      </w:r>
    </w:p>
    <w:p>
      <w:pPr>
        <w:spacing w:after="0" w:line="21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anticipate that in general, options will vest over a four-year period. Options may vest based on time or achievement of performance conditions. Our compensation committee may provide for options to be exercised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only as they vest or to be immediately exercisable with any shares issued on exercise being subject to our right of repurchase that lapses as the shares vest.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maximum term of options granted under our 2016 Equity Incentive Plan is ten years.</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w:t>
      </w:r>
    </w:p>
    <w:p>
      <w:pPr>
        <w:ind w:right="400"/>
        <w:spacing w:after="0" w:line="261" w:lineRule="auto"/>
        <w:rPr>
          <w:sz w:val="20"/>
          <w:szCs w:val="20"/>
          <w:color w:val="auto"/>
        </w:rPr>
      </w:pPr>
      <w:r>
        <w:rPr>
          <w:rFonts w:ascii="Arial" w:cs="Arial" w:eastAsia="Arial" w:hAnsi="Arial"/>
          <w:sz w:val="18"/>
          <w:szCs w:val="18"/>
          <w:color w:val="auto"/>
        </w:rPr>
        <w:t>termination of employment or failure to achieve the performance conditions. No participant will be eligible to receive more than $ in performance awards in any calendar year.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3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In the event there is a specified type of change in our capital structure without our receipt of consideration, such as a stock split, appropriate adjustments will be made to the number of shares reserved under our 2016 Equity Incentive Plan, the maximum number of shares that can be granted in a calendar year and the number of shares and exercise price, if applicable, of all outstanding awards under our 2016 Equity Incentive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Awards granted under our 2016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2016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 merger or consolidation, any and all outstanding awards may be assumed or replaced by the successor corporation. In the alternative, the successor corporation may substitute equivalent awards or provide substantially similar consideration to participants as was provided to stockholders. If the outstanding awards are not assumed, substituted or cashed out, the awards will expire upon the closing of the merger or consolidation; and our compensation committee may accelerate the vesting and exercisability (as applicable) of the awards in connection with the transaction. In the event of a merger or consolidation, the vesting of all awards granted to non-employee directors shall accelerate and such awards shall become exercisable (as applicable) in full.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2016 Equity Incentive Plan will terminate ten years from the date our board of directors adopts the plan, unless it is terminated earlier by our board of directors. Our board of directors may amend or terminate our 2016 Equity Incentive Plan at any time. Our board of directors generally may amend our 2016 Equity Incentive Plan, without stockholder approval unless required by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adopted a 2016 Employee Stock Purchase Plan that will become effective on the date of this prospectus and will enable eligible employees to purchase shares of our common stock at a discount beginning on a date determined by our board of directors. Purchases will be accomplished through</w:t>
      </w:r>
    </w:p>
    <w:p>
      <w:pPr>
        <w:spacing w:after="0" w:line="281" w:lineRule="auto"/>
        <w:rPr>
          <w:sz w:val="20"/>
          <w:szCs w:val="20"/>
          <w:color w:val="auto"/>
        </w:rPr>
      </w:pPr>
      <w:r>
        <w:rPr>
          <w:rFonts w:ascii="Arial" w:cs="Arial" w:eastAsia="Arial" w:hAnsi="Arial"/>
          <w:sz w:val="16"/>
          <w:szCs w:val="16"/>
          <w:color w:val="auto"/>
        </w:rPr>
        <w:t>participation in discrete offering periods. We initially reserved shares of our common stock for issuance under our 2016 Employee Stock Purchase Plan. The number of shares reserved for issuance under our 2016 Employee Stock Purchase Plan will increase automatically on January 1st of each of the first</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ten calendar years following the first offering date by the number of shares equal to the greater of % of the total outstanding shares of our common stock as of the immediately preceding December 31 (rounded to the nearest whole share) or the actual number of shares purchased under the 2016 Employee Stock Purchase Plan in the immediately preceding fiscal year. However, our board of directors or compensation committee may reduce the amount of the</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increase in any particular year. The aggregate number of shares issued over the term of our 2016 Employee Stock Purchase Plan will not exceed shares of our common stock. Our 2016 Employee Stock Purchase Plan is intended to qualify as an employee stock purchase plan under Section 423 of the Code.</w:t>
      </w:r>
    </w:p>
    <w:p>
      <w:pPr>
        <w:spacing w:after="0" w:line="139" w:lineRule="exact"/>
        <w:rPr>
          <w:sz w:val="20"/>
          <w:szCs w:val="20"/>
          <w:color w:val="auto"/>
        </w:rPr>
      </w:pPr>
    </w:p>
    <w:p>
      <w:pPr>
        <w:jc w:val="both"/>
        <w:ind w:right="20" w:firstLine="456"/>
        <w:spacing w:after="0" w:line="285" w:lineRule="auto"/>
        <w:rPr>
          <w:sz w:val="20"/>
          <w:szCs w:val="20"/>
          <w:color w:val="auto"/>
        </w:rPr>
      </w:pPr>
      <w:r>
        <w:rPr>
          <w:rFonts w:ascii="Arial" w:cs="Arial" w:eastAsia="Arial" w:hAnsi="Arial"/>
          <w:sz w:val="16"/>
          <w:szCs w:val="16"/>
          <w:color w:val="auto"/>
        </w:rPr>
        <w:t>Our compensation committee will administer our 2016 Employee Stock Purchase Plan. While our employees generally are eligible to participate in our 2016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2016 Employee Stock Purchase Plan, are ineligible to participate in our 2016 Employee Stock Purchase Plan. We may impose additional restrictions on eligibility. Under our 2016 Employee Stock Purchase Plan, eligible employees will be able to acquire shares of our common stock by accumulating funds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payroll deductions. Our eligible employees will be able to select a rate of payroll deduction between % and % of their base cash compensation. The purchase price of the shares will be 85% of the lower of the fair market value of our common stock on the first day of an offering or on the date of purchase.</w:t>
      </w:r>
    </w:p>
    <w:p>
      <w:pPr>
        <w:spacing w:after="0" w:line="1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When an initial first purchase period commences, our employees who meet the eligibility requirements for participation in that purchase period will be eligible to enroll. For subsequent purchase periods, new participants will be required to enroll in a timely manner. Once an employee is enrolled, participation will be automatic in subsequent purchase periods. Each purchase period will be determined by our compensation committee. An employee’s participation automatically ends upon termination of employment for any reason.</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first purchase period will begin on a future date to be designated by our board of directors or compensation committee. Each subsequent purchase period will be for six months.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w:t>
      </w:r>
    </w:p>
    <w:p>
      <w:pPr>
        <w:spacing w:after="0" w:line="46"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plans that are also in effect in the same calendar years, that has a fair market value of more than $ , determined as of the first day of the applicable purchase period, for each calendar year in which that right is outstanding. In addition, no participant will be permitted to purchase more than shares</w:t>
      </w:r>
    </w:p>
    <w:p>
      <w:pPr>
        <w:ind w:right="200"/>
        <w:spacing w:after="0" w:line="277" w:lineRule="auto"/>
        <w:rPr>
          <w:sz w:val="20"/>
          <w:szCs w:val="20"/>
          <w:color w:val="auto"/>
        </w:rPr>
      </w:pPr>
      <w:r>
        <w:rPr>
          <w:rFonts w:ascii="Arial" w:cs="Arial" w:eastAsia="Arial" w:hAnsi="Arial"/>
          <w:sz w:val="17"/>
          <w:szCs w:val="17"/>
          <w:color w:val="auto"/>
        </w:rPr>
        <w:t>during any one purchase period or such lesser amount determined by our compensation committee. The purchase price for shares of our common stock purchased under our 2016 Employee Stock Purchase Plan will be % of the lesser of the fair market value of our common stock on (i) the first trading day of the applicable offering period or (ii) the last trading day of each purchase period in the applicable offering period.</w:t>
      </w:r>
    </w:p>
    <w:p>
      <w:pPr>
        <w:spacing w:after="0" w:line="1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we experience a change in control transaction, each outstanding right to purchase shares under our 2016 Employee Stock Purchase Plan may be assumed or an equivalent option substituted by the successor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event that the successor corporation refuses to assume or substitute the outstanding purchase rights, any offering period that commenced prior to the closing of the proposed change in control transaction will be shortened and terminated on a new purchase date. The new purchase date will occur prior to the closing of the proposed change in control transaction and our 2016 Employee Stock Purchase Plan will then terminate on the closing of the proposed change in control.</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will also have the right to amend or terminate our 2016 Employee Stock Purchase Plan at any time. Our 2016 Employee Stock Purchase Plan will terminate on the tenth anniversary of the last day of the first purchase period, unless it is terminated earlier by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w:t>
      </w:r>
    </w:p>
    <w:p>
      <w:pPr>
        <w:ind w:right="580"/>
        <w:spacing w:after="0" w:line="302" w:lineRule="auto"/>
        <w:rPr>
          <w:sz w:val="20"/>
          <w:szCs w:val="20"/>
          <w:color w:val="auto"/>
        </w:rPr>
      </w:pPr>
      <w:r>
        <w:rPr>
          <w:rFonts w:ascii="Arial" w:cs="Arial" w:eastAsia="Arial" w:hAnsi="Arial"/>
          <w:sz w:val="16"/>
          <w:szCs w:val="16"/>
          <w:color w:val="auto"/>
        </w:rPr>
        <w:t>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1"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w:t>
      </w:r>
    </w:p>
    <w:p>
      <w:pPr>
        <w:spacing w:after="0" w:line="18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59" w:right="3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2012 to which we were a party or will be a party, in which:</w:t>
      </w:r>
    </w:p>
    <w:p>
      <w:pPr>
        <w:spacing w:after="0" w:line="142"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C-1 Preferred Stock Financing</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3,318,054 shares of our Series C-1 convertible preferred stock at a purchase price of $0.65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Series C-1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4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Entities affiliated</w:t>
            </w: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with Frazier Healthcare </w:t>
            </w:r>
            <w:r>
              <w:rPr>
                <w:rFonts w:ascii="Arial" w:cs="Arial" w:eastAsia="Arial" w:hAnsi="Arial"/>
                <w:sz w:val="15"/>
                <w:szCs w:val="15"/>
                <w:color w:val="auto"/>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1,370,261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890,670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1,370,261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890,670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541,246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5,469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74"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July 2015, we sold an aggregate of 38,436,851 shares of our Series D convertible preferred stock at a purchase price of $1.06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Series 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9400" w:type="dxa"/>
            <w:vAlign w:val="bottom"/>
            <w:gridSpan w:val="2"/>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Biotechnology Value Fund, L.P</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7,074,203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7,503,111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6,599,851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6,999,999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Frazier Healthcare </w:t>
            </w:r>
            <w:r>
              <w:rPr>
                <w:rFonts w:ascii="Arial" w:cs="Arial" w:eastAsia="Arial" w:hAnsi="Arial"/>
                <w:sz w:val="15"/>
                <w:szCs w:val="15"/>
                <w:color w:val="auto"/>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6,599,850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15"/>
                <w:szCs w:val="15"/>
                <w:color w:val="auto"/>
              </w:rPr>
              <w:t>(2)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4,714,179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Nicholas B. Lydon, Ph.D., FRS </w:t>
            </w:r>
            <w:r>
              <w:rPr>
                <w:rFonts w:ascii="Arial" w:cs="Arial" w:eastAsia="Arial" w:hAnsi="Arial"/>
                <w:sz w:val="15"/>
                <w:szCs w:val="15"/>
                <w:color w:val="auto"/>
              </w:rPr>
              <w:t>(3)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471,417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 xml:space="preserve">Carol G. Gallagher, Pharm.D. </w:t>
            </w:r>
            <w:r>
              <w:rPr>
                <w:rFonts w:ascii="Arial" w:cs="Arial" w:eastAsia="Arial" w:hAnsi="Arial"/>
                <w:sz w:val="15"/>
                <w:szCs w:val="15"/>
                <w:color w:val="auto"/>
              </w:rPr>
              <w:t>(4)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150,075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Robert E. Hoffman </w:t>
            </w:r>
            <w:r>
              <w:rPr>
                <w:rFonts w:ascii="Arial" w:cs="Arial" w:eastAsia="Arial" w:hAnsi="Arial"/>
                <w:sz w:val="15"/>
                <w:szCs w:val="15"/>
                <w:color w:val="auto"/>
              </w:rPr>
              <w:t>(5)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14,142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Marco Londei, M.D. </w:t>
            </w:r>
            <w:r>
              <w:rPr>
                <w:rFonts w:ascii="Arial" w:cs="Arial" w:eastAsia="Arial" w:hAnsi="Arial"/>
                <w:sz w:val="15"/>
                <w:szCs w:val="15"/>
                <w:color w:val="auto"/>
              </w:rPr>
              <w:t>(7)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6"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20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Hoffman is our former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Dr. Londei is our Chief Medical Officer.</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adopt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September 30, 2016, and as adjusted to reflect the sale of common stock in this offering, for:</w:t>
      </w:r>
    </w:p>
    <w:p>
      <w:pPr>
        <w:spacing w:after="0" w:line="76"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Applicable percentage ownership is based on 99,115,774 shares of common stock outstanding as of September 30, 2016 and assumes (i) the automatic conversion of all outstanding shares of our convertible preferred stock into 80,645,051 shares of common stock as of immediately prior to the closing of this</w:t>
      </w:r>
    </w:p>
    <w:p>
      <w:pPr>
        <w:ind w:right="20"/>
        <w:spacing w:after="0" w:line="252" w:lineRule="auto"/>
        <w:rPr>
          <w:sz w:val="20"/>
          <w:szCs w:val="20"/>
          <w:color w:val="auto"/>
        </w:rPr>
      </w:pPr>
      <w:r>
        <w:rPr>
          <w:rFonts w:ascii="Arial" w:cs="Arial" w:eastAsia="Arial" w:hAnsi="Arial"/>
          <w:sz w:val="18"/>
          <w:szCs w:val="18"/>
          <w:color w:val="auto"/>
        </w:rPr>
        <w:t>offering. For purposes of the table below, we have assumed that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September 30, 2016.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 Ownership</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50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Name of Beneficial Owner</w:t>
            </w:r>
          </w:p>
        </w:tc>
        <w:tc>
          <w:tcPr>
            <w:tcW w:w="2200" w:type="dxa"/>
            <w:vAlign w:val="bottom"/>
          </w:tcPr>
          <w:p>
            <w:pPr>
              <w:spacing w:after="0"/>
              <w:rPr>
                <w:sz w:val="15"/>
                <w:szCs w:val="15"/>
                <w:color w:val="auto"/>
              </w:rPr>
            </w:pPr>
          </w:p>
        </w:tc>
        <w:tc>
          <w:tcPr>
            <w:tcW w:w="2000" w:type="dxa"/>
            <w:vAlign w:val="bottom"/>
            <w:gridSpan w:val="4"/>
          </w:tcPr>
          <w:p>
            <w:pPr>
              <w:ind w:left="160"/>
              <w:spacing w:after="0"/>
              <w:rPr>
                <w:sz w:val="20"/>
                <w:szCs w:val="20"/>
                <w:color w:val="auto"/>
              </w:rPr>
            </w:pPr>
            <w:r>
              <w:rPr>
                <w:rFonts w:ascii="Arial" w:cs="Arial" w:eastAsia="Arial" w:hAnsi="Arial"/>
                <w:sz w:val="14"/>
                <w:szCs w:val="14"/>
                <w:b w:val="1"/>
                <w:bCs w:val="1"/>
                <w:color w:val="auto"/>
              </w:rPr>
              <w:t>Prior to this Offering</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After this Offering</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5040" w:type="dxa"/>
            <w:vAlign w:val="bottom"/>
            <w:gridSpan w:val="4"/>
            <w:vMerge w:val="continue"/>
          </w:tcPr>
          <w:p>
            <w:pPr>
              <w:spacing w:after="0"/>
              <w:rPr>
                <w:sz w:val="13"/>
                <w:szCs w:val="13"/>
                <w:color w:val="auto"/>
              </w:rPr>
            </w:pPr>
          </w:p>
        </w:tc>
        <w:tc>
          <w:tcPr>
            <w:tcW w:w="2200" w:type="dxa"/>
            <w:vAlign w:val="bottom"/>
          </w:tcPr>
          <w:p>
            <w:pPr>
              <w:spacing w:after="0"/>
              <w:rPr>
                <w:sz w:val="13"/>
                <w:szCs w:val="13"/>
                <w:color w:val="auto"/>
              </w:rPr>
            </w:pPr>
          </w:p>
        </w:tc>
        <w:tc>
          <w:tcPr>
            <w:tcW w:w="116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Percent</w:t>
            </w:r>
          </w:p>
        </w:tc>
        <w:tc>
          <w:tcPr>
            <w:tcW w:w="360" w:type="dxa"/>
            <w:vAlign w:val="bottom"/>
          </w:tcPr>
          <w:p>
            <w:pPr>
              <w:spacing w:after="0"/>
              <w:rPr>
                <w:sz w:val="13"/>
                <w:szCs w:val="13"/>
                <w:color w:val="auto"/>
              </w:rPr>
            </w:pPr>
          </w:p>
        </w:tc>
        <w:tc>
          <w:tcPr>
            <w:tcW w:w="92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 xml:space="preserve">5% Stockholders </w:t>
            </w:r>
            <w:r>
              <w:rPr>
                <w:rFonts w:ascii="Arial" w:cs="Arial" w:eastAsia="Arial" w:hAnsi="Arial"/>
                <w:sz w:val="18"/>
                <w:szCs w:val="18"/>
                <w:i w:val="1"/>
                <w:iCs w:val="1"/>
                <w:color w:val="auto"/>
              </w:rPr>
              <w:t>:</w:t>
            </w:r>
          </w:p>
        </w:tc>
        <w:tc>
          <w:tcPr>
            <w:tcW w:w="324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Entities affiliated with Frazier Healthcare </w:t>
            </w:r>
            <w:r>
              <w:rPr>
                <w:rFonts w:ascii="Arial" w:cs="Arial" w:eastAsia="Arial" w:hAnsi="Arial"/>
                <w:sz w:val="15"/>
                <w:szCs w:val="15"/>
                <w:color w:val="auto"/>
              </w:rPr>
              <w:t>(1)</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23,019,148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15"/>
                <w:szCs w:val="15"/>
                <w:color w:val="auto"/>
              </w:rPr>
              <w:t>(2)</w:t>
            </w:r>
          </w:p>
        </w:tc>
        <w:tc>
          <w:tcPr>
            <w:tcW w:w="3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21,133,477</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Avalon Ventures VII, L.P. </w:t>
            </w:r>
            <w:r>
              <w:rPr>
                <w:rFonts w:ascii="Arial" w:cs="Arial" w:eastAsia="Arial" w:hAnsi="Arial"/>
                <w:sz w:val="15"/>
                <w:szCs w:val="15"/>
                <w:color w:val="auto"/>
              </w:rPr>
              <w:t>(3)</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15,080,916</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Alloy Ventures 2005, L.P. </w:t>
            </w:r>
            <w:r>
              <w:rPr>
                <w:rFonts w:ascii="Arial" w:cs="Arial" w:eastAsia="Arial" w:hAnsi="Arial"/>
                <w:sz w:val="15"/>
                <w:szCs w:val="15"/>
                <w:color w:val="auto"/>
              </w:rPr>
              <w:t>(4)</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8,977,414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Entities affiliated with Biotechnology Value Fund, L.P. </w:t>
            </w:r>
            <w:r>
              <w:rPr>
                <w:rFonts w:ascii="Arial" w:cs="Arial" w:eastAsia="Arial" w:hAnsi="Arial"/>
                <w:sz w:val="15"/>
                <w:szCs w:val="15"/>
                <w:color w:val="auto"/>
              </w:rPr>
              <w:t>(5)</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7,074,203</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HBM Healthcare Investments (Cayman) Ltd. </w:t>
            </w:r>
            <w:r>
              <w:rPr>
                <w:rFonts w:ascii="Arial" w:cs="Arial" w:eastAsia="Arial" w:hAnsi="Arial"/>
                <w:sz w:val="15"/>
                <w:szCs w:val="15"/>
                <w:color w:val="auto"/>
              </w:rPr>
              <w:t>(6)</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6,599,851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Directors and Named Executive Officers </w:t>
            </w:r>
            <w:r>
              <w:rPr>
                <w:rFonts w:ascii="Arial" w:cs="Arial" w:eastAsia="Arial" w:hAnsi="Arial"/>
                <w:sz w:val="18"/>
                <w:szCs w:val="18"/>
                <w:i w:val="1"/>
                <w:iCs w:val="1"/>
                <w:color w:val="auto"/>
              </w:rPr>
              <w:t>:</w:t>
            </w:r>
          </w:p>
        </w:tc>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(7)</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3,509,769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Marco Londei, M.D. </w:t>
            </w:r>
            <w:r>
              <w:rPr>
                <w:rFonts w:ascii="Arial" w:cs="Arial" w:eastAsia="Arial" w:hAnsi="Arial"/>
                <w:sz w:val="15"/>
                <w:szCs w:val="15"/>
                <w:color w:val="auto"/>
              </w:rPr>
              <w:t>(8)</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1,342,638</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Matthew Moyle Ph.D.</w:t>
            </w:r>
          </w:p>
        </w:tc>
        <w:tc>
          <w:tcPr>
            <w:tcW w:w="2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Robert E. Hoffman </w:t>
            </w:r>
            <w:r>
              <w:rPr>
                <w:rFonts w:ascii="Arial" w:cs="Arial" w:eastAsia="Arial" w:hAnsi="Arial"/>
                <w:sz w:val="15"/>
                <w:szCs w:val="15"/>
                <w:color w:val="auto"/>
              </w:rPr>
              <w:t>(9)</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359,372</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Tiba Aynechi, Ph.D.</w:t>
            </w:r>
          </w:p>
        </w:tc>
        <w:tc>
          <w:tcPr>
            <w:tcW w:w="2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Carol G. Gallagher, Pharm.D. </w:t>
            </w:r>
            <w:r>
              <w:rPr>
                <w:rFonts w:ascii="Arial" w:cs="Arial" w:eastAsia="Arial" w:hAnsi="Arial"/>
                <w:sz w:val="15"/>
                <w:szCs w:val="15"/>
                <w:color w:val="auto"/>
              </w:rPr>
              <w:t>(10)</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1,134,132</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Nicholas B. Lydon, Ph.D., FRS </w:t>
            </w:r>
            <w:r>
              <w:rPr>
                <w:rFonts w:ascii="Arial" w:cs="Arial" w:eastAsia="Arial" w:hAnsi="Arial"/>
                <w:sz w:val="15"/>
                <w:szCs w:val="15"/>
                <w:color w:val="auto"/>
              </w:rPr>
              <w:t>(11)</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2,229,189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Hollings Renton </w:t>
            </w:r>
            <w:r>
              <w:rPr>
                <w:rFonts w:ascii="Arial" w:cs="Arial" w:eastAsia="Arial" w:hAnsi="Arial"/>
                <w:sz w:val="15"/>
                <w:szCs w:val="15"/>
                <w:color w:val="auto"/>
              </w:rPr>
              <w:t>(12)</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358,098</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John Schmid </w:t>
            </w:r>
            <w:r>
              <w:rPr>
                <w:rFonts w:ascii="Arial" w:cs="Arial" w:eastAsia="Arial" w:hAnsi="Arial"/>
                <w:sz w:val="15"/>
                <w:szCs w:val="15"/>
                <w:color w:val="auto"/>
              </w:rPr>
              <w:t>(13)</w:t>
            </w:r>
          </w:p>
        </w:tc>
        <w:tc>
          <w:tcPr>
            <w:tcW w:w="3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296,370</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James A. Schoeneck </w:t>
            </w:r>
            <w:r>
              <w:rPr>
                <w:rFonts w:ascii="Arial" w:cs="Arial" w:eastAsia="Arial" w:hAnsi="Arial"/>
                <w:sz w:val="15"/>
                <w:szCs w:val="15"/>
                <w:color w:val="auto"/>
              </w:rPr>
              <w:t>(14)</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296,365</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James N. Topper, M.D., Ph.D. </w:t>
            </w:r>
            <w:r>
              <w:rPr>
                <w:rFonts w:ascii="Arial" w:cs="Arial" w:eastAsia="Arial" w:hAnsi="Arial"/>
                <w:sz w:val="15"/>
                <w:szCs w:val="15"/>
                <w:color w:val="auto"/>
              </w:rPr>
              <w:t>(1)</w:t>
            </w:r>
          </w:p>
        </w:tc>
        <w:tc>
          <w:tcPr>
            <w:tcW w:w="3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23,019,148</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w w:val="95"/>
              </w:rPr>
              <w:t xml:space="preserve">All executive officers and directors as a group (ten persons) </w:t>
            </w:r>
            <w:r>
              <w:rPr>
                <w:rFonts w:ascii="Arial" w:cs="Arial" w:eastAsia="Arial" w:hAnsi="Arial"/>
                <w:sz w:val="15"/>
                <w:szCs w:val="15"/>
                <w:color w:val="auto"/>
                <w:w w:val="95"/>
              </w:rPr>
              <w:t>(15)</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32,545,081</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30.4</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spacing w:after="0"/>
              <w:rPr>
                <w:sz w:val="10"/>
                <w:szCs w:val="10"/>
                <w:color w:val="auto"/>
              </w:rPr>
            </w:pPr>
          </w:p>
        </w:tc>
        <w:tc>
          <w:tcPr>
            <w:tcW w:w="4160" w:type="dxa"/>
            <w:vAlign w:val="bottom"/>
            <w:gridSpan w:val="2"/>
          </w:tcPr>
          <w:p>
            <w:pPr>
              <w:spacing w:after="0"/>
              <w:rPr>
                <w:sz w:val="10"/>
                <w:szCs w:val="10"/>
                <w:color w:val="auto"/>
              </w:rPr>
            </w:pPr>
          </w:p>
        </w:tc>
        <w:tc>
          <w:tcPr>
            <w:tcW w:w="2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40" w:type="dxa"/>
            <w:vAlign w:val="bottom"/>
            <w:gridSpan w:val="4"/>
          </w:tcPr>
          <w:p>
            <w:pPr>
              <w:ind w:left="180"/>
              <w:spacing w:after="0"/>
              <w:rPr>
                <w:sz w:val="20"/>
                <w:szCs w:val="20"/>
                <w:color w:val="auto"/>
              </w:rPr>
            </w:pPr>
            <w:r>
              <w:rPr>
                <w:rFonts w:ascii="Arial" w:cs="Arial" w:eastAsia="Arial" w:hAnsi="Arial"/>
                <w:sz w:val="18"/>
                <w:szCs w:val="18"/>
                <w:color w:val="auto"/>
              </w:rPr>
              <w:t>Represents beneficial ownership of less than one percent.</w:t>
            </w:r>
          </w:p>
        </w:tc>
        <w:tc>
          <w:tcPr>
            <w:tcW w:w="2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0" w:type="dxa"/>
            <w:vAlign w:val="bottom"/>
          </w:tcPr>
          <w:p>
            <w:pPr>
              <w:jc w:val="right"/>
              <w:ind w:right="1590"/>
              <w:spacing w:after="0"/>
              <w:rPr>
                <w:sz w:val="20"/>
                <w:szCs w:val="20"/>
                <w:color w:val="auto"/>
              </w:rPr>
            </w:pPr>
            <w:r>
              <w:rPr>
                <w:rFonts w:ascii="Arial" w:cs="Arial" w:eastAsia="Arial" w:hAnsi="Arial"/>
                <w:sz w:val="18"/>
                <w:szCs w:val="18"/>
                <w:color w:val="auto"/>
              </w:rPr>
              <w:t>137</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Consists of (a) 15,598,651 shares of common stock following conversion of convertible preferred stock held directly by Frazier Healthcare V, L.P.,</w:t>
      </w:r>
    </w:p>
    <w:p>
      <w:pPr>
        <w:spacing w:after="0" w:line="34" w:lineRule="exact"/>
        <w:rPr>
          <w:rFonts w:ascii="Arial" w:cs="Arial" w:eastAsia="Arial" w:hAnsi="Arial"/>
          <w:sz w:val="17"/>
          <w:szCs w:val="17"/>
          <w:color w:val="auto"/>
        </w:rPr>
      </w:pPr>
    </w:p>
    <w:p>
      <w:pPr>
        <w:ind w:left="460" w:right="140" w:hanging="6"/>
        <w:spacing w:after="0" w:line="281" w:lineRule="auto"/>
        <w:tabs>
          <w:tab w:leader="none" w:pos="71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5,136,185 shares of common stock following conversion of convertible preferred stock held directly by Frazier Healthcare VII, L.P., (c) 1,463,665 shares of common stock following conversion of convertible preferred stock held directly by Frazier Healthcare VII-A, L.P. and (d) 820,647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is a member of FHM V, LLC and FHM VII, LLC and may be deemed to have voting and investment power with respect to the shares held by FHM V, LLC and FHM VII, LLC.</w:t>
      </w:r>
    </w:p>
    <w:p>
      <w:pPr>
        <w:spacing w:after="0" w:line="4" w:lineRule="exact"/>
        <w:rPr>
          <w:rFonts w:ascii="Arial" w:cs="Arial" w:eastAsia="Arial" w:hAnsi="Arial"/>
          <w:sz w:val="16"/>
          <w:szCs w:val="16"/>
          <w:color w:val="auto"/>
        </w:rPr>
      </w:pPr>
    </w:p>
    <w:p>
      <w:pPr>
        <w:ind w:left="460" w:right="120" w:hanging="452"/>
        <w:spacing w:after="0" w:line="265"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Consists of (a) 20,312,830 shares of common stock following conversion of convertible preferred stock held directly by Novo A/S and (b) 820,647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(a) 14,258,530 shares of common stock held directly by Avalon Ventures VII, L.P. and (b) 822,386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jc w:val="both"/>
        <w:ind w:left="460" w:right="400" w:hanging="452"/>
        <w:spacing w:after="0" w:line="250"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8,977,414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Consists of (a) 3,449,203 shares of common stock following conversion of convertible preferred stock held directly by Biotechnology Value Fund, L.P.,</w:t>
      </w:r>
    </w:p>
    <w:p>
      <w:pPr>
        <w:spacing w:after="0" w:line="32" w:lineRule="exact"/>
        <w:rPr>
          <w:rFonts w:ascii="Arial" w:cs="Arial" w:eastAsia="Arial" w:hAnsi="Arial"/>
          <w:sz w:val="16"/>
          <w:szCs w:val="16"/>
          <w:color w:val="auto"/>
        </w:rPr>
      </w:pPr>
    </w:p>
    <w:p>
      <w:pPr>
        <w:ind w:left="700" w:hanging="246"/>
        <w:spacing w:after="0"/>
        <w:tabs>
          <w:tab w:leader="none" w:pos="70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1,974,000 shares of common stock following conversion of convertible preferred stock held directly by Biotechnology Value Fund II, L.P.,</w:t>
      </w:r>
    </w:p>
    <w:p>
      <w:pPr>
        <w:spacing w:after="0" w:line="20" w:lineRule="exact"/>
        <w:rPr>
          <w:rFonts w:ascii="Arial" w:cs="Arial" w:eastAsia="Arial" w:hAnsi="Arial"/>
          <w:sz w:val="17"/>
          <w:szCs w:val="17"/>
          <w:color w:val="auto"/>
        </w:rPr>
      </w:pPr>
    </w:p>
    <w:p>
      <w:pPr>
        <w:ind w:left="460" w:right="460" w:hanging="6"/>
        <w:spacing w:after="0" w:line="250" w:lineRule="auto"/>
        <w:tabs>
          <w:tab w:leader="none" w:pos="70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637,000 shares of common stock following conversion of convertible preferred stock held directly by Investment 10, L.L.C. and (d) 1,014,000 shares of common stock following conversion of convertible preferred stock held directly by MSI BVF SPV, L.L.C.</w:t>
      </w:r>
    </w:p>
    <w:p>
      <w:pPr>
        <w:ind w:left="460" w:right="40" w:hanging="452"/>
        <w:spacing w:after="0" w:line="265"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Represents 6,599,851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jc w:val="both"/>
        <w:ind w:left="460" w:right="100" w:hanging="452"/>
        <w:spacing w:after="0" w:line="250"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(a) 34,996 shares of common stock following conversion of convertible preferred stock held directly by Mr. Suria and (b) 3,474,773 shares of common stock issuable to Mr. Suria upon the exercise of stock options that are exercisable within 60 days of September 30, 2016, of which 853,209 shares were unvested but were early exercisable, as of 60 days after September 30, 2016.</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(a) 14,142 shares of common stock following conversion of convertible preferred stock held directly by Dr. Londei and (b) 1,328,496 shares of common stock issuable to Dr. Londei upon the exercise of stock options that are exercisable within 60 days of September 30, 2016, of which 539,904 shares were unvested but were early exercisable, as of 60 days after September 30, 2016.</w:t>
      </w:r>
    </w:p>
    <w:p>
      <w:pPr>
        <w:spacing w:after="0" w:line="1"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Mr. Hoffman resigned as our Chief Financial Officer effective September 1, 2016. Consists of (a) 47,141 shares of common stock following conversion of convertible preferred stock held directly by Mr. Hoffman and (b) 312,231 shares of common stock issuable to Mr. Hoffman upon the exercise of stock options that are exercisable within 60 days of September 30, 2016.</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(a) 450,075 shares of common stock following conversion of convertible preferred stock held directly by Dr. Gallagher and</w:t>
      </w:r>
    </w:p>
    <w:p>
      <w:pPr>
        <w:spacing w:after="0" w:line="23" w:lineRule="exact"/>
        <w:rPr>
          <w:rFonts w:ascii="Arial" w:cs="Arial" w:eastAsia="Arial" w:hAnsi="Arial"/>
          <w:sz w:val="18"/>
          <w:szCs w:val="18"/>
          <w:color w:val="auto"/>
        </w:rPr>
      </w:pPr>
    </w:p>
    <w:p>
      <w:pPr>
        <w:ind w:left="460" w:right="180" w:hanging="6"/>
        <w:spacing w:after="0" w:line="250" w:lineRule="auto"/>
        <w:tabs>
          <w:tab w:leader="none" w:pos="71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684,057 shares of common stock issuable to Dr. Gallagher upon the exercise of stock options that are exercisable within 60 days of September 30, 2016.</w:t>
      </w:r>
    </w:p>
    <w:p>
      <w:pPr>
        <w:ind w:left="460" w:right="60" w:hanging="452"/>
        <w:spacing w:after="0" w:line="281"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(a) 471,332 shares of common stock held directly by Dr. Lydon, (b) 1,425,385 shares of common stock following conversion of convertible preferred stock held directly by Dr. Lydon, (c) 115,384 shares of common stock issuable upon the exercise of a warrant held directly by Dr. Lydon and</w:t>
      </w:r>
    </w:p>
    <w:p>
      <w:pPr>
        <w:spacing w:after="0" w:line="1" w:lineRule="exact"/>
        <w:rPr>
          <w:rFonts w:ascii="Arial" w:cs="Arial" w:eastAsia="Arial" w:hAnsi="Arial"/>
          <w:sz w:val="16"/>
          <w:szCs w:val="16"/>
          <w:color w:val="auto"/>
        </w:rPr>
      </w:pPr>
    </w:p>
    <w:p>
      <w:pPr>
        <w:ind w:left="460" w:right="440" w:hanging="6"/>
        <w:spacing w:after="0" w:line="250" w:lineRule="auto"/>
        <w:tabs>
          <w:tab w:leader="none" w:pos="71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217,088 shares of common stock issuable to Dr. Lydon upon the exercise of stock options that are exercisable within 60 days of September 30, 2016, of which 69,708 shares were unvested but were early exercisable, as of 60 days after September 30, 2016.</w:t>
      </w:r>
    </w:p>
    <w:p>
      <w:pPr>
        <w:ind w:left="460" w:right="40" w:hanging="452"/>
        <w:spacing w:after="0" w:line="265"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Represents 358,098 shares of common stock issuable to Mr. Renton upon the exercise of stock options that are exercisable within 60 days of September 30, 2016, of which 190,986 shares were unvested but were early exercisable, as of 60 days after September 30, 2016.</w:t>
      </w:r>
    </w:p>
    <w:p>
      <w:pPr>
        <w:ind w:left="460" w:hanging="452"/>
        <w:spacing w:after="0" w:line="265"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Represents 296,370 shares of common stock issuable to Mr. Schmid upon the exercise of stock options that are exercisable within 60 days of September 30, 2016, of which 176,490 shares were unvested but were early exercisable, as of 60 days after September 30, 2016.</w:t>
      </w:r>
    </w:p>
    <w:p>
      <w:pPr>
        <w:ind w:left="460" w:right="580" w:hanging="452"/>
        <w:spacing w:after="0" w:line="265"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Represents 296,365 shares of common stock issuable to Mr. Schoeneck upon the exercise of stock options that are exercisable within 60 days of September 30, 2016, of which 197,577 shares were unvested but were early exercisable, as of 60 days after September 30, 2016.</w:t>
      </w: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shares beneficially owned by our current executive officers and directors. Consists of (a) 471,332 shares of common stock,</w:t>
      </w:r>
    </w:p>
    <w:p>
      <w:pPr>
        <w:spacing w:after="0" w:line="9" w:lineRule="exact"/>
        <w:rPr>
          <w:rFonts w:ascii="Arial" w:cs="Arial" w:eastAsia="Arial" w:hAnsi="Arial"/>
          <w:sz w:val="18"/>
          <w:szCs w:val="18"/>
          <w:color w:val="auto"/>
        </w:rPr>
      </w:pPr>
    </w:p>
    <w:p>
      <w:pPr>
        <w:ind w:left="460" w:right="340" w:hanging="6"/>
        <w:spacing w:after="0" w:line="302" w:lineRule="auto"/>
        <w:tabs>
          <w:tab w:leader="none" w:pos="71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24,170,240 shares of common stock following conversion of convertible preferred stock, (c) 936,031 shares of common stock issuable upon the exercise of warrants and (d) 6,967,478 shares of common stock issuable upon the exercise of stock options that are exercisable within 60 days of September 30, 2016, of which 2,027,874 shares were unvested but early exercisable, as of 60 days after September 30, 2016.</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the closing of this offering, our authorized capital stock will consist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September 30, 2016, there were 99,115,774 shares of our common stock issued, held by approximately 78 stockholders of record, and no shares of our preferred stock outstanding. Our board of directors is authorized, without stockholder approval, to issue additional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 we had outstanding the following warrants to purchase shares of our capital stock:</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6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6"/>
              </w:rPr>
              <w:t>Exercise</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Per</w:t>
            </w: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46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4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822,386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November 2018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880" w:type="dxa"/>
            <w:vAlign w:val="bottom"/>
          </w:tcPr>
          <w:p>
            <w:pPr>
              <w:jc w:val="right"/>
              <w:spacing w:after="0"/>
              <w:rPr>
                <w:sz w:val="20"/>
                <w:szCs w:val="20"/>
                <w:color w:val="auto"/>
              </w:rPr>
            </w:pPr>
            <w:r>
              <w:rPr>
                <w:rFonts w:ascii="Arial" w:cs="Arial" w:eastAsia="Arial" w:hAnsi="Arial"/>
                <w:sz w:val="18"/>
                <w:szCs w:val="18"/>
                <w:color w:val="auto"/>
              </w:rPr>
              <w:t>1,775,022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0.65</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6"/>
              </w:rPr>
              <w:t>November 2018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0.65</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December 2024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September 30, 2016, we had outstanding options to purchase an aggregate 12,997,698 shares of our common stock, with a weighted-average exercise price of $0.59.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immediately following this offering, the holders of 83,530,921 shares of our common stock will be entitled to rights with respect to the registration of these shares under the Securities Act, as described below. We refer to these shares collectively as registrable securities.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60"/>
          </w:cols>
          <w:pgMar w:left="240" w:top="459" w:right="2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900" w:right="26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300" w:hanging="446"/>
        <w:spacing w:after="0" w:line="291"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900"/>
        <w:spacing w:after="0" w:line="323" w:lineRule="auto"/>
        <w:rPr>
          <w:rFonts w:ascii="Arial" w:cs="Arial" w:eastAsia="Arial" w:hAnsi="Arial"/>
          <w:sz w:val="16"/>
          <w:szCs w:val="16"/>
          <w:color w:val="auto"/>
        </w:rPr>
      </w:pPr>
      <w:r>
        <w:rPr>
          <w:rFonts w:ascii="Arial" w:cs="Arial" w:eastAsia="Arial" w:hAnsi="Arial"/>
          <w:sz w:val="16"/>
          <w:szCs w:val="16"/>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4" w:lineRule="exact"/>
        <w:rPr>
          <w:rFonts w:ascii="Arial" w:cs="Arial" w:eastAsia="Arial" w:hAnsi="Arial"/>
          <w:sz w:val="16"/>
          <w:szCs w:val="16"/>
          <w:color w:val="auto"/>
        </w:rPr>
      </w:pPr>
    </w:p>
    <w:p>
      <w:pPr>
        <w:jc w:val="both"/>
        <w:ind w:left="900" w:right="14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52" w:lineRule="exact"/>
        <w:rPr>
          <w:sz w:val="20"/>
          <w:szCs w:val="20"/>
          <w:color w:val="auto"/>
        </w:rPr>
      </w:pPr>
    </w:p>
    <w:p>
      <w:pPr>
        <w:ind w:left="900" w:hanging="446"/>
        <w:spacing w:after="0" w:line="276"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ind w:left="900" w:right="200" w:hanging="446"/>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Composition.”</w:t>
      </w:r>
    </w:p>
    <w:p>
      <w:pPr>
        <w:spacing w:after="0" w:line="92" w:lineRule="exact"/>
        <w:rPr>
          <w:rFonts w:ascii="Arial" w:cs="Arial" w:eastAsia="Arial" w:hAnsi="Arial"/>
          <w:sz w:val="18"/>
          <w:szCs w:val="18"/>
          <w:color w:val="auto"/>
        </w:rPr>
      </w:pPr>
    </w:p>
    <w:p>
      <w:pPr>
        <w:ind w:left="900" w:right="100" w:hanging="446"/>
        <w:spacing w:after="0" w:line="286"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will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restated bylaws or remove directors without holding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60" w:lineRule="exact"/>
        <w:rPr>
          <w:sz w:val="20"/>
          <w:szCs w:val="20"/>
          <w:color w:val="auto"/>
        </w:rPr>
      </w:pPr>
    </w:p>
    <w:p>
      <w:pPr>
        <w:ind w:left="900" w:right="60" w:hanging="446"/>
        <w:spacing w:after="0" w:line="255"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jc w:val="both"/>
        <w:ind w:left="900" w:right="200" w:hanging="446"/>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will not provide for cumulative voting.</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the Court of Chancery of the State of Delaware will be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common stock will be American Stock Transfer and Trust Company, LLC. The transfer agent’s address is 6201 15th Avenue, Brooklyn, New York 11219, and its telephone number is (800) 937-5449.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“ANAB.”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Upon the closing of this offering, we will have a total of shares of our common stock outstanding, based on the 99,115,774 shares of our capital stock outstanding as of September 30, 2016, assuming the automatic conversion of all outstanding shares of our convertible preferred stock into 80,645,051 shares of common stock as of immediately prior to the closing of this offering. Of these outstanding shares, all of the shares of common</w:t>
      </w:r>
    </w:p>
    <w:p>
      <w:pPr>
        <w:ind w:right="160"/>
        <w:spacing w:after="0" w:line="261" w:lineRule="auto"/>
        <w:rPr>
          <w:sz w:val="20"/>
          <w:szCs w:val="20"/>
          <w:color w:val="auto"/>
        </w:rPr>
      </w:pPr>
      <w:r>
        <w:rPr>
          <w:rFonts w:ascii="Arial" w:cs="Arial" w:eastAsia="Arial" w:hAnsi="Arial"/>
          <w:sz w:val="18"/>
          <w:szCs w:val="18"/>
          <w:color w:val="auto"/>
        </w:rPr>
        <w:t>stock sold in this offering will be freely tradable, except that any shares purchased in this offering by our affiliates, as that term is defined in Rule 144 under the Securities Act, could only be sold in compliance with Rule 144.</w:t>
      </w:r>
    </w:p>
    <w:p>
      <w:pPr>
        <w:spacing w:after="0" w:line="18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w:t>
      </w:r>
    </w:p>
    <w:p>
      <w:pPr>
        <w:spacing w:after="0" w:line="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8"/>
          <w:szCs w:val="18"/>
          <w:color w:val="auto"/>
        </w:rPr>
        <w:t>shares will be available for sale in the public market as follows:</w:t>
      </w:r>
    </w:p>
    <w:p>
      <w:pPr>
        <w:spacing w:after="0" w:line="238"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Beginning on the date of this prospectus, all of the shares sold in this offering will be immediately available for sale in the public market; and</w:t>
      </w:r>
    </w:p>
    <w:p>
      <w:pPr>
        <w:sectPr>
          <w:pgSz w:w="11900" w:h="16838" w:orient="portrait"/>
          <w:cols w:equalWidth="0" w:num="1">
            <w:col w:w="11400"/>
          </w:cols>
          <w:pgMar w:left="240" w:top="459" w:right="259" w:bottom="1440" w:gutter="0" w:footer="0" w:header="0"/>
        </w:sect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1140"/>
        <w:spacing w:after="0" w:line="308" w:lineRule="auto"/>
        <w:rPr>
          <w:sz w:val="20"/>
          <w:szCs w:val="20"/>
          <w:color w:val="auto"/>
        </w:rPr>
      </w:pPr>
      <w:r>
        <w:rPr>
          <w:rFonts w:ascii="Arial" w:cs="Arial" w:eastAsia="Arial" w:hAnsi="Arial"/>
          <w:sz w:val="17"/>
          <w:szCs w:val="17"/>
          <w:color w:val="auto"/>
        </w:rPr>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200" w:lineRule="exact"/>
        <w:rPr>
          <w:sz w:val="20"/>
          <w:szCs w:val="20"/>
          <w:color w:val="auto"/>
        </w:rPr>
      </w:pPr>
    </w:p>
    <w:p>
      <w:pPr>
        <w:sectPr>
          <w:pgSz w:w="11900" w:h="16838" w:orient="portrait"/>
          <w:cols w:equalWidth="0" w:num="2">
            <w:col w:w="520" w:space="380"/>
            <w:col w:w="10500"/>
          </w:cols>
          <w:pgMar w:left="240" w:top="459" w:right="25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Credit Suisse Securities (USA) LLC and Stifel, Nicolaus &amp; Company, Incorporated. See “Underwriting.”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400"/>
          </w:cols>
          <w:pgMar w:left="240" w:top="459" w:right="259" w:bottom="1440" w:gutter="0" w:footer="0" w:header="0"/>
        </w:sectPr>
      </w:pPr>
    </w:p>
    <w:p>
      <w:pPr>
        <w:spacing w:after="0" w:line="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shares or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immediately after this offering;</w:t>
      </w:r>
    </w:p>
    <w:p>
      <w:pPr>
        <w:spacing w:after="0" w:line="369" w:lineRule="exact"/>
        <w:rPr>
          <w:sz w:val="20"/>
          <w:szCs w:val="20"/>
          <w:color w:val="auto"/>
        </w:rPr>
      </w:pPr>
    </w:p>
    <w:p>
      <w:pPr>
        <w:sectPr>
          <w:pgSz w:w="11900" w:h="16838" w:orient="portrait"/>
          <w:cols w:equalWidth="0" w:num="3">
            <w:col w:w="520" w:space="380"/>
            <w:col w:w="7680" w:space="540"/>
            <w:col w:w="2280"/>
          </w:cols>
          <w:pgMar w:left="240" w:top="459" w:right="259" w:bottom="1440" w:gutter="0" w:footer="0" w:header="0"/>
          <w:type w:val="continuous"/>
        </w:sectPr>
      </w:pPr>
    </w:p>
    <w:p>
      <w:pPr>
        <w:ind w:left="900" w:right="52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12,997,698 shares of our common stock that were subject to stock options outstanding as of September 30, 2016, options to purchase 6,076,474 shares of common stock were vested as of September 30, 2016. Shares of our common stock underlying outstanding options will not be eligible for sale until expiration of the 180 day lock-up and market standoff agreements to which they are subject. See the section titled “Executive Compensation—Employee Benefit and Stock Plans” for a description of our equity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tax purposes (or investors in such entities);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ind w:left="900" w:right="480" w:hanging="446"/>
        <w:spacing w:after="0" w:line="286"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0" w:lineRule="exact"/>
        <w:rPr>
          <w:rFonts w:ascii="Arial" w:cs="Arial" w:eastAsia="Arial" w:hAnsi="Arial"/>
          <w:sz w:val="17"/>
          <w:szCs w:val="17"/>
          <w:color w:val="auto"/>
        </w:rPr>
      </w:pPr>
    </w:p>
    <w:p>
      <w:pPr>
        <w:ind w:left="900" w:right="280" w:hanging="446"/>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w:t>
      </w:r>
    </w:p>
    <w:p>
      <w:pPr>
        <w:spacing w:after="0" w:line="18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withholding provisions described above generally apply to proceeds from a sale or other disposition of common stock if such sale or other disposition occurs on or after January 1, 2017 and to payments of dividends on our common stock.</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7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92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700" w:type="dxa"/>
            <w:vAlign w:val="bottom"/>
          </w:tcPr>
          <w:p>
            <w:pPr>
              <w:spacing w:after="0"/>
              <w:rPr>
                <w:sz w:val="24"/>
                <w:szCs w:val="24"/>
                <w:color w:val="auto"/>
              </w:rPr>
            </w:pPr>
          </w:p>
        </w:tc>
      </w:tr>
      <w:tr>
        <w:trPr>
          <w:trHeight w:val="432"/>
        </w:trPr>
        <w:tc>
          <w:tcPr>
            <w:tcW w:w="7280" w:type="dxa"/>
            <w:vAlign w:val="bottom"/>
            <w:gridSpan w:val="2"/>
          </w:tcPr>
          <w:p>
            <w:pPr>
              <w:ind w:left="460"/>
              <w:spacing w:after="0"/>
              <w:rPr>
                <w:sz w:val="20"/>
                <w:szCs w:val="20"/>
                <w:color w:val="auto"/>
              </w:rPr>
            </w:pPr>
            <w:r>
              <w:rPr>
                <w:rFonts w:ascii="Arial" w:cs="Arial" w:eastAsia="Arial" w:hAnsi="Arial"/>
                <w:sz w:val="18"/>
                <w:szCs w:val="18"/>
                <w:color w:val="auto"/>
                <w:w w:val="93"/>
              </w:rPr>
              <w:t>We and the underwriters named below have entered into an underwriting agreement, dated</w:t>
            </w:r>
          </w:p>
        </w:tc>
        <w:tc>
          <w:tcPr>
            <w:tcW w:w="3700" w:type="dxa"/>
            <w:vAlign w:val="bottom"/>
          </w:tcPr>
          <w:p>
            <w:pPr>
              <w:ind w:left="280"/>
              <w:spacing w:after="0"/>
              <w:rPr>
                <w:sz w:val="20"/>
                <w:szCs w:val="20"/>
                <w:color w:val="auto"/>
              </w:rPr>
            </w:pPr>
            <w:r>
              <w:rPr>
                <w:rFonts w:ascii="Arial" w:cs="Arial" w:eastAsia="Arial" w:hAnsi="Arial"/>
                <w:sz w:val="18"/>
                <w:szCs w:val="18"/>
                <w:color w:val="auto"/>
                <w:w w:val="89"/>
              </w:rPr>
              <w:t>, 2016, with respect to the shares being offered.</w:t>
            </w:r>
          </w:p>
        </w:tc>
      </w:tr>
    </w:tbl>
    <w:p>
      <w:pPr>
        <w:ind w:right="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certain conditions, each underwriter has severally agreed to purchase the number of shares indicated in the following table. Credit Suisse Securities (USA) LLC and Stifel, Nicolaus &amp; Company, Incorporated, are the representatives of the underwriters.</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2940" w:type="dxa"/>
            <w:vAlign w:val="bottom"/>
            <w:gridSpan w:val="2"/>
          </w:tcPr>
          <w:p>
            <w:pPr>
              <w:ind w:left="1780"/>
              <w:spacing w:after="0"/>
              <w:rPr>
                <w:sz w:val="20"/>
                <w:szCs w:val="20"/>
                <w:color w:val="auto"/>
              </w:rPr>
            </w:pPr>
            <w:r>
              <w:rPr>
                <w:rFonts w:ascii="Arial" w:cs="Arial" w:eastAsia="Arial" w:hAnsi="Arial"/>
                <w:sz w:val="14"/>
                <w:szCs w:val="14"/>
                <w:b w:val="1"/>
                <w:bCs w:val="1"/>
                <w:color w:val="auto"/>
                <w:w w:val="92"/>
              </w:rPr>
              <w:t>Number of Shares</w:t>
            </w: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Credit Suisse Securities (USA) LLC</w:t>
            </w:r>
          </w:p>
        </w:tc>
        <w:tc>
          <w:tcPr>
            <w:tcW w:w="17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7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7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1160" w:type="dxa"/>
            <w:vAlign w:val="bottom"/>
            <w:tcBorders>
              <w:bottom w:val="single" w:sz="8" w:color="auto"/>
              <w:right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our common stock directly to the public at the initial public offering price set forth on the cover of this</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420" w:type="dxa"/>
            <w:vAlign w:val="bottom"/>
            <w:gridSpan w:val="2"/>
          </w:tcPr>
          <w:p>
            <w:pPr>
              <w:jc w:val="right"/>
              <w:spacing w:after="0"/>
              <w:rPr>
                <w:sz w:val="20"/>
                <w:szCs w:val="20"/>
                <w:color w:val="auto"/>
              </w:rPr>
            </w:pPr>
            <w:r>
              <w:rPr>
                <w:rFonts w:ascii="Arial" w:cs="Arial" w:eastAsia="Arial" w:hAnsi="Arial"/>
                <w:sz w:val="14"/>
                <w:szCs w:val="14"/>
                <w:b w:val="1"/>
                <w:bCs w:val="1"/>
                <w:color w:val="auto"/>
              </w:rPr>
              <w:t>No Exercise</w:t>
            </w:r>
          </w:p>
        </w:tc>
        <w:tc>
          <w:tcPr>
            <w:tcW w:w="1860" w:type="dxa"/>
            <w:vAlign w:val="bottom"/>
            <w:gridSpan w:val="3"/>
          </w:tcPr>
          <w:p>
            <w:pPr>
              <w:ind w:left="94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w:t>
      </w:r>
    </w:p>
    <w:p>
      <w:pPr>
        <w:spacing w:after="0" w:line="4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excluding underwriting discounts and commissions, will be approximately $ , all of which will be paid by us. We have agreed to reimburse the underwriters for certain of their expenses incurred in connection with the clearance of this offering with the Financial Industry Regulatory Authority, Inc., in an amount up to $35,000. If after the initial closing of this offering, but before the underwriters have exercised their option to purchase additional shares, we terminate the underwriting agreement, or if we are unable to perform on our obligations under the underwriting agreement and the underwriters terminate the agreement, we have agreed to reimburse the underwriters for certain expenses incurred in connection with this offering in an amount up to $50,000.</w:t>
      </w:r>
    </w:p>
    <w:p>
      <w:pPr>
        <w:spacing w:after="0" w:line="16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46"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and Stifel, Nicolaus &amp; Company, Incorporated; provided that Credit Suisse Securities (USA) LLC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conversion of outstanding shares of preferred stock into shares of common stock; or</w:t>
      </w:r>
    </w:p>
    <w:p>
      <w:pPr>
        <w:spacing w:after="0" w:line="130" w:lineRule="exact"/>
        <w:rPr>
          <w:rFonts w:ascii="Arial" w:cs="Arial" w:eastAsia="Arial" w:hAnsi="Arial"/>
          <w:sz w:val="18"/>
          <w:szCs w:val="18"/>
          <w:color w:val="auto"/>
        </w:rPr>
      </w:pPr>
    </w:p>
    <w:p>
      <w:pPr>
        <w:ind w:left="900" w:right="420" w:hanging="446"/>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Prior to the offering, there has been no public market for our common stock. The initial public offering price will be negotiated among us and the representatives. Among the factors to be considered in determining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Our common stock has been approved for listing on the Nasdaq Global Select Market under the symbol “ANAB.” 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 counter market or otherwise.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the underwriters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60"/>
          </w:cols>
          <w:pgMar w:left="240" w:top="460" w:right="2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76"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40"/>
          </w:cols>
          <w:pgMar w:left="240" w:top="460" w:right="3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 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and the representatives and their affiliates will rely upon the truth and accuracy of the foregoing representations, acknowledgements and agreements.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76" w:lineRule="exact"/>
        <w:rPr>
          <w:sz w:val="20"/>
          <w:szCs w:val="20"/>
          <w:color w:val="auto"/>
        </w:rPr>
      </w:pPr>
    </w:p>
    <w:p>
      <w:pPr>
        <w:ind w:left="900" w:right="1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The common stock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xml:space="preserve">. Any resale of the common stock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w:t>
      </w:r>
      <w:r>
        <w:rPr>
          <w:rFonts w:ascii="Arial" w:cs="Arial" w:eastAsia="Arial" w:hAnsi="Arial"/>
          <w:sz w:val="17"/>
          <w:szCs w:val="17"/>
          <w:i w:val="1"/>
          <w:iCs w:val="1"/>
          <w:color w:val="auto"/>
        </w:rPr>
        <w:t xml:space="preserve">Underwriting Conflicts </w:t>
      </w:r>
      <w:r>
        <w:rPr>
          <w:rFonts w:ascii="Arial" w:cs="Arial" w:eastAsia="Arial" w:hAnsi="Arial"/>
          <w:sz w:val="17"/>
          <w:szCs w:val="17"/>
          <w:color w:val="auto"/>
        </w:rPr>
        <w:t>(NI 33-105), the underwriters are not required to comply with the disclosure requirements of NI 33-105 regarding underwriter</w:t>
      </w:r>
      <w:r>
        <w:rPr>
          <w:rFonts w:ascii="Arial" w:cs="Arial" w:eastAsia="Arial" w:hAnsi="Arial"/>
          <w:sz w:val="17"/>
          <w:szCs w:val="17"/>
          <w:i w:val="1"/>
          <w:iCs w:val="1"/>
          <w:color w:val="auto"/>
        </w:rPr>
        <w:t xml:space="preserve"> </w:t>
      </w:r>
      <w:r>
        <w:rPr>
          <w:rFonts w:ascii="Arial" w:cs="Arial" w:eastAsia="Arial" w:hAnsi="Arial"/>
          <w:sz w:val="17"/>
          <w:szCs w:val="17"/>
          <w:color w:val="auto"/>
        </w:rPr>
        <w:t>conflicts of interest in connection with this offering.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or the Corporations Act;</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securities offered by this prospectus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right="40" w:firstLine="8"/>
        <w:spacing w:after="0" w:line="270" w:lineRule="auto"/>
        <w:tabs>
          <w:tab w:leader="none" w:pos="2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Warning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Wherethe securities are subscribed or purchased under Section 275 of the SFA by a relevant person which is:</w:t>
      </w:r>
    </w:p>
    <w:p>
      <w:pPr>
        <w:spacing w:after="0" w:line="131" w:lineRule="exact"/>
        <w:rPr>
          <w:sz w:val="20"/>
          <w:szCs w:val="20"/>
          <w:color w:val="auto"/>
        </w:rPr>
      </w:pPr>
    </w:p>
    <w:p>
      <w:pPr>
        <w:ind w:left="90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567"/>
        <w:spacing w:after="0" w:line="277" w:lineRule="auto"/>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60" w:firstLine="8"/>
        <w:spacing w:after="0" w:line="261"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w:t>
      </w:r>
    </w:p>
    <w:p>
      <w:pPr>
        <w:spacing w:after="0" w:line="3" w:lineRule="exact"/>
        <w:rPr>
          <w:sz w:val="20"/>
          <w:szCs w:val="20"/>
          <w:color w:val="auto"/>
        </w:rPr>
      </w:pPr>
    </w:p>
    <w:p>
      <w:pPr>
        <w:jc w:val="both"/>
        <w:ind w:right="20" w:firstLine="8"/>
        <w:spacing w:after="0" w:line="253" w:lineRule="auto"/>
        <w:tabs>
          <w:tab w:leader="none" w:pos="3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52" w:lineRule="exact"/>
        <w:rPr>
          <w:sz w:val="20"/>
          <w:szCs w:val="20"/>
          <w:color w:val="auto"/>
        </w:rPr>
      </w:pPr>
    </w:p>
    <w:p>
      <w:pPr>
        <w:ind w:left="900" w:right="280" w:hanging="446"/>
        <w:spacing w:after="0" w:line="25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wholly-owned subsidiary of a bank, mutual bank, authorised services provider or financial institution, acting as agent in the capacity of an authorised portfolio manager for a pension fund (duly registered in South Africa), or as manager for a collective investment scheme (registered in South Africa);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financial statements of AnaptysBio, Inc. as of December 31, 2014 and 2015, and for each of the years in the two-year period ended December 31, 2015,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70">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1">
              <w:r>
                <w:rPr>
                  <w:rFonts w:ascii="Arial" w:cs="Arial" w:eastAsia="Arial" w:hAnsi="Arial"/>
                  <w:sz w:val="18"/>
                  <w:szCs w:val="18"/>
                  <w:color w:val="0000EE"/>
                  <w:w w:val="88"/>
                </w:rPr>
                <w:t>Consolidated Balance Sheets as of December 31, 2014 and 2015</w:t>
              </w:r>
            </w:hyperlink>
          </w:p>
        </w:tc>
        <w:tc>
          <w:tcPr>
            <w:tcW w:w="62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72">
              <w:r>
                <w:rPr>
                  <w:rFonts w:ascii="Arial" w:cs="Arial" w:eastAsia="Arial" w:hAnsi="Arial"/>
                  <w:sz w:val="18"/>
                  <w:szCs w:val="18"/>
                  <w:color w:val="0000EE"/>
                  <w:w w:val="89"/>
                </w:rPr>
                <w:t>Consolidated Statements of Operations for the Years ended December 31, 2014 and 2015</w:t>
              </w:r>
            </w:hyperlink>
          </w:p>
        </w:tc>
        <w:tc>
          <w:tcPr>
            <w:tcW w:w="444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Consolidated Statements of Convertible Preferred Stock and Stockholders’ Deficit for the Years ended December 31, 2014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74">
              <w:r>
                <w:rPr>
                  <w:rFonts w:ascii="Arial" w:cs="Arial" w:eastAsia="Arial" w:hAnsi="Arial"/>
                  <w:sz w:val="18"/>
                  <w:szCs w:val="18"/>
                  <w:color w:val="0000EE"/>
                  <w:w w:val="89"/>
                </w:rPr>
                <w:t>Consolidated Statements of Cash Flows for the Years ended December 31, 2014 and 2015</w:t>
              </w:r>
            </w:hyperlink>
          </w:p>
        </w:tc>
        <w:tc>
          <w:tcPr>
            <w:tcW w:w="3000" w:type="dxa"/>
            <w:vAlign w:val="bottom"/>
            <w:tcBorders>
              <w:top w:val="single" w:sz="8" w:color="0000EE"/>
            </w:tcBorders>
            <w:gridSpan w:val="4"/>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Notes to Consolidated Financial Statements</w:t>
              </w:r>
            </w:hyperlink>
          </w:p>
        </w:tc>
        <w:tc>
          <w:tcPr>
            <w:tcW w:w="776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Unaudited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94">
              <w:r>
                <w:rPr>
                  <w:rFonts w:ascii="Arial" w:cs="Arial" w:eastAsia="Arial" w:hAnsi="Arial"/>
                  <w:sz w:val="18"/>
                  <w:szCs w:val="18"/>
                  <w:color w:val="0000EE"/>
                </w:rPr>
                <w:t>Consolidated Balance Sheets as of December 31, 2015 and September 30, 2016 (unaudited)</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3960" w:type="dxa"/>
            <w:vAlign w:val="bottom"/>
            <w:gridSpan w:val="2"/>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95">
              <w:r>
                <w:rPr>
                  <w:rFonts w:ascii="Arial" w:cs="Arial" w:eastAsia="Arial" w:hAnsi="Arial"/>
                  <w:sz w:val="18"/>
                  <w:szCs w:val="18"/>
                  <w:color w:val="0000EE"/>
                  <w:w w:val="90"/>
                </w:rPr>
                <w:t>Unaudited Consolidated Statements of Operations for the Nine Months Ended September 30, 2015 and 2016</w:t>
              </w:r>
            </w:hyperlink>
          </w:p>
        </w:tc>
        <w:tc>
          <w:tcPr>
            <w:tcW w:w="30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Unaudited Consolidated Statements of Cash Flows for the Nine Months Ended September 30, 2015 and 2016</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7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Notes to Unaudited Consolidated Financial Statements</w:t>
              </w:r>
            </w:hyperlink>
          </w:p>
        </w:tc>
        <w:tc>
          <w:tcPr>
            <w:tcW w:w="30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3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gridSpan w:val="7"/>
          </w:tcPr>
          <w:p>
            <w:pPr>
              <w:ind w:left="9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AnaptysBio, Inc. and subsidiary as of December 31, 2014 and 2015, and the related consolidated statements of operations, convertible preferred stock and stockholders’ deficit, and cash flows for each of the years in the two-year period ended December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AnaptysBio, Inc. and subsidiary as of December 31, 2014 and 2015, and the results of their operations and their cash flows for each of the years in the two-year period ended December 31, 2015, in conformity with U.S. generally accepted accounting principles.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4"/>
              </w:rPr>
              <w:t>ASSETS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51,684</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53,464</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56,280</w:t>
            </w:r>
          </w:p>
        </w:tc>
        <w:tc>
          <w:tcPr>
            <w:tcW w:w="10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95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b w:val="1"/>
                <w:bCs w:val="1"/>
                <w:color w:val="auto"/>
              </w:rPr>
              <w:t>LIABILITIES, CONVERTIBLE PREFERRED STOCK AND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8"/>
        </w:trPr>
        <w:tc>
          <w:tcPr>
            <w:tcW w:w="9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DEFICIT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w w:val="90"/>
              </w:rPr>
              <w:t>Series B convertible preferred stock, $0.001 par value, 27,743 shares authorized, issued and outstanding at December 31, 2014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2015; aggregate liquidation preference at December 31, 2015 of $24,991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28,220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28,220</w:t>
            </w: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C convertible preferred stock, $0.001 par value, 13,211 shares authorized, 11,147 shares issued and outstanding at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2014 and 2015; aggregate liquidation preference at December 31, 2015 of $7,246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CEEFF"/>
          </w:tcPr>
          <w:p>
            <w:pPr>
              <w:spacing w:after="0"/>
              <w:rPr>
                <w:sz w:val="20"/>
                <w:szCs w:val="20"/>
                <w:color w:val="auto"/>
              </w:rPr>
            </w:pP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w w:val="92"/>
              </w:rPr>
              <w:t>Series C-1 convertible preferred stock, $0.001 par value, 3,318 shares authorized, issued and outstanding at December 31, 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and 2015, respectively; aggregate liquidation preference at December 31, 2015 of $6,470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0"/>
                <w:szCs w:val="20"/>
                <w:color w:val="auto"/>
              </w:rPr>
            </w:pP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D convertible preferred stock, $0.001 par value, 38,437 shares authorized, no shares and 38,437 shares issued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outstanding at December 31, 2014 and 2015, respectively; aggregate liquidation preference at December 31, 2015 of $40,767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40,688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$0.001 par value, 120,500 shares authorized, 17,368 shares and 18,407 shares issued and outstanding at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2014 and 2015, respectively</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14,407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15,467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(45,259)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(50,664)</w:t>
            </w:r>
          </w:p>
        </w:tc>
      </w:tr>
      <w:tr>
        <w:trPr>
          <w:trHeight w:val="230"/>
        </w:trPr>
        <w:tc>
          <w:tcPr>
            <w:tcW w:w="956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(30,835)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(35,179)</w:t>
            </w:r>
          </w:p>
        </w:tc>
        <w:tc>
          <w:tcPr>
            <w:tcW w:w="100" w:type="dxa"/>
            <w:vAlign w:val="bottom"/>
          </w:tcPr>
          <w:p>
            <w:pPr>
              <w:spacing w:after="0"/>
              <w:rPr>
                <w:sz w:val="20"/>
                <w:szCs w:val="20"/>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56,280</w:t>
            </w:r>
          </w:p>
        </w:tc>
      </w:tr>
      <w:tr>
        <w:trPr>
          <w:trHeight w:val="20"/>
        </w:trPr>
        <w:tc>
          <w:tcPr>
            <w:tcW w:w="9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Year Ended</w:t>
      </w:r>
    </w:p>
    <w:p>
      <w:pPr>
        <w:jc w:val="center"/>
        <w:ind w:left="9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15,838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2,354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10,968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106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(3,300)</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17,368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Pro forma weighted-average number of shares outstanding (unaudited):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77,926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5"/>
          </w:tcPr>
          <w:p>
            <w:pPr>
              <w:ind w:left="300"/>
              <w:spacing w:after="0"/>
              <w:rPr>
                <w:sz w:val="20"/>
                <w:szCs w:val="20"/>
                <w:color w:val="auto"/>
              </w:rPr>
            </w:pPr>
            <w:r>
              <w:rPr>
                <w:rFonts w:ascii="Arial" w:cs="Arial" w:eastAsia="Arial" w:hAnsi="Arial"/>
                <w:sz w:val="14"/>
                <w:szCs w:val="14"/>
                <w:b w:val="1"/>
                <w:bCs w:val="1"/>
                <w:color w:val="auto"/>
              </w:rPr>
              <w:t>Series B</w:t>
            </w:r>
          </w:p>
        </w:tc>
        <w:tc>
          <w:tcPr>
            <w:tcW w:w="12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Series C</w:t>
            </w:r>
          </w:p>
        </w:tc>
        <w:tc>
          <w:tcPr>
            <w:tcW w:w="1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Series C-1</w:t>
            </w:r>
          </w:p>
        </w:tc>
        <w:tc>
          <w:tcPr>
            <w:tcW w:w="1240" w:type="dxa"/>
            <w:vAlign w:val="bottom"/>
            <w:gridSpan w:val="6"/>
          </w:tcPr>
          <w:p>
            <w:pPr>
              <w:ind w:left="300"/>
              <w:spacing w:after="0"/>
              <w:rPr>
                <w:sz w:val="20"/>
                <w:szCs w:val="20"/>
                <w:color w:val="auto"/>
              </w:rPr>
            </w:pPr>
            <w:r>
              <w:rPr>
                <w:rFonts w:ascii="Arial" w:cs="Arial" w:eastAsia="Arial" w:hAnsi="Arial"/>
                <w:sz w:val="14"/>
                <w:szCs w:val="14"/>
                <w:b w:val="1"/>
                <w:bCs w:val="1"/>
                <w:color w:val="auto"/>
              </w:rPr>
              <w:t>Series 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Additional</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6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Convertible</w:t>
            </w:r>
          </w:p>
        </w:tc>
        <w:tc>
          <w:tcPr>
            <w:tcW w:w="12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40" w:type="dxa"/>
            <w:vAlign w:val="bottom"/>
            <w:gridSpan w:val="6"/>
          </w:tcPr>
          <w:p>
            <w:pPr>
              <w:ind w:left="180"/>
              <w:spacing w:after="0" w:line="149" w:lineRule="exact"/>
              <w:rPr>
                <w:sz w:val="20"/>
                <w:szCs w:val="20"/>
                <w:color w:val="auto"/>
              </w:rPr>
            </w:pPr>
            <w:r>
              <w:rPr>
                <w:rFonts w:ascii="Arial" w:cs="Arial" w:eastAsia="Arial" w:hAnsi="Arial"/>
                <w:sz w:val="14"/>
                <w:szCs w:val="14"/>
                <w:b w:val="1"/>
                <w:bCs w:val="1"/>
                <w:color w:val="auto"/>
              </w:rPr>
              <w:t>Convertible</w:t>
            </w:r>
          </w:p>
        </w:tc>
        <w:tc>
          <w:tcPr>
            <w:tcW w:w="112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w w:val="99"/>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5"/>
          </w:tcPr>
          <w:p>
            <w:pPr>
              <w:ind w:left="80"/>
              <w:spacing w:after="0"/>
              <w:rPr>
                <w:sz w:val="20"/>
                <w:szCs w:val="20"/>
                <w:color w:val="auto"/>
              </w:rPr>
            </w:pPr>
            <w:r>
              <w:rPr>
                <w:rFonts w:ascii="Arial" w:cs="Arial" w:eastAsia="Arial" w:hAnsi="Arial"/>
                <w:sz w:val="14"/>
                <w:szCs w:val="14"/>
                <w:b w:val="1"/>
                <w:bCs w:val="1"/>
                <w:color w:val="auto"/>
              </w:rPr>
              <w:t>Preferred Stock</w:t>
            </w:r>
          </w:p>
        </w:tc>
        <w:tc>
          <w:tcPr>
            <w:tcW w:w="1240" w:type="dxa"/>
            <w:vAlign w:val="bottom"/>
            <w:gridSpan w:val="5"/>
          </w:tcPr>
          <w:p>
            <w:pPr>
              <w:ind w:left="60"/>
              <w:spacing w:after="0"/>
              <w:rPr>
                <w:sz w:val="20"/>
                <w:szCs w:val="20"/>
                <w:color w:val="auto"/>
              </w:rPr>
            </w:pPr>
            <w:r>
              <w:rPr>
                <w:rFonts w:ascii="Arial" w:cs="Arial" w:eastAsia="Arial" w:hAnsi="Arial"/>
                <w:sz w:val="14"/>
                <w:szCs w:val="14"/>
                <w:b w:val="1"/>
                <w:bCs w:val="1"/>
                <w:color w:val="auto"/>
              </w:rPr>
              <w:t>Preferred Stock</w:t>
            </w:r>
          </w:p>
        </w:tc>
        <w:tc>
          <w:tcPr>
            <w:tcW w:w="1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2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7"/>
              </w:rPr>
              <w:t>Preferred Stock</w:t>
            </w:r>
          </w:p>
        </w:tc>
        <w:tc>
          <w:tcPr>
            <w:tcW w:w="11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1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40" w:type="dxa"/>
            <w:vAlign w:val="bottom"/>
          </w:tcPr>
          <w:p>
            <w:pPr>
              <w:spacing w:after="0"/>
              <w:rPr>
                <w:sz w:val="12"/>
                <w:szCs w:val="12"/>
                <w:color w:val="auto"/>
              </w:rPr>
            </w:pPr>
          </w:p>
        </w:tc>
        <w:tc>
          <w:tcPr>
            <w:tcW w:w="108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2014</w:t>
            </w:r>
          </w:p>
        </w:tc>
        <w:tc>
          <w:tcPr>
            <w:tcW w:w="4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8"/>
              </w:rPr>
              <w:t>27,743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$ 28,220</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8"/>
              </w:rPr>
              <w:t>11,147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6,452</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17,368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14,247</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(48,791)</w:t>
            </w:r>
          </w:p>
        </w:tc>
        <w:tc>
          <w:tcPr>
            <w:tcW w:w="200" w:type="dxa"/>
            <w:vAlign w:val="bottom"/>
            <w:tcBorders>
              <w:top w:val="single" w:sz="8" w:color="CCEEFF"/>
            </w:tcBorders>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(34,527)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w w:val="96"/>
              </w:rPr>
              <w:t>Conversion of promissory notes payable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140"/>
              <w:spacing w:after="0" w:line="149" w:lineRule="exact"/>
              <w:rPr>
                <w:sz w:val="20"/>
                <w:szCs w:val="20"/>
                <w:color w:val="auto"/>
              </w:rPr>
            </w:pPr>
            <w:r>
              <w:rPr>
                <w:rFonts w:ascii="Arial" w:cs="Arial" w:eastAsia="Arial" w:hAnsi="Arial"/>
                <w:sz w:val="14"/>
                <w:szCs w:val="14"/>
                <w:color w:val="auto"/>
                <w:w w:val="96"/>
              </w:rPr>
              <w:t>to related parties into shares of Series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C-1 Preferred Stock</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1"/>
              </w:rPr>
              <w:t>3,318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2,156</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6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3,532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2014</w:t>
            </w:r>
          </w:p>
        </w:tc>
        <w:tc>
          <w:tcPr>
            <w:tcW w:w="5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27,743</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28,220</w:t>
            </w: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11,147</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6,452</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3,318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2,156</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14,407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(45,259)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Issuance of Series D Preferred Stock</w:t>
            </w: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38,437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40,688</w:t>
            </w: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warrants</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297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Shares issued under employee stock</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plans</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1,039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159</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604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420" w:type="dxa"/>
            <w:vAlign w:val="bottom"/>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(5,405)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2015</w:t>
            </w: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27,743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$ 28,220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8"/>
              </w:rPr>
              <w:t>11,147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6,452</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3,318</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2,156</w:t>
            </w:r>
          </w:p>
        </w:tc>
        <w:tc>
          <w:tcPr>
            <w:tcW w:w="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38,437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40,688</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18,407</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15,467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(50,664)</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3,532</w:t>
            </w:r>
          </w:p>
        </w:tc>
        <w:tc>
          <w:tcPr>
            <w:tcW w:w="3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10,730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14,603</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notes payable, net of costs to issue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 net of costs to issue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Payments for deferred financing costs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increase (decrease) in cash</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19,378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51,684</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9"/>
              </w:rPr>
              <w:t>Conversion of convertible promissory notes payable to related parties into shares of Series C-1 Preferred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Reclassification of warrants to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Amounts accrued for property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Amounts accrued for deferred financing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and have, aside from the year ended December 31, 2014, incurred losses and negative cash flows from operations through the year ended December 31, 2015 and have an accumulated deficit at December 31, 2015 of $50.7 million. Through 2015, all of our financial support has been provided primarily from the sale of our common and preferred stock and proceeds from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At December 31, 2014 and 2015, we held restricted cash of $85,000 and $60,000, respectively, used to secure a letter of credit provided as security for our operating leases for our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Property and equipment is carried at cost.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2014 or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During the year ended December 31, 2015, we incurred an aggregate of $2.2 million in direct costs related to our anticipated public offering of common stock. These costs were deferred and recorded as a long-term asset at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 and Operating Lease Incentives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80" w:hanging="325"/>
        <w:spacing w:after="0" w:line="258"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right="220" w:hanging="325"/>
        <w:spacing w:after="0" w:line="298"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($0.2) million during the year ended December 31,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6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2015 or the original issuance date, if later.</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9"/>
              </w:rPr>
              <w:t>(Loss)</w:t>
            </w: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6140" w:type="dxa"/>
            <w:vAlign w:val="bottom"/>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(Denominator)</w:t>
            </w:r>
          </w:p>
        </w:tc>
        <w:tc>
          <w:tcPr>
            <w:tcW w:w="2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3,532</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(3,300)</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 and diluted net income attributed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17,368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720"/>
              <w:spacing w:after="0"/>
              <w:rPr>
                <w:sz w:val="20"/>
                <w:szCs w:val="20"/>
                <w:color w:val="auto"/>
              </w:rPr>
            </w:pPr>
            <w:r>
              <w:rPr>
                <w:rFonts w:ascii="Arial" w:cs="Arial" w:eastAsia="Arial" w:hAnsi="Arial"/>
                <w:sz w:val="18"/>
                <w:szCs w:val="18"/>
                <w:color w:val="auto"/>
              </w:rPr>
              <w:t>Basic and diluted net loss attributed to common stockholders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(5,405)</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17,857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(0.30)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Year Ended December 31, 2015 (unaudited)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(5,405)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360"/>
              <w:spacing w:after="0" w:line="201" w:lineRule="exact"/>
              <w:rPr>
                <w:sz w:val="20"/>
                <w:szCs w:val="20"/>
                <w:color w:val="auto"/>
              </w:rPr>
            </w:pPr>
            <w:r>
              <w:rPr>
                <w:rFonts w:ascii="Arial" w:cs="Arial" w:eastAsia="Arial" w:hAnsi="Arial"/>
                <w:sz w:val="18"/>
                <w:szCs w:val="18"/>
                <w:color w:val="auto"/>
              </w:rPr>
              <w:t>Pro forma adjustment to reflect the assumed conversion of convertible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540"/>
              <w:spacing w:after="0"/>
              <w:rPr>
                <w:sz w:val="20"/>
                <w:szCs w:val="20"/>
                <w:color w:val="auto"/>
              </w:rPr>
            </w:pPr>
            <w:r>
              <w:rPr>
                <w:rFonts w:ascii="Arial" w:cs="Arial" w:eastAsia="Arial" w:hAnsi="Arial"/>
                <w:sz w:val="18"/>
                <w:szCs w:val="18"/>
                <w:color w:val="auto"/>
              </w:rPr>
              <w:t>preferred shares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60,069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 forma basic and diluted net loss per common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(5,405)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77,926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(0.07)</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4620"/>
              <w:spacing w:after="0"/>
              <w:rPr>
                <w:sz w:val="20"/>
                <w:szCs w:val="20"/>
                <w:color w:val="auto"/>
              </w:rPr>
            </w:pPr>
            <w:r>
              <w:rPr>
                <w:rFonts w:ascii="Arial" w:cs="Arial" w:eastAsia="Arial" w:hAnsi="Arial"/>
                <w:sz w:val="18"/>
                <w:szCs w:val="18"/>
                <w:color w:val="auto"/>
              </w:rPr>
              <w:t>F-11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0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Convertible</w:t>
            </w:r>
          </w:p>
        </w:tc>
        <w:tc>
          <w:tcPr>
            <w:tcW w:w="5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7,556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for nonpublic entities. We are currently assessing the impact that this standard will have on our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(3,355)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(3,583)</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3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3180" w:type="dxa"/>
            <w:vAlign w:val="bottom"/>
            <w:gridSpan w:val="2"/>
          </w:tcPr>
          <w:p>
            <w:pPr>
              <w:jc w:val="right"/>
              <w:ind w:right="2445"/>
              <w:spacing w:after="0"/>
              <w:rPr>
                <w:sz w:val="20"/>
                <w:szCs w:val="20"/>
                <w:color w:val="auto"/>
              </w:rPr>
            </w:pPr>
            <w:r>
              <w:rPr>
                <w:rFonts w:ascii="Arial" w:cs="Arial" w:eastAsia="Arial" w:hAnsi="Arial"/>
                <w:sz w:val="18"/>
                <w:szCs w:val="18"/>
                <w:color w:val="auto"/>
              </w:rPr>
              <w:t>F-12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vMerge w:val="continue"/>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toxicology studies, under the principles of good laboratory practice, using the AnaptysBio-generated anti-PD-1 antagonist antibody (TSR-042)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AnaptysBio-generated anti-TIM-3 antagonist antibody (TSR-022), each being advanced by TESARO. The remaining unrecognized milestone payments of $0.3 million at December 31, 2015 will be recognized ratably through December 2016. Revenue from future contingent milestone payments will be recognized if and when such payments become due, subject to satisfaction of all of the criteria necessary to recognize revenue at that time.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Revenue recognized under this agreement aggregated $11.5 million during the year ended December 31, 2014, which includes $7.0 million for the amortization of the upfront fee and $4.5 million in funding for research and development services. Revenue recognized under this agreement aggregated $17.6 million during the year ended December 31, 2015, which includes $9.4 million for the amortization of the upfront fee, $6.5 million in funding for research and development services, and $1.7 million for milestones earned, of which $1.2 million was receivable at December 31, 2015. Deferred revenue for this agreement was $2.9 million at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$0.6 million during the year ended December 31, 2014, which includes $0.5 million in success fees and $92,000 in funding for research and development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 ended December 31, 2014, we recognized revenue from other collaborative partners aggregating $0.6 million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dose PK/toxicology studies on at least two development programs and the Term C Loans for an aggregate of $5.0 million are available for draw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and (ii) July 1, 2016. The draw period will end upon the earlier of (i) an event of default as defined in the LSA Agreement and</w:t>
      </w:r>
    </w:p>
    <w:p>
      <w:pPr>
        <w:spacing w:after="0" w:line="2" w:lineRule="exact"/>
        <w:rPr>
          <w:sz w:val="20"/>
          <w:szCs w:val="20"/>
          <w:color w:val="auto"/>
        </w:rPr>
      </w:pPr>
    </w:p>
    <w:p>
      <w:pPr>
        <w:ind w:right="80" w:firstLine="8"/>
        <w:spacing w:after="0" w:line="302" w:lineRule="auto"/>
        <w:tabs>
          <w:tab w:leader="none" w:pos="26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December 31, 2016. If the Term B Loans and Term C Loans are issued, they will bear interest at the greater of 6.95% or the 3-month LIBOR plus 6.72%, with principal payments beginning February 1, 2017 and with final maturity in January 2019. At December 31, 2015, the Term A Loans are due in 13 monthly interest-only payments through January 2017, followed by 24 equal monthly principal and interest payments, with final maturity in January 2019.</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December 31, 2015, the carrying amount of the Term A Loans was $4.9 million, which is net of discounts of $97,000. The Term A Loans were classified as noncurrent in the Consolidated Balance Sheets at December 31, 2015 as a result of the LSA Amendment in January 2016. The effective interest rate on the Term A Loans at December 31, 2015 was 9.25%. As of December 31, 2015, future principal maturities of the Term A Loans were $2.2 million, $2.6 million and $0.2 million in 2017, 2018 and 2019, respectively.</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December 31, 2015, we were in compliance with the covenants contained in the Loan and Security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$0.65 per share.</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2014, the principal and accrued interest on the notes, which aggregated $2.2 million, were converted into 3,333,333 shares of Series C-1 Preferred Stock. The unamortized discount of $0.4 million at the date of conversion was recognized as interest expense. Total interest expense resulting from the amortization and write-off of the discount totaled $1.2 million during the year ended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34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Prices for</w:t>
            </w: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2014</w:t>
            </w:r>
          </w:p>
        </w:tc>
        <w:tc>
          <w:tcPr>
            <w:tcW w:w="22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Money market funds (1)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14,736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14,736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U.S. treasury security (2)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At December 31, 2015</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Mutual funds (1)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44,077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44,077</w:t>
            </w: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security (2)</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1,549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Included in cash and cash equivalents in the Consolidated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Consolidated Balance Sheets.</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20"/>
          </w:cols>
          <w:pgMar w:left="24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524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4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Exercise price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0.65</w:t>
            </w: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Volatility</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2014 and 2015 would result in increases in the estimated fair values of the preferred stock warrant liabilities of $89,000 and $0.2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in liabilities measured at fair value on a recurring basis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5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$(386)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Issuances</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(1,277)</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warrant liabilities to equity</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July 2015, the Company reclassified 288,462 Series C Preferred Stock warrants from Preferred stock warrant liabilities to Additional paid in capital on the Consolidated Balance Sheets, at fair value on the date of transfer. The reclassification occurred upon the expiration of a feature within the warrant contract that had previously precluded equity classification. As a result, these warrants are no longer remeasured at fair value on a recurring basis at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financial instruments estimated as of December 31, 2014 and 2015 are presented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8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Pr>
          <w:p>
            <w:pPr>
              <w:spacing w:after="0"/>
              <w:rPr>
                <w:sz w:val="14"/>
                <w:szCs w:val="14"/>
                <w:color w:val="auto"/>
              </w:rPr>
            </w:pPr>
          </w:p>
        </w:tc>
        <w:tc>
          <w:tcPr>
            <w:tcW w:w="166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 2015</w:t>
            </w:r>
          </w:p>
        </w:tc>
      </w:tr>
      <w:tr>
        <w:trPr>
          <w:trHeight w:val="119"/>
        </w:trPr>
        <w:tc>
          <w:tcPr>
            <w:tcW w:w="67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78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$ 4,793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$ 4,903</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34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00"/>
          </w:cols>
          <w:pgMar w:left="240" w:top="460" w:right="3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the Company’s financial instruments for which it is practicable to estimate that value:</w:t>
      </w:r>
    </w:p>
    <w:p>
      <w:pPr>
        <w:spacing w:after="0" w:line="6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Notes Payable </w:t>
      </w:r>
      <w:r>
        <w:rPr>
          <w:rFonts w:ascii="Arial" w:cs="Arial" w:eastAsia="Arial" w:hAnsi="Arial"/>
          <w:sz w:val="17"/>
          <w:szCs w:val="17"/>
          <w:color w:val="auto"/>
        </w:rPr>
        <w:t>—We use the income approach to value the aforementioned debt instrument. We use a present value calculation to discount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interest payments and the final maturity payment on these liabilities using a discounted cash flow model based on observable inputs. The Company discounts these debt instruments based on what the current market rates would offer the Company as of the reporting date. Based on the assumptions used to value these liabilities at fair value, these debt instruments are categorized as Level 2 in the fair value hierarchy.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2015, we issued and sold 38,436,851 shares of Series D Convertible Preferred Stock at $1.06 per share for net proceeds of $40.7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Certificate of Incorporation and 2006 Equity Incentive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13, 2015, we amended our amended and restated certificate of incorporation to increase the total number of shares authorized for issuance from 141,506,903 shares to 203,208,537 shares. Of these shares, 120,500,000 shares are designated as common stock and 82,708,537 shares are designated as preferred stock, which are designated as follows: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B</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25,524,510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1,996,153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B-2</w:t>
            </w:r>
          </w:p>
        </w:tc>
        <w:tc>
          <w:tcPr>
            <w:tcW w:w="860" w:type="dxa"/>
            <w:vAlign w:val="bottom"/>
          </w:tcPr>
          <w:p>
            <w:pPr>
              <w:jc w:val="right"/>
              <w:spacing w:after="0"/>
              <w:rPr>
                <w:sz w:val="20"/>
                <w:szCs w:val="20"/>
                <w:color w:val="auto"/>
              </w:rPr>
            </w:pPr>
            <w:r>
              <w:rPr>
                <w:rFonts w:ascii="Arial" w:cs="Arial" w:eastAsia="Arial" w:hAnsi="Arial"/>
                <w:sz w:val="18"/>
                <w:szCs w:val="18"/>
                <w:color w:val="auto"/>
              </w:rPr>
              <w:t>222,216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13,210,753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C-1</w:t>
            </w:r>
          </w:p>
        </w:tc>
        <w:tc>
          <w:tcPr>
            <w:tcW w:w="860" w:type="dxa"/>
            <w:vAlign w:val="bottom"/>
          </w:tcPr>
          <w:p>
            <w:pPr>
              <w:jc w:val="right"/>
              <w:spacing w:after="0"/>
              <w:rPr>
                <w:sz w:val="20"/>
                <w:szCs w:val="20"/>
                <w:color w:val="auto"/>
              </w:rPr>
            </w:pPr>
            <w:r>
              <w:rPr>
                <w:rFonts w:ascii="Arial" w:cs="Arial" w:eastAsia="Arial" w:hAnsi="Arial"/>
                <w:sz w:val="18"/>
                <w:szCs w:val="18"/>
                <w:color w:val="auto"/>
              </w:rPr>
              <w:t>3,318,054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38,436,851</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Total designated Preferred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82,708,537</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Additionally, the amended and restated certificate of incorporation provided for the split of Series B and Series B-1 Preferred Stock into ten shares for every nine shares outstanding. The consolidated financial statements and accompanying footnotes have been retroactively restated to reflect the Series B and Series B-1 Preferred Stock splits.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81" w:lineRule="exact"/>
        <w:rPr>
          <w:sz w:val="20"/>
          <w:szCs w:val="20"/>
          <w:color w:val="auto"/>
        </w:rPr>
      </w:pPr>
    </w:p>
    <w:p>
      <w:pPr>
        <w:jc w:val="both"/>
        <w:ind w:right="180" w:firstLine="456"/>
        <w:spacing w:after="0" w:line="297"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60" w:firstLine="456"/>
        <w:spacing w:after="0" w:line="258"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Preferred Stock are entitled to receive noncumulative dividends at a rate of 8% of the respective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 price per annum. The Series D Preferred Stock dividends are payable in preference and in priority to any Series C-1 Preferred Stock.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2015, the board of directors has not declared any dividends.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Liquidation Rights. </w:t>
      </w:r>
      <w:r>
        <w:rPr>
          <w:rFonts w:ascii="Arial" w:cs="Arial" w:eastAsia="Arial" w:hAnsi="Arial"/>
          <w:sz w:val="16"/>
          <w:szCs w:val="16"/>
          <w:color w:val="auto"/>
        </w:rPr>
        <w:t>Upon liquidation, dissolution or winding up of the Company, the holders of Preferred Stock are entitled to receive distributions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out of the assets of the Company, before any distributions are made to the holders of common stock. The holders of the Series D are entitled to receive liquidation preference at one (1) times the original issue price of $1.06 per share plus all declared and unpaid dividends. Liquidation payments to the holders of Series D Preferred Stock have priority and are made in preference to any payments to the holders of Series C-1 Preferred Stock. The holders of the Series C-1 are entitled to receive liquidation preference at three (3) times the original issue price of $0.65 per share plus all declared and unpaid dividends. Liquidation payments to the holders of Series C-1 Preferred Stock have priority and are made in preference to any payments to the holders of Series C Preferred Stock. The holders of the Series C Preferred Stock are entitled to receive liquidation preferences at the rate of $0.65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$0.90 per share plus all declared and unpaid dividends and the holders of Series A and Series B-2 Preferred Stock are entitled to receive liquidation preferences at the rate of $1.00 per share plus all declared and unpaid dividends. Liquidation payments to the holders of Series B and Series A Preferred Stock have priority and are made in preference to any payments to the holders of common stock.</w:t>
      </w:r>
    </w:p>
    <w:p>
      <w:pPr>
        <w:spacing w:after="0" w:line="169"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b w:val="1"/>
          <w:bCs w:val="1"/>
          <w:color w:val="auto"/>
        </w:rPr>
        <w:t xml:space="preserve">Conversion Rights. </w:t>
      </w:r>
      <w:r>
        <w:rPr>
          <w:rFonts w:ascii="Arial" w:cs="Arial" w:eastAsia="Arial" w:hAnsi="Arial"/>
          <w:sz w:val="17"/>
          <w:szCs w:val="17"/>
          <w:color w:val="auto"/>
        </w:rPr>
        <w:t>The shares of Series A Preferred Stock are convertible into shares of common stock at a conversion price of $0.90 per share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Series B, C, C-1 and D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gross cash proceeds to the Company (before underwriting discounts, commissions and fees) are at least $50.0 million.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have authorized 120,500,000 shares of common stock, of which 18,407,054 shares were issued and outstanding at December 31, 2015. Common shares reserved for future issuance upon the exercise, issuance or conversion of the respective equity instruments at December 31, 2015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20" w:type="dxa"/>
            <w:vAlign w:val="bottom"/>
            <w:gridSpan w:val="4"/>
          </w:tcPr>
          <w:p>
            <w:pPr>
              <w:ind w:left="138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80,645,051</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Issued and Outstanding: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14,351,840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80" w:type="dxa"/>
            <w:vAlign w:val="bottom"/>
            <w:gridSpan w:val="5"/>
          </w:tcPr>
          <w:p>
            <w:pPr>
              <w:ind w:left="360"/>
              <w:spacing w:after="0"/>
              <w:rPr>
                <w:sz w:val="20"/>
                <w:szCs w:val="20"/>
                <w:color w:val="auto"/>
              </w:rPr>
            </w:pPr>
            <w:r>
              <w:rPr>
                <w:rFonts w:ascii="Arial" w:cs="Arial" w:eastAsia="Arial" w:hAnsi="Arial"/>
                <w:sz w:val="18"/>
                <w:szCs w:val="18"/>
                <w:color w:val="auto"/>
                <w:w w:val="96"/>
              </w:rPr>
              <w:t>Warrants for shares of convertible preferred stock and 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2,885,870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reserved for future award grants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2,302,739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4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100,185,500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Warrants for Shares of Preferred and Common Stock</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8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40" w:type="dxa"/>
            <w:vAlign w:val="bottom"/>
            <w:gridSpan w:val="11"/>
          </w:tcPr>
          <w:p>
            <w:pPr>
              <w:ind w:left="460"/>
              <w:spacing w:after="0"/>
              <w:rPr>
                <w:sz w:val="20"/>
                <w:szCs w:val="20"/>
                <w:color w:val="auto"/>
              </w:rPr>
            </w:pPr>
            <w:r>
              <w:rPr>
                <w:rFonts w:ascii="Arial" w:cs="Arial" w:eastAsia="Arial" w:hAnsi="Arial"/>
                <w:sz w:val="18"/>
                <w:szCs w:val="18"/>
                <w:color w:val="auto"/>
                <w:w w:val="96"/>
              </w:rPr>
              <w:t>A summary of the activity related to our warrants during the year ended December 31, 2015 is as follows:</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24"/>
                <w:szCs w:val="2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24"/>
                <w:szCs w:val="24"/>
                <w:color w:val="auto"/>
              </w:rPr>
            </w:pP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Warrant</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2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 per</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Pr>
          <w:p>
            <w:pPr>
              <w:spacing w:after="0"/>
              <w:rPr>
                <w:sz w:val="14"/>
                <w:szCs w:val="1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Warrants to Purchase Shares of Series C Preferred Stock</w:t>
            </w: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2,063,484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1420" w:type="dxa"/>
            <w:vAlign w:val="bottom"/>
            <w:gridSpan w:val="5"/>
          </w:tcPr>
          <w:p>
            <w:pPr>
              <w:jc w:val="right"/>
              <w:ind w:right="260"/>
              <w:spacing w:after="0"/>
              <w:rPr>
                <w:sz w:val="20"/>
                <w:szCs w:val="20"/>
                <w:color w:val="auto"/>
              </w:rPr>
            </w:pPr>
            <w:r>
              <w:rPr>
                <w:rFonts w:ascii="Arial" w:cs="Arial" w:eastAsia="Arial" w:hAnsi="Arial"/>
                <w:sz w:val="18"/>
                <w:szCs w:val="18"/>
                <w:color w:val="auto"/>
              </w:rPr>
              <w:t>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60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Warrants to Purchase Shares of Common Stock</w:t>
            </w: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vMerge w:val="continue"/>
          </w:tcPr>
          <w:p>
            <w:pPr>
              <w:spacing w:after="0"/>
              <w:rPr>
                <w:sz w:val="20"/>
                <w:szCs w:val="20"/>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822,386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1420" w:type="dxa"/>
            <w:vAlign w:val="bottom"/>
            <w:gridSpan w:val="5"/>
          </w:tcPr>
          <w:p>
            <w:pPr>
              <w:jc w:val="right"/>
              <w:ind w:right="260"/>
              <w:spacing w:after="0"/>
              <w:rPr>
                <w:sz w:val="20"/>
                <w:szCs w:val="20"/>
                <w:color w:val="auto"/>
              </w:rPr>
            </w:pPr>
            <w:r>
              <w:rPr>
                <w:rFonts w:ascii="Arial" w:cs="Arial" w:eastAsia="Arial" w:hAnsi="Arial"/>
                <w:sz w:val="18"/>
                <w:szCs w:val="18"/>
                <w:color w:val="auto"/>
              </w:rPr>
              <w:t>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3,810,000 and on July 9, 2015, we amended our 2006 Equity Incentive Plan to increase the number of shares reserved for issuance under the plan by 4,766,852 shares. As of December 31, 2015, awards for up to 16,654,579 shares of common stock are reserved for issuance under the Plan, of which 14,351,840 are reserved for issuance upon exercise of granted and outstanding options and 2,302,739 shares are available for future grants.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2015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8,717,585</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7,280,855</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(1,038,840)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0.15</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(607,760)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0.55</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and exercisable at December 31,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14,351,840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0.57</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December 31, 2015</w:t>
            </w:r>
          </w:p>
        </w:tc>
        <w:tc>
          <w:tcPr>
            <w:tcW w:w="138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0.55</w:t>
            </w: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7.9</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line="20" w:lineRule="exact"/>
              <w:rPr>
                <w:sz w:val="1"/>
                <w:szCs w:val="1"/>
                <w:color w:val="auto"/>
              </w:rPr>
            </w:pPr>
          </w:p>
        </w:tc>
      </w:tr>
      <w:tr>
        <w:trPr>
          <w:trHeight w:val="211"/>
        </w:trPr>
        <w:tc>
          <w:tcPr>
            <w:tcW w:w="590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13,373,913</w:t>
            </w:r>
          </w:p>
        </w:tc>
        <w:tc>
          <w:tcPr>
            <w:tcW w:w="5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$0.2 million during the year ended December 31, 2015.</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estimated fair value of each stock option award was determined on the date of grant using the Black-Scholes option valuation model with the following weighted average assumptions for options granted to employees during the years ended December 31, 2014 and 2015:</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volatility</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66.8%</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71.2%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0.64</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non-cash stock-based compensation expense for all stock awards that was recognized in the statements of operations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2014</w:t>
            </w: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At December 31, 2015, there was $4.3 million of unrecognized compensation cost related to unvested stock option awards, which is expected to be recognized over a remaining weighted average vesting period of 3.6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2014 or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lease our facility under a non-cancellable operating lease for which we exercised our option to renew for an additional five-year period. The lease now expires in August 2021.</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Rent expense was $0.4 million during the years ended December 31, 2014 and 2015, respectively. At December 31, 2015, deferred rent aggregated $0.1 million, of which $21,000 is included in other current liabilities and $0.1 million is included in noncurrent liabilities in the accompanying consolidated balance sheet. At December 31, 2015, the future minimum annual obligations under non-cancellable operating lease commitments are as follows:</w:t>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Years Ending December 31,</w:t>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2017</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2019</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4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$0.2 million during each of the years ended December 31, 2014 and 2015. Total cash paid under these agreements was $0.2 million during each of the years ended December 31, 2014 and 2015.</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Future minimum annual obligations under all such license agreements were $0.2 million in aggregate. These obligations are payable through ten years from the first commercial sale, if any, or expiration of the last patent to expire, the dates of which are not determinable at this 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At December 31, 2014 and 2015, we were contingently liable for a standby letter of credit issued by a commercial bank for $85,000 and $60,000, respectively, for security on our lease. A restricted cash account with these amounts was held as cash collateral for the letter of credit.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16,480</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promissory note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deferred tax assets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60"/>
              <w:spacing w:after="0"/>
              <w:rPr>
                <w:sz w:val="20"/>
                <w:szCs w:val="20"/>
                <w:color w:val="auto"/>
              </w:rPr>
            </w:pPr>
            <w:r>
              <w:rPr>
                <w:rFonts w:ascii="Arial" w:cs="Arial" w:eastAsia="Arial" w:hAnsi="Arial"/>
                <w:sz w:val="18"/>
                <w:szCs w:val="18"/>
                <w:color w:val="auto"/>
              </w:rPr>
              <w:t>Less: valuation allowance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(18,836)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tax assets, net of valuation allowance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2015, we had federal and state net operating loss carryforwards (“NOL”)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carryforward indefinitely.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State NOL carryforwards may be similarly limited.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 (benefit) at federal statutory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 in fair value of preferred stock warrant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 adjustment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Rate differential</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Research credits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 in the valuation allowance</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2014 and 2015,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2014</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2014 and 2015, there were no interest or penalties on uncertain tax benefits.</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February 12, 2016, the date at which the consolidated financial statements were issued.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Payment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January 2016, we earned a $4.0 million milestone payment from one of our collaborators. We expect to receive this $4.0 million milestone payment in February 2016.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40"/>
          </w:cols>
          <w:pgMar w:left="240" w:top="460" w:right="3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 at</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5"/>
          </w:tcPr>
          <w:p>
            <w:pPr>
              <w:jc w:val="right"/>
              <w:ind w:right="554"/>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Australian tax incentive receivable</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LIABILITIES, CONVERTIBLE PREFERRED STOCK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tcPr>
          <w:p>
            <w:pPr>
              <w:jc w:val="center"/>
              <w:spacing w:after="0"/>
              <w:rPr>
                <w:sz w:val="20"/>
                <w:szCs w:val="20"/>
                <w:color w:val="auto"/>
              </w:rPr>
            </w:pPr>
            <w:r>
              <w:rPr>
                <w:rFonts w:ascii="Arial" w:cs="Arial" w:eastAsia="Arial" w:hAnsi="Arial"/>
                <w:sz w:val="18"/>
                <w:szCs w:val="18"/>
                <w:b w:val="1"/>
                <w:bCs w:val="1"/>
                <w:color w:val="auto"/>
              </w:rPr>
              <w:t>STOCKHOLDERS’ DEFICIT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1,521</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 convertible preferred stock, $0.001 par value, 27,743 shares authorized, issued and outstanding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December 31, 2015 and September 30, 2016; aggregate liquidation preference at September 30, 2016 of</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$24,991</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28,220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6"/>
              </w:rPr>
              <w:t>Series C convertible preferred stock, $0.001 par value, 13,211 shares authorized, 11,147 shares issued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0"/>
              </w:rPr>
              <w:t>outstanding at December 31, 2015 and September 30, 2016; aggregate liquidation preference at September 30,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2016 of $7,246</w:t>
            </w: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6,452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C-1 convertible preferred stock, $0.001 par value, 3,318 shares authorized, issued and outstanding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December 31, 2015 and September 30, 2016, respectively; aggregate liquidation preference at September 30,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 of $6,470</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6"/>
              </w:rPr>
              <w:t>Series D convertible preferred stock, $0.001 par value, 38,437 shares authorized,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2"/>
              </w:rPr>
              <w:t>December 31, 2015 and September 30, 2016, respectively; aggregate liquidation preference at September 30,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2016 of $40,767</w:t>
            </w: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40,688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40,688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6"/>
              </w:rPr>
              <w:t>Common stock, $0.001 par value, 120,500 shares authorized, 18,407 shares and 18,471 shares issued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2"/>
              </w:rPr>
              <w:t>outstanding at December 31, 2015 and September 30, 2016, respectively; 99,116 issued and outstanding, pro</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forma, at September 30, 2016</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(50,664)</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(50,345)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(50,345)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 equity</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(35,179)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44,757</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13,517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10,732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13,247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income,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(1,843)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17,694</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17,694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340"/>
              <w:spacing w:after="0"/>
              <w:rPr>
                <w:sz w:val="20"/>
                <w:szCs w:val="20"/>
                <w:color w:val="auto"/>
              </w:rPr>
            </w:pPr>
            <w:r>
              <w:rPr>
                <w:rFonts w:ascii="Arial" w:cs="Arial" w:eastAsia="Arial" w:hAnsi="Arial"/>
                <w:sz w:val="18"/>
                <w:szCs w:val="18"/>
                <w:color w:val="auto"/>
              </w:rPr>
              <w:t>Pro forma weighted-average number of shares outstanding:</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104,906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(1,893)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Australian tax incentive receivable</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(7,250)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(3,460)</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Payments for repurchase of common stock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Payments for deferred offering costs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preferred stock,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40,688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40,295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33,057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22,188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55,245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47,134</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accrued for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Amounts accrued for deferred financing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1,472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the natural process of antibody generation. We currently generate revenue from our collaborative research and development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Actual results may materially differ from these estimates. Operating results for the nine months ended September 30, 2016 are not necessarily indicative of the results that may be expected for the year ending December 31, 2016. The financial statements should be read in conjunction with our audited financial statements for the year ended December 31, 2015, included elsewhere in this prospectus.</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at September 30, 2016, have an accumulated deficit of $50.3 million. Through September 30, 2016,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unaudited consolidated financial statements do not include any adjustments that might be necessary if we are unable to continue as a going concern.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September 30,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six months or less to be cash equivalents. Cash equivalents consist primarily of money market and mutual funds with original maturities of 90 days or 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held restricted cash of $60,000 at December 31, 2015 and September 30, 2016, respectively, which we used to secure a letter of credit provided as security for our operating lease for our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2016, we have incurred an aggregate of $3.0 million in direct costs related to our anticipated public offering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deferred and recorded as a long-term asset at September 30, 2016.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60" w:hanging="325"/>
        <w:spacing w:after="0" w:line="25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right="200" w:hanging="325"/>
        <w:spacing w:after="0" w:line="298"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Research and Development Services</w:t>
      </w:r>
      <w:r>
        <w:rPr>
          <w:rFonts w:ascii="Arial" w:cs="Arial" w:eastAsia="Arial" w:hAnsi="Arial"/>
          <w:sz w:val="16"/>
          <w:szCs w:val="16"/>
          <w:color w:val="auto"/>
        </w:rPr>
        <w:t>. 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Research and Development Tax Incentive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eligible under the Australian Research and Development Tax Incentive Program (the “Tax Incentive”) to obtain a cash refund from the Australian Taxation Office for eligible research and development expenditures. However, we must have revenue of less than AUD $20.0 million during the reimbursable period and cannot be controlled by income tax exempt entities. The Tax Incentive is recognized as a reduction to research and development expense when there is reasonable assurance that the Tax Incentive will be received, the relevant expenditure has been incurred, and the amount can be reliably measured. The Tax Incentive is denominated in Australian dollars and, therefore, the related receivable is remeasured into U.S. dollars as of each reporting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$(0.3) million and $84,000 during the nine months ended September 30, 2015 and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6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2016 or the original issuance date, if later.</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(1,893)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Net income (loss) attributed to common stockholders</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17,694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Diluted weighted-average common shares outstanding</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17,694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per share, basic and 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w w:val="97"/>
              </w:rPr>
              <w:t>Pro forma adjustment to reflect the assumed conversion of convertible preferred</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180"/>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basic weighted-average common shares outstanding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360"/>
              <w:spacing w:after="0"/>
              <w:rPr>
                <w:sz w:val="20"/>
                <w:szCs w:val="20"/>
                <w:color w:val="auto"/>
              </w:rPr>
            </w:pPr>
            <w:r>
              <w:rPr>
                <w:rFonts w:ascii="Arial" w:cs="Arial" w:eastAsia="Arial" w:hAnsi="Arial"/>
                <w:sz w:val="18"/>
                <w:szCs w:val="18"/>
                <w:color w:val="auto"/>
              </w:rPr>
              <w:t>Pro forma diluted weighted average common shares outstanding</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net income per share, basic and 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80" w:type="dxa"/>
            <w:vAlign w:val="bottom"/>
            <w:gridSpan w:val="2"/>
            <w:vMerge w:val="continue"/>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Convertible</w:t>
            </w:r>
          </w:p>
        </w:tc>
        <w:tc>
          <w:tcPr>
            <w:tcW w:w="6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53,210</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560" w:type="dxa"/>
            <w:vAlign w:val="bottom"/>
          </w:tcPr>
          <w:p>
            <w:pPr>
              <w:jc w:val="right"/>
              <w:spacing w:after="0"/>
              <w:rPr>
                <w:sz w:val="20"/>
                <w:szCs w:val="20"/>
                <w:color w:val="auto"/>
              </w:rPr>
            </w:pPr>
            <w:r>
              <w:rPr>
                <w:rFonts w:ascii="Arial" w:cs="Arial" w:eastAsia="Arial" w:hAnsi="Arial"/>
                <w:sz w:val="18"/>
                <w:szCs w:val="18"/>
                <w:color w:val="auto"/>
              </w:rPr>
              <w:t>9,468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65,564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eight specific cash flows issues for which it provides specific guidance on treatment within the cash flow statement, with the intent of reducing diversity in practice. As permitted by this ASU, we elected to early adopt the standard beginning with our quarterly reporting period ended September 30, 2016, with retrospective application of the amended guidance. Upon adoption, there was no effect to our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In May 2014, the Financial Accounting Standards Board (the “FASB”) issued Accounting Standards Update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outlines a single comprehensive model for entities to use in accounting for revenue from contracts with customers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8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is intended to simplify the accounting for share-based payments including forfeiture rates, expected option terms, intrinsic value,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gridSpan w:val="6"/>
          </w:tcPr>
          <w:p>
            <w:pPr>
              <w:ind w:left="20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4,134</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(3,583)</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4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gridSpan w:val="2"/>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4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24"/>
                <w:szCs w:val="24"/>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20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0"/>
              </w:rPr>
              <w:t>Accrued research and contract manufacturing expenses</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222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F-33</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an Amendment No. 1 to the Agreement to add an antibody discovery program against an undisclosed fourth target for an upfront license fee of $2.0 million.</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During the year ended December 31, 2015, we achieved two $1.0 million milestones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(GLPs), for an AnaptysBio-generated anti-PD-1 antagonist antibody (TSR-042) and an AnaptysBio-generated anti-TIM-3 antagonist antibody (TSR-022), each being advanced by TESARO, for which we recognized revenue of $1.7 million. The remaining unrecognized milestone payments of $0.3 million at December 31, 2015 will be recognized ratably through December 2016, for which $0.2 million was recognized during the nine months ended September 30, 2016.</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February 2016.</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June 2016.</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of approximately $0.9 million. The remaining unrecognized milestone payment of $0.1 million at September 30, 2016 will be recognized ratably through December 2016. The $1.0 million milestone payment was received in September 2016.</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Revenue recognized under this agreement aggregated $13.5 million during the nine months ended September 30, 2015, which primarily includes $8.2 million for the amortization of the upfront fee and $5.3 million in funding for research and development services. Revenue recognized under this agreement aggregated $13.4 million during the nine months ended September 30, 2016, which includes $8.4 million related to five milestones for which we are recognizing revenue pro rata over the collaboration term, $3.0 million in funding for research and development services, and $2.0 million for the amortization of the upfront fee, of which $0.9 million was receivable at September 30, 2016. Deferred revenue under this agreement totaled $1.5 million at September 30, 2016.</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8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for an AnaptysBio-generated antibody resulting in us earning a $0.5 million milestone payment in June 2016, which we recognized in full as revenue in June 2016. The $0.5 million milestone payment was received in June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dose PK/toxicology studies on at least two development programs and the Term C Loans for an aggregate of $5.0 million are available for draw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jc w:val="both"/>
        <w:ind w:right="2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became available for draw on July 1, 2016 which was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occurred in the first quarter of 2016) and (ii) July 1, 2016. The draw period will end upon the earlier of</w:t>
      </w:r>
    </w:p>
    <w:p>
      <w:pPr>
        <w:spacing w:after="0" w:line="2" w:lineRule="exact"/>
        <w:rPr>
          <w:sz w:val="20"/>
          <w:szCs w:val="20"/>
          <w:color w:val="auto"/>
        </w:rPr>
      </w:pPr>
    </w:p>
    <w:p>
      <w:pPr>
        <w:ind w:firstLine="8"/>
        <w:spacing w:after="0" w:line="254" w:lineRule="auto"/>
        <w:tabs>
          <w:tab w:leader="none" w:pos="2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event of default as defined in the LSA Agreement and (ii) December 31, 2016. If the Term B Loans and Term C Loans are issued, they will bear interest at the greater of 6.95% or the 3-month LIBOR plus 6.72%, with principal payments beginning February 1, 2017 and with final maturity in January 2019. At September 30, 2016, the Term A Loans are due in 4 monthly interest-only payments through January 2017, followed by 24 equal monthly principal and interest payments, with final maturity in January 2019.</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September 30, 2016, the carrying amount of the Term A Loans was $5.0 million, which is net of discounts of $17,000, of which $1.6 million is classified as current liabilities, and $3.4 million is classified as noncurrent liabilities at September 30, 2016. The effective interest rate on the Term A Loans at September 30, 2016 was 9.29%. As of September 30, 2016, future principal maturities of the Term A Loans were $2.2 million, $2.6 million and $0.2 million in 2017, 2018 and 2019, respectively.</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September 30, 2016, we were in compliance with the covenants contained in the Loan and Security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7"/>
              </w:rPr>
              <w:t>Quoted Market</w:t>
            </w:r>
          </w:p>
        </w:tc>
        <w:tc>
          <w:tcPr>
            <w:tcW w:w="32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Prices for</w:t>
            </w:r>
          </w:p>
        </w:tc>
        <w:tc>
          <w:tcPr>
            <w:tcW w:w="3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6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80" w:type="dxa"/>
            <w:vAlign w:val="bottom"/>
            <w:gridSpan w:val="4"/>
            <w:vMerge w:val="continue"/>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2015</w:t>
            </w:r>
          </w:p>
        </w:tc>
        <w:tc>
          <w:tcPr>
            <w:tcW w:w="20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6,755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6,755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44,077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44,077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8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At September 30, 2016</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31,872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(2)</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13,139</w:t>
            </w: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13,139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5"/>
          <w:szCs w:val="15"/>
          <w:color w:val="auto"/>
        </w:rPr>
      </w:pPr>
      <w:r>
        <w:rPr>
          <w:rFonts w:ascii="Arial" w:cs="Arial" w:eastAsia="Arial" w:hAnsi="Arial"/>
          <w:sz w:val="18"/>
          <w:szCs w:val="18"/>
          <w:color w:val="auto"/>
        </w:rPr>
        <w:t>Included in cash and cash equivalents, and restricted cash in the accompanying balance sheets.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132"/>
        </w:numPr>
        <w:rPr>
          <w:rFonts w:ascii="Arial" w:cs="Arial" w:eastAsia="Arial" w:hAnsi="Arial"/>
          <w:sz w:val="15"/>
          <w:szCs w:val="15"/>
          <w:color w:val="auto"/>
        </w:rPr>
      </w:pPr>
      <w:r>
        <w:rPr>
          <w:rFonts w:ascii="Arial" w:cs="Arial" w:eastAsia="Arial" w:hAnsi="Arial"/>
          <w:sz w:val="18"/>
          <w:szCs w:val="18"/>
          <w:color w:val="auto"/>
        </w:rPr>
        <w:t>Included in cash and cash equivalents in the accompanying balance sheets.</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September 30,</w:t>
            </w:r>
          </w:p>
        </w:tc>
      </w:tr>
      <w:tr>
        <w:trPr>
          <w:trHeight w:val="171"/>
        </w:trPr>
        <w:tc>
          <w:tcPr>
            <w:tcW w:w="52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Exercise price</w:t>
            </w:r>
          </w:p>
        </w:tc>
        <w:tc>
          <w:tcPr>
            <w:tcW w:w="1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Volatility</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2015 and September 30, 2016 would each result in increases in the estimated fair values of the preferred stock warrant liabilities of $0.2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00"/>
          </w:cols>
          <w:pgMar w:left="240" w:top="460" w:right="3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Beginning balance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(losses) income included in other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Reclassification of warrant liabilities to equity</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financial instruments estimated as of December 31, 2015 and September 30, 2016 are presented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8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 2016</w:t>
            </w:r>
          </w:p>
        </w:tc>
      </w:tr>
      <w:tr>
        <w:trPr>
          <w:trHeight w:val="119"/>
        </w:trPr>
        <w:tc>
          <w:tcPr>
            <w:tcW w:w="67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78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$ 4,903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$4,686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$ 4,983</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$4,752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our financial instruments for which it is practicable to estimate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Certain stock option grants under our 2006 Equity Incentive Plan (the “Plan”) are subject to an early exercise provision. Shares of common stock obtained upon early exercise of unvested options are subject to repurchase by us at the applicable original issue price. During the nine months ended September 30, 2016, we repurchased 10,199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September 30, 2016, awards for up to 16,590,910 shares of common stock are reserved for issuance under the Plan, of which 12,997,698 are reserved for issuance upon exercise of granted and outstanding options and 3,593,212 shares are available for future grants.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i w:val="1"/>
          <w:iCs w:val="1"/>
          <w:color w:val="auto"/>
        </w:rPr>
        <w:t>tock Options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us. A summary of the activity related to stock option awards during the nine months ended September 30, 2016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thousands)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14,351,840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1,952,425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0.85</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(73,868)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0.22</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(3,232,699)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0.67</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and exercisable at September 30,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12,997,698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0.59</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September 30, 2016</w:t>
            </w:r>
          </w:p>
        </w:tc>
        <w:tc>
          <w:tcPr>
            <w:tcW w:w="140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0.58</w:t>
            </w: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7.29</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vMerge w:val="restart"/>
          </w:tcPr>
          <w:p>
            <w:pPr>
              <w:ind w:left="14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line="20" w:lineRule="exact"/>
              <w:rPr>
                <w:sz w:val="1"/>
                <w:szCs w:val="1"/>
                <w:color w:val="auto"/>
              </w:rPr>
            </w:pPr>
          </w:p>
        </w:tc>
      </w:tr>
      <w:tr>
        <w:trPr>
          <w:trHeight w:val="211"/>
        </w:trPr>
        <w:tc>
          <w:tcPr>
            <w:tcW w:w="586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12,242,807</w:t>
            </w:r>
          </w:p>
        </w:tc>
        <w:tc>
          <w:tcPr>
            <w:tcW w:w="5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approximately $16,000 during the nine months ended September 30, 2016.</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89"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Nine Months Ended</w:t>
      </w:r>
    </w:p>
    <w:p>
      <w:pPr>
        <w:jc w:val="center"/>
        <w:ind w:left="66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14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Expected volatility</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71.1%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69.2%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$ 0.61</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$ 0.52</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00"/>
          </w:cols>
          <w:pgMar w:left="240" w:top="460" w:right="3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non-cash stock-based compensation expense for all stock awards that was recognized in the consolidated statements of operations is as follows: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2015</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5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At September 30, 2016, there was $2.8 million of unrecognized compensation cost related to unvested stock option awards, which is expected to be recognized over a remaining weighted average vesting period of 2.8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Australian subsidiary, which conducts core research and development activities on our behalf, is eligible to receive a 45% refundable tax incentive for qualified research and development activities. For the nine months ended September 30, 2016, $6.2 million was recorded as a reduction to research and development expenses in the consolidated statements of operations, of which $3.0 million related to fiscal 2015. We received the $3.0 million in cash during the nine months ended September 30, 2016. In September 2016, we determined that we would meet the criteria for eligibility for fiscal 2016, therefore we recorded a reduction to research and development expenses of $3.2 million equal to 45% of our eligible expenditures for the nine-month period ended September 30, 2016, as collectability was considered reasonably assured.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November 10, 2016, the date at which the consolidated financial statements were issued.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40"/>
          </w:cols>
          <w:pgMar w:left="240" w:top="459" w:right="3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85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7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340360</wp:posOffset>
            </wp:positionV>
            <wp:extent cx="2118360" cy="5918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2959"/>
        <w:spacing w:after="0"/>
        <w:rPr>
          <w:sz w:val="20"/>
          <w:szCs w:val="20"/>
          <w:color w:val="auto"/>
        </w:rPr>
      </w:pPr>
      <w:r>
        <w:rPr>
          <w:rFonts w:ascii="Arial" w:cs="Arial" w:eastAsia="Arial" w:hAnsi="Arial"/>
          <w:sz w:val="43"/>
          <w:szCs w:val="43"/>
          <w:b w:val="1"/>
          <w:bCs w:val="1"/>
          <w:color w:val="auto"/>
        </w:rPr>
        <w:t>AnaptysBio, Inc.</w:t>
      </w:r>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381000</wp:posOffset>
            </wp:positionV>
            <wp:extent cx="15176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80"/>
        <w:spacing w:after="0"/>
        <w:rPr>
          <w:sz w:val="20"/>
          <w:szCs w:val="20"/>
          <w:color w:val="auto"/>
        </w:rPr>
      </w:pPr>
      <w:r>
        <w:rPr>
          <w:rFonts w:ascii="Arial" w:cs="Arial" w:eastAsia="Arial" w:hAnsi="Arial"/>
          <w:sz w:val="21"/>
          <w:szCs w:val="2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Stifel</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JMP Securities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Paid or</w:t>
            </w:r>
          </w:p>
        </w:tc>
      </w:tr>
      <w:tr>
        <w:trPr>
          <w:trHeight w:val="171"/>
        </w:trPr>
        <w:tc>
          <w:tcPr>
            <w:tcW w:w="704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to be Paid</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13,438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To be completed by amendment.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900" w:right="240" w:hanging="325"/>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c>
          <w:tcPr>
            <w:tcW w:w="1140" w:type="dxa"/>
            <w:vAlign w:val="bottom"/>
            <w:gridSpan w:val="3"/>
          </w:tcPr>
          <w:p>
            <w:pPr>
              <w:ind w:left="5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5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9"/>
              </w:rPr>
              <w:t>Form of Restated Certificate of Incorporation to be effective upon the closing of this</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offering.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Restated Bylaws to be effective upon the closing of this offering.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8"/>
              </w:rPr>
              <w:t>Amended and Restated Investors’ Rights Agreement dated July 13, 2015 among the</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Registrant and certain of its stockholders, as amended.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Indemnification Agreement.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Between November 11, 2013 and November 11, 2016, the Registrant granted options to purchase 11,229,916 shares of common stock under its 2006 Equity Incentive Plan to its directors, officers, employees, consultants, and other service providers with per share exercise prices ranging from $0.10 to $1.22. In this same period, the Registrant issued 1,198,162 shares of common stock upon exercise of stock options previously issued under the 2006 Equity Incentive Plan to its directors, officers, employees, consultants, and other service providers for cash consideration in the aggregate amount of $188,765. 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Warrants to Purchase Common Stock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August 2013, the Registrant issued a warrant to an accredited investor to purchase 822,386 shares of Registrant’s common stock. The common stock warrant has a per share exercise price of $0.65. The securities issued in this transaction were exempt from the registration requirements of the Securities Act in reliance upon Section 4(2) under the Securities Act.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Warrants to Purchase Preferred Stock</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December 2014, the Registrant issued warrants to accredited investors to purchase an aggregate of 288,462 shares of the Registrant’s Series C convertible preferred stock. The preferred stock warrants have a per share exercise price of $0.65. The securities issued in this transaction were exempt from the registration requirements of the Securities Act in reliance upon Section 4(2) under the Securities Act.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Sales of Preferred Stock</w:t>
      </w:r>
    </w:p>
    <w:p>
      <w:pPr>
        <w:spacing w:after="0" w:line="117" w:lineRule="exact"/>
        <w:rPr>
          <w:sz w:val="20"/>
          <w:szCs w:val="20"/>
          <w:color w:val="auto"/>
        </w:rPr>
      </w:pPr>
    </w:p>
    <w:p>
      <w:pPr>
        <w:jc w:val="both"/>
        <w:ind w:firstLine="464"/>
        <w:spacing w:after="0" w:line="259" w:lineRule="auto"/>
        <w:tabs>
          <w:tab w:leader="none" w:pos="6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August 2013, the Registrant issued an aggregate of 14,258,530 shares of Registrant’s common stock to an accredited investor upon the conversion of 3,000,000 previously-held shares of Series A convertible preferred stock and 6,019,065 previously-held shares of Series B convertible preferred stock. The securities issued in this transaction were exempt from the registration requirements of the Securities Act in reliance upon on Rule 506 promulgated under the Securities Act.</w:t>
      </w:r>
    </w:p>
    <w:p>
      <w:pPr>
        <w:spacing w:after="0" w:line="78" w:lineRule="exact"/>
        <w:rPr>
          <w:rFonts w:ascii="Arial" w:cs="Arial" w:eastAsia="Arial" w:hAnsi="Arial"/>
          <w:sz w:val="18"/>
          <w:szCs w:val="18"/>
          <w:color w:val="auto"/>
        </w:rPr>
      </w:pPr>
    </w:p>
    <w:p>
      <w:pPr>
        <w:ind w:right="20" w:firstLine="464"/>
        <w:spacing w:after="0" w:line="259" w:lineRule="auto"/>
        <w:tabs>
          <w:tab w:leader="none" w:pos="6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April 2014, the Registrant issued an aggregate of 3,318,054 shares of the Registrant’s Series C-1 convertible preferred stock at a purchase price of $0.65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78" w:lineRule="exact"/>
        <w:rPr>
          <w:rFonts w:ascii="Arial" w:cs="Arial" w:eastAsia="Arial" w:hAnsi="Arial"/>
          <w:sz w:val="18"/>
          <w:szCs w:val="18"/>
          <w:color w:val="auto"/>
        </w:rPr>
      </w:pPr>
    </w:p>
    <w:p>
      <w:pPr>
        <w:jc w:val="both"/>
        <w:ind w:right="20" w:firstLine="464"/>
        <w:spacing w:after="0" w:line="259" w:lineRule="auto"/>
        <w:tabs>
          <w:tab w:leader="none" w:pos="6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July 2015, the Registrant issued an aggregate of 38,436,851 shares of the Registrant’s Series D convertible preferred stock at a purchase price of $1.06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immediately following signature page.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 notes.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right="120" w:firstLine="464"/>
        <w:spacing w:after="0" w:line="264" w:lineRule="auto"/>
        <w:tabs>
          <w:tab w:leader="none" w:pos="70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3" w:lineRule="exact"/>
        <w:rPr>
          <w:rFonts w:ascii="Arial" w:cs="Arial" w:eastAsia="Arial" w:hAnsi="Arial"/>
          <w:sz w:val="18"/>
          <w:szCs w:val="18"/>
          <w:color w:val="auto"/>
        </w:rPr>
      </w:pPr>
    </w:p>
    <w:p>
      <w:pPr>
        <w:ind w:right="240" w:firstLine="464"/>
        <w:spacing w:after="0" w:line="264" w:lineRule="auto"/>
        <w:tabs>
          <w:tab w:leader="none" w:pos="7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amendment to the registration statement on Form S-1 to be signed on its behalf by the undersigned, thereunto duly authorized, in San Diego, California, on the 15th day of November, 2016.</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0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3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0"/>
              </w:rPr>
              <w:t>/s/ Hamza Suria</w:t>
            </w:r>
          </w:p>
        </w:tc>
        <w:tc>
          <w:tcPr>
            <w:tcW w:w="300" w:type="dxa"/>
            <w:vAlign w:val="bottom"/>
          </w:tcPr>
          <w:p>
            <w:pPr>
              <w:spacing w:after="0"/>
              <w:rPr>
                <w:sz w:val="24"/>
                <w:szCs w:val="24"/>
                <w:color w:val="auto"/>
              </w:rPr>
            </w:pPr>
          </w:p>
        </w:tc>
        <w:tc>
          <w:tcPr>
            <w:tcW w:w="480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18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November 15,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Hamza Suria</w:t>
            </w:r>
          </w:p>
        </w:tc>
        <w:tc>
          <w:tcPr>
            <w:tcW w:w="300" w:type="dxa"/>
            <w:vAlign w:val="bottom"/>
          </w:tcPr>
          <w:p>
            <w:pPr>
              <w:spacing w:after="0"/>
              <w:rPr>
                <w:sz w:val="19"/>
                <w:szCs w:val="19"/>
                <w:color w:val="auto"/>
              </w:rPr>
            </w:pPr>
          </w:p>
        </w:tc>
        <w:tc>
          <w:tcPr>
            <w:tcW w:w="48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(Principal Executive, Financial and Accounting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November 15,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Tiba Aynechi, Ph.D.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November 15,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Carol G. Gallagher, Pharm.D.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November 15,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Nicholas B. Lydon, Ph.D., FRS</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November 15,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Hollings Renton</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November 15,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John Schmid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November 15,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87"/>
              </w:rPr>
              <w:t>James A. Schoeneck</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November 15,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James N. Topper, M.D., Ph.D.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58"/>
        </w:trPr>
        <w:tc>
          <w:tcPr>
            <w:tcW w:w="4280" w:type="dxa"/>
            <w:vAlign w:val="bottom"/>
            <w:gridSpan w:val="4"/>
          </w:tcPr>
          <w:p>
            <w:pPr>
              <w:spacing w:after="0"/>
              <w:rPr>
                <w:sz w:val="20"/>
                <w:szCs w:val="20"/>
                <w:color w:val="auto"/>
              </w:rPr>
            </w:pPr>
            <w:r>
              <w:rPr>
                <w:rFonts w:ascii="Arial" w:cs="Arial" w:eastAsia="Arial" w:hAnsi="Arial"/>
                <w:sz w:val="18"/>
                <w:szCs w:val="18"/>
                <w:color w:val="auto"/>
              </w:rPr>
              <w:t>*  Pursuant to Power of Attorney</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4280" w:type="dxa"/>
            <w:vAlign w:val="bottom"/>
            <w:gridSpan w:val="4"/>
          </w:tcPr>
          <w:p>
            <w:pPr>
              <w:spacing w:after="0"/>
              <w:rPr>
                <w:sz w:val="20"/>
                <w:szCs w:val="20"/>
                <w:color w:val="auto"/>
              </w:rPr>
            </w:pPr>
            <w:r>
              <w:rPr>
                <w:rFonts w:ascii="Arial" w:cs="Arial" w:eastAsia="Arial" w:hAnsi="Arial"/>
                <w:sz w:val="18"/>
                <w:szCs w:val="18"/>
                <w:color w:val="auto"/>
              </w:rPr>
              <w:t>By:  /s/ Hamza Suria</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3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Hamza Suria</w:t>
            </w:r>
          </w:p>
        </w:tc>
        <w:tc>
          <w:tcPr>
            <w:tcW w:w="30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3"/>
          </w:tcPr>
          <w:p>
            <w:pPr>
              <w:ind w:left="1000"/>
              <w:spacing w:after="0"/>
              <w:rPr>
                <w:sz w:val="20"/>
                <w:szCs w:val="20"/>
                <w:color w:val="auto"/>
              </w:rPr>
            </w:pPr>
            <w:r>
              <w:rPr>
                <w:rFonts w:ascii="Arial" w:cs="Arial" w:eastAsia="Arial" w:hAnsi="Arial"/>
                <w:sz w:val="18"/>
                <w:szCs w:val="18"/>
                <w:color w:val="auto"/>
              </w:rPr>
              <w:t>II-5</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60"/>
          </w:cols>
          <w:pgMar w:left="240" w:top="460" w:right="3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6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Exhibit</w:t>
            </w: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85"/>
        </w:trPr>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4640" w:type="dxa"/>
            <w:vAlign w:val="bottom"/>
          </w:tcPr>
          <w:p>
            <w:pPr>
              <w:spacing w:after="0"/>
              <w:rPr>
                <w:sz w:val="16"/>
                <w:szCs w:val="16"/>
                <w:color w:val="auto"/>
              </w:rPr>
            </w:pPr>
          </w:p>
        </w:tc>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1.1†</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24"/>
        </w:trPr>
        <w:tc>
          <w:tcPr>
            <w:tcW w:w="6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3.1†</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Amended and Restated Certificate of Incorporation, as amended to date, as currently in effect.</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Bylaws, as currently in effect.</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Restated Bylaws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Common Stock Certificate.</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0"/>
              </w:rPr>
              <w:t>Fourth Amended and Restated Investors’ Rights Agreement, dated July 13, 2015, by and among the Registrant and certain of its stockholders.</w:t>
            </w:r>
          </w:p>
        </w:tc>
      </w:tr>
      <w:tr>
        <w:trPr>
          <w:trHeight w:val="324"/>
        </w:trPr>
        <w:tc>
          <w:tcPr>
            <w:tcW w:w="6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5.1†</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Opinion of Fenwick &amp; West LLP.</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10.2†</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2006 Equity Incentive Plan, as amended, and forms of award agreements.</w:t>
            </w:r>
          </w:p>
        </w:tc>
      </w:tr>
      <w:tr>
        <w:trPr>
          <w:trHeight w:val="324"/>
        </w:trPr>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10.3†</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1"/>
              </w:rPr>
              <w:t>2016 Equity Incentive Plan, to become effective on the date the registration statement is declared effective, and forms of award agreements.</w:t>
            </w:r>
          </w:p>
        </w:tc>
      </w:tr>
      <w:tr>
        <w:trPr>
          <w:trHeight w:val="310"/>
        </w:trPr>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10.4†</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3"/>
              </w:rPr>
              <w:t>2016 Employee Stock Purchase Plan, to become effective on the date the registration statement is declared effective, and forms of award</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agreements.</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10.5*</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Employment Agreement, effective as of January 1, 2012, by and between the Registrant and Hamza Suria, as 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10.6*</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Employment Agreement, effective as of July 13, 2015, by and between the Registrant and Robert Hoffman, as 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10.7*</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Employment Agreement, effective as of October 20, 2014, by and between the Registrant and Marco Londei.</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10.8*</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Office Lease, dated April 19, 2011, by and between the Registrant and Kilroy Realty, L.P., as amended.</w:t>
            </w: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5"/>
              </w:rPr>
              <w:t>10.9*+</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8"/>
              </w:rPr>
              <w:t>Antibody Generation Agreement, dated December 22, 2011, by and between the Registrant and Celgene Corporation, as modified.</w:t>
            </w:r>
          </w:p>
        </w:tc>
      </w:tr>
      <w:tr>
        <w:trPr>
          <w:trHeight w:val="310"/>
        </w:trPr>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10.10*+</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7"/>
              </w:rPr>
              <w:t>Collaboration and Exclusive License Agreement, dated March 10, 2014, by and among the Registrant, TESARO, Inc. and TESARO</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Development, Ltd., as amended.</w:t>
            </w:r>
          </w:p>
        </w:tc>
      </w:tr>
      <w:tr>
        <w:trPr>
          <w:trHeight w:val="324"/>
        </w:trPr>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10.11*+</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License Agreement, dated August 30, 2006, by and between the Registrant and Medical Research Council, as amended.</w:t>
            </w:r>
          </w:p>
        </w:tc>
      </w:tr>
      <w:tr>
        <w:trPr>
          <w:trHeight w:val="324"/>
        </w:trPr>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10.12*+</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0"/>
              </w:rPr>
              <w:t>Non-Exclusive Research and Commercial License Agreement, dated May 15, 2009, by and between the Registrant and Millipore Corporation.</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10.13*</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3"/>
              </w:rPr>
              <w:t>Loan and Security Agreement, dated December 24, 2014, by and among the Registrant, Oxford Finance LLC and Silicon Valley Bank, as</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88"/>
              </w:rPr>
              <w:t>10.14</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Resignation and Transition Letter Agreement, effective July 29, 2016, by and between the Registrant and Robert Hoffman.</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21.1*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60" w:type="dxa"/>
            <w:vAlign w:val="bottom"/>
            <w:gridSpan w:val="2"/>
          </w:tcPr>
          <w:p>
            <w:pPr>
              <w:jc w:val="right"/>
              <w:ind w:right="154"/>
              <w:spacing w:after="0"/>
              <w:rPr>
                <w:sz w:val="20"/>
                <w:szCs w:val="20"/>
                <w:color w:val="auto"/>
              </w:rPr>
            </w:pPr>
            <w:r>
              <w:rPr>
                <w:rFonts w:ascii="Arial" w:cs="Arial" w:eastAsia="Arial" w:hAnsi="Arial"/>
                <w:sz w:val="18"/>
                <w:szCs w:val="18"/>
                <w:color w:val="auto"/>
                <w:w w:val="85"/>
              </w:rPr>
              <w:t>23.1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Consent of KPMG LLP, an independent registered public accounting firm.</w:t>
            </w:r>
          </w:p>
        </w:tc>
      </w:tr>
      <w:tr>
        <w:trPr>
          <w:trHeight w:val="324"/>
        </w:trPr>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23.2†</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24.1*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Power of Attorney.</w:t>
            </w: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9" w:lineRule="exact"/>
        <w:rPr>
          <w:sz w:val="20"/>
          <w:szCs w:val="20"/>
          <w:color w:val="auto"/>
        </w:rPr>
      </w:pPr>
    </w:p>
    <w:p>
      <w:pPr>
        <w:ind w:left="220" w:hanging="212"/>
        <w:spacing w:after="0" w:line="261" w:lineRule="auto"/>
        <w:tabs>
          <w:tab w:leader="none" w:pos="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220"/>
          </w:cols>
          <w:pgMar w:left="240" w:top="460" w:right="4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18,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Email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 Hoffman</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Terms of Resignation and Transition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Robert:</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letter confirms the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you and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concerning the terms of your transition and separation from employment and offers you certain benefits to which you would not otherwise be entitled, conditioned upon your provision of a general release of claims and covenant not to sue and your other promises herein. If you agree to the terms outlined herein, please sign and return this Agreement to me in the timeframe outlined below.</w:t>
      </w:r>
    </w:p>
    <w:p>
      <w:pPr>
        <w:spacing w:after="0" w:line="79" w:lineRule="exact"/>
        <w:rPr>
          <w:sz w:val="20"/>
          <w:szCs w:val="20"/>
          <w:color w:val="auto"/>
        </w:rPr>
      </w:pPr>
    </w:p>
    <w:p>
      <w:pPr>
        <w:jc w:val="both"/>
        <w:ind w:right="200" w:firstLine="464"/>
        <w:spacing w:after="0" w:line="259" w:lineRule="auto"/>
        <w:tabs>
          <w:tab w:leader="none" w:pos="63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You have expressed your intent to voluntarily resign your employment with the Company, and following discussions on such matter, you and the Company have agreed that, in lieu of the Company’s accepting your resignation pursuant to the thirty day timeframe set forth in Section 4.2 of your July 13, 2015 Employment Agreement with the Company, as amended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the Company will continue your employment through the Transition Period (as defined below).</w:t>
      </w:r>
    </w:p>
    <w:p>
      <w:pPr>
        <w:spacing w:after="0" w:line="78" w:lineRule="exact"/>
        <w:rPr>
          <w:rFonts w:ascii="Arial" w:cs="Arial" w:eastAsia="Arial" w:hAnsi="Arial"/>
          <w:sz w:val="18"/>
          <w:szCs w:val="18"/>
          <w:color w:val="auto"/>
        </w:rPr>
      </w:pPr>
    </w:p>
    <w:p>
      <w:pPr>
        <w:ind w:right="100" w:firstLine="464"/>
        <w:spacing w:after="0" w:line="308" w:lineRule="auto"/>
        <w:tabs>
          <w:tab w:leader="none" w:pos="636"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Continued Employment; Other Release Consideration</w:t>
      </w:r>
      <w:r>
        <w:rPr>
          <w:rFonts w:ascii="Arial" w:cs="Arial" w:eastAsia="Arial" w:hAnsi="Arial"/>
          <w:sz w:val="17"/>
          <w:szCs w:val="17"/>
          <w:color w:val="auto"/>
        </w:rPr>
        <w:t>: In exchange for your agreement to the general release and waiver of claims and covenant not to sue set forth below and your other promises herein, you and the Company agree to continue your employment on the following terms:</w:t>
      </w:r>
    </w:p>
    <w:p>
      <w:pPr>
        <w:spacing w:after="0" w:line="38" w:lineRule="exact"/>
        <w:rPr>
          <w:rFonts w:ascii="Arial" w:cs="Arial" w:eastAsia="Arial" w:hAnsi="Arial"/>
          <w:sz w:val="17"/>
          <w:szCs w:val="17"/>
          <w:color w:val="auto"/>
        </w:rPr>
      </w:pPr>
    </w:p>
    <w:p>
      <w:pPr>
        <w:ind w:right="40" w:firstLine="921"/>
        <w:spacing w:after="0" w:line="255" w:lineRule="auto"/>
        <w:tabs>
          <w:tab w:leader="none" w:pos="1083"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Resignation Date; Transition Period and Services</w:t>
      </w:r>
      <w:r>
        <w:rPr>
          <w:rFonts w:ascii="Arial" w:cs="Arial" w:eastAsia="Arial" w:hAnsi="Arial"/>
          <w:sz w:val="18"/>
          <w:szCs w:val="18"/>
          <w:color w:val="auto"/>
        </w:rPr>
        <w:t>: Your last day of employment with the Company will be October 31, 2016 (the “</w:t>
      </w:r>
      <w:r>
        <w:rPr>
          <w:rFonts w:ascii="Arial" w:cs="Arial" w:eastAsia="Arial" w:hAnsi="Arial"/>
          <w:sz w:val="18"/>
          <w:szCs w:val="18"/>
          <w:b w:val="1"/>
          <w:bCs w:val="1"/>
          <w:i w:val="1"/>
          <w:iCs w:val="1"/>
          <w:color w:val="auto"/>
        </w:rPr>
        <w:t>Resignation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Between now and the Resignation Date (the “</w:t>
      </w:r>
      <w:r>
        <w:rPr>
          <w:rFonts w:ascii="Arial" w:cs="Arial" w:eastAsia="Arial" w:hAnsi="Arial"/>
          <w:sz w:val="18"/>
          <w:szCs w:val="18"/>
          <w:b w:val="1"/>
          <w:bCs w:val="1"/>
          <w:i w:val="1"/>
          <w:iCs w:val="1"/>
          <w:color w:val="auto"/>
        </w:rPr>
        <w:t>Transition Period</w:t>
      </w:r>
      <w:r>
        <w:rPr>
          <w:rFonts w:ascii="Arial" w:cs="Arial" w:eastAsia="Arial" w:hAnsi="Arial"/>
          <w:sz w:val="18"/>
          <w:szCs w:val="18"/>
          <w:color w:val="auto"/>
        </w:rPr>
        <w:t>”), you agree to carry out the duties and responsibilities of your position as directed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principally by Hamza Suria, the Company’s Chief Executive Officer, to whom you will continue to report, and to provide other transition services as may reasonably be requested by the Company, including (a) assistance with review of financial statements for the second quarter of 2016 and filing of an amendment to the Company’s registration statement on Form S-1 incorporating such financial statements, subject to review and completion of such financial statements and amendment, which amendment you would execute</w:t>
      </w:r>
    </w:p>
    <w:p>
      <w:pPr>
        <w:sectPr>
          <w:pgSz w:w="11900" w:h="16838" w:orient="portrait"/>
          <w:cols w:equalWidth="0" w:num="1">
            <w:col w:w="11420"/>
          </w:cols>
          <w:pgMar w:left="240" w:top="121" w:right="2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Robert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your capacity as Chief Financial Officer provided that the Company is prepared to file such amendment and the Chief Executive Officer of the Company also executes such amendment in his capacity as Chief Executive Officer and (b) transition of the responsibilities, duties, and knowledge relative to your position to one or more individuals designated by the Company (the “</w:t>
      </w:r>
      <w:r>
        <w:rPr>
          <w:rFonts w:ascii="Arial" w:cs="Arial" w:eastAsia="Arial" w:hAnsi="Arial"/>
          <w:sz w:val="16"/>
          <w:szCs w:val="16"/>
          <w:b w:val="1"/>
          <w:bCs w:val="1"/>
          <w:i w:val="1"/>
          <w:iCs w:val="1"/>
          <w:color w:val="auto"/>
        </w:rPr>
        <w:t>Transition Services</w:t>
      </w:r>
      <w:r>
        <w:rPr>
          <w:rFonts w:ascii="Arial" w:cs="Arial" w:eastAsia="Arial" w:hAnsi="Arial"/>
          <w:sz w:val="16"/>
          <w:szCs w:val="16"/>
          <w:color w:val="auto"/>
        </w:rPr>
        <w:t>”). During the Transition Period: (i) you will continue to be present in the office and maintain a full-time schedule; (ii) you may use regular business hours to pursue future plans and/or other employment opportunities, so long as such activities do not materially conflict with the Transition Services; and (iii) you will continue to be bound by all applicable common law and contractual duties of loyalty and with respect to protection of the Company’s trade secrets and other proprietary business information, including as set forth in Section 2 of the Employment Agreement and in Exhibit A hereto. Notwithstanding the foregoing, you may elect to terminate the Transition Period early by written notice to the Company, in which case the termination date you specify (which shall be at least two weeks after the date of your notice to the Company) will constitute the “Resignation Date” for purposes of this letter, including with regarding to vesting and exercise of your Options as described in Section 6.</w:t>
      </w:r>
    </w:p>
    <w:p>
      <w:pPr>
        <w:spacing w:after="0" w:line="59"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Compensation and Benefits</w:t>
      </w:r>
      <w:r>
        <w:rPr>
          <w:rFonts w:ascii="Arial" w:cs="Arial" w:eastAsia="Arial" w:hAnsi="Arial"/>
          <w:sz w:val="17"/>
          <w:szCs w:val="17"/>
          <w:color w:val="auto"/>
        </w:rPr>
        <w:t>: During the Transition Period, the Company will continue to pay you your current base salary and you will continue to be eligible to participate in benefits customarily afforded to other Company executives, including participation in the Company-sponsored health benefits plan and continued vesting of your stock options, to the fullest extent allowed by the governing plans, agreements, or policies.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By signing below, you acknowledge that you are receiving the release consideration outlined in this paragraph in consideration for waiving your rights to claims referred to in this Agreement, and that you would not otherwise be entitled to the release consideration.</w:t>
      </w:r>
    </w:p>
    <w:p>
      <w:pPr>
        <w:spacing w:after="0" w:line="62" w:lineRule="exact"/>
        <w:rPr>
          <w:sz w:val="20"/>
          <w:szCs w:val="20"/>
          <w:color w:val="auto"/>
        </w:rPr>
      </w:pPr>
    </w:p>
    <w:p>
      <w:pPr>
        <w:ind w:firstLine="464"/>
        <w:spacing w:after="0" w:line="264" w:lineRule="auto"/>
        <w:tabs>
          <w:tab w:leader="none" w:pos="63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Final Pay</w:t>
      </w:r>
      <w:r>
        <w:rPr>
          <w:rFonts w:ascii="Arial" w:cs="Arial" w:eastAsia="Arial" w:hAnsi="Arial"/>
          <w:sz w:val="18"/>
          <w:szCs w:val="18"/>
          <w:color w:val="auto"/>
        </w:rPr>
        <w:t>: On the Resignation Date, the Company will pay you for all wages, salary, bonuses, commissions, reimbursable expenses, accrued vacation and any similar payments due you from the Company as of the Resignation Date. By signing below, you acknowledge that the Company does not owe you any other amounts.</w:t>
      </w:r>
    </w:p>
    <w:p>
      <w:pPr>
        <w:spacing w:after="0" w:line="73" w:lineRule="exact"/>
        <w:rPr>
          <w:rFonts w:ascii="Arial" w:cs="Arial" w:eastAsia="Arial" w:hAnsi="Arial"/>
          <w:sz w:val="18"/>
          <w:szCs w:val="18"/>
          <w:color w:val="auto"/>
        </w:rPr>
      </w:pPr>
    </w:p>
    <w:p>
      <w:pPr>
        <w:ind w:right="540" w:firstLine="464"/>
        <w:spacing w:after="0" w:line="277" w:lineRule="auto"/>
        <w:tabs>
          <w:tab w:leader="none" w:pos="63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You hereby warrant to the Company that, no later than the Resignation Date, you will return to the Company all property or data of the Company of any type whatsoever that has been in your possession or control.</w:t>
      </w:r>
    </w:p>
    <w:p>
      <w:pPr>
        <w:spacing w:after="0" w:line="62" w:lineRule="exact"/>
        <w:rPr>
          <w:rFonts w:ascii="Arial" w:cs="Arial" w:eastAsia="Arial" w:hAnsi="Arial"/>
          <w:sz w:val="18"/>
          <w:szCs w:val="18"/>
          <w:color w:val="auto"/>
        </w:rPr>
      </w:pPr>
    </w:p>
    <w:p>
      <w:pPr>
        <w:ind w:right="260" w:firstLine="464"/>
        <w:spacing w:after="0" w:line="273" w:lineRule="auto"/>
        <w:tabs>
          <w:tab w:leader="none" w:pos="636"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Proprietary Information</w:t>
      </w:r>
      <w:r>
        <w:rPr>
          <w:rFonts w:ascii="Arial" w:cs="Arial" w:eastAsia="Arial" w:hAnsi="Arial"/>
          <w:sz w:val="17"/>
          <w:szCs w:val="17"/>
          <w:color w:val="auto"/>
        </w:rPr>
        <w:t xml:space="preserve">: You hereby acknowledge that you are bound by the attached Confidential Information and Invention Assignment Agreement,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that as a result of your employment with the Company you have had access to the Company’s Confidential Information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that you will hold all Confidential Information in strictest confidence and that you will not make use of such Confidential Information on behalf of anyone, except as required in the course of your employment with the Company. You further confirm that you will deliver to the Company, no later than the Resignation Date, all documents and data of any nature containing or pertaining to such Confidential Information and that you will not take with you any such documents or data or any reproduction thereof.</w:t>
      </w:r>
    </w:p>
    <w:p>
      <w:pPr>
        <w:sectPr>
          <w:pgSz w:w="11900" w:h="16838" w:orient="portrait"/>
          <w:cols w:equalWidth="0" w:num="1">
            <w:col w:w="11420"/>
          </w:cols>
          <w:pgMar w:left="240" w:top="274"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Robert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640" w:hanging="176"/>
        <w:spacing w:after="0"/>
        <w:tabs>
          <w:tab w:leader="none" w:pos="64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Pursuant to (i) that certain Option Grant Notice between you and the Company dated August 14, 2015 for the purchase of up to</w:t>
      </w:r>
    </w:p>
    <w:p>
      <w:pPr>
        <w:spacing w:after="0" w:line="34" w:lineRule="exact"/>
        <w:rPr>
          <w:rFonts w:ascii="Arial" w:cs="Arial" w:eastAsia="Arial" w:hAnsi="Arial"/>
          <w:sz w:val="17"/>
          <w:szCs w:val="17"/>
          <w:color w:val="auto"/>
        </w:rPr>
      </w:pPr>
    </w:p>
    <w:p>
      <w:pPr>
        <w:ind w:right="60"/>
        <w:spacing w:after="0" w:line="268" w:lineRule="auto"/>
        <w:rPr>
          <w:rFonts w:ascii="Arial" w:cs="Arial" w:eastAsia="Arial" w:hAnsi="Arial"/>
          <w:sz w:val="17"/>
          <w:szCs w:val="17"/>
          <w:color w:val="auto"/>
        </w:rPr>
      </w:pPr>
      <w:r>
        <w:rPr>
          <w:rFonts w:ascii="Arial" w:cs="Arial" w:eastAsia="Arial" w:hAnsi="Arial"/>
          <w:sz w:val="17"/>
          <w:szCs w:val="17"/>
          <w:color w:val="auto"/>
        </w:rPr>
        <w:t>350,015 shares of the Company’s common stock, (ii) that certain Option Grant Notice between you and the Company dated August 14, 2015 for the purchase of up to 404,040 shares of the Company’s common stock, (iii) that certain Option Grant Notice between you and the Company dated August 14, 2015 for the purchase of up to 432,032 shares of the Company’s common stock and (iv) the Company’s 2016 Equity Incentive Plan (hereafter collectively referred to as the “</w:t>
      </w:r>
      <w:r>
        <w:rPr>
          <w:rFonts w:ascii="Arial" w:cs="Arial" w:eastAsia="Arial" w:hAnsi="Arial"/>
          <w:sz w:val="17"/>
          <w:szCs w:val="17"/>
          <w:b w:val="1"/>
          <w:bCs w:val="1"/>
          <w:i w:val="1"/>
          <w:iCs w:val="1"/>
          <w:color w:val="auto"/>
        </w:rPr>
        <w:t>Stock Option Agreements</w:t>
      </w:r>
      <w:r>
        <w:rPr>
          <w:rFonts w:ascii="Arial" w:cs="Arial" w:eastAsia="Arial" w:hAnsi="Arial"/>
          <w:sz w:val="17"/>
          <w:szCs w:val="17"/>
          <w:color w:val="auto"/>
        </w:rPr>
        <w:t>”), you were granted the option to purchase up to an aggregate of 1,186,087 shares of the Company’s common stock (the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As of the date of this letter, the Options have vested as to 188,513 shares (the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 and remain unvested as to 997,574 shares (the “</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During the Transition Period, the Options will continue to vest according to the terms of the Stock Option Agreements; however, all vesting will cease as of the Resignation Date. At all times, your rights concerning the Options will continue to be governed by the Stock Option Agreements. Per the Stock Option Agreements, you will have 180 days following the Resignation Date to exercise any then-vested shares; after that date, you will no longer have a right to exercise the Options as to any shares.</w:t>
      </w:r>
    </w:p>
    <w:p>
      <w:pPr>
        <w:spacing w:after="0" w:line="73" w:lineRule="exact"/>
        <w:rPr>
          <w:rFonts w:ascii="Arial" w:cs="Arial" w:eastAsia="Arial" w:hAnsi="Arial"/>
          <w:sz w:val="17"/>
          <w:szCs w:val="17"/>
          <w:color w:val="auto"/>
        </w:rPr>
      </w:pPr>
    </w:p>
    <w:p>
      <w:pPr>
        <w:ind w:left="640" w:hanging="17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13"/>
        <w:spacing w:after="0" w:line="268" w:lineRule="auto"/>
        <w:rPr>
          <w:rFonts w:ascii="Arial" w:cs="Arial" w:eastAsia="Arial" w:hAnsi="Arial"/>
          <w:sz w:val="18"/>
          <w:szCs w:val="18"/>
          <w:color w:val="auto"/>
        </w:rPr>
      </w:pPr>
      <w:r>
        <w:rPr>
          <w:rFonts w:ascii="Arial" w:cs="Arial" w:eastAsia="Arial" w:hAnsi="Arial"/>
          <w:sz w:val="17"/>
          <w:szCs w:val="17"/>
          <w:color w:val="auto"/>
        </w:rPr>
        <w:t>a. The payments and promises set forth in this Agreement are in full satisfaction of all accrued salary, vacation pay, bonus and commission pay, profit-sharing, stock, stock options or other ownership interest in the Company, termination benefits or other compensation to which you may be entitled by virtue of the Employment Agreement, your employment with the Company and/or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w:t>
      </w:r>
      <w:r>
        <w:rPr>
          <w:rFonts w:ascii="Arial" w:cs="Arial" w:eastAsia="Arial" w:hAnsi="Arial"/>
          <w:sz w:val="17"/>
          <w:szCs w:val="17"/>
          <w:b w:val="1"/>
          <w:bCs w:val="1"/>
          <w:i w:val="1"/>
          <w:iCs w:val="1"/>
          <w:color w:val="auto"/>
        </w:rPr>
        <w:t>Releasees</w:t>
      </w:r>
      <w:r>
        <w:rPr>
          <w:rFonts w:ascii="Arial" w:cs="Arial" w:eastAsia="Arial" w:hAnsi="Arial"/>
          <w:sz w:val="17"/>
          <w:szCs w:val="17"/>
          <w:color w:val="auto"/>
        </w:rPr>
        <w:t>”), whether known or not known, including, without limitation, claims of any kind under the Employment Agreement (including for severance or benefits of any kind),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 For clarity, following the Effective Date and by virtue of the foregoing release, the terms of your employment during the Transition Period will be governed solely by this Agreement, and the terms of your Employment Agreement will no longer apply.</w:t>
      </w:r>
    </w:p>
    <w:p>
      <w:pPr>
        <w:sectPr>
          <w:pgSz w:w="11900" w:h="16838" w:orient="portrait"/>
          <w:cols w:equalWidth="0" w:num="1">
            <w:col w:w="11420"/>
          </w:cols>
          <w:pgMar w:left="240" w:top="274"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Robert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By signing below, you expressly waive any benefits of Section 1542 of the Civil Code of the State of California, which provides as follows:</w:t>
      </w:r>
    </w:p>
    <w:p>
      <w:pPr>
        <w:spacing w:after="0" w:line="140" w:lineRule="exact"/>
        <w:rPr>
          <w:sz w:val="20"/>
          <w:szCs w:val="20"/>
          <w:color w:val="auto"/>
        </w:rPr>
      </w:pPr>
    </w:p>
    <w:p>
      <w:pPr>
        <w:ind w:left="460" w:right="140" w:firstLine="438"/>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73" w:lineRule="exact"/>
        <w:rPr>
          <w:sz w:val="20"/>
          <w:szCs w:val="20"/>
          <w:color w:val="auto"/>
        </w:rPr>
      </w:pPr>
    </w:p>
    <w:p>
      <w:pPr>
        <w:ind w:right="500" w:firstLine="913"/>
        <w:spacing w:after="0" w:line="302" w:lineRule="auto"/>
        <w:rPr>
          <w:sz w:val="20"/>
          <w:szCs w:val="20"/>
          <w:color w:val="auto"/>
        </w:rPr>
      </w:pPr>
      <w:r>
        <w:rPr>
          <w:rFonts w:ascii="Arial" w:cs="Arial" w:eastAsia="Arial" w:hAnsi="Arial"/>
          <w:sz w:val="16"/>
          <w:szCs w:val="16"/>
          <w:color w:val="auto"/>
        </w:rPr>
        <w:t>c. You and the Company do not intend to release claims that you may not release as a matter of law, including but not limited to claims for indemnity under California Labor Code Section 2802, the Company’s certificate of incorporation and bylaws and/or any contractual agreements for indemnification between you and the Company, or any claims for enforcement of this Agreement. To the fullest extent permitted by law, any dispute regarding the scope of this general release shall be determined by an arbitrator under the procedures set forth in the arbitration clause below.</w:t>
      </w:r>
    </w:p>
    <w:p>
      <w:pPr>
        <w:spacing w:after="0" w:line="46" w:lineRule="exact"/>
        <w:rPr>
          <w:sz w:val="20"/>
          <w:szCs w:val="20"/>
          <w:color w:val="auto"/>
        </w:rPr>
      </w:pPr>
    </w:p>
    <w:p>
      <w:pPr>
        <w:ind w:left="640" w:hanging="176"/>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Covenant Not to Sue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40" w:firstLine="921"/>
        <w:spacing w:after="0" w:line="259" w:lineRule="auto"/>
        <w:tabs>
          <w:tab w:leader="none" w:pos="108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p>
    <w:p>
      <w:pPr>
        <w:spacing w:after="0" w:line="78" w:lineRule="exact"/>
        <w:rPr>
          <w:rFonts w:ascii="Arial" w:cs="Arial" w:eastAsia="Arial" w:hAnsi="Arial"/>
          <w:sz w:val="18"/>
          <w:szCs w:val="18"/>
          <w:color w:val="auto"/>
        </w:rPr>
      </w:pPr>
    </w:p>
    <w:p>
      <w:pPr>
        <w:ind w:firstLine="921"/>
        <w:spacing w:after="0" w:line="259" w:lineRule="auto"/>
        <w:tabs>
          <w:tab w:leader="none" w:pos="109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Nothing in this paragraph shall prohibit you from filing a charge or complaint with a government agency where, as a matter of law, the parties may not restrict your ability to file such administrative complaints. However, you understand and agree that, by entering into this Agreement, you are releasing any and all individual claims for relief, and that any and all subsequent disputes between you and the Company shall be resolved through arbitration as provided below.</w:t>
      </w:r>
    </w:p>
    <w:p>
      <w:pPr>
        <w:spacing w:after="0" w:line="78" w:lineRule="exact"/>
        <w:rPr>
          <w:rFonts w:ascii="Arial" w:cs="Arial" w:eastAsia="Arial" w:hAnsi="Arial"/>
          <w:sz w:val="18"/>
          <w:szCs w:val="18"/>
          <w:color w:val="auto"/>
        </w:rPr>
      </w:pPr>
    </w:p>
    <w:p>
      <w:pPr>
        <w:ind w:right="180" w:firstLine="921"/>
        <w:spacing w:after="0" w:line="277" w:lineRule="auto"/>
        <w:tabs>
          <w:tab w:leader="none" w:pos="108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Nothing in this paragraph shall prohibit or impair you or the Company from complying with all applicable laws, nor shall this Agreement be construed to obligate either party to commit (or aid or abet in the commission of) any unlawful act.</w:t>
      </w:r>
    </w:p>
    <w:p>
      <w:pPr>
        <w:spacing w:after="0" w:line="62" w:lineRule="exact"/>
        <w:rPr>
          <w:rFonts w:ascii="Arial" w:cs="Arial" w:eastAsia="Arial" w:hAnsi="Arial"/>
          <w:sz w:val="18"/>
          <w:szCs w:val="18"/>
          <w:color w:val="auto"/>
        </w:rPr>
      </w:pPr>
    </w:p>
    <w:p>
      <w:pPr>
        <w:ind w:firstLine="464"/>
        <w:spacing w:after="0" w:line="257" w:lineRule="auto"/>
        <w:tabs>
          <w:tab w:leader="none" w:pos="63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The Company agrees that none of its executive officers or directors will make any disparaging statement, written or oral, regarding your service to or relationship with the Company. Nothing in this paragraph shall prohibit you or the Company from providing truthful information in response to a subpoena or other legal process.</w:t>
      </w:r>
    </w:p>
    <w:p>
      <w:pPr>
        <w:sectPr>
          <w:pgSz w:w="11900" w:h="16838" w:orient="portrait"/>
          <w:cols w:equalWidth="0" w:num="1">
            <w:col w:w="11380"/>
          </w:cols>
          <w:pgMar w:left="240" w:top="274" w:right="27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Robert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right="100" w:firstLine="464"/>
        <w:spacing w:after="0" w:line="272" w:lineRule="auto"/>
        <w:tabs>
          <w:tab w:leader="none" w:pos="726"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Except for any claim for injunctive relief arising out of a breach of a party’s obligations to protect the other’s proprietary information, the parties agree to arbitrate, in San Diego,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69" w:lineRule="exact"/>
        <w:rPr>
          <w:rFonts w:ascii="Arial" w:cs="Arial" w:eastAsia="Arial" w:hAnsi="Arial"/>
          <w:sz w:val="17"/>
          <w:szCs w:val="17"/>
          <w:color w:val="auto"/>
        </w:rPr>
      </w:pPr>
    </w:p>
    <w:p>
      <w:pPr>
        <w:ind w:right="480" w:firstLine="464"/>
        <w:spacing w:after="0" w:line="308" w:lineRule="auto"/>
        <w:tabs>
          <w:tab w:leader="none" w:pos="72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38" w:lineRule="exact"/>
        <w:rPr>
          <w:rFonts w:ascii="Arial" w:cs="Arial" w:eastAsia="Arial" w:hAnsi="Arial"/>
          <w:sz w:val="17"/>
          <w:szCs w:val="17"/>
          <w:color w:val="auto"/>
        </w:rPr>
      </w:pPr>
    </w:p>
    <w:p>
      <w:pPr>
        <w:ind w:right="40" w:firstLine="464"/>
        <w:spacing w:after="0" w:line="279" w:lineRule="auto"/>
        <w:tabs>
          <w:tab w:leader="none" w:pos="726"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The contents, terms and conditions of this Agreement must be kept 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63" w:lineRule="exact"/>
        <w:rPr>
          <w:rFonts w:ascii="Arial" w:cs="Arial" w:eastAsia="Arial" w:hAnsi="Arial"/>
          <w:sz w:val="17"/>
          <w:szCs w:val="17"/>
          <w:color w:val="auto"/>
        </w:rPr>
      </w:pPr>
    </w:p>
    <w:p>
      <w:pPr>
        <w:jc w:val="both"/>
        <w:ind w:right="300" w:firstLine="464"/>
        <w:spacing w:after="0" w:line="259" w:lineRule="auto"/>
        <w:tabs>
          <w:tab w:leader="none" w:pos="72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w:t>
      </w:r>
    </w:p>
    <w:p>
      <w:pPr>
        <w:spacing w:after="0" w:line="78" w:lineRule="exact"/>
        <w:rPr>
          <w:rFonts w:ascii="Arial" w:cs="Arial" w:eastAsia="Arial" w:hAnsi="Arial"/>
          <w:sz w:val="18"/>
          <w:szCs w:val="18"/>
          <w:color w:val="auto"/>
        </w:rPr>
      </w:pPr>
    </w:p>
    <w:p>
      <w:pPr>
        <w:ind w:right="40" w:firstLine="464"/>
        <w:spacing w:after="0" w:line="293" w:lineRule="auto"/>
        <w:tabs>
          <w:tab w:leader="none" w:pos="726"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Complete and Voluntary Agreement</w:t>
      </w:r>
      <w:r>
        <w:rPr>
          <w:rFonts w:ascii="Arial" w:cs="Arial" w:eastAsia="Arial" w:hAnsi="Arial"/>
          <w:sz w:val="16"/>
          <w:szCs w:val="16"/>
          <w:color w:val="auto"/>
        </w:rPr>
        <w:t>: This Agreement, together with Exhibit A hereto and the Stock Option Agreements, constitute the entire agreement between you and Releasees with respect to the subject matter hereof and supersedes all prior negotiations and agreements, whether written or oral, relating to such subject matter, including the terms of your Employment Agreement.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56" w:lineRule="exact"/>
        <w:rPr>
          <w:rFonts w:ascii="Arial" w:cs="Arial" w:eastAsia="Arial" w:hAnsi="Arial"/>
          <w:sz w:val="16"/>
          <w:szCs w:val="16"/>
          <w:color w:val="auto"/>
        </w:rPr>
      </w:pPr>
    </w:p>
    <w:p>
      <w:pPr>
        <w:ind w:firstLine="464"/>
        <w:spacing w:after="0" w:line="259" w:lineRule="auto"/>
        <w:tabs>
          <w:tab w:leader="none" w:pos="72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ectPr>
          <w:pgSz w:w="11900" w:h="16838" w:orient="portrait"/>
          <w:cols w:equalWidth="0" w:num="1">
            <w:col w:w="11380"/>
          </w:cols>
          <w:pgMar w:left="240" w:top="274" w:right="27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Robert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right="280" w:firstLine="464"/>
        <w:spacing w:after="0" w:line="276" w:lineRule="auto"/>
        <w:tabs>
          <w:tab w:leader="none" w:pos="726"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Modification; Counterparts; Facsimile/PDF Signatures</w:t>
      </w:r>
      <w:r>
        <w:rPr>
          <w:rFonts w:ascii="Arial" w:cs="Arial" w:eastAsia="Arial" w:hAnsi="Arial"/>
          <w:sz w:val="17"/>
          <w:szCs w:val="17"/>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spacing w:after="0" w:line="64" w:lineRule="exact"/>
        <w:rPr>
          <w:rFonts w:ascii="Arial" w:cs="Arial" w:eastAsia="Arial" w:hAnsi="Arial"/>
          <w:sz w:val="17"/>
          <w:szCs w:val="17"/>
          <w:color w:val="auto"/>
        </w:rPr>
      </w:pPr>
    </w:p>
    <w:p>
      <w:pPr>
        <w:ind w:left="740" w:hanging="276"/>
        <w:spacing w:after="0"/>
        <w:tabs>
          <w:tab w:leader="none" w:pos="7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w:t>
      </w:r>
    </w:p>
    <w:p>
      <w:pPr>
        <w:spacing w:after="0" w:line="117" w:lineRule="exact"/>
        <w:rPr>
          <w:rFonts w:ascii="Arial" w:cs="Arial" w:eastAsia="Arial" w:hAnsi="Arial"/>
          <w:sz w:val="18"/>
          <w:szCs w:val="18"/>
          <w:color w:val="auto"/>
        </w:rPr>
      </w:pPr>
    </w:p>
    <w:p>
      <w:pPr>
        <w:ind w:right="140" w:firstLine="464"/>
        <w:spacing w:after="0" w:line="259" w:lineRule="auto"/>
        <w:tabs>
          <w:tab w:leader="none" w:pos="726"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Review of Resignation Agreement:</w:t>
      </w:r>
      <w:r>
        <w:rPr>
          <w:rFonts w:ascii="Arial" w:cs="Arial" w:eastAsia="Arial" w:hAnsi="Arial"/>
          <w:sz w:val="18"/>
          <w:szCs w:val="18"/>
          <w:color w:val="auto"/>
        </w:rPr>
        <w:t xml:space="preserve"> You understand that you may take up to twenty-one (21) days to consider this Agreement and, by signing below, affirm that you were advised to consult with an attorney prior to signing this Agreement. You also understand you may revoke this Agreement within seven (7) days of signing this document and that the Transition period and compensation and benefits thereunder are expressly conditioned upon this Agreement becoming effective without revocation.</w:t>
      </w:r>
    </w:p>
    <w:p>
      <w:pPr>
        <w:spacing w:after="0" w:line="78" w:lineRule="exact"/>
        <w:rPr>
          <w:rFonts w:ascii="Arial" w:cs="Arial" w:eastAsia="Arial" w:hAnsi="Arial"/>
          <w:sz w:val="18"/>
          <w:szCs w:val="18"/>
          <w:color w:val="auto"/>
        </w:rPr>
      </w:pPr>
    </w:p>
    <w:p>
      <w:pPr>
        <w:ind w:left="740" w:hanging="276"/>
        <w:spacing w:after="0"/>
        <w:tabs>
          <w:tab w:leader="none" w:pos="74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is effective on the eighth (8th) day after you sign it provided you have not revoked the Agreement as of that time.</w:t>
      </w:r>
    </w:p>
    <w:p>
      <w:pPr>
        <w:spacing w:after="0" w:line="24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you agree to abide by the terms outlined in this letter, please sign this letter below return it to me within the timeframe noted above. I wish you the best in your future endeavors.</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Hamza Suria</w:t>
            </w:r>
          </w:p>
        </w:tc>
      </w:tr>
      <w:tr>
        <w:trPr>
          <w:trHeight w:val="210"/>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 w:type="dxa"/>
            <w:vAlign w:val="bottom"/>
            <w:tcBorders>
              <w:top w:val="single" w:sz="8" w:color="auto"/>
            </w:tcBorders>
          </w:tcPr>
          <w:p>
            <w:pPr>
              <w:spacing w:after="0"/>
              <w:rPr>
                <w:sz w:val="18"/>
                <w:szCs w:val="18"/>
                <w:color w:val="auto"/>
              </w:rPr>
            </w:pPr>
          </w:p>
        </w:tc>
        <w:tc>
          <w:tcPr>
            <w:tcW w:w="3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Hamza Suria</w:t>
            </w:r>
          </w:p>
        </w:tc>
      </w:tr>
      <w:tr>
        <w:trPr>
          <w:trHeight w:val="223"/>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READ, UNDERSTOOD AND AGREED</w:t>
      </w:r>
    </w:p>
    <w:p>
      <w:pPr>
        <w:spacing w:after="0" w:line="252" w:lineRule="exact"/>
        <w:rPr>
          <w:sz w:val="20"/>
          <w:szCs w:val="20"/>
          <w:color w:val="auto"/>
        </w:rPr>
      </w:pPr>
    </w:p>
    <w:p>
      <w:pPr>
        <w:spacing w:after="0"/>
        <w:tabs>
          <w:tab w:leader="none" w:pos="4300" w:val="left"/>
          <w:tab w:leader="none" w:pos="4880" w:val="left"/>
        </w:tabs>
        <w:rPr>
          <w:sz w:val="20"/>
          <w:szCs w:val="20"/>
          <w:color w:val="auto"/>
        </w:rPr>
      </w:pPr>
      <w:r>
        <w:rPr>
          <w:rFonts w:ascii="Arial" w:cs="Arial" w:eastAsia="Arial" w:hAnsi="Arial"/>
          <w:sz w:val="18"/>
          <w:szCs w:val="18"/>
          <w:color w:val="auto"/>
        </w:rPr>
        <w:t>/s/ Robert Hoffman</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7/21/16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478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Hoffman</w:t>
      </w:r>
    </w:p>
    <w:p>
      <w:pPr>
        <w:sectPr>
          <w:pgSz w:w="11900" w:h="16838" w:orient="portrait"/>
          <w:cols w:equalWidth="0" w:num="1">
            <w:col w:w="11420"/>
          </w:cols>
          <w:pgMar w:left="240" w:top="274"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INFORMATION AND INVENTION ASSIGNMENT AGREEMENT</w:t>
      </w:r>
    </w:p>
    <w:p>
      <w:pPr>
        <w:sectPr>
          <w:pgSz w:w="11900" w:h="16838" w:orient="portrait"/>
          <w:cols w:equalWidth="0" w:num="1">
            <w:col w:w="9019"/>
          </w:cols>
          <w:pgMar w:left="1440" w:top="270" w:right="1440" w:bottom="1440" w:gutter="0" w:footer="0" w:header="0"/>
        </w:sectPr>
      </w:pPr>
    </w:p>
    <w:bookmarkStart w:id="222" w:name="page223"/>
    <w:bookmarkEnd w:id="222"/>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8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71183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 INVENTIONS AGREEMENT</w:t>
      </w:r>
    </w:p>
    <w:p>
      <w:pPr>
        <w:spacing w:after="0" w:line="21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As a condition of my employment with AnaptysBio, Inc., its subsidiaries, affiliates, successors or assigns (together, the “Company”), and in consideration of my employment with the Company and my receipt of the compensation now and hereafter paid to me by Company, I agree to the following:</w:t>
      </w:r>
    </w:p>
    <w:p>
      <w:pPr>
        <w:spacing w:after="0" w:line="124" w:lineRule="exact"/>
        <w:rPr>
          <w:sz w:val="20"/>
          <w:szCs w:val="20"/>
          <w:color w:val="auto"/>
        </w:rPr>
      </w:pPr>
    </w:p>
    <w:p>
      <w:pPr>
        <w:ind w:left="640" w:hanging="176"/>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Confidential Information</w:t>
      </w:r>
    </w:p>
    <w:p>
      <w:pPr>
        <w:spacing w:after="0" w:line="117" w:lineRule="exact"/>
        <w:rPr>
          <w:rFonts w:ascii="Arial" w:cs="Arial" w:eastAsia="Arial" w:hAnsi="Arial"/>
          <w:sz w:val="18"/>
          <w:szCs w:val="18"/>
          <w:color w:val="auto"/>
        </w:rPr>
      </w:pPr>
    </w:p>
    <w:p>
      <w:pPr>
        <w:ind w:firstLine="921"/>
        <w:spacing w:after="0" w:line="290" w:lineRule="auto"/>
        <w:tabs>
          <w:tab w:leader="none" w:pos="1133"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Company Information</w:t>
      </w:r>
      <w:r>
        <w:rPr>
          <w:rFonts w:ascii="Arial" w:cs="Arial" w:eastAsia="Arial" w:hAnsi="Arial"/>
          <w:sz w:val="16"/>
          <w:szCs w:val="16"/>
          <w:color w:val="auto"/>
        </w:rPr>
        <w:t>. I agree at all times during the term of my employment and thereafter, to hold in strictest confidence, and not to use,</w:t>
      </w:r>
      <w:r>
        <w:rPr>
          <w:rFonts w:ascii="Arial" w:cs="Arial" w:eastAsia="Arial" w:hAnsi="Arial"/>
          <w:sz w:val="16"/>
          <w:szCs w:val="16"/>
          <w:i w:val="1"/>
          <w:iCs w:val="1"/>
          <w:color w:val="auto"/>
        </w:rPr>
        <w:t xml:space="preserve"> </w:t>
      </w:r>
      <w:r>
        <w:rPr>
          <w:rFonts w:ascii="Arial" w:cs="Arial" w:eastAsia="Arial" w:hAnsi="Arial"/>
          <w:sz w:val="16"/>
          <w:szCs w:val="16"/>
          <w:color w:val="auto"/>
        </w:rPr>
        <w:t>except for the benefit of the Company, or to disclose to any person, firm or corporation without written authorization of the Board of Directors of the Company, any Confidential Information of the Company, except under a non-disclosure agreement duly authorized and executed by the Company. I understand that “Confidential Information” means any non-public information that relates to the actual or anticipated business or research and development of the Company, technical data, trade secrets or know-how, including, but not limited to, research, product plans or other information regarding Company’s products or services and markets therefor, customer lists and customers (including, but not limited to, customers of the Company on whom I called or with whom I became acquainted during the term of my employment), software, developments, inventions, processes, formulas, technology, designs, drawings, engineering, hardware configuration information, marketing, finances, personnel-related data or information, or other business information.</w:t>
      </w:r>
    </w:p>
    <w:p>
      <w:pPr>
        <w:spacing w:after="0" w:line="58" w:lineRule="exact"/>
        <w:rPr>
          <w:rFonts w:ascii="Arial" w:cs="Arial" w:eastAsia="Arial" w:hAnsi="Arial"/>
          <w:sz w:val="16"/>
          <w:szCs w:val="16"/>
          <w:color w:val="auto"/>
        </w:rPr>
      </w:pPr>
    </w:p>
    <w:p>
      <w:pPr>
        <w:ind w:right="180" w:firstLine="921"/>
        <w:spacing w:after="0" w:line="259" w:lineRule="auto"/>
        <w:tabs>
          <w:tab w:leader="none" w:pos="1123"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Former Employer Information</w:t>
      </w:r>
      <w:r>
        <w:rPr>
          <w:rFonts w:ascii="Arial" w:cs="Arial" w:eastAsia="Arial" w:hAnsi="Arial"/>
          <w:sz w:val="18"/>
          <w:szCs w:val="18"/>
          <w:color w:val="auto"/>
        </w:rPr>
        <w:t>. I agree that I will not, during my employment with the Company, improperly use or disclose any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or trade secrets of any former or concurrent employer or other person or entity and that I will not bring onto the premises of the Company any unpublished document or proprietary information belonging to any such employer, person or entity unless consented to in writing by such employer, person or entity.</w:t>
      </w:r>
    </w:p>
    <w:p>
      <w:pPr>
        <w:spacing w:after="0" w:line="78" w:lineRule="exact"/>
        <w:rPr>
          <w:rFonts w:ascii="Arial" w:cs="Arial" w:eastAsia="Arial" w:hAnsi="Arial"/>
          <w:sz w:val="18"/>
          <w:szCs w:val="18"/>
          <w:color w:val="auto"/>
        </w:rPr>
      </w:pPr>
    </w:p>
    <w:p>
      <w:pPr>
        <w:jc w:val="both"/>
        <w:ind w:right="80" w:firstLine="921"/>
        <w:spacing w:after="0" w:line="279" w:lineRule="auto"/>
        <w:tabs>
          <w:tab w:leader="none" w:pos="1123" w:val="left"/>
        </w:tabs>
        <w:numPr>
          <w:ilvl w:val="1"/>
          <w:numId w:val="145"/>
        </w:numPr>
        <w:rPr>
          <w:rFonts w:ascii="Arial" w:cs="Arial" w:eastAsia="Arial" w:hAnsi="Arial"/>
          <w:sz w:val="17"/>
          <w:szCs w:val="17"/>
          <w:color w:val="auto"/>
        </w:rPr>
      </w:pPr>
      <w:r>
        <w:rPr>
          <w:rFonts w:ascii="Arial" w:cs="Arial" w:eastAsia="Arial" w:hAnsi="Arial"/>
          <w:sz w:val="17"/>
          <w:szCs w:val="17"/>
          <w:i w:val="1"/>
          <w:iCs w:val="1"/>
          <w:color w:val="auto"/>
        </w:rPr>
        <w:t>Third Party Information</w:t>
      </w:r>
      <w:r>
        <w:rPr>
          <w:rFonts w:ascii="Arial" w:cs="Arial" w:eastAsia="Arial" w:hAnsi="Arial"/>
          <w:sz w:val="17"/>
          <w:szCs w:val="17"/>
          <w:color w:val="auto"/>
        </w:rPr>
        <w:t>. I recognize that the Company has received and in the future will receive from third parties their confidential or</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information subject to a duty on the Company’s part to maintain the confidentiality of such information and to use it only for certain limited purposes. I agree to hold all such confidential or proprietary information in the strictest confidence and not to disclose it to any person, firm or corporation or to use it except as necessary in carrying out my work for the Company consistent with the Company’s agreement with such third party.</w:t>
      </w:r>
    </w:p>
    <w:p>
      <w:pPr>
        <w:spacing w:after="0" w:line="171" w:lineRule="exact"/>
        <w:rPr>
          <w:rFonts w:ascii="Arial" w:cs="Arial" w:eastAsia="Arial" w:hAnsi="Arial"/>
          <w:sz w:val="17"/>
          <w:szCs w:val="17"/>
          <w:color w:val="auto"/>
        </w:rPr>
      </w:pPr>
    </w:p>
    <w:p>
      <w:pPr>
        <w:ind w:left="640" w:hanging="176"/>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Inventions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80" w:firstLine="921"/>
        <w:spacing w:after="0" w:line="264" w:lineRule="auto"/>
        <w:tabs>
          <w:tab w:leader="none" w:pos="1133"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Inventions Retained and Licensed</w:t>
      </w:r>
      <w:r>
        <w:rPr>
          <w:rFonts w:ascii="Arial" w:cs="Arial" w:eastAsia="Arial" w:hAnsi="Arial"/>
          <w:sz w:val="18"/>
          <w:szCs w:val="18"/>
          <w:color w:val="auto"/>
        </w:rPr>
        <w:t>. I have attached hereto,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a list describing all inventions, original works of authorship,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developments, improvements, and trade secrets which were made by me prior to my employment with the Company (collectively referred to as “Prior Inventions”), which belong to me, which relate to the Company’s proposed</w:t>
      </w:r>
    </w:p>
    <w:p>
      <w:pPr>
        <w:sectPr>
          <w:pgSz w:w="11900" w:h="16838" w:orient="portrait"/>
          <w:cols w:equalWidth="0" w:num="1">
            <w:col w:w="11400"/>
          </w:cols>
          <w:pgMar w:left="240" w:top="1440" w:right="259" w:bottom="1440" w:gutter="0" w:footer="0" w:header="0"/>
        </w:sectPr>
      </w:pPr>
    </w:p>
    <w:bookmarkStart w:id="223" w:name="page224"/>
    <w:bookmarkEnd w:id="22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products or research and development, and which are not assigned to the Company hereunder; or, if no such list is attached, I represent that there are no such Prior Inventions. If in the course of my employment with the Company, I incorporate into a Company product, process or service a Prior Invention owned by me or in which I have an interest, I hereby grant to the Company a nonexclusive, royalty-free, fully paid-up, irrevocable, perpetual, worldwide license to make, have made, modify, use and sell such Prior Invention as part of or in connection with such product, process or service, and to practice any method related thereto.</w:t>
      </w:r>
    </w:p>
    <w:p>
      <w:pPr>
        <w:spacing w:after="0" w:line="80"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Assignment of Inventions</w:t>
      </w:r>
      <w:r>
        <w:rPr>
          <w:rFonts w:ascii="Arial" w:cs="Arial" w:eastAsia="Arial" w:hAnsi="Arial"/>
          <w:sz w:val="17"/>
          <w:szCs w:val="17"/>
          <w:color w:val="auto"/>
        </w:rPr>
        <w:t xml:space="preserve">. I agree that I will promptly make full written disclosure to the Company, will hold in trust for the sole right and benefit of the Company, and hereby assign to the Company, or its designee, all my right, title, and interest in and to any and all inventions, original works of authorship, developments, concepts, improvements, designs, discoveries, ideas, trademarks or trade secrets, whether or not patentable or registrable under copyright or similar laws, which I may solely or jointly conceive or develop or reduce to practice, or cause to be conceived or developed or reduced to practice, during the period of time I am in the employ of the Company (collectively referred to as “Inventions”), except as provided in </w:t>
      </w:r>
      <w:r>
        <w:rPr>
          <w:rFonts w:ascii="Arial" w:cs="Arial" w:eastAsia="Arial" w:hAnsi="Arial"/>
          <w:sz w:val="17"/>
          <w:szCs w:val="17"/>
          <w:b w:val="1"/>
          <w:bCs w:val="1"/>
          <w:color w:val="auto"/>
        </w:rPr>
        <w:t>Section 3.F</w:t>
      </w:r>
      <w:r>
        <w:rPr>
          <w:rFonts w:ascii="Arial" w:cs="Arial" w:eastAsia="Arial" w:hAnsi="Arial"/>
          <w:sz w:val="17"/>
          <w:szCs w:val="17"/>
          <w:color w:val="auto"/>
        </w:rPr>
        <w:t xml:space="preserve"> below. By my assignment, which the Company acknowledges and accepts, I also convey to the Company the right to make applications in the Company’s own behalf for protection of such inventions, original works of authorship, developments, concepts, improvements, designs, discoveries, ideas, trademarks or trade secrets in the U.S. and countries foreign to the U.S, and to claim priority to such applications that may be filed in the U.S. or any country foreign to the U.S. on the invention. I further acknowledge that all original works of authorship which are made by me (solely or jointly with others) within the scope of and during the period of my employment with the Company and which are protectible by copyright are “works made for hire,” as that term is defined in the United States Copyright Act. I understand and agree that the decision whether or not to commercialize or market any invention developed by me solely or jointly with others is within the Company’s sole discretion and for the Company’s sole benefit and that no royalty will be due to me as a result of the Company’s efforts to commercialize or market any such invention.</w:t>
      </w:r>
    </w:p>
    <w:p>
      <w:pPr>
        <w:spacing w:after="0" w:line="80"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Inventions Assigned to the United States</w:t>
      </w:r>
      <w:r>
        <w:rPr>
          <w:rFonts w:ascii="Arial" w:cs="Arial" w:eastAsia="Arial" w:hAnsi="Arial"/>
          <w:sz w:val="16"/>
          <w:szCs w:val="16"/>
          <w:color w:val="auto"/>
        </w:rPr>
        <w:t>. I agree to assign to the United States government all my right, title, and interest in and to any and all Inventions whenever such full title is required to be in the United States by a contract between the Company and the United States or any of its agencies.</w:t>
      </w:r>
    </w:p>
    <w:p>
      <w:pPr>
        <w:spacing w:after="0" w:line="16" w:lineRule="exact"/>
        <w:rPr>
          <w:sz w:val="20"/>
          <w:szCs w:val="20"/>
          <w:color w:val="auto"/>
        </w:rPr>
      </w:pPr>
    </w:p>
    <w:p>
      <w:pPr>
        <w:jc w:val="both"/>
        <w:ind w:right="280" w:firstLine="913"/>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color w:val="auto"/>
        </w:rPr>
        <w:t>Maintenance of Records</w:t>
      </w:r>
      <w:r>
        <w:rPr>
          <w:rFonts w:ascii="Arial" w:cs="Arial" w:eastAsia="Arial" w:hAnsi="Arial"/>
          <w:sz w:val="17"/>
          <w:szCs w:val="17"/>
          <w:color w:val="auto"/>
        </w:rPr>
        <w:t>. I agree to keep and maintain adequate and current written records of all Inventions made by me (solely or jointly with others) during the term of my employment with the Company. The records will be in the form of notes, sketches, drawings, and any other format that may be specified by the Company. The records will be available to and remain the sole property of the Company at all times.</w:t>
      </w:r>
    </w:p>
    <w:p>
      <w:pPr>
        <w:spacing w:after="0" w:line="5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i w:val="1"/>
          <w:iCs w:val="1"/>
          <w:color w:val="auto"/>
        </w:rPr>
        <w:t>Patent and Copyright Registrations</w:t>
      </w:r>
      <w:r>
        <w:rPr>
          <w:rFonts w:ascii="Arial" w:cs="Arial" w:eastAsia="Arial" w:hAnsi="Arial"/>
          <w:sz w:val="17"/>
          <w:szCs w:val="17"/>
          <w:color w:val="auto"/>
        </w:rPr>
        <w:t>. I agree to assist the Company, or its designee, at the Company’s expense, in every proper way to secure the Company’s rights in the Inventions and any copyrights, patents, mask work rights or other intellectual property rights relating thereto in any and all countries, including the disclosure to the Company of all pertinent information and data with respect thereto, the execution of all applications, specifications, oaths, assignments and all other instruments which the Company shall deem necessary in order to apply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24" w:name="page225"/>
    <w:bookmarkEnd w:id="22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and obtain such rights and in order to assign and convey to the Company, its successors, assigns, and nominees the sole and exclusive rights, title and interest in and to such Inventions, and any copyrights, patents, mask work rights or other intellectual property rights relating thereto. I further agree that my obligation to execute or cause to be executed, when it is in my power to do so, any such instrument or papers shall continue after the termination of this Agreement. If the Company is unable because of my mental or physical incapacity or for any other reason to secure my signature to apply for or to pursue any application for any United States or foreign patents or copyright registrations covering Inventions or original works of authorship assigned to the Company as above, then I hereby irrevocably designate and appoint the Company and its duly authorized officers and agents as my agent and attorney in fact, to act for and in my behalf and stead to execute and file any such applications and to do all other lawfully permitted acts to further the prosecution and issuance of letters patent or copyright registrations thereon with the same legal force and effect as if executed by me.</w:t>
      </w:r>
    </w:p>
    <w:p>
      <w:pPr>
        <w:spacing w:after="0" w:line="58" w:lineRule="exact"/>
        <w:rPr>
          <w:sz w:val="20"/>
          <w:szCs w:val="20"/>
          <w:color w:val="auto"/>
        </w:rPr>
      </w:pPr>
    </w:p>
    <w:p>
      <w:pPr>
        <w:jc w:val="both"/>
        <w:ind w:right="60" w:firstLine="913"/>
        <w:spacing w:after="0" w:line="31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color w:val="auto"/>
        </w:rPr>
        <w:t>Exception to Assignments</w:t>
      </w:r>
      <w:r>
        <w:rPr>
          <w:rFonts w:ascii="Arial" w:cs="Arial" w:eastAsia="Arial" w:hAnsi="Arial"/>
          <w:sz w:val="16"/>
          <w:szCs w:val="16"/>
          <w:color w:val="auto"/>
        </w:rPr>
        <w:t>. I understand that the provisions of this Agreement requiring assignment of Inventions to the Company do not apply to any invention which qualifies fully under the provisions of California Labor Code Section 2870 (attached hereto as Exhibit B). I will advise the Company promptly in writing of any inventions that I believe meet the criteria in California Labor Code Section 2870 and not otherwise disclosed on Exhibit A.</w:t>
      </w:r>
    </w:p>
    <w:p>
      <w:pPr>
        <w:spacing w:after="0" w:line="147" w:lineRule="exact"/>
        <w:rPr>
          <w:sz w:val="20"/>
          <w:szCs w:val="20"/>
          <w:color w:val="auto"/>
        </w:rPr>
      </w:pPr>
    </w:p>
    <w:p>
      <w:pPr>
        <w:ind w:right="80" w:firstLine="464"/>
        <w:spacing w:after="0" w:line="264" w:lineRule="auto"/>
        <w:tabs>
          <w:tab w:leader="none" w:pos="636"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Conflicting Employment</w:t>
      </w:r>
      <w:r>
        <w:rPr>
          <w:rFonts w:ascii="Arial" w:cs="Arial" w:eastAsia="Arial" w:hAnsi="Arial"/>
          <w:sz w:val="18"/>
          <w:szCs w:val="18"/>
          <w:color w:val="auto"/>
        </w:rPr>
        <w:t>. I agree that, during the term of my employment with the Company, I will not engage in any other employment, occupation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consulting directly related to the business in which the Company is now involved or becomes involved during the term of my employment, nor will I engage in any other activities that conflict with my obligations to the Company.</w:t>
      </w:r>
    </w:p>
    <w:p>
      <w:pPr>
        <w:spacing w:after="0" w:line="181" w:lineRule="exact"/>
        <w:rPr>
          <w:rFonts w:ascii="Arial" w:cs="Arial" w:eastAsia="Arial" w:hAnsi="Arial"/>
          <w:sz w:val="18"/>
          <w:szCs w:val="18"/>
          <w:color w:val="auto"/>
        </w:rPr>
      </w:pPr>
    </w:p>
    <w:p>
      <w:pPr>
        <w:ind w:right="60" w:firstLine="464"/>
        <w:spacing w:after="0" w:line="273" w:lineRule="auto"/>
        <w:tabs>
          <w:tab w:leader="none" w:pos="636"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Returning Company Documents</w:t>
      </w:r>
      <w:r>
        <w:rPr>
          <w:rFonts w:ascii="Arial" w:cs="Arial" w:eastAsia="Arial" w:hAnsi="Arial"/>
          <w:sz w:val="17"/>
          <w:szCs w:val="17"/>
          <w:color w:val="auto"/>
        </w:rPr>
        <w:t>. I agree that, at the time of leaving the employ of the Company or at any time prior upon Company request, I will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 to the Company (and will not keep in my possession, recreate or deliver to anyone else) all Company property including any and all devices, records, data, notes, reports, proposals, lists, correspondence, specifications, drawings blueprints, sketches, materials, equipment, other documents or property, or reproductions of any aforementioned items developed by me pursuant to my employment with the Company or otherwise belonging to the Company, its successors or assigns, including, without limitation, those records maintained pursuant to </w:t>
      </w:r>
      <w:r>
        <w:rPr>
          <w:rFonts w:ascii="Arial" w:cs="Arial" w:eastAsia="Arial" w:hAnsi="Arial"/>
          <w:sz w:val="17"/>
          <w:szCs w:val="17"/>
          <w:b w:val="1"/>
          <w:bCs w:val="1"/>
          <w:color w:val="auto"/>
        </w:rPr>
        <w:t>paragraph 3.D</w:t>
      </w:r>
      <w:r>
        <w:rPr>
          <w:rFonts w:ascii="Arial" w:cs="Arial" w:eastAsia="Arial" w:hAnsi="Arial"/>
          <w:sz w:val="17"/>
          <w:szCs w:val="17"/>
          <w:color w:val="auto"/>
        </w:rPr>
        <w:t xml:space="preserve">. In the event of the termination of my employment, I agree to sign and deliver the “Termination Certification”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320" w:firstLine="464"/>
        <w:spacing w:after="0" w:line="277" w:lineRule="auto"/>
        <w:tabs>
          <w:tab w:leader="none" w:pos="636"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Notification of New Employer</w:t>
      </w:r>
      <w:r>
        <w:rPr>
          <w:rFonts w:ascii="Arial" w:cs="Arial" w:eastAsia="Arial" w:hAnsi="Arial"/>
          <w:sz w:val="18"/>
          <w:szCs w:val="18"/>
          <w:color w:val="auto"/>
        </w:rPr>
        <w:t>. In the event that I leave the employ of the Company, I hereby grant consent to notification by the Company to my</w:t>
      </w:r>
      <w:r>
        <w:rPr>
          <w:rFonts w:ascii="Arial" w:cs="Arial" w:eastAsia="Arial" w:hAnsi="Arial"/>
          <w:sz w:val="18"/>
          <w:szCs w:val="18"/>
          <w:i w:val="1"/>
          <w:iCs w:val="1"/>
          <w:color w:val="auto"/>
        </w:rPr>
        <w:t xml:space="preserve"> </w:t>
      </w:r>
      <w:r>
        <w:rPr>
          <w:rFonts w:ascii="Arial" w:cs="Arial" w:eastAsia="Arial" w:hAnsi="Arial"/>
          <w:sz w:val="18"/>
          <w:szCs w:val="18"/>
          <w:color w:val="auto"/>
        </w:rPr>
        <w:t>new employer about my rights and obligations under this Agreement.</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Conflict of Interest Guidelines</w:t>
      </w:r>
      <w:r>
        <w:rPr>
          <w:rFonts w:ascii="Arial" w:cs="Arial" w:eastAsia="Arial" w:hAnsi="Arial"/>
          <w:sz w:val="18"/>
          <w:szCs w:val="18"/>
          <w:color w:val="auto"/>
        </w:rPr>
        <w:t>. I agree to diligently adhere to the Conflict of Interest Guidelines attached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p>
    <w:p>
      <w:pPr>
        <w:spacing w:after="0" w:line="225" w:lineRule="exact"/>
        <w:rPr>
          <w:rFonts w:ascii="Arial" w:cs="Arial" w:eastAsia="Arial" w:hAnsi="Arial"/>
          <w:sz w:val="18"/>
          <w:szCs w:val="18"/>
          <w:color w:val="auto"/>
        </w:rPr>
      </w:pPr>
    </w:p>
    <w:p>
      <w:pPr>
        <w:ind w:right="80" w:firstLine="464"/>
        <w:spacing w:after="0" w:line="277" w:lineRule="auto"/>
        <w:tabs>
          <w:tab w:leader="none" w:pos="636"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Representations</w:t>
      </w:r>
      <w:r>
        <w:rPr>
          <w:rFonts w:ascii="Arial" w:cs="Arial" w:eastAsia="Arial" w:hAnsi="Arial"/>
          <w:sz w:val="18"/>
          <w:szCs w:val="18"/>
          <w:color w:val="auto"/>
        </w:rPr>
        <w:t>. I agree to execute any proper oath or verify any proper document required to carry out the terms of this Agreement. I represent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my performance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25" w:name="page226"/>
    <w:bookmarkEnd w:id="225"/>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the terms of this Agreement will not breach any agreement to keep in confidence proprietary information acquired by me in confidence or in trust prior to my employment by the Company. I hereby represent and warrant that I have not entered into, and I will not enter into, any oral or written agreement in conflict herewith.</w:t>
      </w:r>
    </w:p>
    <w:p>
      <w:pPr>
        <w:spacing w:after="0" w:line="181" w:lineRule="exact"/>
        <w:rPr>
          <w:sz w:val="20"/>
          <w:szCs w:val="20"/>
          <w:color w:val="auto"/>
        </w:rPr>
      </w:pPr>
    </w:p>
    <w:p>
      <w:pPr>
        <w:ind w:right="100" w:firstLine="464"/>
        <w:spacing w:after="0" w:line="255" w:lineRule="auto"/>
        <w:tabs>
          <w:tab w:leader="none" w:pos="636"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Availability of Injunctive Relief</w:t>
      </w:r>
      <w:r>
        <w:rPr>
          <w:rFonts w:ascii="Arial" w:cs="Arial" w:eastAsia="Arial" w:hAnsi="Arial"/>
          <w:sz w:val="18"/>
          <w:szCs w:val="18"/>
          <w:color w:val="auto"/>
        </w:rPr>
        <w:t>. BOTH PARTIES AGREE THAT ANY PARTY MAY PETITION A COURT FOR INJUNCTIVE RELIEF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LIMITED TO, WHERE EITHER PARTY ALLEGES OR CLAIMS A VIOLATION OF THE AT-WILL EMPLOYMENT, CONFIDENTIAL INFORMATION AND INVENTION ASSIGNMENT AGREEMENT BETWEEN ME AND THE COMPANY OR ANY OTHER AGREEMENT REGARDING TRADE SECRETS, CONFIDENTIAL INFORMATION OR LABOR CODE §2870. BOTH PARTIES UNDERSTAND THAT ANY BREACH OR THREATENED BREACH OF SUCH AN AGREEMENT WILL CAUSE IRREPARABLE INJURY AND THAT MONEY DAMAGES WILL NOT PROVIDE AN ADEQUATE REMEDY THEREFOR AND BOTH PARTIES HEREBY CONSENT TO THE ISSUANCE OF AN INJUNCTION.</w:t>
      </w:r>
    </w:p>
    <w:p>
      <w:pPr>
        <w:spacing w:after="0" w:line="189" w:lineRule="exact"/>
        <w:rPr>
          <w:rFonts w:ascii="Arial" w:cs="Arial" w:eastAsia="Arial" w:hAnsi="Arial"/>
          <w:sz w:val="18"/>
          <w:szCs w:val="18"/>
          <w:color w:val="auto"/>
        </w:rPr>
      </w:pPr>
    </w:p>
    <w:p>
      <w:pPr>
        <w:ind w:firstLine="464"/>
        <w:spacing w:after="0" w:line="276" w:lineRule="auto"/>
        <w:tabs>
          <w:tab w:leader="none" w:pos="636" w:val="left"/>
        </w:tabs>
        <w:numPr>
          <w:ilvl w:val="0"/>
          <w:numId w:val="147"/>
        </w:numPr>
        <w:rPr>
          <w:rFonts w:ascii="Arial" w:cs="Arial" w:eastAsia="Arial" w:hAnsi="Arial"/>
          <w:sz w:val="17"/>
          <w:szCs w:val="17"/>
          <w:color w:val="auto"/>
        </w:rPr>
      </w:pPr>
      <w:r>
        <w:rPr>
          <w:rFonts w:ascii="Arial" w:cs="Arial" w:eastAsia="Arial" w:hAnsi="Arial"/>
          <w:sz w:val="17"/>
          <w:szCs w:val="17"/>
          <w:i w:val="1"/>
          <w:iCs w:val="1"/>
          <w:color w:val="auto"/>
        </w:rPr>
        <w:t>Voluntary Nature of Agreement</w:t>
      </w:r>
      <w:r>
        <w:rPr>
          <w:rFonts w:ascii="Arial" w:cs="Arial" w:eastAsia="Arial" w:hAnsi="Arial"/>
          <w:sz w:val="17"/>
          <w:szCs w:val="17"/>
          <w:color w:val="auto"/>
        </w:rPr>
        <w:t>. I ACKNOWLEDGE AND AGREE THAT I AM EXECUTING THIS AGREEMENT VOLUNTARILY AND</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ANY DURESS OR UNDUE INFLUENCE BY THE COMPANY OR ANYONE ELSE. I FURTHER ACKNOWLEDGE AND AGREE THAT I HAVE CAREFULLY READ THIS AGREEMENT AND THAT I HAVE ASKED ANY QUESTIONS NEEDED FOR ME TO UNDERSTAND THE TERMS, CONSEQUENCES AND BINDING EFFECT OF THIS AGREEMENT AND FULLY UNDERSTAND IT, FINALLY, I AGREE THAT I HAVE BEEN PROVIDED AN OPPORTUNITY TO SEEK THE ADVICE OF AN ATTORNEY OF MY CHOICE BEFORE SIGNING THIS AGREEMENT,</w:t>
      </w:r>
    </w:p>
    <w:p>
      <w:pPr>
        <w:spacing w:after="0" w:line="172" w:lineRule="exact"/>
        <w:rPr>
          <w:rFonts w:ascii="Arial" w:cs="Arial" w:eastAsia="Arial" w:hAnsi="Arial"/>
          <w:sz w:val="17"/>
          <w:szCs w:val="17"/>
          <w:color w:val="auto"/>
        </w:rPr>
      </w:pPr>
    </w:p>
    <w:p>
      <w:pPr>
        <w:ind w:left="740" w:hanging="276"/>
        <w:spacing w:after="0"/>
        <w:tabs>
          <w:tab w:leader="none" w:pos="74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General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921"/>
        <w:spacing w:after="0" w:line="277" w:lineRule="auto"/>
        <w:tabs>
          <w:tab w:leader="none" w:pos="1133" w:val="left"/>
        </w:tabs>
        <w:numPr>
          <w:ilvl w:val="1"/>
          <w:numId w:val="147"/>
        </w:numPr>
        <w:rPr>
          <w:rFonts w:ascii="Arial" w:cs="Arial" w:eastAsia="Arial" w:hAnsi="Arial"/>
          <w:sz w:val="18"/>
          <w:szCs w:val="18"/>
          <w:color w:val="auto"/>
        </w:rPr>
      </w:pPr>
      <w:r>
        <w:rPr>
          <w:rFonts w:ascii="Arial" w:cs="Arial" w:eastAsia="Arial" w:hAnsi="Arial"/>
          <w:sz w:val="18"/>
          <w:szCs w:val="18"/>
          <w:i w:val="1"/>
          <w:iCs w:val="1"/>
          <w:color w:val="auto"/>
        </w:rPr>
        <w:t>Consent to Personal Jurisdiction</w:t>
      </w:r>
      <w:r>
        <w:rPr>
          <w:rFonts w:ascii="Arial" w:cs="Arial" w:eastAsia="Arial" w:hAnsi="Arial"/>
          <w:sz w:val="18"/>
          <w:szCs w:val="18"/>
          <w:color w:val="auto"/>
        </w:rPr>
        <w:t>. I hereby expressly consent to the personal jurisdiction of the state and federal courts located in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lawsuit filed there against me by the Company arising from or relating to this Agreement.</w:t>
      </w:r>
    </w:p>
    <w:p>
      <w:pPr>
        <w:spacing w:after="0" w:line="62" w:lineRule="exact"/>
        <w:rPr>
          <w:rFonts w:ascii="Arial" w:cs="Arial" w:eastAsia="Arial" w:hAnsi="Arial"/>
          <w:sz w:val="18"/>
          <w:szCs w:val="18"/>
          <w:color w:val="auto"/>
        </w:rPr>
      </w:pPr>
    </w:p>
    <w:p>
      <w:pPr>
        <w:ind w:right="80" w:firstLine="921"/>
        <w:spacing w:after="0" w:line="255" w:lineRule="auto"/>
        <w:tabs>
          <w:tab w:leader="none" w:pos="1123" w:val="left"/>
        </w:tabs>
        <w:numPr>
          <w:ilvl w:val="1"/>
          <w:numId w:val="147"/>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sets forth the entire agreement and understanding between the Company and me relating to the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matter herein and supersedes all prior discussions or representations between us including, but not limited to, any representations made during my interview(s) or relocation negotiations, whether written or oral, No modification of or amendment to this Agreement, nor any waiver of any rights under this Agreement, will be effective unless in writing signed by the CEO of the Company and me. Any subsequent change or changes in my duties, salary or compensation will not affect the validity or scope of this Agreement, I understand that nothing in this Agreement shall change or modify the at-will status of my employment with the Company.</w:t>
      </w:r>
    </w:p>
    <w:p>
      <w:pPr>
        <w:spacing w:after="0" w:line="85" w:lineRule="exact"/>
        <w:rPr>
          <w:rFonts w:ascii="Arial" w:cs="Arial" w:eastAsia="Arial" w:hAnsi="Arial"/>
          <w:sz w:val="18"/>
          <w:szCs w:val="18"/>
          <w:color w:val="auto"/>
        </w:rPr>
      </w:pPr>
    </w:p>
    <w:p>
      <w:pPr>
        <w:ind w:right="200" w:firstLine="921"/>
        <w:spacing w:after="0" w:line="277" w:lineRule="auto"/>
        <w:tabs>
          <w:tab w:leader="none" w:pos="1123" w:val="left"/>
        </w:tabs>
        <w:numPr>
          <w:ilvl w:val="1"/>
          <w:numId w:val="147"/>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one or more of the provisions in this Agreement are deemed void by law, then the remaining provisions will continue in full</w:t>
      </w:r>
      <w:r>
        <w:rPr>
          <w:rFonts w:ascii="Arial" w:cs="Arial" w:eastAsia="Arial" w:hAnsi="Arial"/>
          <w:sz w:val="18"/>
          <w:szCs w:val="18"/>
          <w:i w:val="1"/>
          <w:iCs w:val="1"/>
          <w:color w:val="auto"/>
        </w:rPr>
        <w:t xml:space="preserve"> </w:t>
      </w:r>
      <w:r>
        <w:rPr>
          <w:rFonts w:ascii="Arial" w:cs="Arial" w:eastAsia="Arial" w:hAnsi="Arial"/>
          <w:sz w:val="18"/>
          <w:szCs w:val="18"/>
          <w:color w:val="auto"/>
        </w:rPr>
        <w:t>force and effect.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26" w:name="page227"/>
    <w:bookmarkEnd w:id="226"/>
    <w:p>
      <w:pPr>
        <w:ind w:right="1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 </w:t>
      </w: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will be binding upon my heirs, executors, administrators and other legal representatives and will be for the benefit of the Company, its successors, and its assigns.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Date:  6/15/2015</w:t>
            </w: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 Robert E. Hoffman</w:t>
            </w:r>
          </w:p>
        </w:tc>
      </w:tr>
      <w:tr>
        <w:trPr>
          <w:trHeight w:val="224"/>
        </w:trPr>
        <w:tc>
          <w:tcPr>
            <w:tcW w:w="460" w:type="dxa"/>
            <w:vAlign w:val="bottom"/>
          </w:tcPr>
          <w:p>
            <w:pPr>
              <w:spacing w:after="0"/>
              <w:rPr>
                <w:sz w:val="19"/>
                <w:szCs w:val="19"/>
                <w:color w:val="auto"/>
              </w:rPr>
            </w:pPr>
          </w:p>
        </w:tc>
        <w:tc>
          <w:tcPr>
            <w:tcW w:w="304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Signature</w:t>
            </w:r>
          </w:p>
        </w:tc>
      </w:tr>
      <w:tr>
        <w:trPr>
          <w:trHeight w:val="418"/>
        </w:trPr>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Robert E. Hoffman</w:t>
            </w:r>
          </w:p>
        </w:tc>
      </w:tr>
      <w:tr>
        <w:trPr>
          <w:trHeight w:val="224"/>
        </w:trPr>
        <w:tc>
          <w:tcPr>
            <w:tcW w:w="4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Name of Employee (typed or printed)</w:t>
            </w:r>
          </w:p>
        </w:tc>
      </w:tr>
      <w:tr>
        <w:trPr>
          <w:trHeight w:val="350"/>
        </w:trPr>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OF PRIOR INVENTIONS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ORIGINAL WORKS OF AUTHORSHIP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Identifying Number or Brief</w:t>
            </w:r>
          </w:p>
        </w:tc>
      </w:tr>
      <w:tr>
        <w:trPr>
          <w:trHeight w:val="181"/>
        </w:trPr>
        <w:tc>
          <w:tcPr>
            <w:tcW w:w="3880" w:type="dxa"/>
            <w:vAlign w:val="bottom"/>
          </w:tcPr>
          <w:p>
            <w:pPr>
              <w:spacing w:after="0"/>
              <w:rPr>
                <w:sz w:val="20"/>
                <w:szCs w:val="20"/>
                <w:color w:val="auto"/>
              </w:rPr>
            </w:pPr>
            <w:r>
              <w:rPr>
                <w:rFonts w:ascii="Arial" w:cs="Arial" w:eastAsia="Arial" w:hAnsi="Arial"/>
                <w:sz w:val="14"/>
                <w:szCs w:val="14"/>
                <w:color w:val="auto"/>
              </w:rPr>
              <w:t>Title</w:t>
            </w:r>
          </w:p>
        </w:tc>
        <w:tc>
          <w:tcPr>
            <w:tcW w:w="3900" w:type="dxa"/>
            <w:vAlign w:val="bottom"/>
            <w:gridSpan w:val="3"/>
          </w:tcPr>
          <w:p>
            <w:pPr>
              <w:ind w:left="140"/>
              <w:spacing w:after="0"/>
              <w:rPr>
                <w:sz w:val="20"/>
                <w:szCs w:val="20"/>
                <w:color w:val="auto"/>
              </w:rPr>
            </w:pPr>
            <w:r>
              <w:rPr>
                <w:rFonts w:ascii="Arial" w:cs="Arial" w:eastAsia="Arial" w:hAnsi="Arial"/>
                <w:sz w:val="14"/>
                <w:szCs w:val="14"/>
                <w:color w:val="auto"/>
              </w:rPr>
              <w:t>Date</w:t>
            </w:r>
          </w:p>
        </w:tc>
        <w:tc>
          <w:tcPr>
            <w:tcW w:w="3640" w:type="dxa"/>
            <w:vAlign w:val="bottom"/>
          </w:tcPr>
          <w:p>
            <w:pPr>
              <w:spacing w:after="0"/>
              <w:rPr>
                <w:sz w:val="20"/>
                <w:szCs w:val="20"/>
                <w:color w:val="auto"/>
              </w:rPr>
            </w:pPr>
            <w:r>
              <w:rPr>
                <w:rFonts w:ascii="Arial" w:cs="Arial" w:eastAsia="Arial" w:hAnsi="Arial"/>
                <w:sz w:val="14"/>
                <w:szCs w:val="14"/>
                <w:color w:val="auto"/>
              </w:rPr>
              <w:t>Description</w:t>
            </w:r>
          </w:p>
        </w:tc>
      </w:tr>
      <w:tr>
        <w:trPr>
          <w:trHeight w:val="20"/>
        </w:trPr>
        <w:tc>
          <w:tcPr>
            <w:tcW w:w="3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460" w:right="8680" w:hanging="452"/>
        <w:spacing w:after="0" w:line="598" w:lineRule="auto"/>
        <w:tabs>
          <w:tab w:leader="none" w:pos="460" w:val="left"/>
        </w:tabs>
        <w:numPr>
          <w:ilvl w:val="0"/>
          <w:numId w:val="148"/>
        </w:numPr>
        <w:rPr>
          <w:rFonts w:ascii="Arial" w:cs="Arial" w:eastAsia="Arial" w:hAnsi="Arial"/>
          <w:sz w:val="16"/>
          <w:szCs w:val="16"/>
          <w:u w:val="single" w:color="auto"/>
          <w:color w:val="auto"/>
        </w:rPr>
      </w:pPr>
      <w:r>
        <w:rPr>
          <w:rFonts w:ascii="Arial" w:cs="Arial" w:eastAsia="Arial" w:hAnsi="Arial"/>
          <w:sz w:val="16"/>
          <w:szCs w:val="16"/>
          <w:color w:val="auto"/>
        </w:rPr>
        <w:t>No inventions or improvements Additional Sheets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43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Signature of Employee:</w:t>
            </w:r>
          </w:p>
        </w:tc>
        <w:tc>
          <w:tcPr>
            <w:tcW w:w="2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Robert E. Hoffman</w:t>
            </w: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Print Name of Employee:</w:t>
            </w:r>
          </w:p>
        </w:tc>
        <w:tc>
          <w:tcPr>
            <w:tcW w:w="180" w:type="dxa"/>
            <w:vAlign w:val="bottom"/>
          </w:tcPr>
          <w:p>
            <w:pPr>
              <w:spacing w:after="0"/>
              <w:rPr>
                <w:sz w:val="24"/>
                <w:szCs w:val="24"/>
                <w:color w:val="auto"/>
              </w:rPr>
            </w:pPr>
          </w:p>
        </w:tc>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Robert E. Hoffman</w:t>
            </w: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Date:  June 15, 2015</w:t>
            </w: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228" w:name="page229"/>
    <w:bookmarkEnd w:id="228"/>
    <w:p>
      <w:pPr>
        <w:jc w:val="center"/>
        <w:ind w:right="-3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LABOR CODE SECTION 2870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INVENTION ON OWN TIME-EXEMPTION FROM AGREEMENT</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73" w:lineRule="exact"/>
        <w:rPr>
          <w:sz w:val="20"/>
          <w:szCs w:val="20"/>
          <w:color w:val="auto"/>
        </w:rPr>
      </w:pPr>
    </w:p>
    <w:p>
      <w:pPr>
        <w:ind w:firstLine="921"/>
        <w:spacing w:after="0" w:line="277" w:lineRule="auto"/>
        <w:tabs>
          <w:tab w:leader="none" w:pos="116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25" w:lineRule="exact"/>
        <w:rPr>
          <w:rFonts w:ascii="Arial" w:cs="Arial" w:eastAsia="Arial" w:hAnsi="Arial"/>
          <w:sz w:val="18"/>
          <w:szCs w:val="18"/>
          <w:color w:val="auto"/>
        </w:rPr>
      </w:pPr>
    </w:p>
    <w:p>
      <w:pPr>
        <w:ind w:right="220" w:firstLine="464"/>
        <w:spacing w:after="0" w:line="308" w:lineRule="auto"/>
        <w:tabs>
          <w:tab w:leader="none" w:pos="71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240" w:top="270" w:right="559" w:bottom="1440" w:gutter="0" w:footer="0" w:header="0"/>
        </w:sectPr>
      </w:pPr>
    </w:p>
    <w:bookmarkStart w:id="229" w:name="page230"/>
    <w:bookmarkEnd w:id="22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CERTIFICATION</w:t>
      </w:r>
    </w:p>
    <w:p>
      <w:pPr>
        <w:spacing w:after="0" w:line="21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This is to certify that I do not have in my possession, nor have I failed to return, any devices, records, data, notes, reports, proposals, lists, correspondence, specifications, drawings, blueprints, sketches, materials, equipment, other documents or property, or reproductions of any aforementioned items belonging to AnaptyBio, Inc., its subsidiaries, affiliates, successors or assigns (together,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 further certify that I have complied with all the terms of the Company’s Employment, Confidential Information and Invention Assignment Agreement signed by me, including the reporting of any inventions and original works of authorship (as defined therein), conceived or made by me (solely or jointly with others) covered by that agreement.</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 further agree that, in compliance with the Employment, Confidential Information and Invention Assignment Agreement, I will preserve as confidential all trade secrets, confidential knowledge, data or other proprietary information relating to products, processes, know-how, designs, formulas, developmental or experimental work, computer programs, data bases, other original works of authorship, customer lists, business plans, financial information or other subject matter pertaining to any business of the Company or any of its employees, clients, consultants or licensees.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Type/Print Employee’s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230" w:name="page231"/>
    <w:bookmarkEnd w:id="23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OF INTEREST GUIDELINES</w:t>
      </w:r>
    </w:p>
    <w:p>
      <w:pPr>
        <w:spacing w:after="0" w:line="21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It is the policy of AnaptysBio, Inc, to conduct its affairs in strict compliance with the letter and spirit of the law and to adhere to the highest principles of business ethics. Accordingly, all officers, employees and independent contractors must avoid activities which are in conflict, or give the appearance of being in conflict, with these principles and with the interests of the Company. The following are potentially compromising situations which must be avoided. Any exceptions must be reported to the President and written approval for continuation must be obtained.</w:t>
      </w:r>
    </w:p>
    <w:p>
      <w:pPr>
        <w:spacing w:after="0" w:line="77" w:lineRule="exact"/>
        <w:rPr>
          <w:sz w:val="20"/>
          <w:szCs w:val="20"/>
          <w:color w:val="auto"/>
        </w:rPr>
      </w:pPr>
    </w:p>
    <w:p>
      <w:pPr>
        <w:ind w:left="900" w:right="40" w:hanging="446"/>
        <w:spacing w:after="0" w:line="264"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Revealing confidential information to outsiders or misusing confidential information. Unauthorized divulging of information is a violation of this policy whether or not for personal gain and whether or not harm to the Company is intended. (The Employment, Confidential Information, and Invention Assignment Agreement elaborates on this principle and is a binding agreement.)</w:t>
      </w:r>
    </w:p>
    <w:p>
      <w:pPr>
        <w:spacing w:after="0" w:line="86"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Accepting or offering substantial gifts, excessive entertainment, favors or payments which may be deemed to constitute undue influence or otherwise be improper or embarrassing to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Participating in civic or professional organizations that might involve divulging confidential information of the Company.</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Initiating or approving personnel actions affecting reward or punishment of employees or applicants where there is a family relationship or is or appears to be a personal or social involvement.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Initiating or approving any form of personal or social harassment of employees.</w:t>
      </w:r>
    </w:p>
    <w:p>
      <w:pPr>
        <w:spacing w:after="0" w:line="130"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Investing or holding outside directorship in suppliers, customers, or competing companies, including financial speculations, where such investment or directorship might influence in any manner a decision or course of action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Borrowing from or lending to employees,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Acquiring real estate of interest to the Company.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Improperly using or disclosing to the Company any proprietary information or trade secrets of any former or concurrent employer or other person or entity with whom obligations of confidentiality exist.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Unlawfully discussing prices, costs, customers, sales or markets with competing companies or their employees.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231" w:name="page232"/>
    <w:bookmarkEnd w:id="231"/>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Making any unlawful agreement with distributors with respect to prices.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Improperly using or authorizing the use of any inventions which are the subject of patent claims of any other person or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Engaging in any conduct which is not in the best interest of the Company.</w:t>
      </w:r>
    </w:p>
    <w:p>
      <w:pPr>
        <w:spacing w:after="0" w:line="22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Each officer, employee and independent contractor must take every necessary action to ensure compliance with these guidelines and to bring problem areas to the attention of higher management for review. Violations of this conflict of interest policy may result in discharge without warning.</w:t>
      </w:r>
    </w:p>
    <w:p>
      <w:pPr>
        <w:spacing w:after="0" w:line="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240" w:top="274" w:right="59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February 12, 2016, included herein and to the reference to our firm under the heading “Experts” in the prospectus.</w:t>
      </w: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11,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decimal"/>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1)"/>
      <w:numFmt w:val="decimal"/>
      <w:start w:val="1"/>
    </w:lvl>
  </w:abstractNum>
  <w:abstractNum w:abstractNumId="16">
    <w:nsid w:val="7FB7E0AA"/>
    <w:multiLevelType w:val="hybridMultilevel"/>
    <w:lvl w:ilvl="0">
      <w:lvlJc w:val="left"/>
      <w:lvlText w:val="(%1)"/>
      <w:numFmt w:val="decimal"/>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1)"/>
      <w:numFmt w:val="lowerRoman"/>
      <w:start w:val="2"/>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1)"/>
      <w:numFmt w:val="decimal"/>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1)"/>
      <w:numFmt w:val="decimal"/>
      <w:start w:val="1"/>
    </w:lvl>
  </w:abstractNum>
  <w:abstractNum w:abstractNumId="62">
    <w:nsid w:val="59ADEA3D"/>
    <w:multiLevelType w:val="hybridMultilevel"/>
    <w:lvl w:ilvl="0">
      <w:lvlJc w:val="left"/>
      <w:lvlText w:val="(%1)"/>
      <w:numFmt w:val="decimal"/>
      <w:start w:val="2"/>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1)"/>
      <w:numFmt w:val="lowerRoman"/>
      <w:start w:val="2"/>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
      <w:numFmt w:val="bullet"/>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1)"/>
      <w:numFmt w:val="decimal"/>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
      <w:numFmt w:val="bullet"/>
      <w:start w:val="1"/>
    </w:lvl>
  </w:abstractNum>
  <w:abstractNum w:abstractNumId="88">
    <w:nsid w:val="5675FF36"/>
    <w:multiLevelType w:val="hybridMultilevel"/>
    <w:lvl w:ilvl="0">
      <w:lvlJc w:val="left"/>
      <w:lvlText w:val="•"/>
      <w:numFmt w:val="bullet"/>
      <w:start w:val="1"/>
    </w:lvl>
  </w:abstractNum>
  <w:abstractNum w:abstractNumId="89">
    <w:nsid w:val="3DD15094"/>
    <w:multiLevelType w:val="hybridMultilevel"/>
    <w:lvl w:ilvl="0">
      <w:lvlJc w:val="left"/>
      <w:lvlText w:val="(%1)"/>
      <w:numFmt w:val="decimal"/>
      <w:start w:val="1"/>
    </w:lvl>
  </w:abstractNum>
  <w:abstractNum w:abstractNumId="90">
    <w:nsid w:val="3DB012B3"/>
    <w:multiLevelType w:val="hybridMultilevel"/>
    <w:lvl w:ilvl="0">
      <w:lvlJc w:val="left"/>
      <w:lvlText w:val="(%1)"/>
      <w:numFmt w:val="decimal"/>
      <w:start w:val="4"/>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1)"/>
      <w:numFmt w:val="decimal"/>
      <w:start w:val="1"/>
    </w:lvl>
  </w:abstractNum>
  <w:abstractNum w:abstractNumId="93">
    <w:nsid w:val="175DFCF0"/>
    <w:multiLevelType w:val="hybridMultilevel"/>
    <w:lvl w:ilvl="0">
      <w:lvlJc w:val="left"/>
      <w:lvlText w:val="(%1)"/>
      <w:numFmt w:val="decimal"/>
      <w:start w:val="1"/>
    </w:lvl>
  </w:abstractNum>
  <w:abstractNum w:abstractNumId="94">
    <w:nsid w:val="4F97E3E4"/>
    <w:multiLevelType w:val="hybridMultilevel"/>
    <w:lvl w:ilvl="0">
      <w:lvlJc w:val="left"/>
      <w:lvlText w:val="(%1)"/>
      <w:numFmt w:val="decimal"/>
      <w:start w:val="3"/>
    </w:lvl>
  </w:abstractNum>
  <w:abstractNum w:abstractNumId="95">
    <w:nsid w:val="53B0A9E"/>
    <w:multiLevelType w:val="hybridMultilevel"/>
    <w:lvl w:ilvl="0">
      <w:lvlJc w:val="left"/>
      <w:lvlText w:val="(%1)"/>
      <w:numFmt w:val="lowerRoman"/>
      <w:start w:val="1"/>
    </w:lvl>
  </w:abstractNum>
  <w:abstractNum w:abstractNumId="96">
    <w:nsid w:val="34FD6B4F"/>
    <w:multiLevelType w:val="hybridMultilevel"/>
    <w:lvl w:ilvl="0">
      <w:lvlJc w:val="left"/>
      <w:lvlText w:val="(%1)"/>
      <w:numFmt w:val="lowerRoman"/>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
      <w:numFmt w:val="bullet"/>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1)"/>
      <w:numFmt w:val="decimal"/>
      <w:start w:val="1"/>
    </w:lvl>
  </w:abstractNum>
  <w:abstractNum w:abstractNumId="101">
    <w:nsid w:val="17A1B582"/>
    <w:multiLevelType w:val="hybridMultilevel"/>
    <w:lvl w:ilvl="0">
      <w:lvlJc w:val="left"/>
      <w:lvlText w:val="(%1)"/>
      <w:numFmt w:val="decimal"/>
      <w:start w:val="1"/>
    </w:lvl>
  </w:abstractNum>
  <w:abstractNum w:abstractNumId="102">
    <w:nsid w:val="4DF72E4E"/>
    <w:multiLevelType w:val="hybridMultilevel"/>
    <w:lvl w:ilvl="0">
      <w:lvlJc w:val="left"/>
      <w:lvlText w:val="•"/>
      <w:numFmt w:val="bullet"/>
      <w:start w:val="1"/>
    </w:lvl>
  </w:abstractNum>
  <w:abstractNum w:abstractNumId="103">
    <w:nsid w:val="5046B5A9"/>
    <w:multiLevelType w:val="hybridMultilevel"/>
    <w:lvl w:ilvl="0">
      <w:lvlJc w:val="left"/>
      <w:lvlText w:val="(%1)"/>
      <w:numFmt w:val="decimal"/>
      <w:start w:val="1"/>
    </w:lvl>
    <w:lvl w:ilvl="1">
      <w:lvlJc w:val="left"/>
      <w:lvlText w:val="(%2)"/>
      <w:numFmt w:val="lowerLetter"/>
      <w:start w:val="2"/>
    </w:lvl>
  </w:abstractNum>
  <w:abstractNum w:abstractNumId="104">
    <w:nsid w:val="5D888A08"/>
    <w:multiLevelType w:val="hybridMultilevel"/>
    <w:lvl w:ilvl="0">
      <w:lvlJc w:val="left"/>
      <w:lvlText w:val="(%1)"/>
      <w:numFmt w:val="decimal"/>
      <w:start w:val="10"/>
    </w:lvl>
    <w:lvl w:ilvl="1">
      <w:lvlJc w:val="left"/>
      <w:lvlText w:val="(%2)"/>
      <w:numFmt w:val="lowerLetter"/>
      <w:start w:val="2"/>
    </w:lvl>
  </w:abstractNum>
  <w:abstractNum w:abstractNumId="105">
    <w:nsid w:val="2A082C70"/>
    <w:multiLevelType w:val="hybridMultilevel"/>
    <w:lvl w:ilvl="0">
      <w:lvlJc w:val="left"/>
      <w:lvlText w:val="%1"/>
      <w:numFmt w:val="decimal"/>
      <w:start w:val="1"/>
    </w:lvl>
    <w:lvl w:ilvl="1">
      <w:lvlJc w:val="left"/>
      <w:lvlText w:val="(%2)"/>
      <w:numFmt w:val="lowerLetter"/>
      <w:start w:val="4"/>
    </w:lvl>
  </w:abstractNum>
  <w:abstractNum w:abstractNumId="106">
    <w:nsid w:val="5EC6AFD4"/>
    <w:multiLevelType w:val="hybridMultilevel"/>
    <w:lvl w:ilvl="0">
      <w:lvlJc w:val="left"/>
      <w:lvlText w:val="(%1)"/>
      <w:numFmt w:val="decimal"/>
      <w:start w:val="12"/>
    </w:lvl>
    <w:lvl w:ilvl="1">
      <w:lvlJc w:val="left"/>
      <w:lvlText w:val="(%2)"/>
      <w:numFmt w:val="lowerLetter"/>
      <w:start w:val="2"/>
    </w:lvl>
  </w:abstractNum>
  <w:abstractNum w:abstractNumId="107">
    <w:nsid w:val="19E21BB2"/>
    <w:multiLevelType w:val="hybridMultilevel"/>
    <w:lvl w:ilvl="0">
      <w:lvlJc w:val="left"/>
      <w:lvlText w:val="•"/>
      <w:numFmt w:val="bullet"/>
      <w:start w:val="1"/>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
      <w:numFmt w:val="bullet"/>
      <w:start w:val="1"/>
    </w:lvl>
  </w:abstractNum>
  <w:abstractNum w:abstractNumId="114">
    <w:nsid w:val="2157F6BC"/>
    <w:multiLevelType w:val="hybridMultilevel"/>
    <w:lvl w:ilvl="0">
      <w:lvlJc w:val="left"/>
      <w:lvlText w:val="•"/>
      <w:numFmt w:val="bullet"/>
      <w:start w:val="1"/>
    </w:lvl>
  </w:abstractNum>
  <w:abstractNum w:abstractNumId="115">
    <w:nsid w:val="704E1DD5"/>
    <w:multiLevelType w:val="hybridMultilevel"/>
    <w:lvl w:ilvl="0">
      <w:lvlJc w:val="left"/>
      <w:lvlText w:val="•"/>
      <w:numFmt w:val="bullet"/>
      <w:start w:val="1"/>
    </w:lvl>
  </w:abstractNum>
  <w:abstractNum w:abstractNumId="116">
    <w:nsid w:val="57D2F10E"/>
    <w:multiLevelType w:val="hybridMultilevel"/>
    <w:lvl w:ilvl="0">
      <w:lvlJc w:val="left"/>
      <w:lvlText w:val="•"/>
      <w:numFmt w:val="bullet"/>
      <w:start w:val="1"/>
    </w:lvl>
  </w:abstractNum>
  <w:abstractNum w:abstractNumId="117">
    <w:nsid w:val="BFFAE18"/>
    <w:multiLevelType w:val="hybridMultilevel"/>
    <w:lvl w:ilvl="0">
      <w:lvlJc w:val="left"/>
      <w:lvlText w:val="•"/>
      <w:numFmt w:val="bullet"/>
      <w:start w:val="1"/>
    </w:lvl>
  </w:abstractNum>
  <w:abstractNum w:abstractNumId="118">
    <w:nsid w:val="E3E47A8"/>
    <w:multiLevelType w:val="hybridMultilevel"/>
    <w:lvl w:ilvl="0">
      <w:lvlJc w:val="left"/>
      <w:lvlText w:val="•"/>
      <w:numFmt w:val="bullet"/>
      <w:start w:val="1"/>
    </w:lvl>
  </w:abstractNum>
  <w:abstractNum w:abstractNumId="119">
    <w:nsid w:val="2E48F044"/>
    <w:multiLevelType w:val="hybridMultilevel"/>
    <w:lvl w:ilvl="0">
      <w:lvlJc w:val="left"/>
      <w:lvlText w:val="•"/>
      <w:numFmt w:val="bullet"/>
      <w:start w:val="1"/>
    </w:lvl>
  </w:abstractNum>
  <w:abstractNum w:abstractNumId="120">
    <w:nsid w:val="49D0FEAC"/>
    <w:multiLevelType w:val="hybridMultilevel"/>
    <w:lvl w:ilvl="0">
      <w:lvlJc w:val="left"/>
      <w:lvlText w:val="(%1)"/>
      <w:numFmt w:val="lowerLetter"/>
      <w:start w:val="2"/>
    </w:lvl>
  </w:abstractNum>
  <w:abstractNum w:abstractNumId="121">
    <w:nsid w:val="4BEE5A5B"/>
    <w:multiLevelType w:val="hybridMultilevel"/>
    <w:lvl w:ilvl="0">
      <w:lvlJc w:val="left"/>
      <w:lvlText w:val="•"/>
      <w:numFmt w:val="bullet"/>
      <w:start w:val="1"/>
    </w:lvl>
  </w:abstractNum>
  <w:abstractNum w:abstractNumId="122">
    <w:nsid w:val="5551B9F3"/>
    <w:multiLevelType w:val="hybridMultilevel"/>
    <w:lvl w:ilvl="0">
      <w:lvlJc w:val="left"/>
      <w:lvlText w:val="•"/>
      <w:numFmt w:val="bullet"/>
      <w:start w:val="1"/>
    </w:lvl>
    <w:lvl w:ilvl="1">
      <w:lvlJc w:val="left"/>
      <w:lvlText w:val="•"/>
      <w:numFmt w:val="bullet"/>
      <w:start w:val="1"/>
    </w:lvl>
  </w:abstractNum>
  <w:abstractNum w:abstractNumId="123">
    <w:nsid w:val="24F6AB8E"/>
    <w:multiLevelType w:val="hybridMultilevel"/>
    <w:lvl w:ilvl="0">
      <w:lvlJc w:val="left"/>
      <w:lvlText w:val="(%1)"/>
      <w:numFmt w:val="lowerLetter"/>
      <w:start w:val="2"/>
    </w:lvl>
  </w:abstractNum>
  <w:abstractNum w:abstractNumId="124">
    <w:nsid w:val="634C574C"/>
    <w:multiLevelType w:val="hybridMultilevel"/>
    <w:lvl w:ilvl="0">
      <w:lvlJc w:val="left"/>
      <w:lvlText w:val="(%1)"/>
      <w:numFmt w:val="lowerRoman"/>
      <w:start w:val="1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
      <w:numFmt w:val="bullet"/>
      <w:start w:val="1"/>
    </w:lvl>
  </w:abstractNum>
  <w:abstractNum w:abstractNumId="127">
    <w:nsid w:val="1849C29B"/>
    <w:multiLevelType w:val="hybridMultilevel"/>
    <w:lvl w:ilvl="0">
      <w:lvlJc w:val="left"/>
      <w:lvlText w:val="(%1)"/>
      <w:numFmt w:val="lowerRoman"/>
      <w:start w:val="2"/>
    </w:lvl>
  </w:abstractNum>
  <w:abstractNum w:abstractNumId="128">
    <w:nsid w:val="7DFF9D09"/>
    <w:multiLevelType w:val="hybridMultilevel"/>
    <w:lvl w:ilvl="0">
      <w:lvlJc w:val="left"/>
      <w:lvlText w:val="(%1)"/>
      <w:numFmt w:val="decimal"/>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1)"/>
      <w:numFmt w:val="lowerRoman"/>
      <w:start w:val="1"/>
    </w:lvl>
  </w:abstractNum>
  <w:abstractNum w:abstractNumId="131">
    <w:nsid w:val="2A6DE806"/>
    <w:multiLevelType w:val="hybridMultilevel"/>
    <w:lvl w:ilvl="0">
      <w:lvlJc w:val="left"/>
      <w:lvlText w:val="(%1)"/>
      <w:numFmt w:val="decimal"/>
      <w:start w:val="1"/>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
      <w:numFmt w:val="bullet"/>
      <w:start w:val="1"/>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1."/>
      <w:numFmt w:val="decimal"/>
      <w:start w:val="1"/>
    </w:lvl>
  </w:abstractNum>
  <w:abstractNum w:abstractNumId="136">
    <w:nsid w:val="61E74EA3"/>
    <w:multiLevelType w:val="hybridMultilevel"/>
    <w:lvl w:ilvl="0">
      <w:lvlJc w:val="left"/>
      <w:lvlText w:val="(%1)"/>
      <w:numFmt w:val="lowerLetter"/>
      <w:start w:val="1"/>
    </w:lvl>
  </w:abstractNum>
  <w:abstractNum w:abstractNumId="137">
    <w:nsid w:val="597B4D84"/>
    <w:multiLevelType w:val="hybridMultilevel"/>
    <w:lvl w:ilvl="0">
      <w:lvlJc w:val="left"/>
      <w:lvlText w:val="+"/>
      <w:numFmt w:val="bullet"/>
      <w:start w:val="1"/>
    </w:lvl>
  </w:abstractNum>
  <w:abstractNum w:abstractNumId="138">
    <w:nsid w:val="F819E7F"/>
    <w:multiLevelType w:val="hybridMultilevel"/>
    <w:lvl w:ilvl="0">
      <w:lvlJc w:val="left"/>
      <w:lvlText w:val="%1."/>
      <w:numFmt w:val="decimal"/>
      <w:start w:val="1"/>
    </w:lvl>
    <w:lvl w:ilvl="1">
      <w:lvlJc w:val="left"/>
      <w:lvlText w:val="%2."/>
      <w:numFmt w:val="lowerLetter"/>
      <w:start w:val="1"/>
    </w:lvl>
  </w:abstractNum>
  <w:abstractNum w:abstractNumId="139">
    <w:nsid w:val="57C7D42D"/>
    <w:multiLevelType w:val="hybridMultilevel"/>
    <w:lvl w:ilvl="0">
      <w:lvlJc w:val="left"/>
      <w:lvlText w:val="%1."/>
      <w:numFmt w:val="decimal"/>
      <w:start w:val="3"/>
    </w:lvl>
  </w:abstractNum>
  <w:abstractNum w:abstractNumId="140">
    <w:nsid w:val="312167AD"/>
    <w:multiLevelType w:val="hybridMultilevel"/>
    <w:lvl w:ilvl="0">
      <w:lvlJc w:val="left"/>
      <w:lvlText w:val="%1."/>
      <w:numFmt w:val="decimal"/>
      <w:start w:val="6"/>
    </w:lvl>
    <w:lvl w:ilvl="1">
      <w:lvlJc w:val="left"/>
      <w:lvlText w:val="%2"/>
      <w:numFmt w:val="lowerLetter"/>
      <w:start w:val="1"/>
    </w:lvl>
  </w:abstractNum>
  <w:abstractNum w:abstractNumId="141">
    <w:nsid w:val="631B64D4"/>
    <w:multiLevelType w:val="hybridMultilevel"/>
    <w:lvl w:ilvl="0">
      <w:lvlJc w:val="left"/>
      <w:lvlText w:val="%1."/>
      <w:numFmt w:val="decimal"/>
      <w:start w:val="8"/>
    </w:lvl>
    <w:lvl w:ilvl="1">
      <w:lvlJc w:val="left"/>
      <w:lvlText w:val="%2."/>
      <w:numFmt w:val="lowerLetter"/>
      <w:start w:val="1"/>
    </w:lvl>
  </w:abstractNum>
  <w:abstractNum w:abstractNumId="142">
    <w:nsid w:val="78B5E776"/>
    <w:multiLevelType w:val="hybridMultilevel"/>
    <w:lvl w:ilvl="0">
      <w:lvlJc w:val="left"/>
      <w:lvlText w:val="%1."/>
      <w:numFmt w:val="decimal"/>
      <w:start w:val="10"/>
    </w:lvl>
  </w:abstractNum>
  <w:abstractNum w:abstractNumId="143">
    <w:nsid w:val="75486E47"/>
    <w:multiLevelType w:val="hybridMultilevel"/>
    <w:lvl w:ilvl="0">
      <w:lvlJc w:val="left"/>
      <w:lvlText w:val="%1."/>
      <w:numFmt w:val="decimal"/>
      <w:start w:val="16"/>
    </w:lvl>
  </w:abstractNum>
  <w:abstractNum w:abstractNumId="144">
    <w:nsid w:val="6E534CDE"/>
    <w:multiLevelType w:val="hybridMultilevel"/>
    <w:lvl w:ilvl="0">
      <w:lvlJc w:val="left"/>
      <w:lvlText w:val="%1."/>
      <w:numFmt w:val="decimal"/>
      <w:start w:val="1"/>
    </w:lvl>
    <w:lvl w:ilvl="1">
      <w:lvlJc w:val="left"/>
      <w:lvlText w:val="%2."/>
      <w:numFmt w:val="upperLetter"/>
      <w:start w:val="1"/>
    </w:lvl>
  </w:abstractNum>
  <w:abstractNum w:abstractNumId="145">
    <w:nsid w:val="1A0DDE32"/>
    <w:multiLevelType w:val="hybridMultilevel"/>
    <w:lvl w:ilvl="0">
      <w:lvlJc w:val="left"/>
      <w:lvlText w:val="%1."/>
      <w:numFmt w:val="decimal"/>
      <w:start w:val="3"/>
    </w:lvl>
  </w:abstractNum>
  <w:abstractNum w:abstractNumId="146">
    <w:nsid w:val="65968C1C"/>
    <w:multiLevelType w:val="hybridMultilevel"/>
    <w:lvl w:ilvl="0">
      <w:lvlJc w:val="left"/>
      <w:lvlText w:val="%1."/>
      <w:numFmt w:val="decimal"/>
      <w:start w:val="8"/>
    </w:lvl>
    <w:lvl w:ilvl="1">
      <w:lvlJc w:val="left"/>
      <w:lvlText w:val="%2."/>
      <w:numFmt w:val="upperLetter"/>
      <w:start w:val="1"/>
    </w:lvl>
  </w:abstractNum>
  <w:abstractNum w:abstractNumId="147">
    <w:nsid w:val="46263DEC"/>
    <w:multiLevelType w:val="hybridMultilevel"/>
    <w:lvl w:ilvl="0">
      <w:lvlJc w:val="left"/>
      <w:lvlText w:val="X"/>
      <w:numFmt w:val="bullet"/>
      <w:start w:val="1"/>
    </w:lvl>
  </w:abstractNum>
  <w:abstractNum w:abstractNumId="148">
    <w:nsid w:val="260D8C4A"/>
    <w:multiLevelType w:val="hybridMultilevel"/>
    <w:lvl w:ilvl="0">
      <w:lvlJc w:val="left"/>
      <w:lvlText w:val="%1"/>
      <w:numFmt w:val="lowerLetter"/>
      <w:start w:val="1"/>
    </w:lvl>
    <w:lvl w:ilvl="1">
      <w:lvlJc w:val="left"/>
      <w:lvlText w:val="(%2)"/>
      <w:numFmt w:val="decimal"/>
      <w:start w:val="1"/>
    </w:lvl>
  </w:abstractNum>
  <w:abstractNum w:abstractNumId="149">
    <w:nsid w:val="73D4D3C4"/>
    <w:multiLevelType w:val="hybridMultilevel"/>
    <w:lvl w:ilvl="0">
      <w:lvlJc w:val="left"/>
      <w:lvlText w:val="(%1)"/>
      <w:numFmt w:val="lowerLetter"/>
      <w:start w:val="2"/>
    </w:lvl>
    <w:lvl w:ilvl="1">
      <w:lvlJc w:val="left"/>
      <w:lvlText w:val="%2"/>
      <w:numFmt w:val="decimal"/>
      <w:start w:val="1"/>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2019-12-08T12:48:21Z</dcterms:created>
  <dcterms:modified xsi:type="dcterms:W3CDTF">2019-12-08T12:48:21Z</dcterms:modified>
</cp:coreProperties>
</file>