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031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031355"/>
                    </a:xfrm>
                    <a:prstGeom prst="rect">
                      <a:avLst/>
                    </a:prstGeom>
                    <a:noFill/>
                  </pic:spPr>
                </pic:pic>
              </a:graphicData>
            </a:graphic>
          </wp:anchor>
        </w:drawing>
      </w:r>
    </w:p>
    <w:p>
      <w:pPr>
        <w:spacing w:after="0" w:line="1285" w:lineRule="exact"/>
        <w:rPr>
          <w:sz w:val="24"/>
          <w:szCs w:val="24"/>
          <w:color w:val="auto"/>
        </w:rPr>
      </w:pPr>
    </w:p>
    <w:p>
      <w:pPr>
        <w:sectPr>
          <w:pgSz w:w="11900" w:h="16843"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Faga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45"/>
        <w:spacing w:after="0"/>
        <w:rPr>
          <w:sz w:val="20"/>
          <w:szCs w:val="20"/>
          <w:color w:val="auto"/>
        </w:rPr>
      </w:pPr>
      <w:r>
        <w:rPr>
          <w:rFonts w:ascii="Times New Roman" w:cs="Times New Roman" w:eastAsia="Times New Roman" w:hAnsi="Times New Roman"/>
          <w:sz w:val="17"/>
          <w:szCs w:val="17"/>
          <w:color w:val="0000FF"/>
        </w:rPr>
        <w:t>President, CEO</w:t>
      </w:r>
    </w:p>
    <w:p>
      <w:pPr>
        <w:spacing w:after="0" w:line="432" w:lineRule="exact"/>
        <w:rPr>
          <w:sz w:val="24"/>
          <w:szCs w:val="24"/>
          <w:color w:val="auto"/>
        </w:rPr>
      </w:pPr>
    </w:p>
    <w:p>
      <w:pPr>
        <w:sectPr>
          <w:pgSz w:w="11900" w:h="16843"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43"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jc w:val="center"/>
              <w:ind w:left="39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10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34,300</w:t>
            </w:r>
            <w:r>
              <w:rPr>
                <w:rFonts w:ascii="Times New Roman" w:cs="Times New Roman" w:eastAsia="Times New Roman" w:hAnsi="Times New Roman"/>
                <w:sz w:val="22"/>
                <w:szCs w:val="22"/>
                <w:color w:val="008000"/>
                <w:w w:val="97"/>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513,644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56.613</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513,134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2,570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57.9063</w:t>
            </w:r>
            <w:r>
              <w:rPr>
                <w:rFonts w:ascii="Times New Roman" w:cs="Times New Roman" w:eastAsia="Times New Roman" w:hAnsi="Times New Roman"/>
                <w:sz w:val="22"/>
                <w:szCs w:val="22"/>
                <w:color w:val="008000"/>
                <w:w w:val="97"/>
                <w:vertAlign w:val="superscript"/>
              </w:rPr>
              <w:t>(5)</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510,564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3,662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58.6158</w:t>
            </w:r>
            <w:r>
              <w:rPr>
                <w:rFonts w:ascii="Times New Roman" w:cs="Times New Roman" w:eastAsia="Times New Roman" w:hAnsi="Times New Roman"/>
                <w:sz w:val="22"/>
                <w:szCs w:val="22"/>
                <w:color w:val="008000"/>
                <w:w w:val="97"/>
                <w:vertAlign w:val="superscript"/>
              </w:rPr>
              <w:t>(6)</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506,902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59.6237</w:t>
            </w:r>
            <w:r>
              <w:rPr>
                <w:rFonts w:ascii="Times New Roman" w:cs="Times New Roman" w:eastAsia="Times New Roman" w:hAnsi="Times New Roman"/>
                <w:sz w:val="22"/>
                <w:szCs w:val="22"/>
                <w:color w:val="008000"/>
                <w:w w:val="97"/>
                <w:vertAlign w:val="superscript"/>
              </w:rPr>
              <w:t>(7)</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506,412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60.6264</w:t>
            </w:r>
            <w:r>
              <w:rPr>
                <w:rFonts w:ascii="Times New Roman" w:cs="Times New Roman" w:eastAsia="Times New Roman" w:hAnsi="Times New Roman"/>
                <w:sz w:val="22"/>
                <w:szCs w:val="22"/>
                <w:color w:val="008000"/>
                <w:w w:val="97"/>
                <w:vertAlign w:val="superscript"/>
              </w:rPr>
              <w:t>(8)</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505,862</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1,012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62.1525</w:t>
            </w:r>
            <w:r>
              <w:rPr>
                <w:rFonts w:ascii="Times New Roman" w:cs="Times New Roman" w:eastAsia="Times New Roman" w:hAnsi="Times New Roman"/>
                <w:sz w:val="22"/>
                <w:szCs w:val="22"/>
                <w:color w:val="008000"/>
                <w:w w:val="97"/>
                <w:vertAlign w:val="superscript"/>
              </w:rPr>
              <w:t>(9)</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504,850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2,592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63.3503</w:t>
            </w:r>
            <w:r>
              <w:rPr>
                <w:rFonts w:ascii="Times New Roman" w:cs="Times New Roman" w:eastAsia="Times New Roman" w:hAnsi="Times New Roman"/>
                <w:sz w:val="22"/>
                <w:szCs w:val="22"/>
                <w:color w:val="008000"/>
                <w:w w:val="94"/>
                <w:vertAlign w:val="superscript"/>
              </w:rPr>
              <w:t>(10)</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502,258</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3,155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64.1909</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499,103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3,038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65.1982</w:t>
            </w:r>
            <w:r>
              <w:rPr>
                <w:rFonts w:ascii="Times New Roman" w:cs="Times New Roman" w:eastAsia="Times New Roman" w:hAnsi="Times New Roman"/>
                <w:sz w:val="22"/>
                <w:szCs w:val="22"/>
                <w:color w:val="008000"/>
                <w:w w:val="94"/>
                <w:vertAlign w:val="superscript"/>
              </w:rPr>
              <w:t>(12)</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496,065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03/27/2026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65.99</w:t>
            </w:r>
          </w:p>
        </w:tc>
        <w:tc>
          <w:tcPr>
            <w:tcW w:w="104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7"/>
                <w:szCs w:val="17"/>
                <w:color w:val="0000FF"/>
              </w:rPr>
              <w:t>495,965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("PSUs") that were earned by the Reporting Person upon the achievement of certain performance criteria as certified by the Compensation Committee of the Issuer's Board of Directors on March 25,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conditional right to receive one share of the Issuer's Common Stock.</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PSUs. The sale was to satisfy tax withholding obligations to be funded by a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$56.285 to $57.215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$57.29 to $58.21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$58.29 to $59.275 per share, inclusive. The Reporting Person undertakes to provide to the Issuer, any security holder of the Issuer, or the staff of the Securities and Exchange Commission, upon request, full information regarding the number of shares sold at each</w:t>
      </w:r>
    </w:p>
    <w:p>
      <w:pPr>
        <w:sectPr>
          <w:pgSz w:w="11900" w:h="16843"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separate price within the range set forth in this footnote.</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$59.29 to $60.08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$60.405 to $61.05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$61.66 to $62.65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$62.71 to $63.685 per share, inclusive. The Reporting Person</w:t>
      </w:r>
    </w:p>
    <w:p>
      <w:pPr>
        <w:spacing w:after="0" w:line="11" w:lineRule="exact"/>
        <w:rPr>
          <w:rFonts w:ascii="Times New Roman" w:cs="Times New Roman" w:eastAsia="Times New Roman" w:hAnsi="Times New Roman"/>
          <w:sz w:val="13"/>
          <w:szCs w:val="13"/>
          <w:color w:val="008000"/>
        </w:rPr>
      </w:pPr>
    </w:p>
    <w:p>
      <w:pPr>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$63.71 to $64.64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$64.785 to $65.61 per share, inclusive. The Reporting Person</w:t>
      </w:r>
    </w:p>
    <w:p>
      <w:pPr>
        <w:spacing w:after="0" w:line="11" w:lineRule="exact"/>
        <w:rPr>
          <w:rFonts w:ascii="Times New Roman" w:cs="Times New Roman" w:eastAsia="Times New Roman" w:hAnsi="Times New Roman"/>
          <w:sz w:val="13"/>
          <w:szCs w:val="13"/>
          <w:color w:val="008000"/>
        </w:rPr>
      </w:pPr>
    </w:p>
    <w:p>
      <w:pPr>
        <w:spacing w:after="0" w:line="245"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352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2026-03-27T19:19:52Z</dcterms:created>
  <dcterms:modified xsi:type="dcterms:W3CDTF">2026-03-27T19:19:52Z</dcterms:modified>
</cp:coreProperties>
</file>