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ind w:left="4840"/>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October 25, 2023</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earliest event reported)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8"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54"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10770 Wateridge Circle, Suite 210,</w:t>
      </w:r>
    </w:p>
    <w:p>
      <w:pPr>
        <w:spacing w:after="0" w:line="49"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5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5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296" w:lineRule="exact"/>
        <w:rPr>
          <w:sz w:val="24"/>
          <w:szCs w:val="24"/>
          <w:color w:val="auto"/>
        </w:rPr>
      </w:pPr>
    </w:p>
    <w:p>
      <w:pPr>
        <w:ind w:right="20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67"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2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w:t>
      </w:r>
    </w:p>
    <w:p>
      <w:pPr>
        <w:spacing w:after="0" w:line="168" w:lineRule="exact"/>
        <w:rPr>
          <w:sz w:val="20"/>
          <w:szCs w:val="20"/>
          <w:color w:val="auto"/>
        </w:rPr>
      </w:pPr>
    </w:p>
    <w:p>
      <w:pPr>
        <w:ind w:right="200"/>
        <w:spacing w:after="0" w:line="274" w:lineRule="auto"/>
        <w:rPr>
          <w:sz w:val="20"/>
          <w:szCs w:val="20"/>
          <w:color w:val="auto"/>
        </w:rPr>
      </w:pPr>
      <w:r>
        <w:rPr>
          <w:rFonts w:ascii="Arial" w:cs="Arial" w:eastAsia="Arial" w:hAnsi="Arial"/>
          <w:sz w:val="20"/>
          <w:szCs w:val="20"/>
          <w:color w:val="auto"/>
        </w:rPr>
        <w:t>On October 25, 2023, AnaptysBio presented its PD-1 Agonist (Rosnilimab) R&amp;D slide presentation, a full copy of which is attached hereto as Exhibit 99.1.</w:t>
      </w:r>
    </w:p>
    <w:p>
      <w:pPr>
        <w:spacing w:after="0" w:line="109"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Exchange Act or Securities Act of 1933, as amended, except as expressly set forth by specific reference in such a filing.</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20" w:type="dxa"/>
            <w:vAlign w:val="bottom"/>
            <w:gridSpan w:val="3"/>
          </w:tcPr>
          <w:p>
            <w:pPr>
              <w:spacing w:after="0"/>
              <w:rPr>
                <w:sz w:val="20"/>
                <w:szCs w:val="20"/>
                <w:color w:val="auto"/>
              </w:rPr>
            </w:pPr>
            <w:r>
              <w:rPr>
                <w:rFonts w:ascii="Arial" w:cs="Arial" w:eastAsia="Arial" w:hAnsi="Arial"/>
                <w:sz w:val="20"/>
                <w:szCs w:val="20"/>
                <w:color w:val="auto"/>
              </w:rPr>
              <w:t>(d) Exhibits</w:t>
            </w:r>
          </w:p>
        </w:tc>
        <w:tc>
          <w:tcPr>
            <w:tcW w:w="952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Arial" w:cs="Arial" w:eastAsia="Arial" w:hAnsi="Arial"/>
                <w:sz w:val="20"/>
                <w:szCs w:val="20"/>
                <w:b w:val="1"/>
                <w:bCs w:val="1"/>
                <w:color w:val="auto"/>
              </w:rPr>
              <w:t>Exhibit Number</w:t>
            </w:r>
          </w:p>
        </w:tc>
        <w:tc>
          <w:tcPr>
            <w:tcW w:w="9520" w:type="dxa"/>
            <w:vAlign w:val="bottom"/>
          </w:tcPr>
          <w:p>
            <w:pPr>
              <w:ind w:left="300"/>
              <w:spacing w:after="0"/>
              <w:rPr>
                <w:sz w:val="20"/>
                <w:szCs w:val="20"/>
                <w:color w:val="auto"/>
              </w:rPr>
            </w:pPr>
            <w:r>
              <w:rPr>
                <w:rFonts w:ascii="Arial" w:cs="Arial" w:eastAsia="Arial" w:hAnsi="Arial"/>
                <w:sz w:val="20"/>
                <w:szCs w:val="20"/>
                <w:b w:val="1"/>
                <w:bCs w:val="1"/>
                <w:color w:val="auto"/>
              </w:rPr>
              <w:t>Exhibit Title or Description</w:t>
            </w:r>
          </w:p>
        </w:tc>
      </w:tr>
      <w:tr>
        <w:trPr>
          <w:trHeight w:val="225"/>
        </w:trPr>
        <w:tc>
          <w:tcPr>
            <w:tcW w:w="20" w:type="dxa"/>
            <w:vAlign w:val="bottom"/>
          </w:tcPr>
          <w:p>
            <w:pPr>
              <w:spacing w:after="0"/>
              <w:rPr>
                <w:sz w:val="19"/>
                <w:szCs w:val="19"/>
                <w:color w:val="auto"/>
              </w:rPr>
            </w:pPr>
          </w:p>
        </w:tc>
        <w:tc>
          <w:tcPr>
            <w:tcW w:w="360" w:type="dxa"/>
            <w:vAlign w:val="bottom"/>
            <w:tcBorders>
              <w:bottom w:val="single" w:sz="8" w:color="0000FF"/>
            </w:tcBorders>
          </w:tcPr>
          <w:p>
            <w:pPr>
              <w:spacing w:after="0" w:line="226" w:lineRule="exact"/>
              <w:rPr>
                <w:sz w:val="20"/>
                <w:szCs w:val="20"/>
                <w:color w:val="auto"/>
              </w:rPr>
            </w:pPr>
            <w:r>
              <w:rPr>
                <w:rFonts w:ascii="Arial" w:cs="Arial" w:eastAsia="Arial" w:hAnsi="Arial"/>
                <w:sz w:val="20"/>
                <w:szCs w:val="20"/>
                <w:color w:val="0000FF"/>
                <w:w w:val="87"/>
              </w:rPr>
              <w:t>99.</w:t>
            </w:r>
            <w:r>
              <w:rPr>
                <w:rFonts w:ascii="Arial" w:cs="Arial" w:eastAsia="Arial" w:hAnsi="Arial"/>
                <w:sz w:val="20"/>
                <w:szCs w:val="20"/>
                <w:u w:val="single" w:color="auto"/>
                <w:color w:val="0000FF"/>
                <w:w w:val="87"/>
              </w:rPr>
              <w:t>1</w:t>
            </w:r>
          </w:p>
        </w:tc>
        <w:tc>
          <w:tcPr>
            <w:tcW w:w="1340" w:type="dxa"/>
            <w:vAlign w:val="bottom"/>
          </w:tcPr>
          <w:p>
            <w:pPr>
              <w:spacing w:after="0"/>
              <w:rPr>
                <w:sz w:val="19"/>
                <w:szCs w:val="19"/>
                <w:color w:val="auto"/>
              </w:rPr>
            </w:pPr>
          </w:p>
        </w:tc>
        <w:tc>
          <w:tcPr>
            <w:tcW w:w="9520" w:type="dxa"/>
            <w:vAlign w:val="bottom"/>
          </w:tcPr>
          <w:p>
            <w:pPr>
              <w:ind w:left="300"/>
              <w:spacing w:after="0" w:line="226" w:lineRule="exact"/>
              <w:rPr>
                <w:sz w:val="20"/>
                <w:szCs w:val="20"/>
                <w:color w:val="auto"/>
              </w:rPr>
            </w:pPr>
            <w:r>
              <w:rPr>
                <w:rFonts w:ascii="Arial" w:cs="Arial" w:eastAsia="Arial" w:hAnsi="Arial"/>
                <w:sz w:val="20"/>
                <w:szCs w:val="20"/>
                <w:color w:val="auto"/>
              </w:rPr>
              <w:t>AnaptysBio PD-1 Agonist (Rosnilimab) R&amp;D Slide Presentation October 2023.</w:t>
            </w:r>
          </w:p>
        </w:tc>
      </w:tr>
      <w:tr>
        <w:trPr>
          <w:trHeight w:val="295"/>
        </w:trPr>
        <w:tc>
          <w:tcPr>
            <w:tcW w:w="38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1340" w:type="dxa"/>
            <w:vAlign w:val="bottom"/>
          </w:tcPr>
          <w:p>
            <w:pPr>
              <w:spacing w:after="0"/>
              <w:rPr>
                <w:sz w:val="24"/>
                <w:szCs w:val="24"/>
                <w:color w:val="auto"/>
              </w:rPr>
            </w:pPr>
          </w:p>
        </w:tc>
        <w:tc>
          <w:tcPr>
            <w:tcW w:w="9520" w:type="dxa"/>
            <w:vAlign w:val="bottom"/>
          </w:tcPr>
          <w:p>
            <w:pPr>
              <w:ind w:left="300"/>
              <w:spacing w:after="0"/>
              <w:rPr>
                <w:sz w:val="20"/>
                <w:szCs w:val="20"/>
                <w:color w:val="auto"/>
              </w:rPr>
            </w:pPr>
            <w:r>
              <w:rPr>
                <w:rFonts w:ascii="Arial" w:cs="Arial" w:eastAsia="Arial" w:hAnsi="Arial"/>
                <w:sz w:val="20"/>
                <w:szCs w:val="20"/>
                <w:color w:val="auto"/>
                <w:w w:val="94"/>
              </w:rPr>
              <w:t>Cover Page Interactive Data File (the cover page XBRL tags are embedded within the inline XBRL document).</w:t>
            </w:r>
          </w:p>
        </w:tc>
      </w:tr>
      <w:tr>
        <w:trPr>
          <w:trHeight w:val="975"/>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2"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AnaptysBio, Inc.</w:t>
      </w:r>
    </w:p>
    <w:p>
      <w:pPr>
        <w:spacing w:after="0" w:line="27" w:lineRule="exact"/>
        <w:rPr>
          <w:sz w:val="20"/>
          <w:szCs w:val="20"/>
          <w:color w:val="auto"/>
        </w:rPr>
      </w:pPr>
    </w:p>
    <w:p>
      <w:pPr>
        <w:ind w:left="20"/>
        <w:spacing w:after="0"/>
        <w:tabs>
          <w:tab w:leader="none" w:pos="4220" w:val="left"/>
          <w:tab w:leader="none" w:pos="4780" w:val="left"/>
        </w:tabs>
        <w:rPr>
          <w:sz w:val="20"/>
          <w:szCs w:val="20"/>
          <w:color w:val="auto"/>
        </w:rPr>
      </w:pPr>
      <w:r>
        <w:rPr>
          <w:rFonts w:ascii="Arial" w:cs="Arial" w:eastAsia="Arial" w:hAnsi="Arial"/>
          <w:sz w:val="20"/>
          <w:szCs w:val="20"/>
          <w:color w:val="auto"/>
        </w:rPr>
        <w:t>Date: October 25, 2023</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19050</wp:posOffset>
            </wp:positionV>
            <wp:extent cx="409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3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Name: Dennis Mulroy</w:t>
      </w:r>
    </w:p>
    <w:p>
      <w:pPr>
        <w:spacing w:after="0" w:line="4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220"/>
          </w:cols>
          <w:pgMar w:left="320" w:top="1413" w:right="35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0119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2023-10-25T16:01:00Z</dcterms:created>
  <dcterms:modified xsi:type="dcterms:W3CDTF">2023-10-25T16:01:00Z</dcterms:modified>
</cp:coreProperties>
</file>