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158750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190500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Date of Report: August 22, 2017</w:t>
      </w:r>
    </w:p>
    <w:p>
      <w:pPr>
        <w:spacing w:after="0" w:line="1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1" w:lineRule="exact"/>
        <w:rPr>
          <w:sz w:val="24"/>
          <w:szCs w:val="24"/>
          <w:color w:val="auto"/>
        </w:rPr>
      </w:pPr>
    </w:p>
    <w:tbl>
      <w:tblPr>
        <w:tblLayout w:type="fixed"/>
        <w:tblInd w:w="1440" w:type="dxa"/>
        <w:tblCellMar>
          <w:top w:w="0" w:type="dxa"/>
          <w:left w:w="0" w:type="dxa"/>
          <w:bottom w:w="0" w:type="dxa"/>
          <w:right w:w="0" w:type="dxa"/>
        </w:tblCellMar>
      </w:tblPr>
      <w:tr>
        <w:trPr>
          <w:trHeight w:val="529"/>
        </w:trPr>
        <w:tc>
          <w:tcPr>
            <w:tcW w:w="6500" w:type="dxa"/>
            <w:vAlign w:val="bottom"/>
            <w:gridSpan w:val="3"/>
          </w:tcPr>
          <w:p>
            <w:pPr>
              <w:jc w:val="center"/>
              <w:ind w:left="1948"/>
              <w:spacing w:after="0"/>
              <w:rPr>
                <w:sz w:val="20"/>
                <w:szCs w:val="20"/>
                <w:color w:val="auto"/>
              </w:rPr>
            </w:pPr>
            <w:r>
              <w:rPr>
                <w:rFonts w:ascii="Times New Roman" w:cs="Times New Roman" w:eastAsia="Times New Roman" w:hAnsi="Times New Roman"/>
                <w:sz w:val="43"/>
                <w:szCs w:val="43"/>
                <w:b w:val="1"/>
                <w:bCs w:val="1"/>
                <w:color w:val="auto"/>
              </w:rPr>
              <w:t>ANAPTYSBIO, INC.</w:t>
            </w:r>
          </w:p>
        </w:tc>
        <w:tc>
          <w:tcPr>
            <w:tcW w:w="1280" w:type="dxa"/>
            <w:vAlign w:val="bottom"/>
          </w:tcPr>
          <w:p>
            <w:pPr>
              <w:spacing w:after="0"/>
              <w:rPr>
                <w:sz w:val="24"/>
                <w:szCs w:val="24"/>
                <w:color w:val="auto"/>
              </w:rPr>
            </w:pPr>
          </w:p>
        </w:tc>
      </w:tr>
      <w:tr>
        <w:trPr>
          <w:trHeight w:val="238"/>
        </w:trPr>
        <w:tc>
          <w:tcPr>
            <w:tcW w:w="6500" w:type="dxa"/>
            <w:vAlign w:val="bottom"/>
            <w:gridSpan w:val="3"/>
          </w:tcPr>
          <w:p>
            <w:pPr>
              <w:jc w:val="center"/>
              <w:ind w:left="196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0"/>
                <w:szCs w:val="20"/>
                <w:color w:val="auto"/>
              </w:rPr>
            </w:pPr>
          </w:p>
        </w:tc>
      </w:tr>
      <w:tr>
        <w:trPr>
          <w:trHeight w:val="270"/>
        </w:trPr>
        <w:tc>
          <w:tcPr>
            <w:tcW w:w="30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0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20"/>
        </w:trPr>
        <w:tc>
          <w:tcPr>
            <w:tcW w:w="3080" w:type="dxa"/>
            <w:vAlign w:val="bottom"/>
          </w:tcPr>
          <w:p>
            <w:pPr>
              <w:spacing w:after="0"/>
              <w:rPr>
                <w:sz w:val="24"/>
                <w:szCs w:val="24"/>
                <w:color w:val="auto"/>
              </w:rPr>
            </w:pPr>
          </w:p>
        </w:tc>
        <w:tc>
          <w:tcPr>
            <w:tcW w:w="34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spacing w:after="0"/>
              <w:rPr>
                <w:sz w:val="24"/>
                <w:szCs w:val="24"/>
                <w:color w:val="auto"/>
              </w:rPr>
            </w:pPr>
          </w:p>
        </w:tc>
      </w:tr>
      <w:tr>
        <w:trPr>
          <w:trHeight w:val="190"/>
        </w:trPr>
        <w:tc>
          <w:tcPr>
            <w:tcW w:w="6500" w:type="dxa"/>
            <w:vAlign w:val="bottom"/>
            <w:gridSpan w:val="3"/>
          </w:tcPr>
          <w:p>
            <w:pPr>
              <w:jc w:val="center"/>
              <w:ind w:left="194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280" w:type="dxa"/>
            <w:vAlign w:val="bottom"/>
          </w:tcPr>
          <w:p>
            <w:pPr>
              <w:spacing w:after="0"/>
              <w:rPr>
                <w:sz w:val="16"/>
                <w:szCs w:val="16"/>
                <w:color w:val="auto"/>
              </w:rPr>
            </w:pPr>
          </w:p>
        </w:tc>
      </w:tr>
      <w:tr>
        <w:trPr>
          <w:trHeight w:val="323"/>
        </w:trPr>
        <w:tc>
          <w:tcPr>
            <w:tcW w:w="3080" w:type="dxa"/>
            <w:vAlign w:val="bottom"/>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w w:val="99"/>
              </w:rPr>
              <w:t>001-37985</w:t>
            </w:r>
          </w:p>
        </w:tc>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49"/>
        </w:trPr>
        <w:tc>
          <w:tcPr>
            <w:tcW w:w="6500" w:type="dxa"/>
            <w:vAlign w:val="bottom"/>
            <w:gridSpan w:val="3"/>
          </w:tcPr>
          <w:p>
            <w:pPr>
              <w:jc w:val="center"/>
              <w:ind w:right="36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28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500" w:type="dxa"/>
            <w:vAlign w:val="bottom"/>
            <w:gridSpan w:val="3"/>
          </w:tcPr>
          <w:p>
            <w:pPr>
              <w:jc w:val="center"/>
              <w:ind w:right="3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50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10421 Pacific Center Court, Suite 200</w:t>
            </w:r>
          </w:p>
        </w:tc>
        <w:tc>
          <w:tcPr>
            <w:tcW w:w="1280" w:type="dxa"/>
            <w:vAlign w:val="bottom"/>
          </w:tcPr>
          <w:p>
            <w:pPr>
              <w:spacing w:after="0"/>
              <w:rPr>
                <w:sz w:val="24"/>
                <w:szCs w:val="24"/>
                <w:color w:val="auto"/>
              </w:rPr>
            </w:pPr>
          </w:p>
        </w:tc>
      </w:tr>
      <w:tr>
        <w:trPr>
          <w:trHeight w:val="227"/>
        </w:trPr>
        <w:tc>
          <w:tcPr>
            <w:tcW w:w="650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San Diego, CA</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6500" w:type="dxa"/>
            <w:vAlign w:val="bottom"/>
            <w:gridSpan w:val="3"/>
          </w:tcPr>
          <w:p>
            <w:pPr>
              <w:jc w:val="center"/>
              <w:ind w:right="36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5460" w:type="dxa"/>
            <w:vAlign w:val="bottom"/>
            <w:gridSpan w:val="2"/>
          </w:tcPr>
          <w:p>
            <w:pPr>
              <w:jc w:val="center"/>
              <w:ind w:left="3008"/>
              <w:spacing w:after="0"/>
              <w:rPr>
                <w:sz w:val="20"/>
                <w:szCs w:val="20"/>
                <w:color w:val="auto"/>
              </w:rPr>
            </w:pPr>
            <w:r>
              <w:rPr>
                <w:rFonts w:ascii="Times New Roman" w:cs="Times New Roman" w:eastAsia="Times New Roman" w:hAnsi="Times New Roman"/>
                <w:sz w:val="18"/>
                <w:szCs w:val="18"/>
                <w:b w:val="1"/>
                <w:bCs w:val="1"/>
                <w:color w:val="auto"/>
                <w:w w:val="99"/>
              </w:rPr>
              <w:t>(858) 362-6295</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6500" w:type="dxa"/>
            <w:vAlign w:val="bottom"/>
            <w:gridSpan w:val="3"/>
          </w:tcPr>
          <w:p>
            <w:pPr>
              <w:jc w:val="center"/>
              <w:ind w:left="19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280" w:type="dxa"/>
            <w:vAlign w:val="bottom"/>
          </w:tcPr>
          <w:p>
            <w:pPr>
              <w:spacing w:after="0"/>
              <w:rPr>
                <w:sz w:val="16"/>
                <w:szCs w:val="16"/>
                <w:color w:val="auto"/>
              </w:rPr>
            </w:pPr>
          </w:p>
        </w:tc>
      </w:tr>
      <w:tr>
        <w:trPr>
          <w:trHeight w:val="323"/>
        </w:trPr>
        <w:tc>
          <w:tcPr>
            <w:tcW w:w="3080" w:type="dxa"/>
            <w:vAlign w:val="bottom"/>
          </w:tcPr>
          <w:p>
            <w:pPr>
              <w:spacing w:after="0"/>
              <w:rPr>
                <w:sz w:val="24"/>
                <w:szCs w:val="24"/>
                <w:color w:val="auto"/>
              </w:rPr>
            </w:pPr>
          </w:p>
        </w:tc>
        <w:tc>
          <w:tcPr>
            <w:tcW w:w="34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280" w:type="dxa"/>
            <w:vAlign w:val="bottom"/>
          </w:tcPr>
          <w:p>
            <w:pPr>
              <w:spacing w:after="0"/>
              <w:rPr>
                <w:sz w:val="24"/>
                <w:szCs w:val="24"/>
                <w:color w:val="auto"/>
              </w:rPr>
            </w:pPr>
          </w:p>
        </w:tc>
      </w:tr>
      <w:tr>
        <w:trPr>
          <w:trHeight w:val="190"/>
        </w:trPr>
        <w:tc>
          <w:tcPr>
            <w:tcW w:w="6500" w:type="dxa"/>
            <w:vAlign w:val="bottom"/>
            <w:gridSpan w:val="3"/>
          </w:tcPr>
          <w:p>
            <w:pPr>
              <w:jc w:val="center"/>
              <w:ind w:left="196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3"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1" w:name="page2"/>
    <w:bookmarkEnd w:id="1"/>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7" w:lineRule="exact"/>
        <w:rPr>
          <w:sz w:val="20"/>
          <w:szCs w:val="20"/>
          <w:color w:val="auto"/>
        </w:rPr>
      </w:pPr>
    </w:p>
    <w:p>
      <w:pPr>
        <w:ind w:firstLine="8"/>
        <w:spacing w:after="0" w:line="255"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August 22, 2017,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AnaptysBio, Inc. (“</w:t>
      </w:r>
      <w:r>
        <w:rPr>
          <w:rFonts w:ascii="Times New Roman" w:cs="Times New Roman" w:eastAsia="Times New Roman" w:hAnsi="Times New Roman"/>
          <w:sz w:val="18"/>
          <w:szCs w:val="18"/>
          <w:b w:val="1"/>
          <w:bCs w:val="1"/>
          <w:i w:val="1"/>
          <w:iCs w:val="1"/>
          <w:color w:val="auto"/>
        </w:rPr>
        <w:t>AnaptysBio</w:t>
      </w:r>
      <w:r>
        <w:rPr>
          <w:rFonts w:ascii="Times New Roman" w:cs="Times New Roman" w:eastAsia="Times New Roman" w:hAnsi="Times New Roman"/>
          <w:sz w:val="18"/>
          <w:szCs w:val="18"/>
          <w:color w:val="auto"/>
        </w:rPr>
        <w:t>”) elected J. Anthony Ware, M.D. to fill a vacancy on the Board as a Class II director. Dr. Ware shall hold office for a term expiring at the 2019 Annual Meeting of AnaptysBio’s stockholders, which is the next stockholder meeting at which Class II directors will be elected. There is no arrangement or understanding between Dr. Ware and any other persons pursuant to which Dr. Ware was selected as a director. Dr. Ware is not a party to and does not have any direct or indirect material interest in any transaction with AnaptysBio required to be disclosed under Item 404(a) of Regulation S-K. The Board determined that Dr. Ware qualifies as an independent director pursuant to the Securities Act of 1933 and the listing standards of the NASDAQ Stock Market, in each case as currently in effect. Dr. Ware also will enter into AnaptysBio’s standard form of indemnity agreement for its directors and executive officers, which was filed as Exhibit 10.01 to AnaptysBio’s Registration Statement on Form S-1, as filed with the Securities and Exchange Commission on September 9, 2015. The indemnification agreement will be effective as of the date of his appointment to the Board.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Ware will be compensated in accordance with the standard non-employee director compensation policy, including an annual cash retainer, an initial option grant, and an annual option grant. Dr. Ware will receive a pro rated annual grant and a pro rated annual cash retainer for the portion of 2017 that he will serve as a director.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99.01</w:t>
      </w:r>
      <w:r>
        <w:rPr>
          <w:sz w:val="20"/>
          <w:szCs w:val="20"/>
          <w:color w:val="auto"/>
        </w:rPr>
        <w:tab/>
      </w:r>
      <w:r>
        <w:rPr>
          <w:rFonts w:ascii="Times New Roman" w:cs="Times New Roman" w:eastAsia="Times New Roman" w:hAnsi="Times New Roman"/>
          <w:sz w:val="17"/>
          <w:szCs w:val="17"/>
          <w:color w:val="auto"/>
        </w:rPr>
        <w:t>Press release issued by AnaptysBio dated August 24, 2017.</w:t>
      </w:r>
    </w:p>
    <w:p>
      <w:pPr>
        <w:sectPr>
          <w:pgSz w:w="11900" w:h="16838" w:orient="portrait"/>
          <w:cols w:equalWidth="0" w:num="1">
            <w:col w:w="11400"/>
          </w:cols>
          <w:pgMar w:left="240" w:top="266" w:right="2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AnaptysBio,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24, 2017</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Dominic Piscitelli</w:t>
            </w:r>
          </w:p>
        </w:tc>
      </w:tr>
      <w:tr>
        <w:trPr>
          <w:trHeight w:val="205"/>
        </w:trPr>
        <w:tc>
          <w:tcPr>
            <w:tcW w:w="3700" w:type="dxa"/>
            <w:vAlign w:val="bottom"/>
          </w:tcPr>
          <w:p>
            <w:pPr>
              <w:spacing w:after="0"/>
              <w:rPr>
                <w:sz w:val="17"/>
                <w:szCs w:val="17"/>
                <w:color w:val="auto"/>
              </w:rPr>
            </w:pPr>
          </w:p>
        </w:tc>
        <w:tc>
          <w:tcPr>
            <w:tcW w:w="262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Dominic Piscitelli</w:t>
            </w:r>
          </w:p>
        </w:tc>
      </w:tr>
      <w:tr>
        <w:trPr>
          <w:trHeight w:val="234"/>
        </w:trPr>
        <w:tc>
          <w:tcPr>
            <w:tcW w:w="370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240" w:top="266" w:right="439" w:bottom="1440" w:gutter="0" w:footer="0" w:header="0"/>
        </w:sectPr>
      </w:pPr>
    </w:p>
    <w:bookmarkStart w:id="3" w:name="page4"/>
    <w:bookmarkEnd w:id="3"/>
    <w:p>
      <w:pPr>
        <w:jc w:val="right"/>
        <w:ind w:right="37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99.01</w:t>
      </w:r>
      <w:r>
        <w:rPr>
          <w:sz w:val="20"/>
          <w:szCs w:val="20"/>
          <w:color w:val="auto"/>
        </w:rPr>
        <w:tab/>
      </w:r>
      <w:r>
        <w:rPr>
          <w:rFonts w:ascii="Times New Roman" w:cs="Times New Roman" w:eastAsia="Times New Roman" w:hAnsi="Times New Roman"/>
          <w:sz w:val="18"/>
          <w:szCs w:val="18"/>
          <w:color w:val="auto"/>
        </w:rPr>
        <w:t>Press release issued by AnaptysBio dated August 24, 2017.</w:t>
      </w:r>
    </w:p>
    <w:p>
      <w:pPr>
        <w:sectPr>
          <w:pgSz w:w="11900" w:h="16838" w:orient="portrait"/>
          <w:cols w:equalWidth="0" w:num="1">
            <w:col w:w="10219"/>
          </w:cols>
          <w:pgMar w:left="2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809750"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ANNOUNCES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 ANTHONY WARE, M.D. TO BOARD OF DIRECTORS</w:t>
      </w:r>
    </w:p>
    <w:p>
      <w:pPr>
        <w:spacing w:after="0" w:line="20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SAN DIEGO</w:t>
      </w:r>
      <w:r>
        <w:rPr>
          <w:rFonts w:ascii="Times New Roman" w:cs="Times New Roman" w:eastAsia="Times New Roman" w:hAnsi="Times New Roman"/>
          <w:sz w:val="18"/>
          <w:szCs w:val="18"/>
          <w:color w:val="auto"/>
        </w:rPr>
        <w:t>, August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2017 - AnaptysBio, Inc. (Nasdaq: ANAB), a clinical-stage biotechnology company developing first-in-class antibody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candidates focused on unmet medical needs in inflammation, today announced the appointment of J. Anthony Ware, M.D. to its board of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excited to welcome Dr. Ware to AnaptysBio’s board of directors,” said Hamza Suria, president and chief executive officer of AnaptysBio.</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“Dr. Ware’s experience in the clinical development and regulatory approval of novel immune-modulatory therapeutics will be a key resource for AnaptysBio as we advance our wholly-owned inflammation-focused antibody pipeline.”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Dr. Ware said, “I am pleased and honored to join AnaptysBio’s Board of Directors. The Company has a very interesting clinical-stage pipeline focused on the treatment of severe inflammatory diseases with unmet medical need. I look forward to working with AnaptysBio’s management team to advance the development and regulatory approval of ANB020 and ANB019.”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Ware currently serves as the senior vice president of product development of Lilly Bio-Medicines at Eli Lilly and Company, where he is responsible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development and regulatory approval of new medicines in multiple therapeutic areas. His sixteen year tenure at Eli Lilly has included the clinical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regulatory approval and launch of numerous novel therapeutics, including Taltz</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Olumiant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Cymbalta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Cialis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Effient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Trulicity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Prior to Eli Lilly, Dr. Ware served as professor of medicine and molecular pharmacology at Albert Einstein College of Medicine in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he was also chief of cardiology at Montefiore Medical Center. Before then, Dr. Ware was on the faculty of Harvard Medical School and also served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senior physician and director of the coronary care unit at Beth Israel Hospital. Dr. Ware received a bachelor of science degree from Washburn University,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medical degree from the University of Kansas, has served in internships at the University of Texas at Houston and Baylor College of Medicine, and is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both in internal medicine and cardiovascular disease.</w:t>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AnaptysBio</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AnaptysBio is a clinical-stage biotechnology company developing first-in-class antibody product candidates focused on unmet medical needs in inflammation. The company’s proprietary anti-inflammatory pipeline includes its anti-IL-33 antibody (ANB020) for the treatment of moderate-to-severe adult atopic dermatitis, severe adult peanut allergy and severe adult eosinophilic asthma; its anti-IL-36R antibody (ANB019) for the treatment of rare inflammatory diseases, including generalized pustular psoriasis and palmo-plantar pustular psoriasis; and a portfolio of checkpoint receptor agonist antibodies for the treatment of certain autoimmune diseases where immune checkpoint receptors are insufficiently activated and have demonstrated efficacy in an animal model of graft-versus-host disease. AnaptysBio’s antibody pipeline has been developed using its proprietary somatic hypermutation (SHM) platform, which uses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SHM for antibody discovery and is designed to replicate key features of the human immune system to overcome the limitations of competing antibody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discovery technologies. AnaptysBio has also developed multiple therapeutic antibodies in an immuno-oncology partnership with TESARO and an inflammation partnership with Celgene, including an anti-PD-1 antagonist antibody (TSR-042) an anti-TIM-3 antagonist antibody (TSR-022) and an anti-LAG-3 antagonist antibody (TSR-033), which are currently under clinical development with TESARO, and an anti-PD-1 checkpoint agonist antibody (CC-90006) currently in the clinic with Celgene.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the company’s ability to advance its pipeline and key resources for such advancement and the company’s ability to advance the development and regulatory approval of ANB020 and ANB019 ;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Monique Allaire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THRUST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617.895.9511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monique@thrustir.com</w:t>
      </w:r>
    </w:p>
    <w:sectPr>
      <w:pgSz w:w="11900" w:h="16838" w:orient="portrait"/>
      <w:cols w:equalWidth="0" w:num="1">
        <w:col w:w="11400"/>
      </w:cols>
      <w:pgMar w:left="240" w:top="26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2019-12-07T03:45:52Z</dcterms:created>
  <dcterms:modified xsi:type="dcterms:W3CDTF">2019-12-07T03:45:52Z</dcterms:modified>
</cp:coreProperties>
</file>