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December 11,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11, 2024, AnaptysBio, Inc. (the “Company”) announced the results of Phase 2B Trial of ANB032, a BLTA agonist, and provided an estimate of the Company’s year-end cash reserves for the 2024 fiscal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2b Trial of ANB032</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Investigational ANB032, a BTLA agonist, did not meet the primary and secondary endpoints in any of the doses studied in the global, 201-patient ARISE-AD trial as a monotherapy for moderate-to-severe atopic dermatitis (AD) or eczema. ANB032 was well tolerated with no safety signals observed.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ARISE-AD study evaluated the efficacy, safety, tolerability, pharmacokinetics and pharmacodynamics of ANB032 monotherapy in patients with moderate-to-severe AD. The study enrolled 201 patients with a mean baseline EASI score of 27.3 in the U.S., Canada, Europe, Australia and New Zealand, who were either biologics naïve (n=168) or biologics experienced (n=33), defined as having received treatment with dupilumab or other IL-13 therapies. Patients were randomized to receive for 12 weeks either 100mg of subcutaneous ANB032 every four weeks (Q4W), 400mg every four weeks (Q4W) or 400mg every two weeks (Q2W), or placebo. The primary and secondary endpoints were assessed at Week 14.</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Regardless of prior treatment experience, ANB032 did not meet the primary endpoint of the proportion of patients who achieved at least a 75% improvement from baseline in Eczema Area and Severity Index score (EASI-75), or any of the secondary endpoints at Week 14, including EASI-90, mean change in baseline EASI or a 4-point reduction in itch severity as measured by the peak Pruritus Numerical Rating Scale (PNRS) versus placebo.</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Absolute response rates on key endpoints in patients treated with ANB032 approached the minimum target product profile with durable off-drug responses; however, higher placebo rates outside of the historical norm, particularly in the U.S., were observed.</w:t>
      </w:r>
    </w:p>
    <w:p>
      <w:pPr>
        <w:spacing w:after="0" w:line="162"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18"/>
          <w:szCs w:val="18"/>
          <w:color w:val="auto"/>
        </w:rPr>
        <w:t>ANB032 was well tolerated across all doses with no safety signals observed. Consistent with prior studies, data demonstrate a favorable safety and tolerability profile for ANB032, with one participant across all three active dose arms with a serious adverse event (SAE) of worsening AD and two placebo participants with SAEs. There was no dose relationship or imbalance in AEs and no safety signals observed. The most common (&gt;5%) AEs observed were nasopharyngitis, atopic dermatitis and headache.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Updated Cash Guidance</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currently expects its cash, cash equivalents and investments to total approximately $415 million as of December 31, 2024. The Company believe that its existing cash, cash equivalents and investments will fund its current operating plan through year-end 2027. The Company has based this estimate on assumptions that may prove to be wrong, and could use its capital resources sooner than expected.</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“safe harbor” provisions of the Private Securities Litigation Reform Act of 1995, and other federal securities laws. Any statements contained herein that do not describe historical facts, including, but not limited to, statements regarding future development of ANB032 and the Company’s estimated year-end cash balance and cash runway, are forward-looking statements that involve risks and uncertainties that could cause actual results to differ materially from those discussed in such forward-looking statements. Forward-looking statements are subject to risks and uncertainties that may cause the Company’s actual activities or results to differ significantly from those expressed in any forward-looking statement, including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 These forward-looking statements speak only as of the date of this report,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01"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December 11,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22860</wp:posOffset>
            </wp:positionV>
            <wp:extent cx="4097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Legal Officer</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2024-12-11T15:12:43Z</dcterms:created>
  <dcterms:modified xsi:type="dcterms:W3CDTF">2024-12-11T15:12:43Z</dcterms:modified>
</cp:coreProperties>
</file>