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8-K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Date of Report: May 5, 2025</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 of earliest event reported)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ANAPTYSBIO,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(Exact Name of Registrant as Specified in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0"/>
        <w:gridCol w:w="1350"/>
        <w:gridCol w:w="1366"/>
        <w:gridCol w:w="877"/>
        <w:gridCol w:w="877"/>
        <w:gridCol w:w="885"/>
        <w:gridCol w:w="966"/>
        <w:gridCol w:w="966"/>
        <w:gridCol w:w="1378"/>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001-37985</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20-3828755</w:t>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(State or Other Jurisdiction of Incorporation)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(Commission File Number)</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10770 Wateridge Circle, Suite 210,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San Diego, CA 92121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and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(858) 362-6295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Written communication pursuant to Rule 425 under the Securities Act (17 CFR 230.425)</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Pre-commencement communication pursuant to Rule 14d-2(b) under the Exchange Act (17 CFR 240.14d-2(b))</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Pre-commencement communication pursuant to Rule 13e-4(c) under the Exchange Act (17 CFR 240.13e-4(c))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Indicate by check mark whether the registrant is an emerging growth company as defined in Rule 405 of the Securities Act of 1933 </w:t>
      </w:r>
      <w:r>
        <w:rPr>
          <w:rFonts w:ascii="Times New Roman;sans-serif" w:hAnsi="Times New Roman;sans-serif"/>
          <w:b w:val="false"/>
          <w:color w:val="000000"/>
          <w:sz w:val="20"/>
        </w:rPr>
        <w:t>(17 CFR §230.405 of this chapter) or Rule 12b-2 of the Securities Exchange Act of 1934 (17 CFR §240.12b-2 of this chapter).</w:t>
      </w:r>
    </w:p>
    <w:p>
      <w:pPr>
        <w:pStyle w:val="TextBody"/>
        <w:bidi w:val="0"/>
        <w:spacing w:before="0" w:after="0"/>
        <w:jc w:val="right"/>
        <w:rPr/>
      </w:pPr>
      <w:r>
        <w:rPr/>
      </w:r>
    </w:p>
    <w:p>
      <w:pPr>
        <w:pStyle w:val="TextBody"/>
        <w:bidi w:val="0"/>
        <w:spacing w:lineRule="auto" w:line="288" w:before="0" w:after="0"/>
        <w:jc w:val="right"/>
        <w:rPr/>
      </w:pPr>
      <w:r>
        <w:rPr>
          <w:rFonts w:ascii="Times New Roman;sans-serif" w:hAnsi="Times New Roman;sans-serif"/>
          <w:b w:val="false"/>
          <w:color w:val="000000"/>
          <w:sz w:val="20"/>
          <w:shd w:fill="FFFFFF" w:val="clear"/>
        </w:rPr>
        <w:t>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Item 2.02    Results of Operations and Financial Condition.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On May 5, 2025, AnaptysBio, Inc. (“AnaptysBio”) issued a press release announcing its financial results for the three months ended March 31, 2025. A copy of the press release is attached as Exhibit 99.1 to this Current Report on Form 8-K.</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2"/>
        <w:gridCol w:w="449"/>
        <w:gridCol w:w="452"/>
        <w:gridCol w:w="2581"/>
        <w:gridCol w:w="2565"/>
        <w:gridCol w:w="3646"/>
      </w:tblGrid>
      <w:tr>
        <w:trPr/>
        <w:tc>
          <w:tcPr>
            <w:tcW w:w="5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2"/>
              </w:rPr>
            </w:pPr>
            <w:r>
              <w:rPr>
                <w:rFonts w:ascii="Times New Roman;sans-serif" w:hAnsi="Times New Roman;sans-serif"/>
                <w:b/>
                <w:color w:val="000000"/>
                <w:sz w:val="22"/>
              </w:rPr>
              <w:t>Exhibit Number</w:t>
            </w:r>
          </w:p>
        </w:tc>
        <w:tc>
          <w:tcPr>
            <w:tcW w:w="879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2"/>
              </w:rPr>
            </w:pPr>
            <w:r>
              <w:rPr>
                <w:rFonts w:ascii="Times New Roman;sans-serif" w:hAnsi="Times New Roman;sans-serif"/>
                <w:b/>
                <w:color w:val="000000"/>
                <w:sz w:val="22"/>
              </w:rPr>
              <w:t>Exhibit Title or Description</w:t>
            </w:r>
          </w:p>
        </w:tc>
      </w:tr>
      <w:tr>
        <w:trPr/>
        <w:tc>
          <w:tcPr>
            <w:tcW w:w="14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2025earningsrelease.htm">
              <w:r>
                <w:rPr>
                  <w:rStyle w:val="InternetLink"/>
                  <w:rFonts w:ascii="Times New Roman;sans-serif" w:hAnsi="Times New Roman;sans-serif"/>
                  <w:b w:val="false"/>
                  <w:color w:val="0000FF"/>
                  <w:sz w:val="22"/>
                  <w:u w:val="single"/>
                </w:rPr>
                <w:t>99.1</w:t>
              </w:r>
            </w:hyperlink>
          </w:p>
        </w:tc>
        <w:tc>
          <w:tcPr>
            <w:tcW w:w="879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Press release issued by AnaptysBio, Inc. regarding its financial results for the three months ended March 31, 2025, dated May 5, 2025.</w:t>
            </w:r>
          </w:p>
        </w:tc>
      </w:tr>
      <w:tr>
        <w:trPr/>
        <w:tc>
          <w:tcPr>
            <w:tcW w:w="141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879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100" w:after="10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bl>
      <w:tblPr>
        <w:tblW w:w="5516" w:type="dxa"/>
        <w:jc w:val="center"/>
        <w:tblInd w:w="0" w:type="dxa"/>
        <w:tblLayout w:type="fixed"/>
        <w:tblCellMar>
          <w:top w:w="28" w:type="dxa"/>
          <w:left w:w="28" w:type="dxa"/>
          <w:bottom w:w="28" w:type="dxa"/>
          <w:right w:w="28" w:type="dxa"/>
        </w:tblCellMar>
      </w:tblPr>
      <w:tblGrid>
        <w:gridCol w:w="347"/>
        <w:gridCol w:w="305"/>
        <w:gridCol w:w="305"/>
        <w:gridCol w:w="305"/>
        <w:gridCol w:w="305"/>
        <w:gridCol w:w="305"/>
        <w:gridCol w:w="270"/>
        <w:gridCol w:w="270"/>
        <w:gridCol w:w="270"/>
        <w:gridCol w:w="823"/>
        <w:gridCol w:w="823"/>
        <w:gridCol w:w="1188"/>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AnaptysBio, Inc.</w:t>
            </w:r>
          </w:p>
        </w:tc>
      </w:tr>
      <w:tr>
        <w:trPr/>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5, 2025</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/s/Dennis Mulroy</w:t>
            </w:r>
          </w:p>
        </w:tc>
      </w:tr>
      <w:tr>
        <w:trPr/>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Dennis Mulroy</w:t>
            </w:r>
          </w:p>
        </w:tc>
      </w:tr>
      <w:tr>
        <w:trPr/>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 xml:space="preserve">Anaptys Announces First Quarter 2025 Financial Results and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Provides Business Update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Announced rosnilimab, a depleter and agonist targeting PD-1+ T cells, achieved positive results in Phase 2b rheumatoid arthritis (RA) trial; to present updated clinical and translational data in the first week of June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Initial Phase 2 data for rosnilimab in ulcerative colitis (UC) on track for Q4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Ongoing Phase 1a trials in healthy volunteers for ANB033, a CD122 antagonist, and ANB101, a BDCA2 modulator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Authorized a $75 million Stock Repurchase Program in March 2025 and reiterating cash runway through year-end 2027</w:t>
      </w:r>
    </w:p>
    <w:p>
      <w:pPr>
        <w:pStyle w:val="TextBody"/>
        <w:bidi w:val="0"/>
        <w:spacing w:lineRule="auto" w:line="288" w:before="240" w:after="283"/>
        <w:jc w:val="left"/>
        <w:rPr/>
      </w:pPr>
      <w:r>
        <w:rPr>
          <w:rFonts w:ascii="Times New Roman;sans-serif" w:hAnsi="Times New Roman;sans-serif"/>
          <w:b/>
          <w:color w:val="000000"/>
          <w:sz w:val="22"/>
        </w:rPr>
        <w:t>SAN DIEGO, May 5, 2025</w:t>
      </w:r>
      <w:r>
        <w:rPr>
          <w:color w:val="000000"/>
        </w:rPr>
        <w:t xml:space="preserve"> — </w:t>
      </w:r>
      <w:r>
        <w:rPr>
          <w:rFonts w:ascii="Times New Roman;sans-serif" w:hAnsi="Times New Roman;sans-serif"/>
          <w:b w:val="false"/>
          <w:color w:val="000000"/>
          <w:sz w:val="22"/>
        </w:rPr>
        <w:t xml:space="preserve">AnaptysBio, Inc. (Nasdaq: ANAB), a clinical-stage biotechnology company focused on delivering innovative immunology therapeutics, today reported financial results for the first quarter ended March 31, 2025, and provided a business update. </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 xml:space="preserve">Our lead program, rosnilimab, delivered impressive three-month Phase 2b efficacy, safety and tolerability data in rheumatoid arthritis (RA), with data through six months surpassing those of competitor all-active, head-to-head trials. We will report updated clinical and translational RA data in the first week of June, as well as initial Phase 2 ulcerative colitis (UC) data in Q4 2025, further defining rosnilimab’s game-changing potential,” said Daniel Faga, president and chief executive officer of Anaptys. “With ANB033 and ANB101 progressing through Phase 1 trials, our autoimmune portfolio promises multiple catalysts over the next couple of years. We remain well-capitalized as we execute on our broad development plan for all three programs, while concurrently executing our $75 million stock repurchase program which are both further supported by substantial royalties and milestone payments anticipated from our GSK financial collaboration.” </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PORTFOLIO UPDATES</w:t>
      </w:r>
    </w:p>
    <w:p>
      <w:pPr>
        <w:pStyle w:val="TextBody"/>
        <w:bidi w:val="0"/>
        <w:spacing w:lineRule="auto" w:line="288" w:before="180" w:after="283"/>
        <w:jc w:val="left"/>
        <w:rPr>
          <w:rFonts w:ascii="Times New Roman;sans-serif" w:hAnsi="Times New Roman;sans-serif"/>
          <w:b/>
          <w:color w:val="000000"/>
          <w:sz w:val="22"/>
        </w:rPr>
      </w:pPr>
      <w:r>
        <w:rPr>
          <w:rFonts w:ascii="Times New Roman;sans-serif" w:hAnsi="Times New Roman;sans-serif"/>
          <w:b/>
          <w:color w:val="000000"/>
          <w:sz w:val="22"/>
        </w:rPr>
        <w:t>Rosnilimab (PD-1 depleter and agonist)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 xml:space="preserve">Announced in February that subcutaneously administered rosnilimab, including two once-monthly doses, achieved positive results in 424-patient Phase 2b RA trial and highest-ever reported clinical disease activity index (CDAI) low disease activity (LDA) response over 6 months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 xml:space="preserve">Full press release can be found at https://ir.anaptysbio.com/news-releases/news-release-details/anaptys-announces-rosnilimab-achieved-positive-results-ra-phase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Anaptys to host an investor call featuring Anaptys management and key opinion leaders in the first week of June to present rosnilimab’s updated Phase 2b clinical and translational data</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Enrollment ongoing for global Phase 2 trial in moderate-to-severe UC</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132-patient trial assessing two dose levels of subcutaneously administered rosnilimab vs. placebo (randomized 1:1:1)</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Primary statistical analysis at Week 12 on well-established endpoints, including the primary endpoint of change from baseline in modified Mayo score (mMS) and supportive secondary endpoints of clinical response on mMS, clinical remission on mMS and endoscopic remission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 xml:space="preserve">All patients in all three study arms treat-through to Week 24 and remain blinded to treatment arm. Placebo-treated patients who achieved clinical response on partial modified Mayo score (pmMS) at Week 12 remain on placebo, while placebo-treated patients who are non-responders are crossed over to the high-dose rosnilimab treatment arm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Patients who are in clinical response on pmMS at Week 24 are eligible for an additional 26-week (50 weeks of total treatment) blinded treatment extension period (TEP)</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Initial Phase 2 data anticipated in Q4 2025</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color w:val="000000"/>
          <w:sz w:val="22"/>
        </w:rPr>
      </w:pPr>
      <w:r>
        <w:rPr>
          <w:rFonts w:ascii="Times New Roman;sans-serif" w:hAnsi="Times New Roman;sans-serif"/>
          <w:b/>
          <w:color w:val="000000"/>
          <w:sz w:val="22"/>
        </w:rPr>
        <w:t>ANB033 (CD122 antagonist)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Enrollment ongoing for Phase 1a trial in healthy volunteers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Phase 1b indication to be disclosed at H2 2025 R&amp;D event</w:t>
      </w:r>
    </w:p>
    <w:p>
      <w:pPr>
        <w:pStyle w:val="TextBody"/>
        <w:bidi w:val="0"/>
        <w:spacing w:lineRule="auto" w:line="288" w:before="180" w:after="283"/>
        <w:jc w:val="left"/>
        <w:rPr>
          <w:rFonts w:ascii="Times New Roman;sans-serif" w:hAnsi="Times New Roman;sans-serif"/>
          <w:b/>
          <w:color w:val="000000"/>
          <w:sz w:val="22"/>
        </w:rPr>
      </w:pPr>
      <w:r>
        <w:rPr>
          <w:rFonts w:ascii="Times New Roman;sans-serif" w:hAnsi="Times New Roman;sans-serif"/>
          <w:b/>
          <w:color w:val="000000"/>
          <w:sz w:val="22"/>
        </w:rPr>
        <w:t>ANB101 (BDCA2 modulator)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Enrollment initiated for Phase 1a trial in healthy volunteers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COLLABORATION UPDATES</w:t>
      </w:r>
    </w:p>
    <w:p>
      <w:pPr>
        <w:pStyle w:val="TextBody"/>
        <w:bidi w:val="0"/>
        <w:spacing w:lineRule="auto" w:line="288" w:before="180" w:after="283"/>
        <w:jc w:val="left"/>
        <w:rPr>
          <w:rFonts w:ascii="Times New Roman;sans-serif" w:hAnsi="Times New Roman;sans-serif"/>
          <w:b/>
          <w:color w:val="000000"/>
          <w:sz w:val="22"/>
        </w:rPr>
      </w:pPr>
      <w:r>
        <w:rPr>
          <w:rFonts w:ascii="Times New Roman;sans-serif" w:hAnsi="Times New Roman;sans-serif"/>
          <w:b/>
          <w:color w:val="000000"/>
          <w:sz w:val="22"/>
        </w:rPr>
        <w:t>GSK Immuno-Oncology Financial Collaboration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 xml:space="preserve">GSK announced strong commercial performance for </w:t>
      </w:r>
      <w:r>
        <w:rPr>
          <w:rFonts w:ascii="Times New Roman;sans-serif" w:hAnsi="Times New Roman;sans-serif"/>
          <w:b w:val="false"/>
          <w:i/>
          <w:color w:val="000000"/>
          <w:sz w:val="22"/>
        </w:rPr>
        <w:t>Jemperli</w:t>
      </w:r>
      <w:r>
        <w:rPr>
          <w:color w:val="000000"/>
        </w:rPr>
        <w:t xml:space="preserve"> </w:t>
      </w:r>
      <w:r>
        <w:rPr>
          <w:rFonts w:ascii="Times New Roman;sans-serif" w:hAnsi="Times New Roman;sans-serif"/>
          <w:b w:val="false"/>
          <w:color w:val="000000"/>
          <w:sz w:val="22"/>
        </w:rPr>
        <w:t>($220 million in Q1 2025 sales) with &gt;15% quarter-over-quarter growth</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 xml:space="preserve">GSK announced the EMA approval of </w:t>
      </w:r>
      <w:r>
        <w:rPr>
          <w:rFonts w:ascii="Times New Roman;sans-serif" w:hAnsi="Times New Roman;sans-serif"/>
          <w:b w:val="false"/>
          <w:i/>
          <w:color w:val="000000"/>
          <w:sz w:val="22"/>
        </w:rPr>
        <w:t>Jemperli</w:t>
      </w:r>
      <w:r>
        <w:rPr>
          <w:color w:val="000000"/>
        </w:rPr>
        <w:t xml:space="preserve"> </w:t>
      </w:r>
      <w:r>
        <w:rPr>
          <w:rFonts w:ascii="Times New Roman;sans-serif" w:hAnsi="Times New Roman;sans-serif"/>
          <w:b w:val="false"/>
          <w:color w:val="000000"/>
          <w:sz w:val="22"/>
        </w:rPr>
        <w:t>plus chemotherapy for all adult patients with primary advanced or recurrent endometrial cancer in January 2025</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 xml:space="preserve">Anticipate receipt of a $75 million commercial sales milestone payment from GSK in either 2025 or 2026 once </w:t>
      </w:r>
      <w:r>
        <w:rPr>
          <w:rFonts w:ascii="Times New Roman;sans-serif" w:hAnsi="Times New Roman;sans-serif"/>
          <w:b w:val="false"/>
          <w:i/>
          <w:color w:val="000000"/>
          <w:sz w:val="22"/>
        </w:rPr>
        <w:t xml:space="preserve">Jemperli </w:t>
      </w:r>
      <w:r>
        <w:rPr>
          <w:rFonts w:ascii="Times New Roman;sans-serif" w:hAnsi="Times New Roman;sans-serif"/>
          <w:b w:val="false"/>
          <w:color w:val="000000"/>
          <w:sz w:val="22"/>
        </w:rPr>
        <w:t>achieves $1 billion in worldwide net sales in a calendar year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GSK anticipates top-line data in mid-2025 from COSTAR Lung Phase 3 trial in patients with advanced NSCLC who have progressed on prior anti-PD-(L)1 therapy and platinum-based chemotherapy comparing docetaxel alone to cobolimab, a TIM-3 antagonist, plus dostarlimab, a PD-1 antagonist, plus docetaxel and to dostarlimab plus docetaxel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 xml:space="preserve">Recent data published in </w:t>
      </w:r>
      <w:r>
        <w:rPr>
          <w:rFonts w:ascii="Times New Roman;sans-serif" w:hAnsi="Times New Roman;sans-serif"/>
          <w:b w:val="false"/>
          <w:i/>
          <w:color w:val="000000"/>
          <w:sz w:val="22"/>
        </w:rPr>
        <w:t>The New England Journal of Medicine</w:t>
      </w:r>
      <w:r>
        <w:rPr>
          <w:color w:val="000000"/>
        </w:rPr>
        <w:t xml:space="preserve"> </w:t>
      </w:r>
      <w:r>
        <w:rPr>
          <w:rFonts w:ascii="Times New Roman;sans-serif" w:hAnsi="Times New Roman;sans-serif"/>
          <w:b w:val="false"/>
          <w:color w:val="000000"/>
          <w:sz w:val="22"/>
        </w:rPr>
        <w:t>(NEJM) and presented at American Association for Cancer Research (AACR) demonstrated neoadjuvant treatment with dostarlimab</w:t>
      </w:r>
      <w:r>
        <w:rPr>
          <w:color w:val="000000"/>
        </w:rPr>
        <w:t xml:space="preserve"> </w:t>
      </w:r>
      <w:r>
        <w:rPr>
          <w:rFonts w:ascii="Times New Roman;sans-serif" w:hAnsi="Times New Roman;sans-serif"/>
          <w:b w:val="false"/>
          <w:color w:val="000000"/>
          <w:sz w:val="22"/>
        </w:rPr>
        <w:t>resulted in organ preservation in a high proportion of patients (80% of 103 patients), including 100% (rectal; n=49), 100% (bladder; n=6), and 82% (colon; n=22) complete responses in April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GSK anticipates top-line data in 2026 from AZUR-1 pivotal Phase 2 trial of dostarlimab monotherapy in patients with untreated stage II/III dMMR/MSI-H locally advanced rectal cancer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2"/>
        </w:rPr>
        <w:t>Jemperli</w:t>
      </w:r>
      <w:r>
        <w:rPr>
          <w:color w:val="000000"/>
        </w:rPr>
        <w:t xml:space="preserve"> </w:t>
      </w:r>
      <w:r>
        <w:rPr>
          <w:rFonts w:ascii="Times New Roman;sans-serif" w:hAnsi="Times New Roman;sans-serif"/>
          <w:b w:val="false"/>
          <w:color w:val="000000"/>
          <w:sz w:val="22"/>
        </w:rPr>
        <w:t>received U.S. FDA Breakthrough Therapy Designation for this indication in December 2024</w:t>
      </w:r>
    </w:p>
    <w:p>
      <w:pPr>
        <w:pStyle w:val="TextBody"/>
        <w:bidi w:val="0"/>
        <w:spacing w:lineRule="auto" w:line="288" w:before="180" w:after="283"/>
        <w:jc w:val="left"/>
        <w:rPr>
          <w:rFonts w:ascii="Times New Roman;sans-serif" w:hAnsi="Times New Roman;sans-serif"/>
          <w:b/>
          <w:color w:val="000000"/>
          <w:sz w:val="22"/>
        </w:rPr>
      </w:pPr>
      <w:r>
        <w:rPr>
          <w:rFonts w:ascii="Times New Roman;sans-serif" w:hAnsi="Times New Roman;sans-serif"/>
          <w:b/>
          <w:color w:val="000000"/>
          <w:sz w:val="22"/>
        </w:rPr>
        <w:t>Vanda Imsidolimab Collaboration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Announced an exclusive $15 million global out-license agreement with Vanda Pharmaceuticals to develop and commercialize imsidolimab (IL-36R antagonist), with Anaptys eligible to receive up to $35 million for future regulatory approvals and sales milestones, in addition to 10% royalty on global net sales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FDA BLA submission for generalized pustular psoriasis (GPP) expected in 2025</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Full press release can be found at https://ir.anaptysbio.com/news-releases/news-release-details/vanda-pharmaceuticals-and-anaptys-announce-exclusive-global</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FINANCIAL UPDATES</w:t>
      </w:r>
    </w:p>
    <w:p>
      <w:pPr>
        <w:pStyle w:val="TextBody"/>
        <w:bidi w:val="0"/>
        <w:spacing w:lineRule="auto" w:line="288" w:before="180" w:after="283"/>
        <w:jc w:val="left"/>
        <w:rPr>
          <w:rFonts w:ascii="Times New Roman;sans-serif" w:hAnsi="Times New Roman;sans-serif"/>
          <w:b/>
          <w:color w:val="000000"/>
          <w:sz w:val="22"/>
        </w:rPr>
      </w:pPr>
      <w:r>
        <w:rPr>
          <w:rFonts w:ascii="Times New Roman;sans-serif" w:hAnsi="Times New Roman;sans-serif"/>
          <w:b/>
          <w:color w:val="000000"/>
          <w:sz w:val="22"/>
        </w:rPr>
        <w:t>Stock Repurchase Program and Cash Runway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Authorized a Stock Repurchase Program in March 2025 of $75.0 million of the Company’s outstanding common stock</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Cash and investments of $383.0 million as of March 31, 2025, and reiterating cash runway through year-end 2027</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First Quarter 2025 Financial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 xml:space="preserve">Cash, cash equivalents and investments totaled $383.0 million as of March 31, 2025, compared to $420.8 million as of December 31, 2024, for a decrease of $37.8 million due primarily to operating activities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$4.4 million in shares repurchased offset by $15.0 million received from Vanda Pharmaceuticals for the license of imsidolimab.</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 xml:space="preserve">Collaboration revenue was $27.8 million for the three months ended March 31, 2025, compared to $7.2 million for the three months ended March 31, 2024. The increase is due to a $11.0 million increase in royalties recognized for sales of </w:t>
      </w:r>
      <w:r>
        <w:rPr>
          <w:rFonts w:ascii="Times New Roman;sans-serif" w:hAnsi="Times New Roman;sans-serif"/>
          <w:b w:val="false"/>
          <w:i/>
          <w:color w:val="000000"/>
          <w:sz w:val="22"/>
        </w:rPr>
        <w:t>Jemperli</w:t>
      </w:r>
      <w:r>
        <w:rPr>
          <w:color w:val="000000"/>
        </w:rPr>
        <w:t xml:space="preserve"> </w:t>
      </w:r>
      <w:r>
        <w:rPr>
          <w:rFonts w:ascii="Times New Roman;sans-serif" w:hAnsi="Times New Roman;sans-serif"/>
          <w:b w:val="false"/>
          <w:color w:val="000000"/>
          <w:sz w:val="22"/>
        </w:rPr>
        <w:t>and $9.6 million in revenue recognized for the Vanda license agreement.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Research and development expenses were $41.2 million for the three months ended March 31, 2025, compared to $37.0 million for the three months ended March 31, 2024. The increase was due primarily to development costs relating to the Phase 2 trials in RA and UC for rosnilimab, and the Phase 1 trials for ANB033 and ANB101, offset by a decrease in development costs for imsidolimab and ANB032. The R&amp;D non-cash, stock-based compensation expense was $4.4 for the three months ended March 31, 2025 as compared to $3.5 million in the same period in 2024.</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General and administrative expenses were $14.1 million for the three months ended March 31, 2025, compared to $12.3 million for the three months ended March 31, 2024. The increase was due primarily to transaction costs associated with the Vanda Pharmaceuticals license agreement. The G&amp;A non-cash, stock-based compensation expense was $4.8 million for the three months ended March 31, 2025 as compared to $6.7 million in the same period in 2024.</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Net loss was $39.3 million for the three months ended March 31, 2025, or a net loss per share of $1.28, compared to a net loss of $43.9 million for the three months ended March 31, 2024, or a net loss per share of $1.64.</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About Anaptys</w:t>
      </w:r>
    </w:p>
    <w:p>
      <w:pPr>
        <w:pStyle w:val="TextBody"/>
        <w:bidi w:val="0"/>
        <w:spacing w:lineRule="auto" w:line="288" w:before="120" w:after="283"/>
        <w:jc w:val="left"/>
        <w:rPr/>
      </w:pPr>
      <w:r>
        <w:rPr>
          <w:rFonts w:ascii="Times New Roman;sans-serif" w:hAnsi="Times New Roman;sans-serif"/>
          <w:b w:val="false"/>
          <w:color w:val="000000"/>
          <w:sz w:val="22"/>
        </w:rPr>
        <w:t>Anaptys is a clinical-stage biotechnology company focused on delivering innovative immunology therapeutics for autoimmune and inflammatory diseases. Its lead program, rosnilimab, a depleter and agonist targeting PD-1+ T cells, is in a Phase 2b trial for the treatment of rheumatoid arthritis and in a Phase 2 trial for the treatment of ulcerative colitis. The company’s pipeline also includes ANB033, a CD122 antagonist, and ANB101, a BDCA2 modulator, in Phase 1 trials. Anaptys has also discovered multiple therapeutic antibodies licensed to GSK in a financial collaboration for immuno-oncology, including a PD-1 antagonist (</w:t>
      </w:r>
      <w:r>
        <w:rPr>
          <w:rFonts w:ascii="Times New Roman;sans-serif" w:hAnsi="Times New Roman;sans-serif"/>
          <w:b w:val="false"/>
          <w:i/>
          <w:color w:val="000000"/>
          <w:sz w:val="22"/>
        </w:rPr>
        <w:t>Jemperli</w:t>
      </w:r>
      <w:r>
        <w:rPr>
          <w:color w:val="000000"/>
        </w:rPr>
        <w:t xml:space="preserve"> </w:t>
      </w:r>
      <w:r>
        <w:rPr>
          <w:rFonts w:ascii="Times New Roman;sans-serif" w:hAnsi="Times New Roman;sans-serif"/>
          <w:b w:val="false"/>
          <w:color w:val="000000"/>
          <w:sz w:val="22"/>
        </w:rPr>
        <w:t xml:space="preserve">(dostarlimab-gxly)) and a TIM-3 antagonist (cobolimab, GSK4069889). To learn more, visit www.AnaptysBio.com or follow us on LinkedIn. </w:t>
      </w:r>
    </w:p>
    <w:p>
      <w:pPr>
        <w:pStyle w:val="TextBody"/>
        <w:bidi w:val="0"/>
        <w:spacing w:lineRule="auto" w:line="288" w:before="180" w:after="283"/>
        <w:jc w:val="left"/>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press release contains forward-looking statements within the meaning of the "safe harbor" provisions of the Private Securities Litigation Reform Act of 1995, including, but not limited to: the timing of the release of data from the Company’s clinical trials, including rosnilimab’s full Phase 2b clinical trial data in rheumatoid arthritis and top-line Phase 2 clinical trial data in ulcerative colitis; whether current trends in full clinical data in rheumatoid arthritis will be maintained once complete data becomes available; whether positive clinical trial results in rosnilimab’s Phase 2b clinical trial in rheumatoid arthritis increases the likelihood of getting positive results from rosnilimab’s Phase 2 clinical trial in ulcerative colitis; timing of the R&amp;D event for ANB033; the potential to receive any royalties or milestone payments from the Vanda Pharmaceuticals license agreement; the potential to receive any additional milestones and royalties from the GSK collaboration; and the Company's projected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and Exchange Commission. These forward-looking statements speak only as of the date of this press release, and the company undertakes no obligation to revise or update any forward-looking statements to reflect events or circumstances after the date hereof.</w:t>
      </w:r>
    </w:p>
    <w:p>
      <w:pPr>
        <w:pStyle w:val="TextBody"/>
        <w:bidi w:val="0"/>
        <w:spacing w:lineRule="auto" w:line="333" w:before="240" w:after="283"/>
        <w:jc w:val="left"/>
        <w:rPr>
          <w:rFonts w:ascii="Times New Roman;sans-serif" w:hAnsi="Times New Roman;sans-serif"/>
          <w:b/>
          <w:color w:val="000000"/>
          <w:sz w:val="22"/>
        </w:rPr>
      </w:pPr>
      <w:r>
        <w:rPr>
          <w:rFonts w:ascii="Times New Roman;sans-serif" w:hAnsi="Times New Roman;sans-serif"/>
          <w:b/>
          <w:color w:val="000000"/>
          <w:sz w:val="22"/>
        </w:rPr>
        <w:t>Contact: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Nick Montemarano</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Executive Director, Investor Relations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858.732.0178</w:t>
      </w:r>
    </w:p>
    <w:p>
      <w:pPr>
        <w:pStyle w:val="TextBody"/>
        <w:bidi w:val="0"/>
        <w:spacing w:lineRule="auto" w:line="333"/>
        <w:jc w:val="left"/>
        <w:rPr/>
      </w:pPr>
      <w:r>
        <w:rPr>
          <w:rFonts w:ascii="Times New Roman;sans-serif" w:hAnsi="Times New Roman;sans-serif"/>
          <w:b w:val="false"/>
          <w:color w:val="0563C1"/>
          <w:sz w:val="22"/>
          <w:u w:val="single"/>
        </w:rPr>
        <w:t>investors@anaptysbio.com</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data)</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00"/>
        <w:jc w:val="center"/>
        <w:rPr/>
      </w:pPr>
      <w:r>
        <w:rPr/>
      </w:r>
    </w:p>
    <w:tbl>
      <w:tblPr>
        <w:tblW w:w="10205" w:type="dxa"/>
        <w:jc w:val="left"/>
        <w:tblInd w:w="0" w:type="dxa"/>
        <w:tblLayout w:type="fixed"/>
        <w:tblCellMar>
          <w:top w:w="28" w:type="dxa"/>
          <w:left w:w="28" w:type="dxa"/>
          <w:bottom w:w="28" w:type="dxa"/>
          <w:right w:w="28" w:type="dxa"/>
        </w:tblCellMar>
      </w:tblPr>
      <w:tblGrid>
        <w:gridCol w:w="2790"/>
        <w:gridCol w:w="2301"/>
        <w:gridCol w:w="2288"/>
        <w:gridCol w:w="218"/>
        <w:gridCol w:w="820"/>
        <w:gridCol w:w="121"/>
        <w:gridCol w:w="109"/>
        <w:gridCol w:w="109"/>
        <w:gridCol w:w="109"/>
        <w:gridCol w:w="241"/>
        <w:gridCol w:w="905"/>
        <w:gridCol w:w="194"/>
      </w:tblGrid>
      <w:tr>
        <w:trPr/>
        <w:tc>
          <w:tcPr>
            <w:tcW w:w="2790"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40,765</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262,293</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363,112 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431,876 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14,383</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35,470</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422,053 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483,834 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sale of future royalties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330,382 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353,426 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 shares authorized and no shares, issued or outstanding at March 31, 2025 and December 31, 2024, respectively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500,000 shares authorized, 30,388 shares and 30,473 shares issued and outstanding at March 31, 2025 and December 31, 2024, respectively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832,486 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829,860 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gain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(798,656)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(759,327)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34,021 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70,868 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422,053 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483,834 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00"/>
        <w:jc w:val="center"/>
        <w:rPr/>
      </w:pPr>
      <w:r>
        <w:rPr/>
      </w:r>
    </w:p>
    <w:tbl>
      <w:tblPr>
        <w:tblW w:w="7329" w:type="dxa"/>
        <w:jc w:val="left"/>
        <w:tblInd w:w="0" w:type="dxa"/>
        <w:tblLayout w:type="fixed"/>
        <w:tblCellMar>
          <w:top w:w="28" w:type="dxa"/>
          <w:left w:w="28" w:type="dxa"/>
          <w:bottom w:w="28" w:type="dxa"/>
          <w:right w:w="28" w:type="dxa"/>
        </w:tblCellMar>
      </w:tblPr>
      <w:tblGrid>
        <w:gridCol w:w="1488"/>
        <w:gridCol w:w="1307"/>
        <w:gridCol w:w="1315"/>
        <w:gridCol w:w="109"/>
        <w:gridCol w:w="109"/>
        <w:gridCol w:w="140"/>
        <w:gridCol w:w="140"/>
        <w:gridCol w:w="253"/>
        <w:gridCol w:w="930"/>
        <w:gridCol w:w="140"/>
        <w:gridCol w:w="109"/>
        <w:gridCol w:w="109"/>
        <w:gridCol w:w="109"/>
        <w:gridCol w:w="196"/>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55,310 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for the sale of future royalties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(11,746)</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(39,329)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30,644 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2580</Words>
  <Characters>15079</Characters>
  <CharactersWithSpaces>17501</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