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304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047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Faga Daniel</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ANAPTYSBIO, INC.</w:t>
            </w:r>
          </w:p>
        </w:tc>
        <w:tc>
          <w:tcPr>
            <w:tcW w:w="15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10770 WATERIDGE CIRCLE, SUITE 210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0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ANAPTYSBIO,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ANAB</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0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00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2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5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1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01/06/2024</w:t>
            </w:r>
          </w:p>
        </w:tc>
        <w:tc>
          <w:tcPr>
            <w:tcW w:w="2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8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01/06/2024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17,850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(1)</w:t>
            </w:r>
          </w:p>
        </w:tc>
        <w:tc>
          <w:tcPr>
            <w:tcW w:w="1200" w:type="dxa"/>
            <w:vAlign w:val="bottom"/>
            <w:tcBorders>
              <w:bottom w:val="single" w:sz="8" w:color="2C2C2C"/>
            </w:tcBorders>
            <w:gridSpan w:val="2"/>
          </w:tcPr>
          <w:p>
            <w:pPr>
              <w:jc w:val="center"/>
              <w:ind w:right="201"/>
              <w:spacing w:after="0"/>
              <w:rPr>
                <w:sz w:val="20"/>
                <w:szCs w:val="20"/>
                <w:color w:val="auto"/>
              </w:rPr>
            </w:pPr>
            <w:r>
              <w:rPr>
                <w:rFonts w:ascii="Times New Roman" w:cs="Times New Roman" w:eastAsia="Times New Roman" w:hAnsi="Times New Roman"/>
                <w:sz w:val="17"/>
                <w:szCs w:val="17"/>
                <w:color w:val="0000FF"/>
              </w:rPr>
              <w:t>904,893</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01/08/2024</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6,866</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21.81</w:t>
            </w:r>
          </w:p>
        </w:tc>
        <w:tc>
          <w:tcPr>
            <w:tcW w:w="120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898,027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01/06/2024</w:t>
            </w:r>
          </w:p>
        </w:tc>
        <w:tc>
          <w:tcPr>
            <w:tcW w:w="1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17,850</w:t>
            </w:r>
          </w:p>
        </w:tc>
        <w:tc>
          <w:tcPr>
            <w:tcW w:w="820" w:type="dxa"/>
            <w:vAlign w:val="bottom"/>
            <w:gridSpan w:val="2"/>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17,850</w:t>
            </w:r>
          </w:p>
        </w:tc>
        <w:tc>
          <w:tcPr>
            <w:tcW w:w="1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53,550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award ("RSU") represents a contingent right to receive 1 share of the Issuer's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 shares are subject to forfeiture to the Issuer if underlying vesting conditions are not met.</w:t>
      </w:r>
    </w:p>
    <w:p>
      <w:pPr>
        <w:spacing w:after="0" w:line="44"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vests as to 25% of the total RSUs annually commencing on January 6, 2024 until fully vested, subject to the Reporting Person's provision of service to the Issuer on each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Eric Loumeau, Attorney-in-  </w:t>
      </w:r>
      <w:r>
        <w:rPr>
          <w:rFonts w:ascii="Times New Roman" w:cs="Times New Roman" w:eastAsia="Times New Roman" w:hAnsi="Times New Roman"/>
          <w:sz w:val="33"/>
          <w:szCs w:val="33"/>
          <w:color w:val="0000FF"/>
          <w:vertAlign w:val="subscript"/>
        </w:rPr>
        <w:t>01/09/2024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3528"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2024-01-09T18:12:53Z</dcterms:created>
  <dcterms:modified xsi:type="dcterms:W3CDTF">2024-01-09T18:12:53Z</dcterms:modified>
</cp:coreProperties>
</file>