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20"/>
          <w:szCs w:val="20"/>
          <w:b w:val="1"/>
          <w:bCs w:val="1"/>
          <w:color w:val="auto"/>
        </w:rPr>
        <w:t>UNITED STATES</w:t>
      </w:r>
    </w:p>
    <w:p>
      <w:pPr>
        <w:spacing w:after="0" w:line="21" w:lineRule="exact"/>
        <w:rPr>
          <w:sz w:val="24"/>
          <w:szCs w:val="24"/>
          <w:color w:val="auto"/>
        </w:rPr>
      </w:pPr>
    </w:p>
    <w:p>
      <w:pPr>
        <w:jc w:val="center"/>
        <w:ind w:right="-59"/>
        <w:spacing w:after="0"/>
        <w:rPr>
          <w:sz w:val="20"/>
          <w:szCs w:val="20"/>
          <w:color w:val="auto"/>
        </w:rPr>
      </w:pPr>
      <w:r>
        <w:rPr>
          <w:rFonts w:ascii="Arial" w:cs="Arial" w:eastAsia="Arial" w:hAnsi="Arial"/>
          <w:sz w:val="20"/>
          <w:szCs w:val="20"/>
          <w:b w:val="1"/>
          <w:bCs w:val="1"/>
          <w:color w:val="auto"/>
        </w:rPr>
        <w:t>SECURITIES AND EXCHANGE COMMISSION</w:t>
      </w:r>
    </w:p>
    <w:p>
      <w:pPr>
        <w:jc w:val="center"/>
        <w:ind w:right="-59"/>
        <w:spacing w:after="0"/>
        <w:rPr>
          <w:sz w:val="20"/>
          <w:szCs w:val="20"/>
          <w:color w:val="auto"/>
        </w:rPr>
      </w:pPr>
      <w:r>
        <w:rPr>
          <w:rFonts w:ascii="Arial" w:cs="Arial" w:eastAsia="Arial" w:hAnsi="Arial"/>
          <w:sz w:val="20"/>
          <w:szCs w:val="20"/>
          <w:b w:val="1"/>
          <w:bCs w:val="1"/>
          <w:color w:val="auto"/>
        </w:rPr>
        <w:t>WASHINGTON, D.C. 20549</w:t>
      </w:r>
    </w:p>
    <w:p>
      <w:pPr>
        <w:spacing w:after="0" w:line="207" w:lineRule="exact"/>
        <w:rPr>
          <w:sz w:val="24"/>
          <w:szCs w:val="24"/>
          <w:color w:val="auto"/>
        </w:rPr>
      </w:pPr>
    </w:p>
    <w:p>
      <w:pPr>
        <w:jc w:val="center"/>
        <w:ind w:right="-59"/>
        <w:spacing w:after="0" w:line="230" w:lineRule="exact"/>
        <w:rPr>
          <w:sz w:val="20"/>
          <w:szCs w:val="20"/>
          <w:color w:val="auto"/>
        </w:rPr>
      </w:pPr>
      <w:r>
        <w:rPr>
          <w:rFonts w:ascii="Arial" w:cs="Arial" w:eastAsia="Arial" w:hAnsi="Arial"/>
          <w:sz w:val="20"/>
          <w:szCs w:val="20"/>
          <w:b w:val="1"/>
          <w:bCs w:val="1"/>
          <w:color w:val="auto"/>
        </w:rPr>
        <w:t>FORM 8</w:t>
      </w:r>
      <w:r>
        <w:rPr>
          <w:rFonts w:ascii="MS PGothic" w:cs="MS PGothic" w:eastAsia="MS PGothic" w:hAnsi="MS PGothic"/>
          <w:sz w:val="20"/>
          <w:szCs w:val="20"/>
          <w:b w:val="1"/>
          <w:bCs w:val="1"/>
          <w:color w:val="auto"/>
        </w:rPr>
        <w:t>‑</w:t>
      </w:r>
      <w:r>
        <w:rPr>
          <w:rFonts w:ascii="Arial" w:cs="Arial" w:eastAsia="Arial" w:hAnsi="Arial"/>
          <w:sz w:val="20"/>
          <w:szCs w:val="20"/>
          <w:b w:val="1"/>
          <w:bCs w:val="1"/>
          <w:color w:val="auto"/>
        </w:rPr>
        <w:t>K</w:t>
      </w:r>
    </w:p>
    <w:p>
      <w:pPr>
        <w:spacing w:after="0" w:line="229" w:lineRule="exact"/>
        <w:rPr>
          <w:sz w:val="24"/>
          <w:szCs w:val="24"/>
          <w:color w:val="auto"/>
        </w:rPr>
      </w:pPr>
    </w:p>
    <w:p>
      <w:pPr>
        <w:jc w:val="center"/>
        <w:ind w:right="-59"/>
        <w:spacing w:after="0"/>
        <w:rPr>
          <w:sz w:val="20"/>
          <w:szCs w:val="20"/>
          <w:color w:val="auto"/>
        </w:rPr>
      </w:pPr>
      <w:r>
        <w:rPr>
          <w:rFonts w:ascii="Arial" w:cs="Arial" w:eastAsia="Arial" w:hAnsi="Arial"/>
          <w:sz w:val="20"/>
          <w:szCs w:val="20"/>
          <w:b w:val="1"/>
          <w:bCs w:val="1"/>
          <w:color w:val="auto"/>
        </w:rPr>
        <w:t>CURRENT REPORT PURSUANT TO</w:t>
      </w:r>
    </w:p>
    <w:p>
      <w:pPr>
        <w:spacing w:after="0" w:line="21" w:lineRule="exact"/>
        <w:rPr>
          <w:sz w:val="24"/>
          <w:szCs w:val="24"/>
          <w:color w:val="auto"/>
        </w:rPr>
      </w:pPr>
    </w:p>
    <w:p>
      <w:pPr>
        <w:jc w:val="center"/>
        <w:ind w:right="-59"/>
        <w:spacing w:after="0"/>
        <w:rPr>
          <w:sz w:val="20"/>
          <w:szCs w:val="20"/>
          <w:color w:val="auto"/>
        </w:rPr>
      </w:pPr>
      <w:r>
        <w:rPr>
          <w:rFonts w:ascii="Arial" w:cs="Arial" w:eastAsia="Arial" w:hAnsi="Arial"/>
          <w:sz w:val="20"/>
          <w:szCs w:val="20"/>
          <w:b w:val="1"/>
          <w:bCs w:val="1"/>
          <w:color w:val="auto"/>
        </w:rPr>
        <w:t>SECTION 13 OR 15(d) OF THE</w:t>
      </w:r>
    </w:p>
    <w:p>
      <w:pPr>
        <w:jc w:val="center"/>
        <w:ind w:right="-59"/>
        <w:spacing w:after="0"/>
        <w:rPr>
          <w:sz w:val="20"/>
          <w:szCs w:val="20"/>
          <w:color w:val="auto"/>
        </w:rPr>
      </w:pPr>
      <w:r>
        <w:rPr>
          <w:rFonts w:ascii="Arial" w:cs="Arial" w:eastAsia="Arial" w:hAnsi="Arial"/>
          <w:sz w:val="20"/>
          <w:szCs w:val="20"/>
          <w:b w:val="1"/>
          <w:bCs w:val="1"/>
          <w:color w:val="auto"/>
        </w:rPr>
        <w:t>SECURITIES EXCHANGE ACT OF 1934</w:t>
      </w:r>
    </w:p>
    <w:p>
      <w:pPr>
        <w:spacing w:after="0" w:line="207" w:lineRule="exact"/>
        <w:rPr>
          <w:sz w:val="24"/>
          <w:szCs w:val="24"/>
          <w:color w:val="auto"/>
        </w:rPr>
      </w:pPr>
    </w:p>
    <w:p>
      <w:pPr>
        <w:jc w:val="center"/>
        <w:ind w:right="-59"/>
        <w:spacing w:after="0"/>
        <w:rPr>
          <w:sz w:val="20"/>
          <w:szCs w:val="20"/>
          <w:color w:val="auto"/>
        </w:rPr>
      </w:pPr>
      <w:r>
        <w:rPr>
          <w:rFonts w:ascii="Arial" w:cs="Arial" w:eastAsia="Arial" w:hAnsi="Arial"/>
          <w:sz w:val="20"/>
          <w:szCs w:val="20"/>
          <w:b w:val="1"/>
          <w:bCs w:val="1"/>
          <w:color w:val="auto"/>
        </w:rPr>
        <w:t>Date of Report: August 10, 2017</w:t>
      </w:r>
    </w:p>
    <w:p>
      <w:pPr>
        <w:spacing w:after="0" w:line="22" w:lineRule="exact"/>
        <w:rPr>
          <w:sz w:val="24"/>
          <w:szCs w:val="24"/>
          <w:color w:val="auto"/>
        </w:rPr>
      </w:pPr>
    </w:p>
    <w:p>
      <w:pPr>
        <w:jc w:val="center"/>
        <w:ind w:right="-59"/>
        <w:spacing w:after="0"/>
        <w:rPr>
          <w:sz w:val="20"/>
          <w:szCs w:val="20"/>
          <w:color w:val="auto"/>
        </w:rPr>
      </w:pPr>
      <w:r>
        <w:rPr>
          <w:rFonts w:ascii="Arial" w:cs="Arial" w:eastAsia="Arial" w:hAnsi="Arial"/>
          <w:sz w:val="20"/>
          <w:szCs w:val="20"/>
          <w:color w:val="auto"/>
        </w:rPr>
        <w:t>(Date of earliest event reported)</w:t>
      </w:r>
    </w:p>
    <w:p>
      <w:pPr>
        <w:spacing w:after="0" w:line="207" w:lineRule="exact"/>
        <w:rPr>
          <w:sz w:val="24"/>
          <w:szCs w:val="24"/>
          <w:color w:val="auto"/>
        </w:rPr>
      </w:pPr>
    </w:p>
    <w:p>
      <w:pPr>
        <w:jc w:val="center"/>
        <w:ind w:right="-59"/>
        <w:spacing w:after="0"/>
        <w:rPr>
          <w:sz w:val="20"/>
          <w:szCs w:val="20"/>
          <w:color w:val="auto"/>
        </w:rPr>
      </w:pPr>
      <w:r>
        <w:rPr>
          <w:rFonts w:ascii="Arial" w:cs="Arial" w:eastAsia="Arial" w:hAnsi="Arial"/>
          <w:sz w:val="20"/>
          <w:szCs w:val="20"/>
          <w:b w:val="1"/>
          <w:bCs w:val="1"/>
          <w:color w:val="auto"/>
        </w:rPr>
        <w:t>ANAPTYSBIO, INC.</w:t>
      </w:r>
    </w:p>
    <w:p>
      <w:pPr>
        <w:spacing w:after="0" w:line="22" w:lineRule="exact"/>
        <w:rPr>
          <w:sz w:val="24"/>
          <w:szCs w:val="24"/>
          <w:color w:val="auto"/>
        </w:rPr>
      </w:pPr>
    </w:p>
    <w:p>
      <w:pPr>
        <w:jc w:val="center"/>
        <w:ind w:right="-59"/>
        <w:spacing w:after="0"/>
        <w:rPr>
          <w:sz w:val="20"/>
          <w:szCs w:val="20"/>
          <w:color w:val="auto"/>
        </w:rPr>
      </w:pPr>
      <w:r>
        <w:rPr>
          <w:rFonts w:ascii="Arial" w:cs="Arial" w:eastAsia="Arial" w:hAnsi="Arial"/>
          <w:sz w:val="20"/>
          <w:szCs w:val="20"/>
          <w:color w:val="auto"/>
        </w:rPr>
        <w:t>(Exact Name of Registrant as Specified in Its Charter)</w:t>
      </w:r>
    </w:p>
    <w:p>
      <w:pPr>
        <w:spacing w:after="0" w:line="207" w:lineRule="exact"/>
        <w:rPr>
          <w:sz w:val="24"/>
          <w:szCs w:val="24"/>
          <w:color w:val="auto"/>
        </w:rPr>
      </w:pPr>
    </w:p>
    <w:p>
      <w:pPr>
        <w:jc w:val="center"/>
        <w:ind w:right="-59"/>
        <w:spacing w:after="0"/>
        <w:rPr>
          <w:sz w:val="20"/>
          <w:szCs w:val="20"/>
          <w:color w:val="auto"/>
        </w:rPr>
      </w:pPr>
      <w:r>
        <w:rPr>
          <w:rFonts w:ascii="Arial" w:cs="Arial" w:eastAsia="Arial" w:hAnsi="Arial"/>
          <w:sz w:val="20"/>
          <w:szCs w:val="20"/>
          <w:b w:val="1"/>
          <w:bCs w:val="1"/>
          <w:color w:val="auto"/>
        </w:rPr>
        <w:t>Delaware</w:t>
      </w:r>
    </w:p>
    <w:p>
      <w:pPr>
        <w:spacing w:after="0" w:line="22" w:lineRule="exact"/>
        <w:rPr>
          <w:sz w:val="24"/>
          <w:szCs w:val="24"/>
          <w:color w:val="auto"/>
        </w:rPr>
      </w:pPr>
    </w:p>
    <w:p>
      <w:pPr>
        <w:jc w:val="center"/>
        <w:ind w:right="-59"/>
        <w:spacing w:after="0"/>
        <w:rPr>
          <w:sz w:val="20"/>
          <w:szCs w:val="20"/>
          <w:color w:val="auto"/>
        </w:rPr>
      </w:pPr>
      <w:r>
        <w:rPr>
          <w:rFonts w:ascii="Arial" w:cs="Arial" w:eastAsia="Arial" w:hAnsi="Arial"/>
          <w:sz w:val="20"/>
          <w:szCs w:val="20"/>
          <w:color w:val="auto"/>
        </w:rPr>
        <w:t>(State or Other Jurisdiction of Incorporation)</w:t>
      </w:r>
    </w:p>
    <w:p>
      <w:pPr>
        <w:spacing w:after="0" w:line="369" w:lineRule="exact"/>
        <w:rPr>
          <w:sz w:val="24"/>
          <w:szCs w:val="24"/>
          <w:color w:val="auto"/>
        </w:rPr>
      </w:pPr>
    </w:p>
    <w:tbl>
      <w:tblPr>
        <w:tblLayout w:type="fixed"/>
        <w:tblInd w:w="860" w:type="dxa"/>
        <w:tblCellMar>
          <w:top w:w="0" w:type="dxa"/>
          <w:left w:w="0" w:type="dxa"/>
          <w:bottom w:w="0" w:type="dxa"/>
          <w:right w:w="0" w:type="dxa"/>
        </w:tblCellMar>
      </w:tblPr>
      <w:tr>
        <w:trPr>
          <w:trHeight w:val="256"/>
        </w:trPr>
        <w:tc>
          <w:tcPr>
            <w:tcW w:w="5040" w:type="dxa"/>
            <w:vAlign w:val="bottom"/>
          </w:tcPr>
          <w:p>
            <w:pPr>
              <w:jc w:val="center"/>
              <w:ind w:right="1721"/>
              <w:spacing w:after="0"/>
              <w:rPr>
                <w:sz w:val="20"/>
                <w:szCs w:val="20"/>
                <w:color w:val="auto"/>
              </w:rPr>
            </w:pPr>
            <w:r>
              <w:rPr>
                <w:rFonts w:ascii="Arial" w:cs="Arial" w:eastAsia="Arial" w:hAnsi="Arial"/>
                <w:sz w:val="20"/>
                <w:szCs w:val="20"/>
                <w:b w:val="1"/>
                <w:bCs w:val="1"/>
                <w:color w:val="auto"/>
                <w:w w:val="89"/>
              </w:rPr>
              <w:t>001-37985</w:t>
            </w:r>
          </w:p>
        </w:tc>
        <w:tc>
          <w:tcPr>
            <w:tcW w:w="4540" w:type="dxa"/>
            <w:vAlign w:val="bottom"/>
          </w:tcPr>
          <w:p>
            <w:pPr>
              <w:jc w:val="right"/>
              <w:ind w:right="781"/>
              <w:spacing w:after="0"/>
              <w:rPr>
                <w:sz w:val="20"/>
                <w:szCs w:val="20"/>
                <w:color w:val="auto"/>
              </w:rPr>
            </w:pPr>
            <w:r>
              <w:rPr>
                <w:rFonts w:ascii="Arial" w:cs="Arial" w:eastAsia="Arial" w:hAnsi="Arial"/>
                <w:sz w:val="20"/>
                <w:szCs w:val="20"/>
                <w:b w:val="1"/>
                <w:bCs w:val="1"/>
                <w:color w:val="auto"/>
              </w:rPr>
              <w:t>20-3828755</w:t>
            </w:r>
          </w:p>
        </w:tc>
      </w:tr>
      <w:tr>
        <w:trPr>
          <w:trHeight w:val="284"/>
        </w:trPr>
        <w:tc>
          <w:tcPr>
            <w:tcW w:w="5040" w:type="dxa"/>
            <w:vAlign w:val="bottom"/>
          </w:tcPr>
          <w:p>
            <w:pPr>
              <w:jc w:val="center"/>
              <w:ind w:right="1721"/>
              <w:spacing w:after="0"/>
              <w:rPr>
                <w:sz w:val="20"/>
                <w:szCs w:val="20"/>
                <w:color w:val="auto"/>
              </w:rPr>
            </w:pPr>
            <w:r>
              <w:rPr>
                <w:rFonts w:ascii="Arial" w:cs="Arial" w:eastAsia="Arial" w:hAnsi="Arial"/>
                <w:sz w:val="20"/>
                <w:szCs w:val="20"/>
                <w:color w:val="auto"/>
                <w:w w:val="91"/>
              </w:rPr>
              <w:t>(Commission File Number)</w:t>
            </w:r>
          </w:p>
        </w:tc>
        <w:tc>
          <w:tcPr>
            <w:tcW w:w="4540" w:type="dxa"/>
            <w:vAlign w:val="bottom"/>
          </w:tcPr>
          <w:p>
            <w:pPr>
              <w:jc w:val="center"/>
              <w:ind w:left="1721"/>
              <w:spacing w:after="0"/>
              <w:rPr>
                <w:sz w:val="20"/>
                <w:szCs w:val="20"/>
                <w:color w:val="auto"/>
              </w:rPr>
            </w:pPr>
            <w:r>
              <w:rPr>
                <w:rFonts w:ascii="Arial" w:cs="Arial" w:eastAsia="Arial" w:hAnsi="Arial"/>
                <w:sz w:val="20"/>
                <w:szCs w:val="20"/>
                <w:color w:val="auto"/>
                <w:w w:val="93"/>
              </w:rPr>
              <w:t>(IRS Employer Identification No.)</w:t>
            </w:r>
          </w:p>
        </w:tc>
      </w:tr>
      <w:tr>
        <w:trPr>
          <w:trHeight w:val="621"/>
        </w:trPr>
        <w:tc>
          <w:tcPr>
            <w:tcW w:w="5040" w:type="dxa"/>
            <w:vAlign w:val="bottom"/>
          </w:tcPr>
          <w:p>
            <w:pPr>
              <w:jc w:val="center"/>
              <w:ind w:right="1721"/>
              <w:spacing w:after="0"/>
              <w:rPr>
                <w:sz w:val="20"/>
                <w:szCs w:val="20"/>
                <w:color w:val="auto"/>
              </w:rPr>
            </w:pPr>
            <w:r>
              <w:rPr>
                <w:rFonts w:ascii="Arial" w:cs="Arial" w:eastAsia="Arial" w:hAnsi="Arial"/>
                <w:sz w:val="20"/>
                <w:szCs w:val="20"/>
                <w:b w:val="1"/>
                <w:bCs w:val="1"/>
                <w:color w:val="auto"/>
                <w:w w:val="90"/>
              </w:rPr>
              <w:t>10421 Pacific Center Court, Suite 200</w:t>
            </w:r>
          </w:p>
        </w:tc>
        <w:tc>
          <w:tcPr>
            <w:tcW w:w="4540" w:type="dxa"/>
            <w:vAlign w:val="bottom"/>
          </w:tcPr>
          <w:p>
            <w:pPr>
              <w:spacing w:after="0"/>
              <w:rPr>
                <w:sz w:val="24"/>
                <w:szCs w:val="24"/>
                <w:color w:val="auto"/>
              </w:rPr>
            </w:pPr>
          </w:p>
        </w:tc>
      </w:tr>
      <w:tr>
        <w:trPr>
          <w:trHeight w:val="256"/>
        </w:trPr>
        <w:tc>
          <w:tcPr>
            <w:tcW w:w="5040" w:type="dxa"/>
            <w:vAlign w:val="bottom"/>
          </w:tcPr>
          <w:p>
            <w:pPr>
              <w:jc w:val="center"/>
              <w:ind w:right="1741"/>
              <w:spacing w:after="0"/>
              <w:rPr>
                <w:sz w:val="20"/>
                <w:szCs w:val="20"/>
                <w:color w:val="auto"/>
              </w:rPr>
            </w:pPr>
            <w:r>
              <w:rPr>
                <w:rFonts w:ascii="Arial" w:cs="Arial" w:eastAsia="Arial" w:hAnsi="Arial"/>
                <w:sz w:val="20"/>
                <w:szCs w:val="20"/>
                <w:b w:val="1"/>
                <w:bCs w:val="1"/>
                <w:color w:val="auto"/>
                <w:w w:val="89"/>
              </w:rPr>
              <w:t>San Diego, CA</w:t>
            </w:r>
          </w:p>
        </w:tc>
        <w:tc>
          <w:tcPr>
            <w:tcW w:w="4540" w:type="dxa"/>
            <w:vAlign w:val="bottom"/>
          </w:tcPr>
          <w:p>
            <w:pPr>
              <w:jc w:val="right"/>
              <w:ind w:right="1001"/>
              <w:spacing w:after="0"/>
              <w:rPr>
                <w:sz w:val="20"/>
                <w:szCs w:val="20"/>
                <w:color w:val="auto"/>
              </w:rPr>
            </w:pPr>
            <w:r>
              <w:rPr>
                <w:rFonts w:ascii="Arial" w:cs="Arial" w:eastAsia="Arial" w:hAnsi="Arial"/>
                <w:sz w:val="20"/>
                <w:szCs w:val="20"/>
                <w:b w:val="1"/>
                <w:bCs w:val="1"/>
                <w:color w:val="auto"/>
              </w:rPr>
              <w:t>92121</w:t>
            </w:r>
          </w:p>
        </w:tc>
      </w:tr>
      <w:tr>
        <w:trPr>
          <w:trHeight w:val="284"/>
        </w:trPr>
        <w:tc>
          <w:tcPr>
            <w:tcW w:w="5040" w:type="dxa"/>
            <w:vAlign w:val="bottom"/>
          </w:tcPr>
          <w:p>
            <w:pPr>
              <w:jc w:val="center"/>
              <w:ind w:right="1721"/>
              <w:spacing w:after="0"/>
              <w:rPr>
                <w:sz w:val="20"/>
                <w:szCs w:val="20"/>
                <w:color w:val="auto"/>
              </w:rPr>
            </w:pPr>
            <w:r>
              <w:rPr>
                <w:rFonts w:ascii="Arial" w:cs="Arial" w:eastAsia="Arial" w:hAnsi="Arial"/>
                <w:sz w:val="20"/>
                <w:szCs w:val="20"/>
                <w:color w:val="auto"/>
                <w:w w:val="91"/>
              </w:rPr>
              <w:t>(Address of Principal Executive Offices)</w:t>
            </w:r>
          </w:p>
        </w:tc>
        <w:tc>
          <w:tcPr>
            <w:tcW w:w="4540" w:type="dxa"/>
            <w:vAlign w:val="bottom"/>
          </w:tcPr>
          <w:p>
            <w:pPr>
              <w:jc w:val="center"/>
              <w:ind w:left="1721"/>
              <w:spacing w:after="0"/>
              <w:rPr>
                <w:sz w:val="20"/>
                <w:szCs w:val="20"/>
                <w:color w:val="auto"/>
              </w:rPr>
            </w:pPr>
            <w:r>
              <w:rPr>
                <w:rFonts w:ascii="Arial" w:cs="Arial" w:eastAsia="Arial" w:hAnsi="Arial"/>
                <w:sz w:val="20"/>
                <w:szCs w:val="20"/>
                <w:color w:val="auto"/>
                <w:w w:val="93"/>
              </w:rPr>
              <w:t>(Zip Code)</w:t>
            </w:r>
          </w:p>
        </w:tc>
      </w:tr>
    </w:tbl>
    <w:p>
      <w:pPr>
        <w:spacing w:after="0" w:line="200" w:lineRule="exact"/>
        <w:rPr>
          <w:sz w:val="24"/>
          <w:szCs w:val="24"/>
          <w:color w:val="auto"/>
        </w:rPr>
      </w:pPr>
    </w:p>
    <w:p>
      <w:pPr>
        <w:spacing w:after="0" w:line="259" w:lineRule="exact"/>
        <w:rPr>
          <w:sz w:val="24"/>
          <w:szCs w:val="24"/>
          <w:color w:val="auto"/>
        </w:rPr>
      </w:pPr>
    </w:p>
    <w:p>
      <w:pPr>
        <w:jc w:val="center"/>
        <w:ind w:right="-59"/>
        <w:spacing w:after="0"/>
        <w:rPr>
          <w:sz w:val="20"/>
          <w:szCs w:val="20"/>
          <w:color w:val="auto"/>
        </w:rPr>
      </w:pPr>
      <w:r>
        <w:rPr>
          <w:rFonts w:ascii="Arial" w:cs="Arial" w:eastAsia="Arial" w:hAnsi="Arial"/>
          <w:sz w:val="20"/>
          <w:szCs w:val="20"/>
          <w:b w:val="1"/>
          <w:bCs w:val="1"/>
          <w:color w:val="auto"/>
        </w:rPr>
        <w:t>(858) 362-6295</w:t>
      </w:r>
    </w:p>
    <w:p>
      <w:pPr>
        <w:spacing w:after="0" w:line="22" w:lineRule="exact"/>
        <w:rPr>
          <w:sz w:val="24"/>
          <w:szCs w:val="24"/>
          <w:color w:val="auto"/>
        </w:rPr>
      </w:pPr>
    </w:p>
    <w:p>
      <w:pPr>
        <w:jc w:val="center"/>
        <w:ind w:right="-59"/>
        <w:spacing w:after="0"/>
        <w:rPr>
          <w:sz w:val="20"/>
          <w:szCs w:val="20"/>
          <w:color w:val="auto"/>
        </w:rPr>
      </w:pPr>
      <w:r>
        <w:rPr>
          <w:rFonts w:ascii="Arial" w:cs="Arial" w:eastAsia="Arial" w:hAnsi="Arial"/>
          <w:sz w:val="20"/>
          <w:szCs w:val="20"/>
          <w:color w:val="auto"/>
        </w:rPr>
        <w:t>(Registrant’s Telephone Number, Including Area Code)</w:t>
      </w:r>
    </w:p>
    <w:p>
      <w:pPr>
        <w:spacing w:after="0" w:line="207" w:lineRule="exact"/>
        <w:rPr>
          <w:sz w:val="24"/>
          <w:szCs w:val="24"/>
          <w:color w:val="auto"/>
        </w:rPr>
      </w:pPr>
    </w:p>
    <w:p>
      <w:pPr>
        <w:jc w:val="center"/>
        <w:ind w:right="-59"/>
        <w:spacing w:after="0"/>
        <w:rPr>
          <w:sz w:val="20"/>
          <w:szCs w:val="20"/>
          <w:color w:val="auto"/>
        </w:rPr>
      </w:pPr>
      <w:r>
        <w:rPr>
          <w:rFonts w:ascii="Arial" w:cs="Arial" w:eastAsia="Arial" w:hAnsi="Arial"/>
          <w:sz w:val="20"/>
          <w:szCs w:val="20"/>
          <w:b w:val="1"/>
          <w:bCs w:val="1"/>
          <w:color w:val="auto"/>
        </w:rPr>
        <w:t>Not Applicable</w:t>
      </w:r>
    </w:p>
    <w:p>
      <w:pPr>
        <w:spacing w:after="0" w:line="22" w:lineRule="exact"/>
        <w:rPr>
          <w:sz w:val="24"/>
          <w:szCs w:val="24"/>
          <w:color w:val="auto"/>
        </w:rPr>
      </w:pPr>
    </w:p>
    <w:p>
      <w:pPr>
        <w:jc w:val="center"/>
        <w:ind w:right="-59"/>
        <w:spacing w:after="0"/>
        <w:rPr>
          <w:sz w:val="20"/>
          <w:szCs w:val="20"/>
          <w:color w:val="auto"/>
        </w:rPr>
      </w:pPr>
      <w:r>
        <w:rPr>
          <w:rFonts w:ascii="Arial" w:cs="Arial" w:eastAsia="Arial" w:hAnsi="Arial"/>
          <w:sz w:val="20"/>
          <w:szCs w:val="20"/>
          <w:color w:val="auto"/>
        </w:rPr>
        <w:t>(Former name or former address, if changed since last report.)</w:t>
      </w:r>
    </w:p>
    <w:p>
      <w:pPr>
        <w:spacing w:after="0" w:line="200" w:lineRule="exact"/>
        <w:rPr>
          <w:sz w:val="24"/>
          <w:szCs w:val="24"/>
          <w:color w:val="auto"/>
        </w:rPr>
      </w:pPr>
    </w:p>
    <w:p>
      <w:pPr>
        <w:spacing w:after="0" w:line="245" w:lineRule="exact"/>
        <w:rPr>
          <w:sz w:val="24"/>
          <w:szCs w:val="24"/>
          <w:color w:val="auto"/>
        </w:rPr>
      </w:pPr>
    </w:p>
    <w:p>
      <w:pPr>
        <w:ind w:right="60"/>
        <w:spacing w:after="0" w:line="223" w:lineRule="exact"/>
        <w:rPr>
          <w:sz w:val="20"/>
          <w:szCs w:val="20"/>
          <w:color w:val="auto"/>
        </w:rPr>
      </w:pPr>
      <w:r>
        <w:rPr>
          <w:rFonts w:ascii="Arial" w:cs="Arial" w:eastAsia="Arial" w:hAnsi="Arial"/>
          <w:sz w:val="18"/>
          <w:szCs w:val="18"/>
          <w:color w:val="auto"/>
        </w:rPr>
        <w:t>Check the appropriate box below if the Form 8</w:t>
      </w:r>
      <w:r>
        <w:rPr>
          <w:rFonts w:ascii="MS PGothic" w:cs="MS PGothic" w:eastAsia="MS PGothic" w:hAnsi="MS PGothic"/>
          <w:sz w:val="18"/>
          <w:szCs w:val="18"/>
          <w:color w:val="auto"/>
        </w:rPr>
        <w:t>‑</w:t>
      </w:r>
      <w:r>
        <w:rPr>
          <w:rFonts w:ascii="Arial" w:cs="Arial" w:eastAsia="Arial" w:hAnsi="Arial"/>
          <w:sz w:val="18"/>
          <w:szCs w:val="18"/>
          <w:color w:val="auto"/>
        </w:rPr>
        <w:t>K filing is intended to simultaneously satisfy the filing obligation of the registrant under any of the following provisions (see General Instruction A.2. below):</w:t>
      </w:r>
    </w:p>
    <w:p>
      <w:pPr>
        <w:spacing w:after="0" w:line="203" w:lineRule="exact"/>
        <w:rPr>
          <w:sz w:val="24"/>
          <w:szCs w:val="24"/>
          <w:color w:val="auto"/>
        </w:rPr>
      </w:pPr>
    </w:p>
    <w:p>
      <w:pPr>
        <w:ind w:left="160"/>
        <w:spacing w:after="0"/>
        <w:rPr>
          <w:sz w:val="20"/>
          <w:szCs w:val="20"/>
          <w:color w:val="auto"/>
        </w:rPr>
      </w:pPr>
      <w:r>
        <w:rPr>
          <w:rFonts w:ascii="Arial" w:cs="Arial" w:eastAsia="Arial" w:hAnsi="Arial"/>
          <w:sz w:val="18"/>
          <w:szCs w:val="18"/>
          <w:color w:val="auto"/>
        </w:rPr>
        <w:t>Written communications pursuant to Rule 425 under the Securities Act (17 CFR 230.425)</w:t>
      </w:r>
    </w:p>
    <w:p>
      <w:pPr>
        <w:spacing w:after="0" w:line="23" w:lineRule="exact"/>
        <w:rPr>
          <w:sz w:val="24"/>
          <w:szCs w:val="24"/>
          <w:color w:val="auto"/>
        </w:rPr>
      </w:pPr>
    </w:p>
    <w:p>
      <w:pPr>
        <w:ind w:left="160"/>
        <w:spacing w:after="0" w:line="207" w:lineRule="exact"/>
        <w:rPr>
          <w:sz w:val="20"/>
          <w:szCs w:val="20"/>
          <w:color w:val="auto"/>
        </w:rPr>
      </w:pPr>
      <w:r>
        <w:rPr>
          <w:rFonts w:ascii="Arial" w:cs="Arial" w:eastAsia="Arial" w:hAnsi="Arial"/>
          <w:sz w:val="18"/>
          <w:szCs w:val="18"/>
          <w:color w:val="auto"/>
        </w:rPr>
        <w:t>Soliciting material pursuant to Rule 14a</w:t>
      </w:r>
      <w:r>
        <w:rPr>
          <w:rFonts w:ascii="MS PGothic" w:cs="MS PGothic" w:eastAsia="MS PGothic" w:hAnsi="MS PGothic"/>
          <w:sz w:val="18"/>
          <w:szCs w:val="18"/>
          <w:color w:val="auto"/>
        </w:rPr>
        <w:t>‑</w:t>
      </w:r>
      <w:r>
        <w:rPr>
          <w:rFonts w:ascii="Arial" w:cs="Arial" w:eastAsia="Arial" w:hAnsi="Arial"/>
          <w:sz w:val="18"/>
          <w:szCs w:val="18"/>
          <w:color w:val="auto"/>
        </w:rPr>
        <w:t>12 under the Exchange Act (17 CFR 240.14a</w:t>
      </w:r>
      <w:r>
        <w:rPr>
          <w:rFonts w:ascii="MS PGothic" w:cs="MS PGothic" w:eastAsia="MS PGothic" w:hAnsi="MS PGothic"/>
          <w:sz w:val="18"/>
          <w:szCs w:val="18"/>
          <w:color w:val="auto"/>
        </w:rPr>
        <w:t>‑</w:t>
      </w:r>
      <w:r>
        <w:rPr>
          <w:rFonts w:ascii="Arial" w:cs="Arial" w:eastAsia="Arial" w:hAnsi="Arial"/>
          <w:sz w:val="18"/>
          <w:szCs w:val="18"/>
          <w:color w:val="auto"/>
        </w:rPr>
        <w:t>12)</w:t>
      </w:r>
    </w:p>
    <w:p>
      <w:pPr>
        <w:spacing w:after="0" w:line="9" w:lineRule="exact"/>
        <w:rPr>
          <w:sz w:val="24"/>
          <w:szCs w:val="24"/>
          <w:color w:val="auto"/>
        </w:rPr>
      </w:pPr>
    </w:p>
    <w:p>
      <w:pPr>
        <w:ind w:left="160"/>
        <w:spacing w:after="0" w:line="207" w:lineRule="exact"/>
        <w:rPr>
          <w:sz w:val="20"/>
          <w:szCs w:val="20"/>
          <w:color w:val="auto"/>
        </w:rPr>
      </w:pPr>
      <w:r>
        <w:rPr>
          <w:rFonts w:ascii="Arial" w:cs="Arial" w:eastAsia="Arial" w:hAnsi="Arial"/>
          <w:sz w:val="18"/>
          <w:szCs w:val="18"/>
          <w:color w:val="auto"/>
        </w:rPr>
        <w:t>Pre</w:t>
      </w:r>
      <w:r>
        <w:rPr>
          <w:rFonts w:ascii="MS PGothic" w:cs="MS PGothic" w:eastAsia="MS PGothic" w:hAnsi="MS PGothic"/>
          <w:sz w:val="18"/>
          <w:szCs w:val="18"/>
          <w:color w:val="auto"/>
        </w:rPr>
        <w:t>‑</w:t>
      </w:r>
      <w:r>
        <w:rPr>
          <w:rFonts w:ascii="Arial" w:cs="Arial" w:eastAsia="Arial" w:hAnsi="Arial"/>
          <w:sz w:val="18"/>
          <w:szCs w:val="18"/>
          <w:color w:val="auto"/>
        </w:rPr>
        <w:t>commencement communications pursuant to Rule 14d</w:t>
      </w:r>
      <w:r>
        <w:rPr>
          <w:rFonts w:ascii="MS PGothic" w:cs="MS PGothic" w:eastAsia="MS PGothic" w:hAnsi="MS PGothic"/>
          <w:sz w:val="18"/>
          <w:szCs w:val="18"/>
          <w:color w:val="auto"/>
        </w:rPr>
        <w:t>‑</w:t>
      </w:r>
      <w:r>
        <w:rPr>
          <w:rFonts w:ascii="Arial" w:cs="Arial" w:eastAsia="Arial" w:hAnsi="Arial"/>
          <w:sz w:val="18"/>
          <w:szCs w:val="18"/>
          <w:color w:val="auto"/>
        </w:rPr>
        <w:t>2(b) under the Exchange Act (17 CFR 240.14d</w:t>
      </w:r>
      <w:r>
        <w:rPr>
          <w:rFonts w:ascii="MS PGothic" w:cs="MS PGothic" w:eastAsia="MS PGothic" w:hAnsi="MS PGothic"/>
          <w:sz w:val="18"/>
          <w:szCs w:val="18"/>
          <w:color w:val="auto"/>
        </w:rPr>
        <w:t>‑</w:t>
      </w:r>
      <w:r>
        <w:rPr>
          <w:rFonts w:ascii="Arial" w:cs="Arial" w:eastAsia="Arial" w:hAnsi="Arial"/>
          <w:sz w:val="18"/>
          <w:szCs w:val="18"/>
          <w:color w:val="auto"/>
        </w:rPr>
        <w:t>2(b))</w:t>
      </w:r>
    </w:p>
    <w:p>
      <w:pPr>
        <w:spacing w:after="0" w:line="9" w:lineRule="exact"/>
        <w:rPr>
          <w:sz w:val="24"/>
          <w:szCs w:val="24"/>
          <w:color w:val="auto"/>
        </w:rPr>
      </w:pPr>
    </w:p>
    <w:p>
      <w:pPr>
        <w:ind w:left="160"/>
        <w:spacing w:after="0" w:line="207" w:lineRule="exact"/>
        <w:rPr>
          <w:sz w:val="20"/>
          <w:szCs w:val="20"/>
          <w:color w:val="auto"/>
        </w:rPr>
      </w:pPr>
      <w:r>
        <w:rPr>
          <w:rFonts w:ascii="Arial" w:cs="Arial" w:eastAsia="Arial" w:hAnsi="Arial"/>
          <w:sz w:val="18"/>
          <w:szCs w:val="18"/>
          <w:color w:val="auto"/>
        </w:rPr>
        <w:t>Pre</w:t>
      </w:r>
      <w:r>
        <w:rPr>
          <w:rFonts w:ascii="MS PGothic" w:cs="MS PGothic" w:eastAsia="MS PGothic" w:hAnsi="MS PGothic"/>
          <w:sz w:val="18"/>
          <w:szCs w:val="18"/>
          <w:color w:val="auto"/>
        </w:rPr>
        <w:t>‑</w:t>
      </w:r>
      <w:r>
        <w:rPr>
          <w:rFonts w:ascii="Arial" w:cs="Arial" w:eastAsia="Arial" w:hAnsi="Arial"/>
          <w:sz w:val="18"/>
          <w:szCs w:val="18"/>
          <w:color w:val="auto"/>
        </w:rPr>
        <w:t>commencement communications pursuant to Rule 13e</w:t>
      </w:r>
      <w:r>
        <w:rPr>
          <w:rFonts w:ascii="MS PGothic" w:cs="MS PGothic" w:eastAsia="MS PGothic" w:hAnsi="MS PGothic"/>
          <w:sz w:val="18"/>
          <w:szCs w:val="18"/>
          <w:color w:val="auto"/>
        </w:rPr>
        <w:t>‑</w:t>
      </w:r>
      <w:r>
        <w:rPr>
          <w:rFonts w:ascii="Arial" w:cs="Arial" w:eastAsia="Arial" w:hAnsi="Arial"/>
          <w:sz w:val="18"/>
          <w:szCs w:val="18"/>
          <w:color w:val="auto"/>
        </w:rPr>
        <w:t>4(c) under the Exchange Act (17 CFR 240.13e</w:t>
      </w:r>
      <w:r>
        <w:rPr>
          <w:rFonts w:ascii="MS PGothic" w:cs="MS PGothic" w:eastAsia="MS PGothic" w:hAnsi="MS PGothic"/>
          <w:sz w:val="18"/>
          <w:szCs w:val="18"/>
          <w:color w:val="auto"/>
        </w:rPr>
        <w:t>‑</w:t>
      </w:r>
      <w:r>
        <w:rPr>
          <w:rFonts w:ascii="Arial" w:cs="Arial" w:eastAsia="Arial" w:hAnsi="Arial"/>
          <w:sz w:val="18"/>
          <w:szCs w:val="18"/>
          <w:color w:val="auto"/>
        </w:rPr>
        <w:t>4(c))</w:t>
      </w:r>
    </w:p>
    <w:p>
      <w:pPr>
        <w:spacing w:after="0" w:line="211" w:lineRule="exact"/>
        <w:rPr>
          <w:sz w:val="24"/>
          <w:szCs w:val="24"/>
          <w:color w:val="auto"/>
        </w:rPr>
      </w:pPr>
    </w:p>
    <w:p>
      <w:pPr>
        <w:spacing w:after="0" w:line="272"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 Emerging growth company x</w:t>
      </w:r>
    </w:p>
    <w:p>
      <w:pPr>
        <w:spacing w:after="0" w:line="395" w:lineRule="exact"/>
        <w:rPr>
          <w:sz w:val="24"/>
          <w:szCs w:val="24"/>
          <w:color w:val="auto"/>
        </w:rPr>
      </w:pPr>
    </w:p>
    <w:p>
      <w:pPr>
        <w:ind w:right="8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x</w:t>
      </w:r>
    </w:p>
    <w:p>
      <w:pPr>
        <w:sectPr>
          <w:pgSz w:w="11900" w:h="16838" w:orient="portrait"/>
          <w:cols w:equalWidth="0" w:num="1">
            <w:col w:w="11360"/>
          </w:cols>
          <w:pgMar w:left="240" w:top="468" w:right="299" w:bottom="1440" w:gutter="0" w:footer="0" w:header="0"/>
        </w:sectPr>
      </w:pPr>
    </w:p>
    <w:bookmarkStart w:id="1" w:name="page2"/>
    <w:bookmarkEnd w:id="1"/>
    <w:p>
      <w:pPr>
        <w:spacing w:after="0"/>
        <w:rPr>
          <w:sz w:val="20"/>
          <w:szCs w:val="20"/>
          <w:color w:val="auto"/>
        </w:rPr>
      </w:pPr>
      <w:r>
        <w:rPr>
          <w:rFonts w:ascii="Arial" w:cs="Arial" w:eastAsia="Arial" w:hAnsi="Arial"/>
          <w:sz w:val="20"/>
          <w:szCs w:val="20"/>
          <w:b w:val="1"/>
          <w:bCs w:val="1"/>
          <w:color w:val="auto"/>
        </w:rPr>
        <w:t>Item 2.02 Results of Operations and Financial Condition.</w:t>
      </w:r>
    </w:p>
    <w:p>
      <w:pPr>
        <w:spacing w:after="0" w:line="181" w:lineRule="exact"/>
        <w:rPr>
          <w:sz w:val="20"/>
          <w:szCs w:val="20"/>
          <w:color w:val="auto"/>
        </w:rPr>
      </w:pPr>
    </w:p>
    <w:p>
      <w:pPr>
        <w:spacing w:after="0" w:line="289" w:lineRule="auto"/>
        <w:rPr>
          <w:sz w:val="20"/>
          <w:szCs w:val="20"/>
          <w:color w:val="auto"/>
        </w:rPr>
      </w:pPr>
      <w:r>
        <w:rPr>
          <w:rFonts w:ascii="Arial" w:cs="Arial" w:eastAsia="Arial" w:hAnsi="Arial"/>
          <w:sz w:val="20"/>
          <w:szCs w:val="20"/>
          <w:color w:val="auto"/>
        </w:rPr>
        <w:t>On August 10, 2017, AnaptysBio, Inc. (“</w:t>
      </w:r>
      <w:r>
        <w:rPr>
          <w:rFonts w:ascii="Arial" w:cs="Arial" w:eastAsia="Arial" w:hAnsi="Arial"/>
          <w:sz w:val="20"/>
          <w:szCs w:val="20"/>
          <w:b w:val="1"/>
          <w:bCs w:val="1"/>
          <w:i w:val="1"/>
          <w:iCs w:val="1"/>
          <w:color w:val="auto"/>
        </w:rPr>
        <w:t>AnaptysBio</w:t>
      </w:r>
      <w:r>
        <w:rPr>
          <w:rFonts w:ascii="Arial" w:cs="Arial" w:eastAsia="Arial" w:hAnsi="Arial"/>
          <w:sz w:val="20"/>
          <w:szCs w:val="20"/>
          <w:color w:val="auto"/>
        </w:rPr>
        <w:t>”) issued a press release announcing its financial results for the three and six months ended June 30, 2017. A copy of the press release is attached as Exhibit 99.01 to this Current Report on Form 8-K.</w:t>
      </w:r>
    </w:p>
    <w:p>
      <w:pPr>
        <w:spacing w:after="0" w:line="121" w:lineRule="exact"/>
        <w:rPr>
          <w:sz w:val="20"/>
          <w:szCs w:val="20"/>
          <w:color w:val="auto"/>
        </w:rPr>
      </w:pPr>
    </w:p>
    <w:p>
      <w:pPr>
        <w:ind w:right="20"/>
        <w:spacing w:after="0" w:line="297" w:lineRule="auto"/>
        <w:rPr>
          <w:sz w:val="20"/>
          <w:szCs w:val="20"/>
          <w:color w:val="auto"/>
        </w:rPr>
      </w:pPr>
      <w:r>
        <w:rPr>
          <w:rFonts w:ascii="Arial" w:cs="Arial" w:eastAsia="Arial" w:hAnsi="Arial"/>
          <w:sz w:val="18"/>
          <w:szCs w:val="18"/>
          <w:color w:val="auto"/>
        </w:rPr>
        <w:t>The information in this Item 2.02, including Exhibit 99.01 to this Current Report on Form 8-K, shall not be deemed to be “filed” for purposes of Section 18 of the Securities Exchange Act of 1934, as amended, or otherwise subject to the liabilities of that section or Sections 11 and 12(a)</w:t>
      </w:r>
    </w:p>
    <w:p>
      <w:pPr>
        <w:spacing w:after="0" w:line="1" w:lineRule="exact"/>
        <w:rPr>
          <w:sz w:val="20"/>
          <w:szCs w:val="20"/>
          <w:color w:val="auto"/>
        </w:rPr>
      </w:pPr>
    </w:p>
    <w:p>
      <w:pPr>
        <w:ind w:right="120" w:firstLine="8"/>
        <w:spacing w:after="0" w:line="273" w:lineRule="auto"/>
        <w:tabs>
          <w:tab w:leader="none" w:pos="280" w:val="left"/>
        </w:tabs>
        <w:numPr>
          <w:ilvl w:val="0"/>
          <w:numId w:val="1"/>
        </w:numPr>
        <w:rPr>
          <w:rFonts w:ascii="Arial" w:cs="Arial" w:eastAsia="Arial" w:hAnsi="Arial"/>
          <w:sz w:val="20"/>
          <w:szCs w:val="20"/>
          <w:color w:val="auto"/>
        </w:rPr>
      </w:pPr>
      <w:r>
        <w:rPr>
          <w:rFonts w:ascii="Arial" w:cs="Arial" w:eastAsia="Arial" w:hAnsi="Arial"/>
          <w:sz w:val="20"/>
          <w:szCs w:val="20"/>
          <w:color w:val="auto"/>
        </w:rPr>
        <w:t>of the Securities Act of 1933, as amended. The information contained in this Item 2.02 and in the accompanying Exhibit 99.01 shall not be incorporated by reference into any registration statement or other document filed by AnaptysBio with the Securities and Exchange Commission, whether made before or after the date of this Current Report on Form 8-K, regardless of any general incorporation language in such filing (or any reference to this Current Report on Form 8-K generally), except as shall be expressly set forth by specific reference in such filing.</w:t>
      </w:r>
    </w:p>
    <w:p>
      <w:pPr>
        <w:spacing w:after="0" w:line="11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9.01 Financial Statements and Exhibits.</w:t>
      </w:r>
    </w:p>
    <w:p>
      <w:pPr>
        <w:spacing w:after="0" w:line="168" w:lineRule="exact"/>
        <w:rPr>
          <w:sz w:val="20"/>
          <w:szCs w:val="20"/>
          <w:color w:val="auto"/>
        </w:rPr>
      </w:pPr>
    </w:p>
    <w:p>
      <w:pPr>
        <w:spacing w:after="0"/>
        <w:rPr>
          <w:sz w:val="20"/>
          <w:szCs w:val="20"/>
          <w:color w:val="auto"/>
        </w:rPr>
      </w:pPr>
      <w:r>
        <w:rPr>
          <w:rFonts w:ascii="Arial" w:cs="Arial" w:eastAsia="Arial" w:hAnsi="Arial"/>
          <w:sz w:val="20"/>
          <w:szCs w:val="20"/>
          <w:color w:val="auto"/>
        </w:rPr>
        <w:t>(d) Exhibits.</w:t>
      </w:r>
    </w:p>
    <w:p>
      <w:pPr>
        <w:spacing w:after="0" w:line="243" w:lineRule="exact"/>
        <w:rPr>
          <w:sz w:val="20"/>
          <w:szCs w:val="20"/>
          <w:color w:val="auto"/>
        </w:rPr>
      </w:pPr>
    </w:p>
    <w:tbl>
      <w:tblPr>
        <w:tblLayout w:type="fixed"/>
        <w:tblInd w:w="40" w:type="dxa"/>
        <w:tblCellMar>
          <w:top w:w="0" w:type="dxa"/>
          <w:left w:w="0" w:type="dxa"/>
          <w:bottom w:w="0" w:type="dxa"/>
          <w:right w:w="0" w:type="dxa"/>
        </w:tblCellMar>
      </w:tblPr>
      <w:tr>
        <w:trPr>
          <w:trHeight w:val="243"/>
        </w:trPr>
        <w:tc>
          <w:tcPr>
            <w:tcW w:w="900" w:type="dxa"/>
            <w:vAlign w:val="bottom"/>
          </w:tcPr>
          <w:p>
            <w:pPr>
              <w:jc w:val="right"/>
              <w:ind w:right="361"/>
              <w:spacing w:after="0"/>
              <w:rPr>
                <w:sz w:val="20"/>
                <w:szCs w:val="20"/>
                <w:color w:val="auto"/>
              </w:rPr>
            </w:pPr>
            <w:r>
              <w:rPr>
                <w:rFonts w:ascii="Arial" w:cs="Arial" w:eastAsia="Arial" w:hAnsi="Arial"/>
                <w:sz w:val="20"/>
                <w:szCs w:val="20"/>
                <w:color w:val="auto"/>
                <w:w w:val="83"/>
              </w:rPr>
              <w:t>99.01</w:t>
            </w:r>
          </w:p>
        </w:tc>
        <w:tc>
          <w:tcPr>
            <w:tcW w:w="10100" w:type="dxa"/>
            <w:vAlign w:val="bottom"/>
          </w:tcPr>
          <w:p>
            <w:pPr>
              <w:ind w:left="480"/>
              <w:spacing w:after="0"/>
              <w:rPr>
                <w:sz w:val="20"/>
                <w:szCs w:val="20"/>
                <w:color w:val="auto"/>
              </w:rPr>
            </w:pPr>
            <w:r>
              <w:rPr>
                <w:rFonts w:ascii="Arial" w:cs="Arial" w:eastAsia="Arial" w:hAnsi="Arial"/>
                <w:sz w:val="20"/>
                <w:szCs w:val="20"/>
                <w:color w:val="auto"/>
                <w:w w:val="88"/>
              </w:rPr>
              <w:t>Press release issued by AnaptysBio regarding its financial results for the three and six months ended June 30, 2017, dated</w:t>
            </w:r>
          </w:p>
        </w:tc>
      </w:tr>
      <w:tr>
        <w:trPr>
          <w:trHeight w:val="250"/>
        </w:trPr>
        <w:tc>
          <w:tcPr>
            <w:tcW w:w="900" w:type="dxa"/>
            <w:vAlign w:val="bottom"/>
          </w:tcPr>
          <w:p>
            <w:pPr>
              <w:spacing w:after="0"/>
              <w:rPr>
                <w:sz w:val="21"/>
                <w:szCs w:val="21"/>
                <w:color w:val="auto"/>
              </w:rPr>
            </w:pPr>
          </w:p>
        </w:tc>
        <w:tc>
          <w:tcPr>
            <w:tcW w:w="10100" w:type="dxa"/>
            <w:vAlign w:val="bottom"/>
          </w:tcPr>
          <w:p>
            <w:pPr>
              <w:ind w:left="480"/>
              <w:spacing w:after="0"/>
              <w:rPr>
                <w:sz w:val="20"/>
                <w:szCs w:val="20"/>
                <w:color w:val="auto"/>
              </w:rPr>
            </w:pPr>
            <w:r>
              <w:rPr>
                <w:rFonts w:ascii="Arial" w:cs="Arial" w:eastAsia="Arial" w:hAnsi="Arial"/>
                <w:sz w:val="20"/>
                <w:szCs w:val="20"/>
                <w:color w:val="auto"/>
              </w:rPr>
              <w:t>August 10, 2017.</w:t>
            </w:r>
          </w:p>
        </w:tc>
      </w:tr>
    </w:tbl>
    <w:p>
      <w:pPr>
        <w:sectPr>
          <w:pgSz w:w="11900" w:h="16838" w:orient="portrait"/>
          <w:cols w:equalWidth="0" w:num="1">
            <w:col w:w="11400"/>
          </w:cols>
          <w:pgMar w:left="240" w:top="441" w:right="259" w:bottom="1440" w:gutter="0" w:footer="0" w:header="0"/>
        </w:sectPr>
      </w:pPr>
    </w:p>
    <w:bookmarkStart w:id="2" w:name="page3"/>
    <w:bookmarkEnd w:id="2"/>
    <w:p>
      <w:pPr>
        <w:jc w:val="center"/>
        <w:ind w:right="-119"/>
        <w:spacing w:after="0"/>
        <w:rPr>
          <w:sz w:val="20"/>
          <w:szCs w:val="20"/>
          <w:color w:val="auto"/>
        </w:rPr>
      </w:pPr>
      <w:r>
        <w:rPr>
          <w:rFonts w:ascii="Arial" w:cs="Arial" w:eastAsia="Arial" w:hAnsi="Arial"/>
          <w:sz w:val="20"/>
          <w:szCs w:val="20"/>
          <w:b w:val="1"/>
          <w:bCs w:val="1"/>
          <w:color w:val="auto"/>
        </w:rPr>
        <w:t>SIGNATURES</w:t>
      </w:r>
    </w:p>
    <w:p>
      <w:pPr>
        <w:spacing w:after="0" w:line="316"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20" w:lineRule="exact"/>
        <w:rPr>
          <w:sz w:val="20"/>
          <w:szCs w:val="20"/>
          <w:color w:val="auto"/>
        </w:rPr>
      </w:pPr>
    </w:p>
    <w:p>
      <w:pPr>
        <w:ind w:left="4660"/>
        <w:spacing w:after="0"/>
        <w:rPr>
          <w:sz w:val="20"/>
          <w:szCs w:val="20"/>
          <w:color w:val="auto"/>
        </w:rPr>
      </w:pPr>
      <w:r>
        <w:rPr>
          <w:rFonts w:ascii="Arial" w:cs="Arial" w:eastAsia="Arial" w:hAnsi="Arial"/>
          <w:sz w:val="20"/>
          <w:szCs w:val="20"/>
          <w:color w:val="auto"/>
        </w:rPr>
        <w:t>AnaptysBio, Inc.</w:t>
      </w:r>
    </w:p>
    <w:p>
      <w:pPr>
        <w:spacing w:after="0" w:line="200" w:lineRule="exact"/>
        <w:rPr>
          <w:sz w:val="20"/>
          <w:szCs w:val="20"/>
          <w:color w:val="auto"/>
        </w:rPr>
      </w:pPr>
    </w:p>
    <w:p>
      <w:pPr>
        <w:spacing w:after="0" w:line="259" w:lineRule="exact"/>
        <w:rPr>
          <w:sz w:val="20"/>
          <w:szCs w:val="20"/>
          <w:color w:val="auto"/>
        </w:rPr>
      </w:pPr>
    </w:p>
    <w:p>
      <w:pPr>
        <w:spacing w:after="0"/>
        <w:tabs>
          <w:tab w:leader="none" w:pos="2760" w:val="left"/>
          <w:tab w:leader="none" w:pos="3260" w:val="left"/>
        </w:tabs>
        <w:rPr>
          <w:sz w:val="20"/>
          <w:szCs w:val="20"/>
          <w:color w:val="auto"/>
        </w:rPr>
      </w:pPr>
      <w:r>
        <w:rPr>
          <w:rFonts w:ascii="Arial" w:cs="Arial" w:eastAsia="Arial" w:hAnsi="Arial"/>
          <w:sz w:val="20"/>
          <w:szCs w:val="20"/>
          <w:color w:val="auto"/>
        </w:rPr>
        <w:t>Date: August 10, 2017</w:t>
      </w:r>
      <w:r>
        <w:rPr>
          <w:sz w:val="20"/>
          <w:szCs w:val="20"/>
          <w:color w:val="auto"/>
        </w:rPr>
        <w:tab/>
      </w:r>
      <w:r>
        <w:rPr>
          <w:rFonts w:ascii="Arial" w:cs="Arial" w:eastAsia="Arial" w:hAnsi="Arial"/>
          <w:sz w:val="20"/>
          <w:szCs w:val="20"/>
          <w:color w:val="auto"/>
        </w:rPr>
        <w:t>By:</w:t>
      </w:r>
      <w:r>
        <w:rPr>
          <w:sz w:val="20"/>
          <w:szCs w:val="20"/>
          <w:color w:val="auto"/>
        </w:rPr>
        <w:tab/>
      </w:r>
      <w:r>
        <w:rPr>
          <w:rFonts w:ascii="Arial" w:cs="Arial" w:eastAsia="Arial" w:hAnsi="Arial"/>
          <w:sz w:val="18"/>
          <w:szCs w:val="18"/>
          <w:color w:val="auto"/>
        </w:rPr>
        <w:t>/s/ Dominic Piscitelli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2078990</wp:posOffset>
            </wp:positionH>
            <wp:positionV relativeFrom="paragraph">
              <wp:posOffset>-14605</wp:posOffset>
            </wp:positionV>
            <wp:extent cx="143827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38275" cy="8890"/>
                    </a:xfrm>
                    <a:prstGeom prst="rect">
                      <a:avLst/>
                    </a:prstGeom>
                    <a:noFill/>
                  </pic:spPr>
                </pic:pic>
              </a:graphicData>
            </a:graphic>
          </wp:anchor>
        </w:drawing>
      </w:r>
    </w:p>
    <w:p>
      <w:pPr>
        <w:spacing w:after="0" w:line="209" w:lineRule="exact"/>
        <w:rPr>
          <w:sz w:val="20"/>
          <w:szCs w:val="20"/>
          <w:color w:val="auto"/>
        </w:rPr>
      </w:pPr>
    </w:p>
    <w:p>
      <w:pPr>
        <w:ind w:left="4540"/>
        <w:spacing w:after="0"/>
        <w:rPr>
          <w:sz w:val="20"/>
          <w:szCs w:val="20"/>
          <w:color w:val="auto"/>
        </w:rPr>
      </w:pPr>
      <w:r>
        <w:rPr>
          <w:rFonts w:ascii="Arial" w:cs="Arial" w:eastAsia="Arial" w:hAnsi="Arial"/>
          <w:sz w:val="20"/>
          <w:szCs w:val="20"/>
          <w:color w:val="auto"/>
        </w:rPr>
        <w:t>Name: Dominic Piscitelli</w:t>
      </w:r>
    </w:p>
    <w:p>
      <w:pPr>
        <w:spacing w:after="0" w:line="16" w:lineRule="exact"/>
        <w:rPr>
          <w:sz w:val="20"/>
          <w:szCs w:val="20"/>
          <w:color w:val="auto"/>
        </w:rPr>
      </w:pPr>
    </w:p>
    <w:p>
      <w:pPr>
        <w:ind w:left="4540"/>
        <w:spacing w:after="0"/>
        <w:rPr>
          <w:sz w:val="20"/>
          <w:szCs w:val="20"/>
          <w:color w:val="auto"/>
        </w:rPr>
      </w:pPr>
      <w:r>
        <w:rPr>
          <w:rFonts w:ascii="Arial" w:cs="Arial" w:eastAsia="Arial" w:hAnsi="Arial"/>
          <w:sz w:val="20"/>
          <w:szCs w:val="20"/>
          <w:color w:val="auto"/>
        </w:rPr>
        <w:t>Title: Chief Financial Officer</w:t>
      </w:r>
    </w:p>
    <w:p>
      <w:pPr>
        <w:sectPr>
          <w:pgSz w:w="11900" w:h="16838" w:orient="portrait"/>
          <w:cols w:equalWidth="0" w:num="1">
            <w:col w:w="11300"/>
          </w:cols>
          <w:pgMar w:left="240" w:top="441" w:right="35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56"/>
        </w:trPr>
        <w:tc>
          <w:tcPr>
            <w:tcW w:w="6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700" w:type="dxa"/>
            <w:vAlign w:val="bottom"/>
          </w:tcPr>
          <w:p>
            <w:pPr>
              <w:ind w:left="2600"/>
              <w:spacing w:after="0"/>
              <w:rPr>
                <w:sz w:val="20"/>
                <w:szCs w:val="20"/>
                <w:color w:val="auto"/>
              </w:rPr>
            </w:pPr>
            <w:r>
              <w:rPr>
                <w:rFonts w:ascii="Arial" w:cs="Arial" w:eastAsia="Arial" w:hAnsi="Arial"/>
                <w:sz w:val="20"/>
                <w:szCs w:val="20"/>
                <w:b w:val="1"/>
                <w:bCs w:val="1"/>
                <w:color w:val="auto"/>
              </w:rPr>
              <w:t>EXHIBIT INDEX</w:t>
            </w:r>
          </w:p>
        </w:tc>
      </w:tr>
      <w:tr>
        <w:trPr>
          <w:trHeight w:val="577"/>
        </w:trPr>
        <w:tc>
          <w:tcPr>
            <w:tcW w:w="1380" w:type="dxa"/>
            <w:vAlign w:val="bottom"/>
            <w:gridSpan w:val="2"/>
          </w:tcPr>
          <w:p>
            <w:pPr>
              <w:spacing w:after="0"/>
              <w:rPr>
                <w:sz w:val="20"/>
                <w:szCs w:val="20"/>
                <w:color w:val="auto"/>
              </w:rPr>
            </w:pPr>
            <w:r>
              <w:rPr>
                <w:rFonts w:ascii="Arial" w:cs="Arial" w:eastAsia="Arial" w:hAnsi="Arial"/>
                <w:sz w:val="20"/>
                <w:szCs w:val="20"/>
                <w:color w:val="auto"/>
              </w:rPr>
              <w:t>Number</w:t>
            </w:r>
          </w:p>
        </w:tc>
        <w:tc>
          <w:tcPr>
            <w:tcW w:w="9620" w:type="dxa"/>
            <w:vAlign w:val="bottom"/>
            <w:gridSpan w:val="2"/>
          </w:tcPr>
          <w:p>
            <w:pPr>
              <w:spacing w:after="0"/>
              <w:rPr>
                <w:sz w:val="20"/>
                <w:szCs w:val="20"/>
                <w:color w:val="auto"/>
              </w:rPr>
            </w:pPr>
            <w:r>
              <w:rPr>
                <w:rFonts w:ascii="Arial" w:cs="Arial" w:eastAsia="Arial" w:hAnsi="Arial"/>
                <w:sz w:val="20"/>
                <w:szCs w:val="20"/>
                <w:color w:val="auto"/>
              </w:rPr>
              <w:t>Description</w:t>
            </w:r>
          </w:p>
        </w:tc>
      </w:tr>
      <w:tr>
        <w:trPr>
          <w:trHeight w:val="20"/>
        </w:trPr>
        <w:tc>
          <w:tcPr>
            <w:tcW w:w="64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8700" w:type="dxa"/>
            <w:vAlign w:val="bottom"/>
          </w:tcPr>
          <w:p>
            <w:pPr>
              <w:spacing w:after="0" w:line="20" w:lineRule="exact"/>
              <w:rPr>
                <w:sz w:val="1"/>
                <w:szCs w:val="1"/>
                <w:color w:val="auto"/>
              </w:rPr>
            </w:pPr>
          </w:p>
        </w:tc>
      </w:tr>
      <w:tr>
        <w:trPr>
          <w:trHeight w:val="436"/>
        </w:trPr>
        <w:tc>
          <w:tcPr>
            <w:tcW w:w="640" w:type="dxa"/>
            <w:vAlign w:val="bottom"/>
          </w:tcPr>
          <w:p>
            <w:pPr>
              <w:spacing w:after="0"/>
              <w:rPr>
                <w:sz w:val="20"/>
                <w:szCs w:val="20"/>
                <w:color w:val="auto"/>
              </w:rPr>
            </w:pPr>
            <w:r>
              <w:rPr>
                <w:rFonts w:ascii="Arial" w:cs="Arial" w:eastAsia="Arial" w:hAnsi="Arial"/>
                <w:sz w:val="20"/>
                <w:szCs w:val="20"/>
                <w:color w:val="auto"/>
              </w:rPr>
              <w:t>99.01</w:t>
            </w:r>
          </w:p>
        </w:tc>
        <w:tc>
          <w:tcPr>
            <w:tcW w:w="740" w:type="dxa"/>
            <w:vAlign w:val="bottom"/>
          </w:tcPr>
          <w:p>
            <w:pPr>
              <w:spacing w:after="0"/>
              <w:rPr>
                <w:sz w:val="24"/>
                <w:szCs w:val="24"/>
                <w:color w:val="auto"/>
              </w:rPr>
            </w:pPr>
          </w:p>
        </w:tc>
        <w:tc>
          <w:tcPr>
            <w:tcW w:w="9620" w:type="dxa"/>
            <w:vAlign w:val="bottom"/>
            <w:gridSpan w:val="2"/>
          </w:tcPr>
          <w:p>
            <w:pPr>
              <w:spacing w:after="0"/>
              <w:rPr>
                <w:sz w:val="20"/>
                <w:szCs w:val="20"/>
                <w:color w:val="auto"/>
              </w:rPr>
            </w:pPr>
            <w:r>
              <w:rPr>
                <w:rFonts w:ascii="Arial" w:cs="Arial" w:eastAsia="Arial" w:hAnsi="Arial"/>
                <w:sz w:val="20"/>
                <w:szCs w:val="20"/>
                <w:color w:val="auto"/>
                <w:w w:val="88"/>
              </w:rPr>
              <w:t>Press release issued by AnaptysBio regarding its financial results for the three and six months ended June 30, 2017, dated</w:t>
            </w:r>
          </w:p>
        </w:tc>
      </w:tr>
      <w:tr>
        <w:trPr>
          <w:trHeight w:val="250"/>
        </w:trPr>
        <w:tc>
          <w:tcPr>
            <w:tcW w:w="6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9620" w:type="dxa"/>
            <w:vAlign w:val="bottom"/>
            <w:gridSpan w:val="2"/>
          </w:tcPr>
          <w:p>
            <w:pPr>
              <w:spacing w:after="0"/>
              <w:rPr>
                <w:sz w:val="20"/>
                <w:szCs w:val="20"/>
                <w:color w:val="auto"/>
              </w:rPr>
            </w:pPr>
            <w:r>
              <w:rPr>
                <w:rFonts w:ascii="Arial" w:cs="Arial" w:eastAsia="Arial" w:hAnsi="Arial"/>
                <w:sz w:val="20"/>
                <w:szCs w:val="20"/>
                <w:color w:val="auto"/>
              </w:rPr>
              <w:t>August 10, 2017.</w:t>
            </w:r>
          </w:p>
        </w:tc>
      </w:tr>
    </w:tbl>
    <w:p>
      <w:pPr>
        <w:sectPr>
          <w:pgSz w:w="11900" w:h="16838" w:orient="portrait"/>
          <w:cols w:equalWidth="0" w:num="1">
            <w:col w:w="11000"/>
          </w:cols>
          <w:pgMar w:left="280" w:top="360" w:right="619" w:bottom="1440" w:gutter="0" w:footer="0" w:header="0"/>
        </w:sectPr>
      </w:pPr>
    </w:p>
    <w:bookmarkStart w:id="4" w:name="page5"/>
    <w:bookmarkEnd w:id="4"/>
    <w:p>
      <w:pPr>
        <w:jc w:val="center"/>
        <w:ind w:left="320" w:right="160"/>
        <w:spacing w:after="0" w:line="304" w:lineRule="auto"/>
        <w:rPr>
          <w:sz w:val="20"/>
          <w:szCs w:val="20"/>
          <w:color w:val="auto"/>
        </w:rPr>
      </w:pPr>
      <w:r>
        <w:rPr>
          <w:rFonts w:ascii="Arial" w:cs="Arial" w:eastAsia="Arial" w:hAnsi="Arial"/>
          <w:sz w:val="25"/>
          <w:szCs w:val="25"/>
          <w:b w:val="1"/>
          <w:bCs w:val="1"/>
          <w:color w:val="auto"/>
        </w:rPr>
        <w:t>ANAPTYSBIO ANNOUNCES SECOND QUARTER 2017 FINANCIAL RESULTS AND PROVIDES PIPELINE UPDATES</w:t>
      </w:r>
    </w:p>
    <w:p>
      <w:pPr>
        <w:spacing w:after="0" w:line="111" w:lineRule="exact"/>
        <w:rPr>
          <w:sz w:val="20"/>
          <w:szCs w:val="20"/>
          <w:color w:val="auto"/>
        </w:rPr>
      </w:pPr>
    </w:p>
    <w:p>
      <w:pPr>
        <w:jc w:val="center"/>
        <w:ind w:right="-79"/>
        <w:spacing w:after="0"/>
        <w:rPr>
          <w:sz w:val="20"/>
          <w:szCs w:val="20"/>
          <w:color w:val="auto"/>
        </w:rPr>
      </w:pPr>
      <w:r>
        <w:rPr>
          <w:rFonts w:ascii="Arial" w:cs="Arial" w:eastAsia="Arial" w:hAnsi="Arial"/>
          <w:sz w:val="22"/>
          <w:szCs w:val="22"/>
          <w:i w:val="1"/>
          <w:iCs w:val="1"/>
          <w:color w:val="auto"/>
        </w:rPr>
        <w:t>Enrollment Completed in ANB020 Phase 2a Trial for Atopic Dermatitis</w:t>
      </w:r>
    </w:p>
    <w:p>
      <w:pPr>
        <w:spacing w:after="0" w:line="247" w:lineRule="exact"/>
        <w:rPr>
          <w:sz w:val="20"/>
          <w:szCs w:val="20"/>
          <w:color w:val="auto"/>
        </w:rPr>
      </w:pPr>
    </w:p>
    <w:p>
      <w:pPr>
        <w:jc w:val="center"/>
        <w:ind w:right="-79"/>
        <w:spacing w:after="0"/>
        <w:rPr>
          <w:sz w:val="20"/>
          <w:szCs w:val="20"/>
          <w:color w:val="auto"/>
        </w:rPr>
      </w:pPr>
      <w:r>
        <w:rPr>
          <w:rFonts w:ascii="Arial" w:cs="Arial" w:eastAsia="Arial" w:hAnsi="Arial"/>
          <w:sz w:val="22"/>
          <w:szCs w:val="22"/>
          <w:i w:val="1"/>
          <w:iCs w:val="1"/>
          <w:color w:val="auto"/>
        </w:rPr>
        <w:t>Multiple Top-Line Clinical Data Readouts Expected in Second Half of 2017</w:t>
      </w:r>
    </w:p>
    <w:p>
      <w:pPr>
        <w:spacing w:after="0" w:line="245" w:lineRule="exact"/>
        <w:rPr>
          <w:sz w:val="20"/>
          <w:szCs w:val="20"/>
          <w:color w:val="auto"/>
        </w:rPr>
      </w:pPr>
    </w:p>
    <w:p>
      <w:pPr>
        <w:ind w:right="280"/>
        <w:spacing w:after="0" w:line="281" w:lineRule="auto"/>
        <w:rPr>
          <w:sz w:val="20"/>
          <w:szCs w:val="20"/>
          <w:color w:val="auto"/>
        </w:rPr>
      </w:pPr>
      <w:r>
        <w:rPr>
          <w:rFonts w:ascii="Arial" w:cs="Arial" w:eastAsia="Arial" w:hAnsi="Arial"/>
          <w:sz w:val="20"/>
          <w:szCs w:val="20"/>
          <w:b w:val="1"/>
          <w:bCs w:val="1"/>
          <w:color w:val="auto"/>
        </w:rPr>
        <w:t>SAN DIEGO</w:t>
      </w:r>
      <w:r>
        <w:rPr>
          <w:rFonts w:ascii="Arial" w:cs="Arial" w:eastAsia="Arial" w:hAnsi="Arial"/>
          <w:sz w:val="20"/>
          <w:szCs w:val="20"/>
          <w:color w:val="auto"/>
        </w:rPr>
        <w:t>, August 10, 2017 - AnaptysBio, Inc. (Nasdaq: ANAB), a clinical-stage biotechnology company developing first-in-class</w:t>
      </w:r>
      <w:r>
        <w:rPr>
          <w:rFonts w:ascii="Arial" w:cs="Arial" w:eastAsia="Arial" w:hAnsi="Arial"/>
          <w:sz w:val="20"/>
          <w:szCs w:val="20"/>
          <w:b w:val="1"/>
          <w:bCs w:val="1"/>
          <w:color w:val="auto"/>
        </w:rPr>
        <w:t xml:space="preserve"> </w:t>
      </w:r>
      <w:r>
        <w:rPr>
          <w:rFonts w:ascii="Arial" w:cs="Arial" w:eastAsia="Arial" w:hAnsi="Arial"/>
          <w:sz w:val="20"/>
          <w:szCs w:val="20"/>
          <w:color w:val="auto"/>
        </w:rPr>
        <w:t>antibody product candidates focused on unmet medical needs in inflammation, today provided pipeline updates and reported second quarter 2017 financial results.</w:t>
      </w:r>
    </w:p>
    <w:p>
      <w:pPr>
        <w:spacing w:after="0" w:line="225" w:lineRule="exact"/>
        <w:rPr>
          <w:sz w:val="20"/>
          <w:szCs w:val="20"/>
          <w:color w:val="auto"/>
        </w:rPr>
      </w:pPr>
    </w:p>
    <w:p>
      <w:pPr>
        <w:ind w:right="40"/>
        <w:spacing w:after="0" w:line="271" w:lineRule="auto"/>
        <w:rPr>
          <w:sz w:val="20"/>
          <w:szCs w:val="20"/>
          <w:color w:val="auto"/>
        </w:rPr>
      </w:pPr>
      <w:r>
        <w:rPr>
          <w:rFonts w:ascii="Arial" w:cs="Arial" w:eastAsia="Arial" w:hAnsi="Arial"/>
          <w:sz w:val="20"/>
          <w:szCs w:val="20"/>
          <w:color w:val="auto"/>
        </w:rPr>
        <w:t>“Throughout the first half of 2017, we made significant progress in the clinical development of our wholly-owned ANB020 and ANB019 clinical development programs, which are first-in-class antibody therapeutics for patients with severe inflammatory conditions,” said Hamza Suria, president and chief executive officer of AnaptysBio. “We are pleased to have completed enrollment in our ANB020 Phase 2a clinical trial for atopic dermatitis, and that enrollment is well underway in both our ANB020 Phase 2a trial in peanut allergy and ANB019 Phase 1 trial in healthy volunteers. We anticipate reporting top-line data from our atopic dermatitis trial before reporting top-line data from our peanut allergy study. The second half of the year is poised to be a catalyst-rich period, and we look forward to clinical data announcements from our ANB020 and ANB019 programs.”</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Pipeline and Business Highlights</w:t>
      </w:r>
    </w:p>
    <w:p>
      <w:pPr>
        <w:spacing w:after="0" w:line="289"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ANB020 (Anti-IL-33 Program)</w:t>
      </w:r>
    </w:p>
    <w:p>
      <w:pPr>
        <w:spacing w:after="0" w:line="27" w:lineRule="exact"/>
        <w:rPr>
          <w:sz w:val="20"/>
          <w:szCs w:val="20"/>
          <w:color w:val="auto"/>
        </w:rPr>
      </w:pPr>
    </w:p>
    <w:p>
      <w:pPr>
        <w:ind w:left="660" w:hanging="328"/>
        <w:spacing w:after="0" w:line="297"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Completed enrollment in the ongoing Phase 2a clinical trial in 12 adult patients with moderate-to-severe atopic dermatitis with top-line results, including an assessment of the Eczema Area and Severity Index (EASI) score, expected in the second half of 2017.</w:t>
      </w:r>
    </w:p>
    <w:p>
      <w:pPr>
        <w:jc w:val="both"/>
        <w:ind w:left="660" w:right="180" w:hanging="328"/>
        <w:spacing w:after="0" w:line="267" w:lineRule="auto"/>
        <w:tabs>
          <w:tab w:leader="none" w:pos="660" w:val="left"/>
        </w:tabs>
        <w:numPr>
          <w:ilvl w:val="0"/>
          <w:numId w:val="2"/>
        </w:numPr>
        <w:rPr>
          <w:rFonts w:ascii="Arial" w:cs="Arial" w:eastAsia="Arial" w:hAnsi="Arial"/>
          <w:sz w:val="20"/>
          <w:szCs w:val="20"/>
          <w:color w:val="auto"/>
        </w:rPr>
      </w:pPr>
      <w:r>
        <w:rPr>
          <w:rFonts w:ascii="Arial" w:cs="Arial" w:eastAsia="Arial" w:hAnsi="Arial"/>
          <w:sz w:val="20"/>
          <w:szCs w:val="20"/>
          <w:color w:val="auto"/>
        </w:rPr>
        <w:t>Continued enrollment in the ongoing Phase 2a double-blinded, placebo-controlled trial assessing the tolerance of oral food challenge before and after administration of a single dose of ANB020 or placebo in a total of 20 adult patients with severe peanut allergy, with top-line results expected in the second half of 2017.</w:t>
      </w:r>
    </w:p>
    <w:p>
      <w:pPr>
        <w:spacing w:after="0" w:line="2" w:lineRule="exact"/>
        <w:rPr>
          <w:rFonts w:ascii="Arial" w:cs="Arial" w:eastAsia="Arial" w:hAnsi="Arial"/>
          <w:sz w:val="20"/>
          <w:szCs w:val="20"/>
          <w:color w:val="auto"/>
        </w:rPr>
      </w:pPr>
    </w:p>
    <w:p>
      <w:pPr>
        <w:ind w:left="660" w:right="180" w:hanging="328"/>
        <w:spacing w:after="0" w:line="274" w:lineRule="auto"/>
        <w:tabs>
          <w:tab w:leader="none" w:pos="660" w:val="left"/>
        </w:tabs>
        <w:numPr>
          <w:ilvl w:val="0"/>
          <w:numId w:val="2"/>
        </w:numPr>
        <w:rPr>
          <w:rFonts w:ascii="Arial" w:cs="Arial" w:eastAsia="Arial" w:hAnsi="Arial"/>
          <w:sz w:val="20"/>
          <w:szCs w:val="20"/>
          <w:color w:val="auto"/>
        </w:rPr>
      </w:pPr>
      <w:r>
        <w:rPr>
          <w:rFonts w:ascii="Arial" w:cs="Arial" w:eastAsia="Arial" w:hAnsi="Arial"/>
          <w:sz w:val="20"/>
          <w:szCs w:val="20"/>
          <w:color w:val="auto"/>
        </w:rPr>
        <w:t>Received clearance from the U.K. Medicines &amp; Healthcare products Regulatory Agency to proceed with a double-blinded, placebo-controlled Phase 2a trial in 24 adult patients with severe eosinophilic asthma, with top-line results, including a Forced Expiratory Volume in One Second (FEV1) assessment of patients administered a single dose of ANB020 or placebo, expected in the first half of 2018.</w:t>
      </w:r>
    </w:p>
    <w:p>
      <w:pPr>
        <w:spacing w:after="0" w:line="233"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ANB019 (Anti-IL-36 Receptor Program)</w:t>
      </w:r>
    </w:p>
    <w:p>
      <w:pPr>
        <w:spacing w:after="0" w:line="27" w:lineRule="exact"/>
        <w:rPr>
          <w:sz w:val="20"/>
          <w:szCs w:val="20"/>
          <w:color w:val="auto"/>
        </w:rPr>
      </w:pPr>
    </w:p>
    <w:p>
      <w:pPr>
        <w:ind w:left="660" w:right="540" w:hanging="328"/>
        <w:spacing w:after="0" w:line="29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Continued enrollment in the Phase 1 clinical trial in healthy volunteers in Australia evaluating single and multiple doses through subcutaneous and intravenous routes of administration with top-line results expected during the second half of 2017.</w:t>
      </w:r>
    </w:p>
    <w:p>
      <w:pPr>
        <w:ind w:left="660" w:right="160" w:hanging="328"/>
        <w:spacing w:after="0" w:line="289" w:lineRule="auto"/>
        <w:tabs>
          <w:tab w:leader="none" w:pos="660" w:val="left"/>
        </w:tabs>
        <w:numPr>
          <w:ilvl w:val="0"/>
          <w:numId w:val="3"/>
        </w:numPr>
        <w:rPr>
          <w:rFonts w:ascii="Arial" w:cs="Arial" w:eastAsia="Arial" w:hAnsi="Arial"/>
          <w:sz w:val="20"/>
          <w:szCs w:val="20"/>
          <w:color w:val="auto"/>
        </w:rPr>
      </w:pPr>
      <w:r>
        <w:rPr>
          <w:rFonts w:ascii="Arial" w:cs="Arial" w:eastAsia="Arial" w:hAnsi="Arial"/>
          <w:sz w:val="20"/>
          <w:szCs w:val="20"/>
          <w:color w:val="auto"/>
        </w:rPr>
        <w:t>On-track to initiate Phase 2 studies in 2018 for the treatment of two orphan inflammatory diseases, generalized pustular psoriasis and palmo-plantar pustular psoriasis.</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TESARO Partnership Updates</w:t>
      </w:r>
    </w:p>
    <w:p>
      <w:pPr>
        <w:spacing w:after="0" w:line="27" w:lineRule="exact"/>
        <w:rPr>
          <w:sz w:val="20"/>
          <w:szCs w:val="20"/>
          <w:color w:val="auto"/>
        </w:rPr>
      </w:pPr>
    </w:p>
    <w:p>
      <w:pPr>
        <w:ind w:left="660" w:right="240" w:hanging="328"/>
        <w:spacing w:after="0" w:line="267" w:lineRule="auto"/>
        <w:tabs>
          <w:tab w:leader="none" w:pos="660" w:val="left"/>
        </w:tabs>
        <w:numPr>
          <w:ilvl w:val="0"/>
          <w:numId w:val="4"/>
        </w:numPr>
        <w:rPr>
          <w:rFonts w:ascii="Arial" w:cs="Arial" w:eastAsia="Arial" w:hAnsi="Arial"/>
          <w:sz w:val="20"/>
          <w:szCs w:val="20"/>
          <w:i w:val="1"/>
          <w:iCs w:val="1"/>
          <w:color w:val="auto"/>
        </w:rPr>
      </w:pPr>
      <w:r>
        <w:rPr>
          <w:rFonts w:ascii="Arial" w:cs="Arial" w:eastAsia="Arial" w:hAnsi="Arial"/>
          <w:sz w:val="20"/>
          <w:szCs w:val="20"/>
          <w:color w:val="auto"/>
        </w:rPr>
        <w:t>TESARO initiated a registration program for an AnaptysBio-generated anti-PD-1 antagonist antibody (TSR-042) in metastatic microsatellite instability-high (MSI-H) endometrial cancer, designed to support submission for accelerated approval and a Biologics License Application (BLA) to the U.S. Food and Drug Administration, which resulted in a $3.0 million milestone payment to AnaptysBio.</w:t>
      </w:r>
    </w:p>
    <w:p>
      <w:pPr>
        <w:spacing w:after="0" w:line="2" w:lineRule="exact"/>
        <w:rPr>
          <w:rFonts w:ascii="Arial" w:cs="Arial" w:eastAsia="Arial" w:hAnsi="Arial"/>
          <w:sz w:val="20"/>
          <w:szCs w:val="20"/>
          <w:i w:val="1"/>
          <w:iCs w:val="1"/>
          <w:color w:val="auto"/>
        </w:rPr>
      </w:pPr>
    </w:p>
    <w:p>
      <w:pPr>
        <w:ind w:left="660" w:right="20" w:hanging="328"/>
        <w:spacing w:after="0" w:line="289" w:lineRule="auto"/>
        <w:tabs>
          <w:tab w:leader="none" w:pos="660" w:val="left"/>
        </w:tabs>
        <w:numPr>
          <w:ilvl w:val="0"/>
          <w:numId w:val="4"/>
        </w:numPr>
        <w:rPr>
          <w:rFonts w:ascii="Arial" w:cs="Arial" w:eastAsia="Arial" w:hAnsi="Arial"/>
          <w:sz w:val="20"/>
          <w:szCs w:val="20"/>
          <w:color w:val="auto"/>
        </w:rPr>
      </w:pPr>
      <w:r>
        <w:rPr>
          <w:rFonts w:ascii="Arial" w:cs="Arial" w:eastAsia="Arial" w:hAnsi="Arial"/>
          <w:sz w:val="20"/>
          <w:szCs w:val="20"/>
          <w:color w:val="auto"/>
        </w:rPr>
        <w:t>TESARO has completed dose escalation in a monotherapy Phase 1 study for an AnaptysBio-generated anti-TIM-3 antagonist antibody (TSR-022) and has initiated a combination trial of TSR-022 with TSR-042.</w:t>
      </w:r>
    </w:p>
    <w:p>
      <w:pPr>
        <w:sectPr>
          <w:pgSz w:w="11900" w:h="16838" w:orient="portrait"/>
          <w:cols w:equalWidth="0" w:num="1">
            <w:col w:w="11360"/>
          </w:cols>
          <w:pgMar w:left="240" w:top="589" w:right="299" w:bottom="1440" w:gutter="0" w:footer="0" w:header="0"/>
        </w:sectPr>
      </w:pPr>
    </w:p>
    <w:bookmarkStart w:id="5" w:name="page6"/>
    <w:bookmarkEnd w:id="5"/>
    <w:p>
      <w:pPr>
        <w:jc w:val="both"/>
        <w:ind w:left="660" w:right="260" w:hanging="328"/>
        <w:spacing w:after="0" w:line="267" w:lineRule="auto"/>
        <w:tabs>
          <w:tab w:leader="none" w:pos="660" w:val="left"/>
        </w:tabs>
        <w:numPr>
          <w:ilvl w:val="0"/>
          <w:numId w:val="5"/>
        </w:numPr>
        <w:rPr>
          <w:rFonts w:ascii="Arial" w:cs="Arial" w:eastAsia="Arial" w:hAnsi="Arial"/>
          <w:sz w:val="20"/>
          <w:szCs w:val="20"/>
          <w:color w:val="auto"/>
        </w:rPr>
      </w:pPr>
      <w:r>
        <w:rPr>
          <w:rFonts w:ascii="Arial" w:cs="Arial" w:eastAsia="Arial" w:hAnsi="Arial"/>
          <w:sz w:val="20"/>
          <w:szCs w:val="20"/>
          <w:color w:val="auto"/>
        </w:rPr>
        <w:t>TESARO received clearance of an Investigational New Drug application (IND) for an AnaptysBio-generated anti-LAG-3 antagonist antibody, TSR-033, triggering a $4.0 million milestone payment to AnaptysBio, and has subsequently initiated a Phase 1 study dose escalation trial with TSR-033.</w:t>
      </w:r>
    </w:p>
    <w:p>
      <w:pPr>
        <w:spacing w:after="0" w:line="2" w:lineRule="exact"/>
        <w:rPr>
          <w:rFonts w:ascii="Arial" w:cs="Arial" w:eastAsia="Arial" w:hAnsi="Arial"/>
          <w:sz w:val="20"/>
          <w:szCs w:val="20"/>
          <w:color w:val="auto"/>
        </w:rPr>
      </w:pPr>
    </w:p>
    <w:p>
      <w:pPr>
        <w:ind w:left="660" w:right="560" w:hanging="328"/>
        <w:spacing w:after="0" w:line="289" w:lineRule="auto"/>
        <w:tabs>
          <w:tab w:leader="none" w:pos="660" w:val="left"/>
        </w:tabs>
        <w:numPr>
          <w:ilvl w:val="0"/>
          <w:numId w:val="5"/>
        </w:numPr>
        <w:rPr>
          <w:rFonts w:ascii="Arial" w:cs="Arial" w:eastAsia="Arial" w:hAnsi="Arial"/>
          <w:sz w:val="20"/>
          <w:szCs w:val="20"/>
          <w:color w:val="auto"/>
        </w:rPr>
      </w:pPr>
      <w:r>
        <w:rPr>
          <w:rFonts w:ascii="Arial" w:cs="Arial" w:eastAsia="Arial" w:hAnsi="Arial"/>
          <w:sz w:val="20"/>
          <w:szCs w:val="20"/>
          <w:color w:val="auto"/>
        </w:rPr>
        <w:t xml:space="preserve">TESARO has initiated IND-enabling studies for an AnaptysBio-generated PD-1/LAG-3 bispecific antibody, which has exhibited similar levels of T-cell activation </w:t>
      </w:r>
      <w:r>
        <w:rPr>
          <w:rFonts w:ascii="Arial" w:cs="Arial" w:eastAsia="Arial" w:hAnsi="Arial"/>
          <w:sz w:val="20"/>
          <w:szCs w:val="20"/>
          <w:i w:val="1"/>
          <w:iCs w:val="1"/>
          <w:color w:val="auto"/>
        </w:rPr>
        <w:t>in vitro</w:t>
      </w:r>
      <w:r>
        <w:rPr>
          <w:rFonts w:ascii="Arial" w:cs="Arial" w:eastAsia="Arial" w:hAnsi="Arial"/>
          <w:sz w:val="20"/>
          <w:szCs w:val="20"/>
          <w:color w:val="auto"/>
        </w:rPr>
        <w:t xml:space="preserve"> as a combination of TSR-042 and TSR-033.</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Financial Results and Financial Guidance</w:t>
      </w:r>
    </w:p>
    <w:p>
      <w:pPr>
        <w:spacing w:after="0" w:line="33" w:lineRule="exact"/>
        <w:rPr>
          <w:sz w:val="20"/>
          <w:szCs w:val="20"/>
          <w:color w:val="auto"/>
        </w:rPr>
      </w:pPr>
    </w:p>
    <w:p>
      <w:pPr>
        <w:ind w:left="660" w:right="140" w:hanging="328"/>
        <w:spacing w:after="0" w:line="281" w:lineRule="auto"/>
        <w:tabs>
          <w:tab w:leader="none" w:pos="660" w:val="left"/>
        </w:tabs>
        <w:numPr>
          <w:ilvl w:val="0"/>
          <w:numId w:val="6"/>
        </w:numPr>
        <w:rPr>
          <w:rFonts w:ascii="Arial" w:cs="Arial" w:eastAsia="Arial" w:hAnsi="Arial"/>
          <w:sz w:val="19"/>
          <w:szCs w:val="19"/>
          <w:color w:val="auto"/>
        </w:rPr>
      </w:pPr>
      <w:r>
        <w:rPr>
          <w:rFonts w:ascii="Arial" w:cs="Arial" w:eastAsia="Arial" w:hAnsi="Arial"/>
          <w:sz w:val="19"/>
          <w:szCs w:val="19"/>
          <w:color w:val="auto"/>
        </w:rPr>
        <w:t>Cash, cash equivalents and investments totaled $120.3 million as of June 30, 2017, which includes net proceeds of $80.2 million from the company’s initial public offering completed in January 2017, compared to $51.2 million as of December 31, 2016. The company expects that it has sufficient capital to fund its operating plan through the end of 2018.</w:t>
      </w:r>
    </w:p>
    <w:p>
      <w:pPr>
        <w:spacing w:after="0" w:line="2" w:lineRule="exact"/>
        <w:rPr>
          <w:rFonts w:ascii="Arial" w:cs="Arial" w:eastAsia="Arial" w:hAnsi="Arial"/>
          <w:sz w:val="19"/>
          <w:szCs w:val="19"/>
          <w:color w:val="auto"/>
        </w:rPr>
      </w:pPr>
    </w:p>
    <w:p>
      <w:pPr>
        <w:ind w:left="660" w:right="20" w:hanging="328"/>
        <w:spacing w:after="0" w:line="281" w:lineRule="auto"/>
        <w:tabs>
          <w:tab w:leader="none" w:pos="660" w:val="left"/>
        </w:tabs>
        <w:numPr>
          <w:ilvl w:val="0"/>
          <w:numId w:val="6"/>
        </w:numPr>
        <w:rPr>
          <w:rFonts w:ascii="Arial" w:cs="Arial" w:eastAsia="Arial" w:hAnsi="Arial"/>
          <w:sz w:val="19"/>
          <w:szCs w:val="19"/>
          <w:color w:val="auto"/>
        </w:rPr>
      </w:pPr>
      <w:r>
        <w:rPr>
          <w:rFonts w:ascii="Arial" w:cs="Arial" w:eastAsia="Arial" w:hAnsi="Arial"/>
          <w:sz w:val="19"/>
          <w:szCs w:val="19"/>
          <w:color w:val="auto"/>
        </w:rPr>
        <w:t>Revenue was $7.0 million for the three and six months ended June 30, 2017, as compared to $5.9 million and $10.7 million for the three and six months ended June 30, 2016, respectively. The three and six months ended June 30, 2017 included revenue of $7.0 million related to two milestones earned from the company’s partnership with TESARO. The three and six months ended June 30, 2016 included revenue of $0.6 million and $1.3 million, respectively, related to the amortization of the upfront payment from TESARO; $1.0 million and $2.2 million, respectively, related to research and development services; and, $4.3 million and $7.2 million, respectively, in milestone-related revenues from TESARO and Celgene. The upfront payment was fully recognized and the research and development services were completed as of December 31, 2016.</w:t>
      </w:r>
    </w:p>
    <w:p>
      <w:pPr>
        <w:spacing w:after="0" w:line="5" w:lineRule="exact"/>
        <w:rPr>
          <w:rFonts w:ascii="Arial" w:cs="Arial" w:eastAsia="Arial" w:hAnsi="Arial"/>
          <w:sz w:val="19"/>
          <w:szCs w:val="19"/>
          <w:color w:val="auto"/>
        </w:rPr>
      </w:pPr>
    </w:p>
    <w:p>
      <w:pPr>
        <w:ind w:left="660" w:right="200" w:hanging="328"/>
        <w:spacing w:after="0" w:line="266" w:lineRule="auto"/>
        <w:tabs>
          <w:tab w:leader="none" w:pos="660" w:val="left"/>
        </w:tabs>
        <w:numPr>
          <w:ilvl w:val="0"/>
          <w:numId w:val="6"/>
        </w:numPr>
        <w:rPr>
          <w:rFonts w:ascii="Arial" w:cs="Arial" w:eastAsia="Arial" w:hAnsi="Arial"/>
          <w:sz w:val="20"/>
          <w:szCs w:val="20"/>
          <w:color w:val="auto"/>
        </w:rPr>
      </w:pPr>
      <w:r>
        <w:rPr>
          <w:rFonts w:ascii="Arial" w:cs="Arial" w:eastAsia="Arial" w:hAnsi="Arial"/>
          <w:sz w:val="20"/>
          <w:szCs w:val="20"/>
          <w:color w:val="auto"/>
        </w:rPr>
        <w:t>Research and development expenses were $7.2 million and $15.1 million, respectively, for the three and six months ended June 30, 2017, as compared to $2.3 million and $7.1 million, respectively, for the three and six months ended June 30, 2016. The increase was primarily due to an increase in preclinical and clinical trial expenses offset by the recognition of higher research and development tax incentives in the three and six months ended June 30, 2016.</w:t>
      </w:r>
    </w:p>
    <w:p>
      <w:pPr>
        <w:spacing w:after="0" w:line="6" w:lineRule="exact"/>
        <w:rPr>
          <w:rFonts w:ascii="Arial" w:cs="Arial" w:eastAsia="Arial" w:hAnsi="Arial"/>
          <w:sz w:val="20"/>
          <w:szCs w:val="20"/>
          <w:color w:val="auto"/>
        </w:rPr>
      </w:pPr>
    </w:p>
    <w:p>
      <w:pPr>
        <w:ind w:left="660" w:right="40" w:hanging="328"/>
        <w:spacing w:after="0" w:line="274" w:lineRule="auto"/>
        <w:tabs>
          <w:tab w:leader="none" w:pos="660" w:val="left"/>
        </w:tabs>
        <w:numPr>
          <w:ilvl w:val="0"/>
          <w:numId w:val="6"/>
        </w:numPr>
        <w:rPr>
          <w:rFonts w:ascii="Arial" w:cs="Arial" w:eastAsia="Arial" w:hAnsi="Arial"/>
          <w:sz w:val="20"/>
          <w:szCs w:val="20"/>
          <w:b w:val="1"/>
          <w:bCs w:val="1"/>
          <w:color w:val="auto"/>
        </w:rPr>
      </w:pPr>
      <w:r>
        <w:rPr>
          <w:rFonts w:ascii="Arial" w:cs="Arial" w:eastAsia="Arial" w:hAnsi="Arial"/>
          <w:sz w:val="20"/>
          <w:szCs w:val="20"/>
          <w:color w:val="auto"/>
        </w:rPr>
        <w:t>General and administrative expenses were $2.4 million and $4.4 million, respectively, for the three and six months ended June 30, 2017, as compared to $1.2 million and $2.4 million, respectively, for the three and six months ended June 30, 2016. The increase was attributable to additional personnel-related expenses, including non-cash stock-based compensation, and an increase in public company related expenses.</w:t>
      </w:r>
    </w:p>
    <w:p>
      <w:pPr>
        <w:spacing w:after="0" w:line="22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AnaptysBio</w:t>
      </w:r>
    </w:p>
    <w:p>
      <w:pPr>
        <w:spacing w:after="0" w:line="33" w:lineRule="exact"/>
        <w:rPr>
          <w:sz w:val="20"/>
          <w:szCs w:val="20"/>
          <w:color w:val="auto"/>
        </w:rPr>
      </w:pPr>
    </w:p>
    <w:p>
      <w:pPr>
        <w:spacing w:after="0" w:line="285" w:lineRule="auto"/>
        <w:rPr>
          <w:sz w:val="20"/>
          <w:szCs w:val="20"/>
          <w:color w:val="auto"/>
        </w:rPr>
      </w:pPr>
      <w:r>
        <w:rPr>
          <w:rFonts w:ascii="Arial" w:cs="Arial" w:eastAsia="Arial" w:hAnsi="Arial"/>
          <w:sz w:val="19"/>
          <w:szCs w:val="19"/>
          <w:color w:val="auto"/>
        </w:rPr>
        <w:t xml:space="preserve">AnaptysBio is a clinical-stage biotechnology company developing first-in-class antibody product candidates focused on unmet medical needs in inflammation. The company’s proprietary anti-inflammatory pipeline includes its anti-IL-33 antibody (ANB020) for the treatment of moderate-to-severe adult atopic dermatitis, severe adult peanut allergy and severe adult eosinophilic asthma; its anti-IL-36R antibody (ANB019) for the treatment of rare inflammatory diseases, including generalized pustular psoriasis and palmo-plantar pustular psoriasis; and a portfolio of checkpoint receptor agonist antibodies for the treatment of certain autoimmune diseases where immune checkpoint receptors are insufficiently activated and have demonstrated efficacy in an animal model of graft-versus-host disease. AnaptysBio’s antibody pipeline has been developed using its proprietary somatic hypermutation (SHM) platform, which uses </w:t>
      </w:r>
      <w:r>
        <w:rPr>
          <w:rFonts w:ascii="Arial" w:cs="Arial" w:eastAsia="Arial" w:hAnsi="Arial"/>
          <w:sz w:val="19"/>
          <w:szCs w:val="19"/>
          <w:i w:val="1"/>
          <w:iCs w:val="1"/>
          <w:color w:val="auto"/>
        </w:rPr>
        <w:t>in vitro</w:t>
      </w:r>
      <w:r>
        <w:rPr>
          <w:rFonts w:ascii="Arial" w:cs="Arial" w:eastAsia="Arial" w:hAnsi="Arial"/>
          <w:sz w:val="19"/>
          <w:szCs w:val="19"/>
          <w:color w:val="auto"/>
        </w:rPr>
        <w:t xml:space="preserve"> SHM for antibody discovery and is designed to replicate key features of the human immune system to overcome the limitations of competing antibody discovery technologies. AnaptysBio has also developed multiple therapeutic antibodies in an immuno-oncology partnership with TESARO and an inflammation partnership with Celgene, including an anti-PD-1 antagonist antibody (TSR-042), an anti-TIM-3 antagonist antibody (TSR-022) and an anti-LAG-3 antagonist antibody (TSR-033), which are currently under clinical development with TESARO, and an anti-PD-1 checkpoint agonist antibody (CC-90006) currently in the clinic with Celgene.</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Forward-Looking Statements</w:t>
      </w:r>
    </w:p>
    <w:p>
      <w:pPr>
        <w:spacing w:after="0" w:line="33" w:lineRule="exact"/>
        <w:rPr>
          <w:sz w:val="20"/>
          <w:szCs w:val="20"/>
          <w:color w:val="auto"/>
        </w:rPr>
      </w:pPr>
    </w:p>
    <w:p>
      <w:pPr>
        <w:ind w:right="240"/>
        <w:spacing w:after="0" w:line="289" w:lineRule="auto"/>
        <w:rPr>
          <w:sz w:val="20"/>
          <w:szCs w:val="20"/>
          <w:color w:val="auto"/>
        </w:rPr>
      </w:pPr>
      <w:r>
        <w:rPr>
          <w:rFonts w:ascii="Arial" w:cs="Arial" w:eastAsia="Arial" w:hAnsi="Arial"/>
          <w:sz w:val="20"/>
          <w:szCs w:val="20"/>
          <w:color w:val="auto"/>
        </w:rPr>
        <w:t>This press release contains forward-looking statements within the meaning of the "safe harbor" provisions of the Private Securities Litigation Reform Act of 1995, including, but not limited to: the timing of the release of data</w:t>
      </w:r>
    </w:p>
    <w:p>
      <w:pPr>
        <w:sectPr>
          <w:pgSz w:w="11900" w:h="16838" w:orient="portrait"/>
          <w:cols w:equalWidth="0" w:num="1">
            <w:col w:w="11420"/>
          </w:cols>
          <w:pgMar w:left="240" w:top="595" w:right="239" w:bottom="1440" w:gutter="0" w:footer="0" w:header="0"/>
        </w:sectPr>
      </w:pPr>
    </w:p>
    <w:bookmarkStart w:id="6" w:name="page7"/>
    <w:bookmarkEnd w:id="6"/>
    <w:p>
      <w:pPr>
        <w:spacing w:after="0" w:line="301" w:lineRule="auto"/>
        <w:rPr>
          <w:sz w:val="20"/>
          <w:szCs w:val="20"/>
          <w:color w:val="auto"/>
        </w:rPr>
      </w:pPr>
      <w:r>
        <w:rPr>
          <w:rFonts w:ascii="Arial" w:cs="Arial" w:eastAsia="Arial" w:hAnsi="Arial"/>
          <w:sz w:val="18"/>
          <w:szCs w:val="18"/>
          <w:color w:val="auto"/>
        </w:rPr>
        <w:t>from our clinical trials, including ANB020’s Phase 2a clinical trials for the treatment of severe peanut allergy, moderate-to-severe adult atopic dermatitis and severe adult eosinophilic asthma and our Phase 1 clinical trial of ANB019, our ability to launch Phase 2 clinical trials of ANB019, and the success of our partnership with Tesaro; Statements including words such as “plan,” “continue,” “expect,” or “ongoing” and statements in the future tense are forward-looking statements. These forward-looking statements involve risks and uncertainties, as well as assumptions, which, if they do not fully materialize or prove incorrect, could cause our results to differ materially from those expressed or implied by such forward-looking statements. Forward-looking statements are subject to risks and uncertainties that may cause the company’s actual activities or results to differ significantly from those expressed in any forward-looking statement, including risks and uncertainties related to the company’s ability to advance its product candidates, obtain regulatory approval of and ultimately commercialize its product candidates, the timing and results of preclinical and clinical trials, the company’s ability to fund development activities and achieve development goals, the company’s ability to protect intellectual property and other risks and uncertainties described under the heading “Risk Factors” in documents the company files from time to time with the Securities and Exchange Commission. These forward-looking statements speak only as of the date of this press release, and the company undertakes no obligation to revise or update any forward-looking statements to reflect events or circumstances after the date hereof.</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Contact</w:t>
      </w:r>
      <w:r>
        <w:rPr>
          <w:rFonts w:ascii="Arial" w:cs="Arial" w:eastAsia="Arial" w:hAnsi="Arial"/>
          <w:sz w:val="20"/>
          <w:szCs w:val="20"/>
          <w:color w:val="auto"/>
        </w:rPr>
        <w:t>:</w:t>
      </w:r>
    </w:p>
    <w:p>
      <w:pPr>
        <w:spacing w:after="0" w:line="21" w:lineRule="exact"/>
        <w:rPr>
          <w:sz w:val="20"/>
          <w:szCs w:val="20"/>
          <w:color w:val="auto"/>
        </w:rPr>
      </w:pPr>
    </w:p>
    <w:p>
      <w:pPr>
        <w:spacing w:after="0"/>
        <w:rPr>
          <w:sz w:val="20"/>
          <w:szCs w:val="20"/>
          <w:color w:val="auto"/>
        </w:rPr>
      </w:pPr>
      <w:r>
        <w:rPr>
          <w:rFonts w:ascii="Arial" w:cs="Arial" w:eastAsia="Arial" w:hAnsi="Arial"/>
          <w:sz w:val="20"/>
          <w:szCs w:val="20"/>
          <w:color w:val="auto"/>
        </w:rPr>
        <w:t>Monique Allaire</w:t>
      </w:r>
    </w:p>
    <w:p>
      <w:pPr>
        <w:spacing w:after="0"/>
        <w:rPr>
          <w:sz w:val="20"/>
          <w:szCs w:val="20"/>
          <w:color w:val="auto"/>
        </w:rPr>
      </w:pPr>
      <w:r>
        <w:rPr>
          <w:rFonts w:ascii="Arial" w:cs="Arial" w:eastAsia="Arial" w:hAnsi="Arial"/>
          <w:sz w:val="20"/>
          <w:szCs w:val="20"/>
          <w:color w:val="auto"/>
        </w:rPr>
        <w:t>THRUST Investor Relations</w:t>
      </w:r>
    </w:p>
    <w:p>
      <w:pPr>
        <w:spacing w:after="0"/>
        <w:rPr>
          <w:sz w:val="20"/>
          <w:szCs w:val="20"/>
          <w:color w:val="auto"/>
        </w:rPr>
      </w:pPr>
      <w:r>
        <w:rPr>
          <w:rFonts w:ascii="Arial" w:cs="Arial" w:eastAsia="Arial" w:hAnsi="Arial"/>
          <w:sz w:val="20"/>
          <w:szCs w:val="20"/>
          <w:color w:val="auto"/>
        </w:rPr>
        <w:t>617.895.9511</w:t>
      </w:r>
    </w:p>
    <w:p>
      <w:pPr>
        <w:spacing w:after="0"/>
        <w:rPr>
          <w:sz w:val="20"/>
          <w:szCs w:val="20"/>
          <w:color w:val="auto"/>
        </w:rPr>
      </w:pPr>
      <w:r>
        <w:rPr>
          <w:rFonts w:ascii="Arial" w:cs="Arial" w:eastAsia="Arial" w:hAnsi="Arial"/>
          <w:sz w:val="20"/>
          <w:szCs w:val="20"/>
          <w:color w:val="auto"/>
        </w:rPr>
        <w:t>monique@thrustir.com</w:t>
      </w:r>
    </w:p>
    <w:p>
      <w:pPr>
        <w:sectPr>
          <w:pgSz w:w="11900" w:h="16838" w:orient="portrait"/>
          <w:cols w:equalWidth="0" w:num="1">
            <w:col w:w="11300"/>
          </w:cols>
          <w:pgMar w:left="240" w:top="595" w:right="35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ANAPTYSBIO,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par value data)</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80" w:type="dxa"/>
            <w:vAlign w:val="bottom"/>
            <w:tcBorders>
              <w:bottom w:val="single" w:sz="8" w:color="CFF0FC"/>
            </w:tcBorders>
          </w:tcPr>
          <w:p>
            <w:pPr>
              <w:spacing w:after="0"/>
              <w:rPr>
                <w:sz w:val="16"/>
                <w:szCs w:val="16"/>
                <w:color w:val="auto"/>
              </w:rPr>
            </w:pPr>
          </w:p>
        </w:tc>
        <w:tc>
          <w:tcPr>
            <w:tcW w:w="4040" w:type="dxa"/>
            <w:vAlign w:val="bottom"/>
            <w:tcBorders>
              <w:bottom w:val="single" w:sz="8" w:color="CFF0FC"/>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center"/>
              <w:ind w:right="160"/>
              <w:spacing w:after="0"/>
              <w:rPr>
                <w:sz w:val="20"/>
                <w:szCs w:val="20"/>
                <w:color w:val="auto"/>
              </w:rPr>
            </w:pPr>
            <w:r>
              <w:rPr>
                <w:rFonts w:ascii="Arial" w:cs="Arial" w:eastAsia="Arial" w:hAnsi="Arial"/>
                <w:sz w:val="14"/>
                <w:szCs w:val="14"/>
                <w:b w:val="1"/>
                <w:bCs w:val="1"/>
                <w:color w:val="auto"/>
                <w:w w:val="90"/>
              </w:rPr>
              <w:t>June 30, 2017</w:t>
            </w:r>
          </w:p>
        </w:tc>
        <w:tc>
          <w:tcPr>
            <w:tcW w:w="100" w:type="dxa"/>
            <w:vAlign w:val="bottom"/>
            <w:tcBorders>
              <w:bottom w:val="single" w:sz="8" w:color="CFF0FC"/>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120"/>
              <w:spacing w:after="0"/>
              <w:rPr>
                <w:sz w:val="20"/>
                <w:szCs w:val="20"/>
                <w:color w:val="auto"/>
              </w:rPr>
            </w:pPr>
            <w:r>
              <w:rPr>
                <w:rFonts w:ascii="Arial" w:cs="Arial" w:eastAsia="Arial" w:hAnsi="Arial"/>
                <w:sz w:val="14"/>
                <w:szCs w:val="14"/>
                <w:b w:val="1"/>
                <w:bCs w:val="1"/>
                <w:color w:val="auto"/>
                <w:w w:val="95"/>
              </w:rPr>
              <w:t>December 31, 2016</w:t>
            </w:r>
          </w:p>
        </w:tc>
      </w:tr>
      <w:tr>
        <w:trPr>
          <w:trHeight w:val="190"/>
        </w:trPr>
        <w:tc>
          <w:tcPr>
            <w:tcW w:w="4080" w:type="dxa"/>
            <w:vAlign w:val="bottom"/>
            <w:shd w:val="clear" w:color="auto" w:fill="CFF0FC"/>
          </w:tcPr>
          <w:p>
            <w:pPr>
              <w:spacing w:after="0"/>
              <w:rPr>
                <w:sz w:val="16"/>
                <w:szCs w:val="16"/>
                <w:color w:val="auto"/>
              </w:rPr>
            </w:pPr>
          </w:p>
        </w:tc>
        <w:tc>
          <w:tcPr>
            <w:tcW w:w="404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480" w:type="dxa"/>
            <w:vAlign w:val="bottom"/>
            <w:gridSpan w:val="2"/>
            <w:shd w:val="clear" w:color="auto" w:fill="CFF0FC"/>
          </w:tcPr>
          <w:p>
            <w:pPr>
              <w:jc w:val="center"/>
              <w:ind w:right="360"/>
              <w:spacing w:after="0"/>
              <w:rPr>
                <w:sz w:val="20"/>
                <w:szCs w:val="20"/>
                <w:color w:val="auto"/>
              </w:rPr>
            </w:pPr>
            <w:r>
              <w:rPr>
                <w:rFonts w:ascii="Arial" w:cs="Arial" w:eastAsia="Arial" w:hAnsi="Arial"/>
                <w:sz w:val="14"/>
                <w:szCs w:val="14"/>
                <w:b w:val="1"/>
                <w:bCs w:val="1"/>
                <w:color w:val="auto"/>
                <w:w w:val="94"/>
              </w:rPr>
              <w:t>(unaudited)</w:t>
            </w:r>
          </w:p>
        </w:tc>
        <w:tc>
          <w:tcPr>
            <w:tcW w:w="160" w:type="dxa"/>
            <w:vAlign w:val="bottom"/>
            <w:shd w:val="clear" w:color="auto" w:fill="CFF0FC"/>
          </w:tcPr>
          <w:p>
            <w:pPr>
              <w:spacing w:after="0"/>
              <w:rPr>
                <w:sz w:val="16"/>
                <w:szCs w:val="16"/>
                <w:color w:val="auto"/>
              </w:rPr>
            </w:pPr>
          </w:p>
        </w:tc>
        <w:tc>
          <w:tcPr>
            <w:tcW w:w="1420" w:type="dxa"/>
            <w:vAlign w:val="bottom"/>
            <w:shd w:val="clear" w:color="auto" w:fill="CFF0FC"/>
          </w:tcPr>
          <w:p>
            <w:pPr>
              <w:spacing w:after="0"/>
              <w:rPr>
                <w:sz w:val="16"/>
                <w:szCs w:val="16"/>
                <w:color w:val="auto"/>
              </w:rPr>
            </w:pPr>
          </w:p>
        </w:tc>
      </w:tr>
      <w:tr>
        <w:trPr>
          <w:trHeight w:val="80"/>
        </w:trPr>
        <w:tc>
          <w:tcPr>
            <w:tcW w:w="4080" w:type="dxa"/>
            <w:vAlign w:val="bottom"/>
            <w:shd w:val="clear" w:color="auto" w:fill="CFF0FC"/>
          </w:tcPr>
          <w:p>
            <w:pPr>
              <w:spacing w:after="0"/>
              <w:rPr>
                <w:sz w:val="6"/>
                <w:szCs w:val="6"/>
                <w:color w:val="auto"/>
              </w:rPr>
            </w:pPr>
          </w:p>
        </w:tc>
        <w:tc>
          <w:tcPr>
            <w:tcW w:w="4040" w:type="dxa"/>
            <w:vAlign w:val="bottom"/>
            <w:shd w:val="clear" w:color="auto" w:fill="CFF0FC"/>
          </w:tcPr>
          <w:p>
            <w:pPr>
              <w:spacing w:after="0"/>
              <w:rPr>
                <w:sz w:val="6"/>
                <w:szCs w:val="6"/>
                <w:color w:val="auto"/>
              </w:rPr>
            </w:pPr>
          </w:p>
        </w:tc>
        <w:tc>
          <w:tcPr>
            <w:tcW w:w="240" w:type="dxa"/>
            <w:vAlign w:val="bottom"/>
            <w:shd w:val="clear" w:color="auto" w:fill="CFF0FC"/>
          </w:tcPr>
          <w:p>
            <w:pPr>
              <w:spacing w:after="0"/>
              <w:rPr>
                <w:sz w:val="6"/>
                <w:szCs w:val="6"/>
                <w:color w:val="auto"/>
              </w:rPr>
            </w:pPr>
          </w:p>
        </w:tc>
        <w:tc>
          <w:tcPr>
            <w:tcW w:w="1380" w:type="dxa"/>
            <w:vAlign w:val="bottom"/>
            <w:shd w:val="clear" w:color="auto" w:fill="CFF0FC"/>
          </w:tcPr>
          <w:p>
            <w:pPr>
              <w:spacing w:after="0"/>
              <w:rPr>
                <w:sz w:val="6"/>
                <w:szCs w:val="6"/>
                <w:color w:val="auto"/>
              </w:rPr>
            </w:pPr>
          </w:p>
        </w:tc>
        <w:tc>
          <w:tcPr>
            <w:tcW w:w="100" w:type="dxa"/>
            <w:vAlign w:val="bottom"/>
            <w:shd w:val="clear" w:color="auto" w:fill="CFF0FC"/>
          </w:tcPr>
          <w:p>
            <w:pPr>
              <w:spacing w:after="0"/>
              <w:rPr>
                <w:sz w:val="6"/>
                <w:szCs w:val="6"/>
                <w:color w:val="auto"/>
              </w:rPr>
            </w:pPr>
          </w:p>
        </w:tc>
        <w:tc>
          <w:tcPr>
            <w:tcW w:w="160" w:type="dxa"/>
            <w:vAlign w:val="bottom"/>
            <w:shd w:val="clear" w:color="auto" w:fill="CFF0FC"/>
          </w:tcPr>
          <w:p>
            <w:pPr>
              <w:spacing w:after="0"/>
              <w:rPr>
                <w:sz w:val="6"/>
                <w:szCs w:val="6"/>
                <w:color w:val="auto"/>
              </w:rPr>
            </w:pPr>
          </w:p>
        </w:tc>
        <w:tc>
          <w:tcPr>
            <w:tcW w:w="1420" w:type="dxa"/>
            <w:vAlign w:val="bottom"/>
            <w:shd w:val="clear" w:color="auto" w:fill="CFF0FC"/>
          </w:tcPr>
          <w:p>
            <w:pPr>
              <w:spacing w:after="0"/>
              <w:rPr>
                <w:sz w:val="6"/>
                <w:szCs w:val="6"/>
                <w:color w:val="auto"/>
              </w:rPr>
            </w:pPr>
          </w:p>
        </w:tc>
      </w:tr>
      <w:tr>
        <w:trPr>
          <w:trHeight w:val="224"/>
        </w:trPr>
        <w:tc>
          <w:tcPr>
            <w:tcW w:w="4080" w:type="dxa"/>
            <w:vAlign w:val="bottom"/>
          </w:tcPr>
          <w:p>
            <w:pPr>
              <w:spacing w:after="0"/>
              <w:rPr>
                <w:sz w:val="19"/>
                <w:szCs w:val="19"/>
                <w:color w:val="auto"/>
              </w:rPr>
            </w:pPr>
          </w:p>
        </w:tc>
        <w:tc>
          <w:tcPr>
            <w:tcW w:w="4280" w:type="dxa"/>
            <w:vAlign w:val="bottom"/>
            <w:gridSpan w:val="2"/>
          </w:tcPr>
          <w:p>
            <w:pPr>
              <w:jc w:val="right"/>
              <w:ind w:right="2340"/>
              <w:spacing w:after="0"/>
              <w:rPr>
                <w:sz w:val="20"/>
                <w:szCs w:val="20"/>
                <w:color w:val="auto"/>
              </w:rPr>
            </w:pPr>
            <w:r>
              <w:rPr>
                <w:rFonts w:ascii="Arial" w:cs="Arial" w:eastAsia="Arial" w:hAnsi="Arial"/>
                <w:sz w:val="16"/>
                <w:szCs w:val="16"/>
                <w:b w:val="1"/>
                <w:bCs w:val="1"/>
                <w:color w:val="auto"/>
              </w:rPr>
              <w:t>ASSETS</w:t>
            </w: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spacing w:after="0"/>
              <w:rPr>
                <w:sz w:val="19"/>
                <w:szCs w:val="19"/>
                <w:color w:val="auto"/>
              </w:rPr>
            </w:pPr>
          </w:p>
        </w:tc>
      </w:tr>
      <w:tr>
        <w:trPr>
          <w:trHeight w:val="33"/>
        </w:trPr>
        <w:tc>
          <w:tcPr>
            <w:tcW w:w="4080" w:type="dxa"/>
            <w:vAlign w:val="bottom"/>
          </w:tcPr>
          <w:p>
            <w:pPr>
              <w:spacing w:after="0"/>
              <w:rPr>
                <w:sz w:val="2"/>
                <w:szCs w:val="2"/>
                <w:color w:val="auto"/>
              </w:rPr>
            </w:pPr>
          </w:p>
        </w:tc>
        <w:tc>
          <w:tcPr>
            <w:tcW w:w="40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408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16"/>
                <w:szCs w:val="16"/>
                <w:color w:val="auto"/>
              </w:rPr>
              <w:t>Current assets:</w:t>
            </w:r>
          </w:p>
        </w:tc>
        <w:tc>
          <w:tcPr>
            <w:tcW w:w="404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CFF0FC"/>
            </w:tcBorders>
            <w:shd w:val="clear" w:color="auto" w:fill="CFF0FC"/>
          </w:tcPr>
          <w:p>
            <w:pPr>
              <w:spacing w:after="0"/>
              <w:rPr>
                <w:sz w:val="21"/>
                <w:szCs w:val="21"/>
                <w:color w:val="auto"/>
              </w:rPr>
            </w:pPr>
          </w:p>
        </w:tc>
        <w:tc>
          <w:tcPr>
            <w:tcW w:w="138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1420" w:type="dxa"/>
            <w:vAlign w:val="bottom"/>
            <w:tcBorders>
              <w:bottom w:val="single" w:sz="8" w:color="CFF0FC"/>
            </w:tcBorders>
            <w:shd w:val="clear" w:color="auto" w:fill="CFF0FC"/>
          </w:tcPr>
          <w:p>
            <w:pPr>
              <w:spacing w:after="0"/>
              <w:rPr>
                <w:sz w:val="21"/>
                <w:szCs w:val="21"/>
                <w:color w:val="auto"/>
              </w:rPr>
            </w:pPr>
          </w:p>
        </w:tc>
      </w:tr>
      <w:tr>
        <w:trPr>
          <w:trHeight w:val="237"/>
        </w:trPr>
        <w:tc>
          <w:tcPr>
            <w:tcW w:w="4080" w:type="dxa"/>
            <w:vAlign w:val="bottom"/>
          </w:tcPr>
          <w:p>
            <w:pPr>
              <w:ind w:left="40"/>
              <w:spacing w:after="0"/>
              <w:rPr>
                <w:sz w:val="20"/>
                <w:szCs w:val="20"/>
                <w:color w:val="auto"/>
              </w:rPr>
            </w:pPr>
            <w:r>
              <w:rPr>
                <w:rFonts w:ascii="Arial" w:cs="Arial" w:eastAsia="Arial" w:hAnsi="Arial"/>
                <w:sz w:val="16"/>
                <w:szCs w:val="16"/>
                <w:color w:val="auto"/>
              </w:rPr>
              <w:t>Cash and cash equivalents</w:t>
            </w:r>
          </w:p>
        </w:tc>
        <w:tc>
          <w:tcPr>
            <w:tcW w:w="42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380" w:type="dxa"/>
            <w:vAlign w:val="bottom"/>
          </w:tcPr>
          <w:p>
            <w:pPr>
              <w:jc w:val="right"/>
              <w:ind w:right="40"/>
              <w:spacing w:after="0"/>
              <w:rPr>
                <w:sz w:val="20"/>
                <w:szCs w:val="20"/>
                <w:color w:val="auto"/>
              </w:rPr>
            </w:pPr>
            <w:r>
              <w:rPr>
                <w:rFonts w:ascii="Arial" w:cs="Arial" w:eastAsia="Arial" w:hAnsi="Arial"/>
                <w:sz w:val="16"/>
                <w:szCs w:val="16"/>
                <w:color w:val="auto"/>
              </w:rPr>
              <w:t>30,752</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Pr>
          <w:p>
            <w:pPr>
              <w:jc w:val="right"/>
              <w:ind w:right="20"/>
              <w:spacing w:after="0"/>
              <w:rPr>
                <w:sz w:val="20"/>
                <w:szCs w:val="20"/>
                <w:color w:val="auto"/>
              </w:rPr>
            </w:pPr>
            <w:r>
              <w:rPr>
                <w:rFonts w:ascii="Arial" w:cs="Arial" w:eastAsia="Arial" w:hAnsi="Arial"/>
                <w:sz w:val="16"/>
                <w:szCs w:val="16"/>
                <w:color w:val="auto"/>
              </w:rPr>
              <w:t>51,232</w:t>
            </w:r>
          </w:p>
        </w:tc>
      </w:tr>
      <w:tr>
        <w:trPr>
          <w:trHeight w:val="33"/>
        </w:trPr>
        <w:tc>
          <w:tcPr>
            <w:tcW w:w="4080" w:type="dxa"/>
            <w:vAlign w:val="bottom"/>
          </w:tcPr>
          <w:p>
            <w:pPr>
              <w:spacing w:after="0"/>
              <w:rPr>
                <w:sz w:val="2"/>
                <w:szCs w:val="2"/>
                <w:color w:val="auto"/>
              </w:rPr>
            </w:pPr>
          </w:p>
        </w:tc>
        <w:tc>
          <w:tcPr>
            <w:tcW w:w="40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408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16"/>
                <w:szCs w:val="16"/>
                <w:color w:val="auto"/>
              </w:rPr>
              <w:t>Receivable from collaborative partners</w:t>
            </w:r>
          </w:p>
        </w:tc>
        <w:tc>
          <w:tcPr>
            <w:tcW w:w="404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CFF0FC"/>
            </w:tcBorders>
            <w:shd w:val="clear" w:color="auto" w:fill="CFF0FC"/>
          </w:tcPr>
          <w:p>
            <w:pPr>
              <w:spacing w:after="0"/>
              <w:rPr>
                <w:sz w:val="21"/>
                <w:szCs w:val="21"/>
                <w:color w:val="auto"/>
              </w:rPr>
            </w:pPr>
          </w:p>
        </w:tc>
        <w:tc>
          <w:tcPr>
            <w:tcW w:w="1480" w:type="dxa"/>
            <w:vAlign w:val="bottom"/>
            <w:tcBorders>
              <w:bottom w:val="single" w:sz="8" w:color="CFF0FC"/>
            </w:tcBorders>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FF0FC"/>
            </w:tcBorders>
            <w:shd w:val="clear" w:color="auto" w:fill="CFF0FC"/>
          </w:tcPr>
          <w:p>
            <w:pPr>
              <w:spacing w:after="0"/>
              <w:rPr>
                <w:sz w:val="21"/>
                <w:szCs w:val="21"/>
                <w:color w:val="auto"/>
              </w:rPr>
            </w:pPr>
          </w:p>
        </w:tc>
        <w:tc>
          <w:tcPr>
            <w:tcW w:w="142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16"/>
                <w:szCs w:val="16"/>
                <w:color w:val="auto"/>
              </w:rPr>
              <w:t>1,225</w:t>
            </w:r>
          </w:p>
        </w:tc>
      </w:tr>
      <w:tr>
        <w:trPr>
          <w:trHeight w:val="237"/>
        </w:trPr>
        <w:tc>
          <w:tcPr>
            <w:tcW w:w="4080" w:type="dxa"/>
            <w:vAlign w:val="bottom"/>
          </w:tcPr>
          <w:p>
            <w:pPr>
              <w:ind w:left="40"/>
              <w:spacing w:after="0"/>
              <w:rPr>
                <w:sz w:val="20"/>
                <w:szCs w:val="20"/>
                <w:color w:val="auto"/>
              </w:rPr>
            </w:pPr>
            <w:r>
              <w:rPr>
                <w:rFonts w:ascii="Arial" w:cs="Arial" w:eastAsia="Arial" w:hAnsi="Arial"/>
                <w:sz w:val="16"/>
                <w:szCs w:val="16"/>
                <w:color w:val="auto"/>
              </w:rPr>
              <w:t>Australian tax incentive receivable</w:t>
            </w:r>
          </w:p>
        </w:tc>
        <w:tc>
          <w:tcPr>
            <w:tcW w:w="40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80" w:type="dxa"/>
            <w:vAlign w:val="bottom"/>
          </w:tcPr>
          <w:p>
            <w:pPr>
              <w:jc w:val="right"/>
              <w:ind w:right="40"/>
              <w:spacing w:after="0"/>
              <w:rPr>
                <w:sz w:val="20"/>
                <w:szCs w:val="20"/>
                <w:color w:val="auto"/>
              </w:rPr>
            </w:pPr>
            <w:r>
              <w:rPr>
                <w:rFonts w:ascii="Arial" w:cs="Arial" w:eastAsia="Arial" w:hAnsi="Arial"/>
                <w:sz w:val="16"/>
                <w:szCs w:val="16"/>
                <w:color w:val="auto"/>
              </w:rPr>
              <w:t>5,637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jc w:val="right"/>
              <w:ind w:right="20"/>
              <w:spacing w:after="0"/>
              <w:rPr>
                <w:sz w:val="20"/>
                <w:szCs w:val="20"/>
                <w:color w:val="auto"/>
              </w:rPr>
            </w:pPr>
            <w:r>
              <w:rPr>
                <w:rFonts w:ascii="Arial" w:cs="Arial" w:eastAsia="Arial" w:hAnsi="Arial"/>
                <w:sz w:val="16"/>
                <w:szCs w:val="16"/>
                <w:color w:val="auto"/>
              </w:rPr>
              <w:t>4,118</w:t>
            </w:r>
          </w:p>
        </w:tc>
      </w:tr>
      <w:tr>
        <w:trPr>
          <w:trHeight w:val="33"/>
        </w:trPr>
        <w:tc>
          <w:tcPr>
            <w:tcW w:w="4080" w:type="dxa"/>
            <w:vAlign w:val="bottom"/>
          </w:tcPr>
          <w:p>
            <w:pPr>
              <w:spacing w:after="0"/>
              <w:rPr>
                <w:sz w:val="2"/>
                <w:szCs w:val="2"/>
                <w:color w:val="auto"/>
              </w:rPr>
            </w:pPr>
          </w:p>
        </w:tc>
        <w:tc>
          <w:tcPr>
            <w:tcW w:w="40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408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16"/>
                <w:szCs w:val="16"/>
                <w:color w:val="auto"/>
              </w:rPr>
              <w:t>Short-term investments</w:t>
            </w:r>
          </w:p>
        </w:tc>
        <w:tc>
          <w:tcPr>
            <w:tcW w:w="404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CFF0FC"/>
            </w:tcBorders>
            <w:shd w:val="clear" w:color="auto" w:fill="CFF0FC"/>
          </w:tcPr>
          <w:p>
            <w:pPr>
              <w:spacing w:after="0"/>
              <w:rPr>
                <w:sz w:val="21"/>
                <w:szCs w:val="21"/>
                <w:color w:val="auto"/>
              </w:rPr>
            </w:pPr>
          </w:p>
        </w:tc>
        <w:tc>
          <w:tcPr>
            <w:tcW w:w="1380" w:type="dxa"/>
            <w:vAlign w:val="bottom"/>
            <w:tcBorders>
              <w:bottom w:val="single" w:sz="8" w:color="CFF0FC"/>
            </w:tcBorders>
            <w:shd w:val="clear" w:color="auto" w:fill="CFF0FC"/>
          </w:tcPr>
          <w:p>
            <w:pPr>
              <w:jc w:val="right"/>
              <w:ind w:right="40"/>
              <w:spacing w:after="0"/>
              <w:rPr>
                <w:sz w:val="20"/>
                <w:szCs w:val="20"/>
                <w:color w:val="auto"/>
              </w:rPr>
            </w:pPr>
            <w:r>
              <w:rPr>
                <w:rFonts w:ascii="Arial" w:cs="Arial" w:eastAsia="Arial" w:hAnsi="Arial"/>
                <w:sz w:val="16"/>
                <w:szCs w:val="16"/>
                <w:color w:val="auto"/>
              </w:rPr>
              <w:t>75,607</w:t>
            </w:r>
          </w:p>
        </w:tc>
        <w:tc>
          <w:tcPr>
            <w:tcW w:w="10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142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16"/>
                <w:szCs w:val="16"/>
                <w:color w:val="auto"/>
              </w:rPr>
              <w:t>—</w:t>
            </w:r>
          </w:p>
        </w:tc>
      </w:tr>
      <w:tr>
        <w:trPr>
          <w:trHeight w:val="237"/>
        </w:trPr>
        <w:tc>
          <w:tcPr>
            <w:tcW w:w="4080" w:type="dxa"/>
            <w:vAlign w:val="bottom"/>
          </w:tcPr>
          <w:p>
            <w:pPr>
              <w:ind w:left="40"/>
              <w:spacing w:after="0"/>
              <w:rPr>
                <w:sz w:val="20"/>
                <w:szCs w:val="20"/>
                <w:color w:val="auto"/>
              </w:rPr>
            </w:pPr>
            <w:r>
              <w:rPr>
                <w:rFonts w:ascii="Arial" w:cs="Arial" w:eastAsia="Arial" w:hAnsi="Arial"/>
                <w:sz w:val="16"/>
                <w:szCs w:val="16"/>
                <w:color w:val="auto"/>
              </w:rPr>
              <w:t>Prepaid expenses and other current assets</w:t>
            </w:r>
          </w:p>
        </w:tc>
        <w:tc>
          <w:tcPr>
            <w:tcW w:w="40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80" w:type="dxa"/>
            <w:vAlign w:val="bottom"/>
          </w:tcPr>
          <w:p>
            <w:pPr>
              <w:jc w:val="right"/>
              <w:ind w:right="40"/>
              <w:spacing w:after="0"/>
              <w:rPr>
                <w:sz w:val="20"/>
                <w:szCs w:val="20"/>
                <w:color w:val="auto"/>
              </w:rPr>
            </w:pPr>
            <w:r>
              <w:rPr>
                <w:rFonts w:ascii="Arial" w:cs="Arial" w:eastAsia="Arial" w:hAnsi="Arial"/>
                <w:sz w:val="16"/>
                <w:szCs w:val="16"/>
                <w:color w:val="auto"/>
              </w:rPr>
              <w:t>3,852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jc w:val="right"/>
              <w:ind w:right="20"/>
              <w:spacing w:after="0"/>
              <w:rPr>
                <w:sz w:val="20"/>
                <w:szCs w:val="20"/>
                <w:color w:val="auto"/>
              </w:rPr>
            </w:pPr>
            <w:r>
              <w:rPr>
                <w:rFonts w:ascii="Arial" w:cs="Arial" w:eastAsia="Arial" w:hAnsi="Arial"/>
                <w:sz w:val="16"/>
                <w:szCs w:val="16"/>
                <w:color w:val="auto"/>
              </w:rPr>
              <w:t>1,633</w:t>
            </w:r>
          </w:p>
        </w:tc>
      </w:tr>
      <w:tr>
        <w:trPr>
          <w:trHeight w:val="33"/>
        </w:trPr>
        <w:tc>
          <w:tcPr>
            <w:tcW w:w="4080" w:type="dxa"/>
            <w:vAlign w:val="bottom"/>
            <w:tcBorders>
              <w:bottom w:val="single" w:sz="8" w:color="CFF0FC"/>
            </w:tcBorders>
          </w:tcPr>
          <w:p>
            <w:pPr>
              <w:spacing w:after="0"/>
              <w:rPr>
                <w:sz w:val="2"/>
                <w:szCs w:val="2"/>
                <w:color w:val="auto"/>
              </w:rPr>
            </w:pPr>
          </w:p>
        </w:tc>
        <w:tc>
          <w:tcPr>
            <w:tcW w:w="4040" w:type="dxa"/>
            <w:vAlign w:val="bottom"/>
            <w:tcBorders>
              <w:bottom w:val="single" w:sz="8" w:color="CFF0FC"/>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30"/>
        </w:trPr>
        <w:tc>
          <w:tcPr>
            <w:tcW w:w="4080" w:type="dxa"/>
            <w:vAlign w:val="bottom"/>
            <w:tcBorders>
              <w:bottom w:val="single" w:sz="8" w:color="CFF0FC"/>
            </w:tcBorders>
            <w:shd w:val="clear" w:color="auto" w:fill="CFF0FC"/>
          </w:tcPr>
          <w:p>
            <w:pPr>
              <w:ind w:left="760"/>
              <w:spacing w:after="0"/>
              <w:rPr>
                <w:sz w:val="20"/>
                <w:szCs w:val="20"/>
                <w:color w:val="auto"/>
              </w:rPr>
            </w:pPr>
            <w:r>
              <w:rPr>
                <w:rFonts w:ascii="Arial" w:cs="Arial" w:eastAsia="Arial" w:hAnsi="Arial"/>
                <w:sz w:val="16"/>
                <w:szCs w:val="16"/>
                <w:color w:val="auto"/>
              </w:rPr>
              <w:t>Total current assets</w:t>
            </w:r>
          </w:p>
        </w:tc>
        <w:tc>
          <w:tcPr>
            <w:tcW w:w="404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CFF0FC"/>
            </w:tcBorders>
            <w:shd w:val="clear" w:color="auto" w:fill="CFF0FC"/>
          </w:tcPr>
          <w:p>
            <w:pPr>
              <w:spacing w:after="0"/>
              <w:rPr>
                <w:sz w:val="20"/>
                <w:szCs w:val="20"/>
                <w:color w:val="auto"/>
              </w:rPr>
            </w:pPr>
          </w:p>
        </w:tc>
        <w:tc>
          <w:tcPr>
            <w:tcW w:w="1380" w:type="dxa"/>
            <w:vAlign w:val="bottom"/>
            <w:tcBorders>
              <w:bottom w:val="single" w:sz="8" w:color="CFF0FC"/>
            </w:tcBorders>
            <w:shd w:val="clear" w:color="auto" w:fill="CFF0FC"/>
          </w:tcPr>
          <w:p>
            <w:pPr>
              <w:jc w:val="right"/>
              <w:ind w:right="40"/>
              <w:spacing w:after="0"/>
              <w:rPr>
                <w:sz w:val="20"/>
                <w:szCs w:val="20"/>
                <w:color w:val="auto"/>
              </w:rPr>
            </w:pPr>
            <w:r>
              <w:rPr>
                <w:rFonts w:ascii="Arial" w:cs="Arial" w:eastAsia="Arial" w:hAnsi="Arial"/>
                <w:sz w:val="16"/>
                <w:szCs w:val="16"/>
                <w:color w:val="auto"/>
              </w:rPr>
              <w:t>115,848</w:t>
            </w:r>
          </w:p>
        </w:tc>
        <w:tc>
          <w:tcPr>
            <w:tcW w:w="10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CFF0FC"/>
            </w:tcBorders>
            <w:shd w:val="clear" w:color="auto" w:fill="CFF0FC"/>
          </w:tcPr>
          <w:p>
            <w:pPr>
              <w:spacing w:after="0"/>
              <w:rPr>
                <w:sz w:val="20"/>
                <w:szCs w:val="20"/>
                <w:color w:val="auto"/>
              </w:rPr>
            </w:pPr>
          </w:p>
        </w:tc>
        <w:tc>
          <w:tcPr>
            <w:tcW w:w="142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16"/>
                <w:szCs w:val="16"/>
                <w:color w:val="auto"/>
              </w:rPr>
              <w:t>58,208</w:t>
            </w:r>
          </w:p>
        </w:tc>
      </w:tr>
      <w:tr>
        <w:trPr>
          <w:trHeight w:val="237"/>
        </w:trPr>
        <w:tc>
          <w:tcPr>
            <w:tcW w:w="4080" w:type="dxa"/>
            <w:vAlign w:val="bottom"/>
          </w:tcPr>
          <w:p>
            <w:pPr>
              <w:ind w:left="40"/>
              <w:spacing w:after="0"/>
              <w:rPr>
                <w:sz w:val="20"/>
                <w:szCs w:val="20"/>
                <w:color w:val="auto"/>
              </w:rPr>
            </w:pPr>
            <w:r>
              <w:rPr>
                <w:rFonts w:ascii="Arial" w:cs="Arial" w:eastAsia="Arial" w:hAnsi="Arial"/>
                <w:sz w:val="16"/>
                <w:szCs w:val="16"/>
                <w:color w:val="auto"/>
              </w:rPr>
              <w:t>Property and equipment, net</w:t>
            </w:r>
          </w:p>
        </w:tc>
        <w:tc>
          <w:tcPr>
            <w:tcW w:w="40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80" w:type="dxa"/>
            <w:vAlign w:val="bottom"/>
          </w:tcPr>
          <w:p>
            <w:pPr>
              <w:jc w:val="right"/>
              <w:ind w:right="40"/>
              <w:spacing w:after="0"/>
              <w:rPr>
                <w:sz w:val="20"/>
                <w:szCs w:val="20"/>
                <w:color w:val="auto"/>
              </w:rPr>
            </w:pPr>
            <w:r>
              <w:rPr>
                <w:rFonts w:ascii="Arial" w:cs="Arial" w:eastAsia="Arial" w:hAnsi="Arial"/>
                <w:sz w:val="16"/>
                <w:szCs w:val="16"/>
                <w:color w:val="auto"/>
              </w:rPr>
              <w:t>543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jc w:val="right"/>
              <w:ind w:right="20"/>
              <w:spacing w:after="0"/>
              <w:rPr>
                <w:sz w:val="20"/>
                <w:szCs w:val="20"/>
                <w:color w:val="auto"/>
              </w:rPr>
            </w:pPr>
            <w:r>
              <w:rPr>
                <w:rFonts w:ascii="Arial" w:cs="Arial" w:eastAsia="Arial" w:hAnsi="Arial"/>
                <w:sz w:val="16"/>
                <w:szCs w:val="16"/>
                <w:color w:val="auto"/>
              </w:rPr>
              <w:t>471</w:t>
            </w:r>
          </w:p>
        </w:tc>
      </w:tr>
      <w:tr>
        <w:trPr>
          <w:trHeight w:val="33"/>
        </w:trPr>
        <w:tc>
          <w:tcPr>
            <w:tcW w:w="4080" w:type="dxa"/>
            <w:vAlign w:val="bottom"/>
          </w:tcPr>
          <w:p>
            <w:pPr>
              <w:spacing w:after="0"/>
              <w:rPr>
                <w:sz w:val="2"/>
                <w:szCs w:val="2"/>
                <w:color w:val="auto"/>
              </w:rPr>
            </w:pPr>
          </w:p>
        </w:tc>
        <w:tc>
          <w:tcPr>
            <w:tcW w:w="40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408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16"/>
                <w:szCs w:val="16"/>
                <w:color w:val="auto"/>
              </w:rPr>
              <w:t>Long-term investments</w:t>
            </w:r>
          </w:p>
        </w:tc>
        <w:tc>
          <w:tcPr>
            <w:tcW w:w="404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CFF0FC"/>
            </w:tcBorders>
            <w:shd w:val="clear" w:color="auto" w:fill="CFF0FC"/>
          </w:tcPr>
          <w:p>
            <w:pPr>
              <w:spacing w:after="0"/>
              <w:rPr>
                <w:sz w:val="21"/>
                <w:szCs w:val="21"/>
                <w:color w:val="auto"/>
              </w:rPr>
            </w:pPr>
          </w:p>
        </w:tc>
        <w:tc>
          <w:tcPr>
            <w:tcW w:w="1380" w:type="dxa"/>
            <w:vAlign w:val="bottom"/>
            <w:tcBorders>
              <w:bottom w:val="single" w:sz="8" w:color="CFF0FC"/>
            </w:tcBorders>
            <w:shd w:val="clear" w:color="auto" w:fill="CFF0FC"/>
          </w:tcPr>
          <w:p>
            <w:pPr>
              <w:jc w:val="right"/>
              <w:ind w:right="40"/>
              <w:spacing w:after="0"/>
              <w:rPr>
                <w:sz w:val="20"/>
                <w:szCs w:val="20"/>
                <w:color w:val="auto"/>
              </w:rPr>
            </w:pPr>
            <w:r>
              <w:rPr>
                <w:rFonts w:ascii="Arial" w:cs="Arial" w:eastAsia="Arial" w:hAnsi="Arial"/>
                <w:sz w:val="16"/>
                <w:szCs w:val="16"/>
                <w:color w:val="auto"/>
              </w:rPr>
              <w:t>13,912</w:t>
            </w:r>
          </w:p>
        </w:tc>
        <w:tc>
          <w:tcPr>
            <w:tcW w:w="10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142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16"/>
                <w:szCs w:val="16"/>
                <w:color w:val="auto"/>
              </w:rPr>
              <w:t>—</w:t>
            </w:r>
          </w:p>
        </w:tc>
      </w:tr>
      <w:tr>
        <w:trPr>
          <w:trHeight w:val="237"/>
        </w:trPr>
        <w:tc>
          <w:tcPr>
            <w:tcW w:w="4080" w:type="dxa"/>
            <w:vAlign w:val="bottom"/>
          </w:tcPr>
          <w:p>
            <w:pPr>
              <w:ind w:left="40"/>
              <w:spacing w:after="0"/>
              <w:rPr>
                <w:sz w:val="20"/>
                <w:szCs w:val="20"/>
                <w:color w:val="auto"/>
              </w:rPr>
            </w:pPr>
            <w:r>
              <w:rPr>
                <w:rFonts w:ascii="Arial" w:cs="Arial" w:eastAsia="Arial" w:hAnsi="Arial"/>
                <w:sz w:val="16"/>
                <w:szCs w:val="16"/>
                <w:color w:val="auto"/>
              </w:rPr>
              <w:t>Long-term vendor deposits</w:t>
            </w:r>
          </w:p>
        </w:tc>
        <w:tc>
          <w:tcPr>
            <w:tcW w:w="40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80" w:type="dxa"/>
            <w:vAlign w:val="bottom"/>
          </w:tcPr>
          <w:p>
            <w:pPr>
              <w:jc w:val="right"/>
              <w:ind w:right="40"/>
              <w:spacing w:after="0"/>
              <w:rPr>
                <w:sz w:val="20"/>
                <w:szCs w:val="20"/>
                <w:color w:val="auto"/>
              </w:rPr>
            </w:pPr>
            <w:r>
              <w:rPr>
                <w:rFonts w:ascii="Arial" w:cs="Arial" w:eastAsia="Arial" w:hAnsi="Arial"/>
                <w:sz w:val="16"/>
                <w:szCs w:val="16"/>
                <w:color w:val="auto"/>
              </w:rPr>
              <w:t>46</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jc w:val="right"/>
              <w:ind w:right="20"/>
              <w:spacing w:after="0"/>
              <w:rPr>
                <w:sz w:val="20"/>
                <w:szCs w:val="20"/>
                <w:color w:val="auto"/>
              </w:rPr>
            </w:pPr>
            <w:r>
              <w:rPr>
                <w:rFonts w:ascii="Arial" w:cs="Arial" w:eastAsia="Arial" w:hAnsi="Arial"/>
                <w:sz w:val="16"/>
                <w:szCs w:val="16"/>
                <w:color w:val="auto"/>
              </w:rPr>
              <w:t>—</w:t>
            </w:r>
          </w:p>
        </w:tc>
      </w:tr>
      <w:tr>
        <w:trPr>
          <w:trHeight w:val="33"/>
        </w:trPr>
        <w:tc>
          <w:tcPr>
            <w:tcW w:w="4080" w:type="dxa"/>
            <w:vAlign w:val="bottom"/>
          </w:tcPr>
          <w:p>
            <w:pPr>
              <w:spacing w:after="0"/>
              <w:rPr>
                <w:sz w:val="2"/>
                <w:szCs w:val="2"/>
                <w:color w:val="auto"/>
              </w:rPr>
            </w:pPr>
          </w:p>
        </w:tc>
        <w:tc>
          <w:tcPr>
            <w:tcW w:w="40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408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16"/>
                <w:szCs w:val="16"/>
                <w:color w:val="auto"/>
              </w:rPr>
              <w:t>Restricted cash</w:t>
            </w:r>
          </w:p>
        </w:tc>
        <w:tc>
          <w:tcPr>
            <w:tcW w:w="404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CFF0FC"/>
            </w:tcBorders>
            <w:shd w:val="clear" w:color="auto" w:fill="CFF0FC"/>
          </w:tcPr>
          <w:p>
            <w:pPr>
              <w:spacing w:after="0"/>
              <w:rPr>
                <w:sz w:val="21"/>
                <w:szCs w:val="21"/>
                <w:color w:val="auto"/>
              </w:rPr>
            </w:pPr>
          </w:p>
        </w:tc>
        <w:tc>
          <w:tcPr>
            <w:tcW w:w="1380" w:type="dxa"/>
            <w:vAlign w:val="bottom"/>
            <w:tcBorders>
              <w:bottom w:val="single" w:sz="8" w:color="CFF0FC"/>
            </w:tcBorders>
            <w:shd w:val="clear" w:color="auto" w:fill="CFF0FC"/>
          </w:tcPr>
          <w:p>
            <w:pPr>
              <w:jc w:val="right"/>
              <w:ind w:right="40"/>
              <w:spacing w:after="0"/>
              <w:rPr>
                <w:sz w:val="20"/>
                <w:szCs w:val="20"/>
                <w:color w:val="auto"/>
              </w:rPr>
            </w:pPr>
            <w:r>
              <w:rPr>
                <w:rFonts w:ascii="Arial" w:cs="Arial" w:eastAsia="Arial" w:hAnsi="Arial"/>
                <w:sz w:val="16"/>
                <w:szCs w:val="16"/>
                <w:color w:val="auto"/>
              </w:rPr>
              <w:t>60</w:t>
            </w:r>
          </w:p>
        </w:tc>
        <w:tc>
          <w:tcPr>
            <w:tcW w:w="10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142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16"/>
                <w:szCs w:val="16"/>
                <w:color w:val="auto"/>
              </w:rPr>
              <w:t>60</w:t>
            </w:r>
          </w:p>
        </w:tc>
      </w:tr>
      <w:tr>
        <w:trPr>
          <w:trHeight w:val="237"/>
        </w:trPr>
        <w:tc>
          <w:tcPr>
            <w:tcW w:w="4080" w:type="dxa"/>
            <w:vAlign w:val="bottom"/>
          </w:tcPr>
          <w:p>
            <w:pPr>
              <w:ind w:left="40"/>
              <w:spacing w:after="0"/>
              <w:rPr>
                <w:sz w:val="20"/>
                <w:szCs w:val="20"/>
                <w:color w:val="auto"/>
              </w:rPr>
            </w:pPr>
            <w:r>
              <w:rPr>
                <w:rFonts w:ascii="Arial" w:cs="Arial" w:eastAsia="Arial" w:hAnsi="Arial"/>
                <w:sz w:val="16"/>
                <w:szCs w:val="16"/>
                <w:color w:val="auto"/>
              </w:rPr>
              <w:t>Deferred financing costs</w:t>
            </w:r>
          </w:p>
        </w:tc>
        <w:tc>
          <w:tcPr>
            <w:tcW w:w="40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420" w:type="dxa"/>
            <w:vAlign w:val="bottom"/>
          </w:tcPr>
          <w:p>
            <w:pPr>
              <w:jc w:val="right"/>
              <w:ind w:right="20"/>
              <w:spacing w:after="0"/>
              <w:rPr>
                <w:sz w:val="20"/>
                <w:szCs w:val="20"/>
                <w:color w:val="auto"/>
              </w:rPr>
            </w:pPr>
            <w:r>
              <w:rPr>
                <w:rFonts w:ascii="Arial" w:cs="Arial" w:eastAsia="Arial" w:hAnsi="Arial"/>
                <w:sz w:val="16"/>
                <w:szCs w:val="16"/>
                <w:color w:val="auto"/>
              </w:rPr>
              <w:t>3,441</w:t>
            </w:r>
          </w:p>
        </w:tc>
      </w:tr>
      <w:tr>
        <w:trPr>
          <w:trHeight w:val="33"/>
        </w:trPr>
        <w:tc>
          <w:tcPr>
            <w:tcW w:w="4080" w:type="dxa"/>
            <w:vAlign w:val="bottom"/>
            <w:tcBorders>
              <w:bottom w:val="single" w:sz="8" w:color="CFF0FC"/>
            </w:tcBorders>
          </w:tcPr>
          <w:p>
            <w:pPr>
              <w:spacing w:after="0"/>
              <w:rPr>
                <w:sz w:val="2"/>
                <w:szCs w:val="2"/>
                <w:color w:val="auto"/>
              </w:rPr>
            </w:pPr>
          </w:p>
        </w:tc>
        <w:tc>
          <w:tcPr>
            <w:tcW w:w="4040" w:type="dxa"/>
            <w:vAlign w:val="bottom"/>
            <w:tcBorders>
              <w:bottom w:val="single" w:sz="8" w:color="CFF0FC"/>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55"/>
        </w:trPr>
        <w:tc>
          <w:tcPr>
            <w:tcW w:w="4080" w:type="dxa"/>
            <w:vAlign w:val="bottom"/>
            <w:tcBorders>
              <w:bottom w:val="single" w:sz="8" w:color="CFF0FC"/>
            </w:tcBorders>
            <w:shd w:val="clear" w:color="auto" w:fill="CFF0FC"/>
          </w:tcPr>
          <w:p>
            <w:pPr>
              <w:ind w:left="520"/>
              <w:spacing w:after="0"/>
              <w:rPr>
                <w:sz w:val="20"/>
                <w:szCs w:val="20"/>
                <w:color w:val="auto"/>
              </w:rPr>
            </w:pPr>
            <w:r>
              <w:rPr>
                <w:rFonts w:ascii="Arial" w:cs="Arial" w:eastAsia="Arial" w:hAnsi="Arial"/>
                <w:sz w:val="16"/>
                <w:szCs w:val="16"/>
                <w:color w:val="auto"/>
              </w:rPr>
              <w:t>Total assets</w:t>
            </w:r>
          </w:p>
        </w:tc>
        <w:tc>
          <w:tcPr>
            <w:tcW w:w="4280" w:type="dxa"/>
            <w:vAlign w:val="bottom"/>
            <w:tcBorders>
              <w:bottom w:val="single" w:sz="8" w:color="CFF0FC"/>
            </w:tcBorders>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CFF0FC"/>
            </w:tcBorders>
            <w:shd w:val="clear" w:color="auto" w:fill="CFF0FC"/>
          </w:tcPr>
          <w:p>
            <w:pPr>
              <w:jc w:val="right"/>
              <w:ind w:right="40"/>
              <w:spacing w:after="0"/>
              <w:rPr>
                <w:sz w:val="20"/>
                <w:szCs w:val="20"/>
                <w:color w:val="auto"/>
              </w:rPr>
            </w:pPr>
            <w:r>
              <w:rPr>
                <w:rFonts w:ascii="Arial" w:cs="Arial" w:eastAsia="Arial" w:hAnsi="Arial"/>
                <w:sz w:val="16"/>
                <w:szCs w:val="16"/>
                <w:color w:val="auto"/>
              </w:rPr>
              <w:t>130,409</w:t>
            </w:r>
          </w:p>
        </w:tc>
        <w:tc>
          <w:tcPr>
            <w:tcW w:w="10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16"/>
                <w:szCs w:val="16"/>
                <w:color w:val="auto"/>
              </w:rPr>
              <w:t>62,180</w:t>
            </w:r>
          </w:p>
        </w:tc>
      </w:tr>
      <w:tr>
        <w:trPr>
          <w:trHeight w:val="20"/>
        </w:trPr>
        <w:tc>
          <w:tcPr>
            <w:tcW w:w="4080" w:type="dxa"/>
            <w:vAlign w:val="bottom"/>
            <w:tcBorders>
              <w:top w:val="single" w:sz="8" w:color="CFF0FC"/>
            </w:tcBorders>
          </w:tcPr>
          <w:p>
            <w:pPr>
              <w:spacing w:after="0" w:line="20" w:lineRule="exact"/>
              <w:rPr>
                <w:sz w:val="1"/>
                <w:szCs w:val="1"/>
                <w:color w:val="auto"/>
              </w:rPr>
            </w:pPr>
          </w:p>
        </w:tc>
        <w:tc>
          <w:tcPr>
            <w:tcW w:w="404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r>
    </w:tbl>
    <w:p>
      <w:pPr>
        <w:jc w:val="center"/>
        <w:ind w:right="-19"/>
        <w:spacing w:after="0"/>
        <w:rPr>
          <w:sz w:val="20"/>
          <w:szCs w:val="20"/>
          <w:color w:val="auto"/>
        </w:rPr>
      </w:pPr>
      <w:r>
        <w:rPr>
          <w:rFonts w:ascii="Arial" w:cs="Arial" w:eastAsia="Arial" w:hAnsi="Arial"/>
          <w:sz w:val="16"/>
          <w:szCs w:val="16"/>
          <w:b w:val="1"/>
          <w:bCs w:val="1"/>
          <w:color w:val="auto"/>
        </w:rPr>
        <w:t>LIABILITIES, CONVERTIBLE PREFERRED STOCK AND</w:t>
      </w:r>
    </w:p>
    <w:p>
      <w:pPr>
        <w:spacing w:after="0" w:line="26"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STOCKHOLDERS’ EQUITY (DEFICIT)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33020</wp:posOffset>
            </wp:positionV>
            <wp:extent cx="7246620" cy="1714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9" w:lineRule="exact"/>
        <w:rPr>
          <w:sz w:val="20"/>
          <w:szCs w:val="20"/>
          <w:color w:val="auto"/>
        </w:rPr>
      </w:pPr>
    </w:p>
    <w:p>
      <w:pPr>
        <w:ind w:left="40"/>
        <w:spacing w:after="0"/>
        <w:rPr>
          <w:sz w:val="20"/>
          <w:szCs w:val="20"/>
          <w:color w:val="auto"/>
        </w:rPr>
      </w:pPr>
      <w:r>
        <w:rPr>
          <w:rFonts w:ascii="Arial" w:cs="Arial" w:eastAsia="Arial" w:hAnsi="Arial"/>
          <w:sz w:val="16"/>
          <w:szCs w:val="16"/>
          <w:color w:val="auto"/>
        </w:rPr>
        <w:t>Current liabilities:</w:t>
      </w:r>
    </w:p>
    <w:p>
      <w:pPr>
        <w:sectPr>
          <w:pgSz w:w="11900" w:h="16838" w:orient="portrait"/>
          <w:cols w:equalWidth="0" w:num="1">
            <w:col w:w="11420"/>
          </w:cols>
          <w:pgMar w:left="240" w:top="580" w:right="239" w:bottom="1440" w:gutter="0" w:footer="0" w:header="0"/>
        </w:sectPr>
      </w:pPr>
    </w:p>
    <w:p>
      <w:pPr>
        <w:spacing w:after="0" w:line="86" w:lineRule="exact"/>
        <w:rPr>
          <w:sz w:val="20"/>
          <w:szCs w:val="20"/>
          <w:color w:val="auto"/>
        </w:rPr>
      </w:pPr>
    </w:p>
    <w:p>
      <w:pPr>
        <w:ind w:left="40"/>
        <w:spacing w:after="0"/>
        <w:tabs>
          <w:tab w:leader="none" w:pos="8120" w:val="left"/>
        </w:tabs>
        <w:rPr>
          <w:sz w:val="20"/>
          <w:szCs w:val="20"/>
          <w:color w:val="auto"/>
        </w:rPr>
      </w:pPr>
      <w:r>
        <w:rPr>
          <w:rFonts w:ascii="Arial" w:cs="Arial" w:eastAsia="Arial" w:hAnsi="Arial"/>
          <w:sz w:val="16"/>
          <w:szCs w:val="16"/>
          <w:color w:val="auto"/>
        </w:rPr>
        <w:t>Accounts payable</w:t>
      </w:r>
      <w:r>
        <w:rPr>
          <w:sz w:val="20"/>
          <w:szCs w:val="20"/>
          <w:color w:val="auto"/>
        </w:rPr>
        <w:tab/>
      </w: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Arial" w:cs="Arial" w:eastAsia="Arial" w:hAnsi="Arial"/>
          <w:sz w:val="16"/>
          <w:szCs w:val="16"/>
          <w:color w:val="auto"/>
        </w:rPr>
        <w:t>Accrued expenses</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Notes payable, current portion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Arial" w:cs="Arial" w:eastAsia="Arial" w:hAnsi="Arial"/>
          <w:sz w:val="16"/>
          <w:szCs w:val="16"/>
          <w:color w:val="auto"/>
        </w:rPr>
        <w:t>Other current liabilities</w:t>
      </w:r>
    </w:p>
    <w:p>
      <w:pPr>
        <w:spacing w:after="0" w:line="86" w:lineRule="exact"/>
        <w:rPr>
          <w:sz w:val="20"/>
          <w:szCs w:val="20"/>
          <w:color w:val="auto"/>
        </w:rPr>
      </w:pPr>
    </w:p>
    <w:p>
      <w:pPr>
        <w:ind w:left="760"/>
        <w:spacing w:after="0"/>
        <w:rPr>
          <w:sz w:val="20"/>
          <w:szCs w:val="20"/>
          <w:color w:val="auto"/>
        </w:rPr>
      </w:pPr>
      <w:r>
        <w:rPr>
          <w:rFonts w:ascii="Arial" w:cs="Arial" w:eastAsia="Arial" w:hAnsi="Arial"/>
          <w:sz w:val="16"/>
          <w:szCs w:val="16"/>
          <w:color w:val="auto"/>
        </w:rPr>
        <w:t>Total 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Arial" w:cs="Arial" w:eastAsia="Arial" w:hAnsi="Arial"/>
          <w:sz w:val="16"/>
          <w:szCs w:val="16"/>
          <w:color w:val="auto"/>
        </w:rPr>
        <w:t>Notes payable, net of current portion</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Deferred rent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Arial" w:cs="Arial" w:eastAsia="Arial" w:hAnsi="Arial"/>
          <w:sz w:val="16"/>
          <w:szCs w:val="16"/>
          <w:color w:val="auto"/>
        </w:rPr>
        <w:t>Preferred stock warrant liabilities</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Commitments and contingencies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3003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300355"/>
                    </a:xfrm>
                    <a:prstGeom prst="rect">
                      <a:avLst/>
                    </a:prstGeom>
                    <a:noFill/>
                  </pic:spPr>
                </pic:pic>
              </a:graphicData>
            </a:graphic>
          </wp:anchor>
        </w:drawing>
      </w:r>
    </w:p>
    <w:p>
      <w:pPr>
        <w:spacing w:after="0" w:line="80" w:lineRule="exact"/>
        <w:rPr>
          <w:sz w:val="20"/>
          <w:szCs w:val="20"/>
          <w:color w:val="auto"/>
        </w:rPr>
      </w:pPr>
    </w:p>
    <w:p>
      <w:pPr>
        <w:ind w:left="40" w:right="440"/>
        <w:spacing w:after="0" w:line="293" w:lineRule="auto"/>
        <w:rPr>
          <w:sz w:val="20"/>
          <w:szCs w:val="20"/>
          <w:color w:val="auto"/>
        </w:rPr>
      </w:pPr>
      <w:r>
        <w:rPr>
          <w:rFonts w:ascii="Arial" w:cs="Arial" w:eastAsia="Arial" w:hAnsi="Arial"/>
          <w:sz w:val="16"/>
          <w:szCs w:val="16"/>
          <w:color w:val="auto"/>
        </w:rPr>
        <w:t>Series B convertible preferred stock, $0.001 par value, no shares and 3,963 authorized, issued and outstanding at June 30, 2017 and December 31, 2016, respectively</w:t>
      </w:r>
    </w:p>
    <w:p>
      <w:pPr>
        <w:spacing w:after="0" w:line="23" w:lineRule="exact"/>
        <w:rPr>
          <w:sz w:val="20"/>
          <w:szCs w:val="20"/>
          <w:color w:val="auto"/>
        </w:rPr>
      </w:pPr>
    </w:p>
    <w:p>
      <w:pPr>
        <w:ind w:left="40" w:right="480"/>
        <w:spacing w:after="0" w:line="293" w:lineRule="auto"/>
        <w:rPr>
          <w:sz w:val="20"/>
          <w:szCs w:val="20"/>
          <w:color w:val="auto"/>
        </w:rPr>
      </w:pPr>
      <w:r>
        <w:rPr>
          <w:rFonts w:ascii="Arial" w:cs="Arial" w:eastAsia="Arial" w:hAnsi="Arial"/>
          <w:sz w:val="16"/>
          <w:szCs w:val="16"/>
          <w:color w:val="auto"/>
        </w:rPr>
        <w:t>Series C convertible preferred stock, $0.001 par value, no shares and 1,887 shares authorized, no shares and 1,593 shares issued and outstanding at June 30, 2017 and December 31, 2016,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246620" cy="3003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300355"/>
                    </a:xfrm>
                    <a:prstGeom prst="rect">
                      <a:avLst/>
                    </a:prstGeom>
                    <a:noFill/>
                  </pic:spPr>
                </pic:pic>
              </a:graphicData>
            </a:graphic>
          </wp:anchor>
        </w:drawing>
      </w:r>
    </w:p>
    <w:p>
      <w:pPr>
        <w:spacing w:after="0" w:line="3" w:lineRule="exact"/>
        <w:rPr>
          <w:sz w:val="20"/>
          <w:szCs w:val="20"/>
          <w:color w:val="auto"/>
        </w:rPr>
      </w:pPr>
    </w:p>
    <w:p>
      <w:pPr>
        <w:ind w:left="40" w:right="560"/>
        <w:spacing w:after="0" w:line="293" w:lineRule="auto"/>
        <w:rPr>
          <w:sz w:val="20"/>
          <w:szCs w:val="20"/>
          <w:color w:val="auto"/>
        </w:rPr>
      </w:pPr>
      <w:r>
        <w:rPr>
          <w:rFonts w:ascii="Arial" w:cs="Arial" w:eastAsia="Arial" w:hAnsi="Arial"/>
          <w:sz w:val="16"/>
          <w:szCs w:val="16"/>
          <w:color w:val="auto"/>
        </w:rPr>
        <w:t>Series C-1 convertible preferred stock, $0.001 par value, no shares and 474 shares authorized, issued and outstanding at June 30, 2017 and December 31, 2016, respectively</w:t>
      </w:r>
    </w:p>
    <w:p>
      <w:pPr>
        <w:spacing w:after="0" w:line="23" w:lineRule="exact"/>
        <w:rPr>
          <w:sz w:val="20"/>
          <w:szCs w:val="20"/>
          <w:color w:val="auto"/>
        </w:rPr>
      </w:pPr>
    </w:p>
    <w:p>
      <w:pPr>
        <w:ind w:left="40" w:right="560"/>
        <w:spacing w:after="0" w:line="293" w:lineRule="auto"/>
        <w:rPr>
          <w:sz w:val="20"/>
          <w:szCs w:val="20"/>
          <w:color w:val="auto"/>
        </w:rPr>
      </w:pPr>
      <w:r>
        <w:rPr>
          <w:rFonts w:ascii="Arial" w:cs="Arial" w:eastAsia="Arial" w:hAnsi="Arial"/>
          <w:sz w:val="16"/>
          <w:szCs w:val="16"/>
          <w:color w:val="auto"/>
        </w:rPr>
        <w:t>Series D convertible preferred stock, $0.001 par value, no shares and 5,491 shares authorized, issued and outstanding at June 30, 2017 and December 31, 2016,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246620" cy="171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ind w:left="40"/>
        <w:spacing w:after="0"/>
        <w:rPr>
          <w:sz w:val="20"/>
          <w:szCs w:val="20"/>
          <w:color w:val="auto"/>
        </w:rPr>
      </w:pPr>
      <w:r>
        <w:rPr>
          <w:rFonts w:ascii="Arial" w:cs="Arial" w:eastAsia="Arial" w:hAnsi="Arial"/>
          <w:sz w:val="16"/>
          <w:szCs w:val="16"/>
          <w:color w:val="auto"/>
        </w:rPr>
        <w:t>Stockholders’ equity (deficit):</w:t>
      </w:r>
    </w:p>
    <w:p>
      <w:pPr>
        <w:spacing w:after="0" w:line="100" w:lineRule="exact"/>
        <w:rPr>
          <w:sz w:val="20"/>
          <w:szCs w:val="20"/>
          <w:color w:val="auto"/>
        </w:rPr>
      </w:pPr>
    </w:p>
    <w:p>
      <w:pPr>
        <w:ind w:left="40" w:right="720"/>
        <w:spacing w:after="0" w:line="293" w:lineRule="auto"/>
        <w:rPr>
          <w:sz w:val="20"/>
          <w:szCs w:val="20"/>
          <w:color w:val="auto"/>
        </w:rPr>
      </w:pPr>
      <w:r>
        <w:rPr>
          <w:rFonts w:ascii="Arial" w:cs="Arial" w:eastAsia="Arial" w:hAnsi="Arial"/>
          <w:sz w:val="16"/>
          <w:szCs w:val="16"/>
          <w:color w:val="auto"/>
        </w:rPr>
        <w:t>Preferred stock, $0.001 par value, 10,000 shares and no shares authorized, issued or outstanding at June 30, 2017 and December 31, 2016,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246620" cy="3003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300355"/>
                    </a:xfrm>
                    <a:prstGeom prst="rect">
                      <a:avLst/>
                    </a:prstGeom>
                    <a:noFill/>
                  </pic:spPr>
                </pic:pic>
              </a:graphicData>
            </a:graphic>
          </wp:anchor>
        </w:drawing>
      </w:r>
    </w:p>
    <w:p>
      <w:pPr>
        <w:spacing w:after="0" w:line="3" w:lineRule="exact"/>
        <w:rPr>
          <w:sz w:val="20"/>
          <w:szCs w:val="20"/>
          <w:color w:val="auto"/>
        </w:rPr>
      </w:pPr>
    </w:p>
    <w:p>
      <w:pPr>
        <w:ind w:left="40" w:right="300"/>
        <w:spacing w:after="0" w:line="293" w:lineRule="auto"/>
        <w:rPr>
          <w:sz w:val="20"/>
          <w:szCs w:val="20"/>
          <w:color w:val="auto"/>
        </w:rPr>
      </w:pPr>
      <w:r>
        <w:rPr>
          <w:rFonts w:ascii="Arial" w:cs="Arial" w:eastAsia="Arial" w:hAnsi="Arial"/>
          <w:sz w:val="16"/>
          <w:szCs w:val="16"/>
          <w:color w:val="auto"/>
        </w:rPr>
        <w:t>Common stock, $0.001 par value, 500,000 and 17,214 authorized, 20,290 shares and 2,651 shares issued and outstanding at June 30, 2017 and December 31, 2016, respectively</w:t>
      </w:r>
    </w:p>
    <w:p>
      <w:pPr>
        <w:spacing w:after="0" w:line="10" w:lineRule="exact"/>
        <w:rPr>
          <w:sz w:val="20"/>
          <w:szCs w:val="20"/>
          <w:color w:val="auto"/>
        </w:rPr>
      </w:pPr>
    </w:p>
    <w:p>
      <w:pPr>
        <w:ind w:left="40"/>
        <w:spacing w:after="0"/>
        <w:rPr>
          <w:sz w:val="20"/>
          <w:szCs w:val="20"/>
          <w:color w:val="auto"/>
        </w:rPr>
      </w:pPr>
      <w:r>
        <w:rPr>
          <w:rFonts w:ascii="Arial" w:cs="Arial" w:eastAsia="Arial" w:hAnsi="Arial"/>
          <w:sz w:val="16"/>
          <w:szCs w:val="16"/>
          <w:color w:val="auto"/>
        </w:rPr>
        <w:t>Additional paid in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Arial" w:cs="Arial" w:eastAsia="Arial" w:hAnsi="Arial"/>
          <w:sz w:val="16"/>
          <w:szCs w:val="16"/>
          <w:color w:val="auto"/>
        </w:rPr>
        <w:t>Accumulated other comprehensive loss</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Accumulated deficit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Total stockholders’ equity (deficit)</w:t>
      </w:r>
    </w:p>
    <w:p>
      <w:pPr>
        <w:spacing w:after="0" w:line="86" w:lineRule="exact"/>
        <w:rPr>
          <w:sz w:val="20"/>
          <w:szCs w:val="20"/>
          <w:color w:val="auto"/>
        </w:rPr>
      </w:pPr>
    </w:p>
    <w:p>
      <w:pPr>
        <w:ind w:left="520"/>
        <w:spacing w:after="0"/>
        <w:tabs>
          <w:tab w:leader="none" w:pos="8120" w:val="left"/>
        </w:tabs>
        <w:rPr>
          <w:sz w:val="20"/>
          <w:szCs w:val="20"/>
          <w:color w:val="auto"/>
        </w:rPr>
      </w:pPr>
      <w:r>
        <w:rPr>
          <w:rFonts w:ascii="Arial" w:cs="Arial" w:eastAsia="Arial" w:hAnsi="Arial"/>
          <w:sz w:val="16"/>
          <w:szCs w:val="16"/>
          <w:color w:val="auto"/>
        </w:rPr>
        <w:t>Total liabilities, convertible preferred stock and stockholders’ equity (deficit)</w:t>
      </w:r>
      <w:r>
        <w:rPr>
          <w:sz w:val="20"/>
          <w:szCs w:val="20"/>
          <w:color w:val="auto"/>
        </w:rPr>
        <w:tab/>
      </w:r>
      <w:r>
        <w:rPr>
          <w:rFonts w:ascii="Arial" w:cs="Arial" w:eastAsia="Arial" w:hAnsi="Arial"/>
          <w:sz w:val="14"/>
          <w:szCs w:val="14"/>
          <w:color w:val="auto"/>
        </w:rPr>
        <w:t>$</w:t>
      </w:r>
    </w:p>
    <w:p>
      <w:pPr>
        <w:spacing w:after="0" w:line="20" w:lineRule="exact"/>
        <w:rPr>
          <w:sz w:val="20"/>
          <w:szCs w:val="20"/>
          <w:color w:val="auto"/>
        </w:rPr>
      </w:pPr>
      <w:r>
        <w:rPr>
          <w:sz w:val="20"/>
          <w:szCs w:val="20"/>
          <w:color w:val="auto"/>
        </w:rPr>
        <w:br w:type="column"/>
      </w:r>
    </w:p>
    <w:p>
      <w:pPr>
        <w:spacing w:after="0" w:line="80" w:lineRule="exact"/>
        <w:rPr>
          <w:sz w:val="20"/>
          <w:szCs w:val="20"/>
          <w:color w:val="auto"/>
        </w:rPr>
      </w:pPr>
    </w:p>
    <w:p>
      <w:pPr>
        <w:spacing w:after="0" w:line="1" w:lineRule="exact"/>
        <w:rPr>
          <w:sz w:val="1"/>
          <w:szCs w:val="1"/>
          <w:color w:val="auto"/>
        </w:rPr>
      </w:pPr>
    </w:p>
    <w:tbl>
      <w:tblPr>
        <w:tblLayout w:type="fixed"/>
        <w:tblInd w:w="80" w:type="dxa"/>
        <w:tblCellMar>
          <w:top w:w="0" w:type="dxa"/>
          <w:left w:w="0" w:type="dxa"/>
          <w:bottom w:w="0" w:type="dxa"/>
          <w:right w:w="0" w:type="dxa"/>
        </w:tblCellMar>
      </w:tblPr>
      <w:tr>
        <w:trPr>
          <w:trHeight w:val="206"/>
        </w:trPr>
        <w:tc>
          <w:tcPr>
            <w:tcW w:w="680" w:type="dxa"/>
            <w:vAlign w:val="bottom"/>
          </w:tcPr>
          <w:p>
            <w:pPr>
              <w:jc w:val="right"/>
              <w:ind w:right="139"/>
              <w:spacing w:after="0"/>
              <w:rPr>
                <w:sz w:val="20"/>
                <w:szCs w:val="20"/>
                <w:color w:val="auto"/>
              </w:rPr>
            </w:pPr>
            <w:r>
              <w:rPr>
                <w:rFonts w:ascii="Arial" w:cs="Arial" w:eastAsia="Arial" w:hAnsi="Arial"/>
                <w:sz w:val="16"/>
                <w:szCs w:val="16"/>
                <w:color w:val="auto"/>
              </w:rPr>
              <w:t>3,724</w:t>
            </w:r>
          </w:p>
        </w:tc>
        <w:tc>
          <w:tcPr>
            <w:tcW w:w="560" w:type="dxa"/>
            <w:vAlign w:val="bottom"/>
          </w:tcPr>
          <w:p>
            <w:pPr>
              <w:jc w:val="right"/>
              <w:ind w:right="37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2,278</w:t>
            </w:r>
          </w:p>
        </w:tc>
      </w:tr>
      <w:tr>
        <w:trPr>
          <w:trHeight w:val="270"/>
        </w:trPr>
        <w:tc>
          <w:tcPr>
            <w:tcW w:w="680" w:type="dxa"/>
            <w:vAlign w:val="bottom"/>
          </w:tcPr>
          <w:p>
            <w:pPr>
              <w:jc w:val="right"/>
              <w:ind w:right="139"/>
              <w:spacing w:after="0"/>
              <w:rPr>
                <w:sz w:val="20"/>
                <w:szCs w:val="20"/>
                <w:color w:val="auto"/>
              </w:rPr>
            </w:pPr>
            <w:r>
              <w:rPr>
                <w:rFonts w:ascii="Arial" w:cs="Arial" w:eastAsia="Arial" w:hAnsi="Arial"/>
                <w:sz w:val="16"/>
                <w:szCs w:val="16"/>
                <w:color w:val="auto"/>
              </w:rPr>
              <w:t>3,230</w:t>
            </w:r>
          </w:p>
        </w:tc>
        <w:tc>
          <w:tcPr>
            <w:tcW w:w="560" w:type="dxa"/>
            <w:vAlign w:val="bottom"/>
          </w:tcPr>
          <w:p>
            <w:pPr>
              <w:spacing w:after="0"/>
              <w:rPr>
                <w:sz w:val="23"/>
                <w:szCs w:val="23"/>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3,429</w:t>
            </w:r>
          </w:p>
        </w:tc>
      </w:tr>
      <w:tr>
        <w:trPr>
          <w:trHeight w:val="270"/>
        </w:trPr>
        <w:tc>
          <w:tcPr>
            <w:tcW w:w="680" w:type="dxa"/>
            <w:vAlign w:val="bottom"/>
          </w:tcPr>
          <w:p>
            <w:pPr>
              <w:jc w:val="right"/>
              <w:ind w:right="139"/>
              <w:spacing w:after="0"/>
              <w:rPr>
                <w:sz w:val="20"/>
                <w:szCs w:val="20"/>
                <w:color w:val="auto"/>
              </w:rPr>
            </w:pPr>
            <w:r>
              <w:rPr>
                <w:rFonts w:ascii="Arial" w:cs="Arial" w:eastAsia="Arial" w:hAnsi="Arial"/>
                <w:sz w:val="16"/>
                <w:szCs w:val="16"/>
                <w:color w:val="auto"/>
              </w:rPr>
              <w:t>3,125</w:t>
            </w:r>
          </w:p>
        </w:tc>
        <w:tc>
          <w:tcPr>
            <w:tcW w:w="560" w:type="dxa"/>
            <w:vAlign w:val="bottom"/>
          </w:tcPr>
          <w:p>
            <w:pPr>
              <w:spacing w:after="0"/>
              <w:rPr>
                <w:sz w:val="23"/>
                <w:szCs w:val="23"/>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70"/>
        </w:trPr>
        <w:tc>
          <w:tcPr>
            <w:tcW w:w="68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560" w:type="dxa"/>
            <w:vAlign w:val="bottom"/>
          </w:tcPr>
          <w:p>
            <w:pPr>
              <w:spacing w:after="0"/>
              <w:rPr>
                <w:sz w:val="23"/>
                <w:szCs w:val="23"/>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1</w:t>
            </w:r>
          </w:p>
        </w:tc>
      </w:tr>
      <w:tr>
        <w:trPr>
          <w:trHeight w:val="33"/>
        </w:trPr>
        <w:tc>
          <w:tcPr>
            <w:tcW w:w="68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17"/>
        </w:trPr>
        <w:tc>
          <w:tcPr>
            <w:tcW w:w="680" w:type="dxa"/>
            <w:vAlign w:val="bottom"/>
          </w:tcPr>
          <w:p>
            <w:pPr>
              <w:jc w:val="right"/>
              <w:ind w:right="139"/>
              <w:spacing w:after="0"/>
              <w:rPr>
                <w:sz w:val="20"/>
                <w:szCs w:val="20"/>
                <w:color w:val="auto"/>
              </w:rPr>
            </w:pPr>
            <w:r>
              <w:rPr>
                <w:rFonts w:ascii="Arial" w:cs="Arial" w:eastAsia="Arial" w:hAnsi="Arial"/>
                <w:sz w:val="16"/>
                <w:szCs w:val="16"/>
                <w:color w:val="auto"/>
                <w:w w:val="89"/>
              </w:rPr>
              <w:t>10,079</w:t>
            </w:r>
          </w:p>
        </w:tc>
        <w:tc>
          <w:tcPr>
            <w:tcW w:w="560" w:type="dxa"/>
            <w:vAlign w:val="bottom"/>
          </w:tcPr>
          <w:p>
            <w:pPr>
              <w:spacing w:after="0"/>
              <w:rPr>
                <w:sz w:val="18"/>
                <w:szCs w:val="18"/>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5,708</w:t>
            </w:r>
          </w:p>
        </w:tc>
      </w:tr>
      <w:tr>
        <w:trPr>
          <w:trHeight w:val="270"/>
        </w:trPr>
        <w:tc>
          <w:tcPr>
            <w:tcW w:w="680" w:type="dxa"/>
            <w:vAlign w:val="bottom"/>
          </w:tcPr>
          <w:p>
            <w:pPr>
              <w:jc w:val="right"/>
              <w:ind w:right="139"/>
              <w:spacing w:after="0"/>
              <w:rPr>
                <w:sz w:val="20"/>
                <w:szCs w:val="20"/>
                <w:color w:val="auto"/>
              </w:rPr>
            </w:pPr>
            <w:r>
              <w:rPr>
                <w:rFonts w:ascii="Arial" w:cs="Arial" w:eastAsia="Arial" w:hAnsi="Arial"/>
                <w:sz w:val="16"/>
                <w:szCs w:val="16"/>
                <w:color w:val="auto"/>
                <w:w w:val="89"/>
              </w:rPr>
              <w:t>10,987</w:t>
            </w:r>
          </w:p>
        </w:tc>
        <w:tc>
          <w:tcPr>
            <w:tcW w:w="560" w:type="dxa"/>
            <w:vAlign w:val="bottom"/>
          </w:tcPr>
          <w:p>
            <w:pPr>
              <w:spacing w:after="0"/>
              <w:rPr>
                <w:sz w:val="23"/>
                <w:szCs w:val="23"/>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13,809</w:t>
            </w:r>
          </w:p>
        </w:tc>
      </w:tr>
      <w:tr>
        <w:trPr>
          <w:trHeight w:val="270"/>
        </w:trPr>
        <w:tc>
          <w:tcPr>
            <w:tcW w:w="680" w:type="dxa"/>
            <w:vAlign w:val="bottom"/>
          </w:tcPr>
          <w:p>
            <w:pPr>
              <w:jc w:val="right"/>
              <w:ind w:right="139"/>
              <w:spacing w:after="0"/>
              <w:rPr>
                <w:sz w:val="20"/>
                <w:szCs w:val="20"/>
                <w:color w:val="auto"/>
              </w:rPr>
            </w:pPr>
            <w:r>
              <w:rPr>
                <w:rFonts w:ascii="Arial" w:cs="Arial" w:eastAsia="Arial" w:hAnsi="Arial"/>
                <w:sz w:val="16"/>
                <w:szCs w:val="16"/>
                <w:color w:val="auto"/>
              </w:rPr>
              <w:t>168</w:t>
            </w:r>
          </w:p>
        </w:tc>
        <w:tc>
          <w:tcPr>
            <w:tcW w:w="560" w:type="dxa"/>
            <w:vAlign w:val="bottom"/>
          </w:tcPr>
          <w:p>
            <w:pPr>
              <w:spacing w:after="0"/>
              <w:rPr>
                <w:sz w:val="23"/>
                <w:szCs w:val="23"/>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154</w:t>
            </w:r>
          </w:p>
        </w:tc>
      </w:tr>
      <w:tr>
        <w:trPr>
          <w:trHeight w:val="270"/>
        </w:trPr>
        <w:tc>
          <w:tcPr>
            <w:tcW w:w="68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560" w:type="dxa"/>
            <w:vAlign w:val="bottom"/>
          </w:tcPr>
          <w:p>
            <w:pPr>
              <w:spacing w:after="0"/>
              <w:rPr>
                <w:sz w:val="23"/>
                <w:szCs w:val="23"/>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3,241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-614680</wp:posOffset>
            </wp:positionH>
            <wp:positionV relativeFrom="paragraph">
              <wp:posOffset>-664210</wp:posOffset>
            </wp:positionV>
            <wp:extent cx="102933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029335" cy="8890"/>
                    </a:xfrm>
                    <a:prstGeom prst="rect">
                      <a:avLst/>
                    </a:prstGeom>
                    <a:noFill/>
                  </pic:spPr>
                </pic:pic>
              </a:graphicData>
            </a:graphic>
          </wp:anchor>
        </w:drawing>
      </w:r>
    </w:p>
    <w:p>
      <w:pPr>
        <w:spacing w:after="0" w:line="200" w:lineRule="exact"/>
        <w:rPr>
          <w:sz w:val="20"/>
          <w:szCs w:val="20"/>
          <w:color w:val="auto"/>
        </w:rPr>
      </w:pPr>
    </w:p>
    <w:p>
      <w:pPr>
        <w:spacing w:after="0" w:line="316" w:lineRule="exact"/>
        <w:rPr>
          <w:sz w:val="20"/>
          <w:szCs w:val="20"/>
          <w:color w:val="auto"/>
        </w:rPr>
      </w:pPr>
    </w:p>
    <w:p>
      <w:pPr>
        <w:ind w:left="360"/>
        <w:spacing w:after="0"/>
        <w:rPr>
          <w:sz w:val="20"/>
          <w:szCs w:val="20"/>
          <w:color w:val="auto"/>
        </w:rPr>
      </w:pPr>
      <w:r>
        <w:rPr>
          <w:rFonts w:ascii="Arial" w:cs="Arial" w:eastAsia="Arial" w:hAnsi="Arial"/>
          <w:sz w:val="16"/>
          <w:szCs w:val="16"/>
          <w:color w:val="auto"/>
        </w:rPr>
        <w:t>—</w:t>
      </w:r>
      <w:r>
        <w:rPr>
          <w:rFonts w:ascii="Arial" w:cs="Arial" w:eastAsia="Arial" w:hAnsi="Arial"/>
          <w:sz w:val="15"/>
          <w:szCs w:val="15"/>
          <w:color w:val="auto"/>
        </w:rPr>
        <w:t>28,220</w:t>
      </w:r>
    </w:p>
    <w:p>
      <w:pPr>
        <w:spacing w:after="0" w:line="289" w:lineRule="exact"/>
        <w:rPr>
          <w:sz w:val="20"/>
          <w:szCs w:val="20"/>
          <w:color w:val="auto"/>
        </w:rPr>
      </w:pPr>
    </w:p>
    <w:p>
      <w:pPr>
        <w:ind w:left="360"/>
        <w:spacing w:after="0"/>
        <w:tabs>
          <w:tab w:leader="none" w:pos="1840"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6,452</w:t>
      </w:r>
    </w:p>
    <w:p>
      <w:pPr>
        <w:spacing w:after="0" w:line="289" w:lineRule="exact"/>
        <w:rPr>
          <w:sz w:val="20"/>
          <w:szCs w:val="20"/>
          <w:color w:val="auto"/>
        </w:rPr>
      </w:pPr>
    </w:p>
    <w:p>
      <w:pPr>
        <w:ind w:left="360"/>
        <w:spacing w:after="0"/>
        <w:tabs>
          <w:tab w:leader="none" w:pos="1840"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2,156</w:t>
      </w:r>
    </w:p>
    <w:p>
      <w:pPr>
        <w:spacing w:after="0" w:line="289" w:lineRule="exact"/>
        <w:rPr>
          <w:sz w:val="20"/>
          <w:szCs w:val="20"/>
          <w:color w:val="auto"/>
        </w:rPr>
      </w:pPr>
    </w:p>
    <w:p>
      <w:pPr>
        <w:ind w:left="360"/>
        <w:spacing w:after="0"/>
        <w:rPr>
          <w:sz w:val="20"/>
          <w:szCs w:val="20"/>
          <w:color w:val="auto"/>
        </w:rPr>
      </w:pPr>
      <w:r>
        <w:rPr>
          <w:rFonts w:ascii="Arial" w:cs="Arial" w:eastAsia="Arial" w:hAnsi="Arial"/>
          <w:sz w:val="16"/>
          <w:szCs w:val="16"/>
          <w:color w:val="auto"/>
        </w:rPr>
        <w:t>—</w:t>
      </w:r>
      <w:r>
        <w:rPr>
          <w:rFonts w:ascii="Arial" w:cs="Arial" w:eastAsia="Arial" w:hAnsi="Arial"/>
          <w:sz w:val="15"/>
          <w:szCs w:val="15"/>
          <w:color w:val="auto"/>
        </w:rPr>
        <w:t>40,688</w:t>
      </w:r>
    </w:p>
    <w:p>
      <w:pPr>
        <w:spacing w:after="0" w:line="200" w:lineRule="exact"/>
        <w:rPr>
          <w:sz w:val="20"/>
          <w:szCs w:val="20"/>
          <w:color w:val="auto"/>
        </w:rPr>
      </w:pPr>
    </w:p>
    <w:p>
      <w:pPr>
        <w:spacing w:after="0" w:line="359"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76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540" w:type="dxa"/>
            <w:vAlign w:val="bottom"/>
          </w:tcPr>
          <w:p>
            <w:pPr>
              <w:spacing w:after="0"/>
              <w:rPr>
                <w:sz w:val="17"/>
                <w:szCs w:val="17"/>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473"/>
        </w:trPr>
        <w:tc>
          <w:tcPr>
            <w:tcW w:w="760" w:type="dxa"/>
            <w:vAlign w:val="bottom"/>
          </w:tcPr>
          <w:p>
            <w:pPr>
              <w:jc w:val="right"/>
              <w:ind w:right="139"/>
              <w:spacing w:after="0"/>
              <w:rPr>
                <w:sz w:val="20"/>
                <w:szCs w:val="20"/>
                <w:color w:val="auto"/>
              </w:rPr>
            </w:pPr>
            <w:r>
              <w:rPr>
                <w:rFonts w:ascii="Arial" w:cs="Arial" w:eastAsia="Arial" w:hAnsi="Arial"/>
                <w:sz w:val="16"/>
                <w:szCs w:val="16"/>
                <w:color w:val="auto"/>
              </w:rPr>
              <w:t>20</w:t>
            </w:r>
          </w:p>
        </w:tc>
        <w:tc>
          <w:tcPr>
            <w:tcW w:w="540" w:type="dxa"/>
            <w:vAlign w:val="bottom"/>
          </w:tcPr>
          <w:p>
            <w:pPr>
              <w:spacing w:after="0"/>
              <w:rPr>
                <w:sz w:val="24"/>
                <w:szCs w:val="24"/>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3</w:t>
            </w:r>
          </w:p>
        </w:tc>
      </w:tr>
      <w:tr>
        <w:trPr>
          <w:trHeight w:val="270"/>
        </w:trPr>
        <w:tc>
          <w:tcPr>
            <w:tcW w:w="760" w:type="dxa"/>
            <w:vAlign w:val="bottom"/>
          </w:tcPr>
          <w:p>
            <w:pPr>
              <w:jc w:val="right"/>
              <w:ind w:right="139"/>
              <w:spacing w:after="0"/>
              <w:rPr>
                <w:sz w:val="20"/>
                <w:szCs w:val="20"/>
                <w:color w:val="auto"/>
              </w:rPr>
            </w:pPr>
            <w:r>
              <w:rPr>
                <w:rFonts w:ascii="Arial" w:cs="Arial" w:eastAsia="Arial" w:hAnsi="Arial"/>
                <w:sz w:val="16"/>
                <w:szCs w:val="16"/>
                <w:color w:val="auto"/>
                <w:w w:val="89"/>
              </w:rPr>
              <w:t>178,297</w:t>
            </w:r>
          </w:p>
        </w:tc>
        <w:tc>
          <w:tcPr>
            <w:tcW w:w="540" w:type="dxa"/>
            <w:vAlign w:val="bottom"/>
          </w:tcPr>
          <w:p>
            <w:pPr>
              <w:spacing w:after="0"/>
              <w:rPr>
                <w:sz w:val="23"/>
                <w:szCs w:val="23"/>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16,672</w:t>
            </w:r>
          </w:p>
        </w:tc>
      </w:tr>
      <w:tr>
        <w:trPr>
          <w:trHeight w:val="270"/>
        </w:trPr>
        <w:tc>
          <w:tcPr>
            <w:tcW w:w="760" w:type="dxa"/>
            <w:vAlign w:val="bottom"/>
          </w:tcPr>
          <w:p>
            <w:pPr>
              <w:jc w:val="right"/>
              <w:ind w:right="99"/>
              <w:spacing w:after="0"/>
              <w:rPr>
                <w:sz w:val="20"/>
                <w:szCs w:val="20"/>
                <w:color w:val="auto"/>
              </w:rPr>
            </w:pPr>
            <w:r>
              <w:rPr>
                <w:rFonts w:ascii="Arial" w:cs="Arial" w:eastAsia="Arial" w:hAnsi="Arial"/>
                <w:sz w:val="16"/>
                <w:szCs w:val="16"/>
                <w:color w:val="auto"/>
              </w:rPr>
              <w:t>(59)</w:t>
            </w:r>
          </w:p>
        </w:tc>
        <w:tc>
          <w:tcPr>
            <w:tcW w:w="540" w:type="dxa"/>
            <w:vAlign w:val="bottom"/>
          </w:tcPr>
          <w:p>
            <w:pPr>
              <w:spacing w:after="0"/>
              <w:rPr>
                <w:sz w:val="23"/>
                <w:szCs w:val="23"/>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70"/>
        </w:trPr>
        <w:tc>
          <w:tcPr>
            <w:tcW w:w="760" w:type="dxa"/>
            <w:vAlign w:val="bottom"/>
          </w:tcPr>
          <w:p>
            <w:pPr>
              <w:jc w:val="right"/>
              <w:ind w:right="99"/>
              <w:spacing w:after="0"/>
              <w:rPr>
                <w:sz w:val="20"/>
                <w:szCs w:val="20"/>
                <w:color w:val="auto"/>
              </w:rPr>
            </w:pPr>
            <w:r>
              <w:rPr>
                <w:rFonts w:ascii="Arial" w:cs="Arial" w:eastAsia="Arial" w:hAnsi="Arial"/>
                <w:sz w:val="16"/>
                <w:szCs w:val="16"/>
                <w:color w:val="auto"/>
                <w:w w:val="93"/>
              </w:rPr>
              <w:t>(69,083)</w:t>
            </w:r>
          </w:p>
        </w:tc>
        <w:tc>
          <w:tcPr>
            <w:tcW w:w="54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(54,923)</w:t>
            </w:r>
          </w:p>
        </w:tc>
      </w:tr>
      <w:tr>
        <w:trPr>
          <w:trHeight w:val="33"/>
        </w:trPr>
        <w:tc>
          <w:tcPr>
            <w:tcW w:w="76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17"/>
        </w:trPr>
        <w:tc>
          <w:tcPr>
            <w:tcW w:w="760" w:type="dxa"/>
            <w:vAlign w:val="bottom"/>
          </w:tcPr>
          <w:p>
            <w:pPr>
              <w:jc w:val="right"/>
              <w:ind w:right="139"/>
              <w:spacing w:after="0"/>
              <w:rPr>
                <w:sz w:val="20"/>
                <w:szCs w:val="20"/>
                <w:color w:val="auto"/>
              </w:rPr>
            </w:pPr>
            <w:r>
              <w:rPr>
                <w:rFonts w:ascii="Arial" w:cs="Arial" w:eastAsia="Arial" w:hAnsi="Arial"/>
                <w:sz w:val="16"/>
                <w:szCs w:val="16"/>
                <w:color w:val="auto"/>
                <w:w w:val="89"/>
              </w:rPr>
              <w:t>109,175</w:t>
            </w:r>
          </w:p>
        </w:tc>
        <w:tc>
          <w:tcPr>
            <w:tcW w:w="5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(38,248)</w:t>
            </w:r>
          </w:p>
        </w:tc>
      </w:tr>
      <w:tr>
        <w:trPr>
          <w:trHeight w:val="33"/>
        </w:trPr>
        <w:tc>
          <w:tcPr>
            <w:tcW w:w="76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17"/>
        </w:trPr>
        <w:tc>
          <w:tcPr>
            <w:tcW w:w="760" w:type="dxa"/>
            <w:vAlign w:val="bottom"/>
          </w:tcPr>
          <w:p>
            <w:pPr>
              <w:jc w:val="right"/>
              <w:ind w:right="139"/>
              <w:spacing w:after="0"/>
              <w:rPr>
                <w:sz w:val="20"/>
                <w:szCs w:val="20"/>
                <w:color w:val="auto"/>
              </w:rPr>
            </w:pPr>
            <w:r>
              <w:rPr>
                <w:rFonts w:ascii="Arial" w:cs="Arial" w:eastAsia="Arial" w:hAnsi="Arial"/>
                <w:sz w:val="16"/>
                <w:szCs w:val="16"/>
                <w:color w:val="auto"/>
                <w:w w:val="89"/>
              </w:rPr>
              <w:t>130,409</w:t>
            </w:r>
          </w:p>
        </w:tc>
        <w:tc>
          <w:tcPr>
            <w:tcW w:w="540" w:type="dxa"/>
            <w:vAlign w:val="bottom"/>
          </w:tcPr>
          <w:p>
            <w:pPr>
              <w:jc w:val="right"/>
              <w:ind w:right="35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62,180</w:t>
            </w:r>
          </w:p>
        </w:tc>
      </w:tr>
      <w:tr>
        <w:trPr>
          <w:trHeight w:val="33"/>
        </w:trPr>
        <w:tc>
          <w:tcPr>
            <w:tcW w:w="76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0"/>
        </w:trPr>
        <w:tc>
          <w:tcPr>
            <w:tcW w:w="7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-614680</wp:posOffset>
            </wp:positionH>
            <wp:positionV relativeFrom="paragraph">
              <wp:posOffset>-25400</wp:posOffset>
            </wp:positionV>
            <wp:extent cx="102933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029335" cy="8890"/>
                    </a:xfrm>
                    <a:prstGeom prst="rect">
                      <a:avLst/>
                    </a:prstGeom>
                    <a:noFill/>
                  </pic:spPr>
                </pic:pic>
              </a:graphicData>
            </a:graphic>
          </wp:anchor>
        </w:drawing>
        <w:drawing>
          <wp:anchor simplePos="0" relativeHeight="251657728" behindDoc="1" locked="0" layoutInCell="0" allowOverlap="1">
            <wp:simplePos x="0" y="0"/>
            <wp:positionH relativeFrom="column">
              <wp:posOffset>-614680</wp:posOffset>
            </wp:positionH>
            <wp:positionV relativeFrom="paragraph">
              <wp:posOffset>-8255</wp:posOffset>
            </wp:positionV>
            <wp:extent cx="102933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029335" cy="8890"/>
                    </a:xfrm>
                    <a:prstGeom prst="rect">
                      <a:avLst/>
                    </a:prstGeom>
                    <a:noFill/>
                  </pic:spPr>
                </pic:pic>
              </a:graphicData>
            </a:graphic>
          </wp:anchor>
        </w:drawing>
        <w:drawing>
          <wp:anchor simplePos="0" relativeHeight="251657728" behindDoc="1" locked="0" layoutInCell="0" allowOverlap="1">
            <wp:simplePos x="0" y="0"/>
            <wp:positionH relativeFrom="column">
              <wp:posOffset>-614680</wp:posOffset>
            </wp:positionH>
            <wp:positionV relativeFrom="paragraph">
              <wp:posOffset>-196850</wp:posOffset>
            </wp:positionV>
            <wp:extent cx="102933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029335" cy="8890"/>
                    </a:xfrm>
                    <a:prstGeom prst="rect">
                      <a:avLst/>
                    </a:prstGeom>
                    <a:noFill/>
                  </pic:spPr>
                </pic:pic>
              </a:graphicData>
            </a:graphic>
          </wp:anchor>
        </w:drawing>
      </w:r>
    </w:p>
    <w:p>
      <w:pPr>
        <w:sectPr>
          <w:pgSz w:w="11900" w:h="16838" w:orient="portrait"/>
          <w:cols w:equalWidth="0" w:num="2">
            <w:col w:w="8360" w:space="720"/>
            <w:col w:w="2340"/>
          </w:cols>
          <w:pgMar w:left="240" w:top="580" w:right="239" w:bottom="1440" w:gutter="0" w:footer="0" w:header="0"/>
          <w:type w:val="continuous"/>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ANAPTYSBIO,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40" w:type="dxa"/>
            <w:vAlign w:val="bottom"/>
            <w:gridSpan w:val="3"/>
          </w:tcPr>
          <w:p>
            <w:pPr>
              <w:jc w:val="right"/>
              <w:ind w:right="241"/>
              <w:spacing w:after="0"/>
              <w:rPr>
                <w:sz w:val="20"/>
                <w:szCs w:val="20"/>
                <w:color w:val="auto"/>
              </w:rPr>
            </w:pPr>
            <w:r>
              <w:rPr>
                <w:rFonts w:ascii="Arial" w:cs="Arial" w:eastAsia="Arial" w:hAnsi="Arial"/>
                <w:sz w:val="14"/>
                <w:szCs w:val="14"/>
                <w:b w:val="1"/>
                <w:bCs w:val="1"/>
                <w:color w:val="auto"/>
                <w:w w:val="93"/>
              </w:rPr>
              <w:t>Three Months Ended</w:t>
            </w: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780" w:type="dxa"/>
            <w:vAlign w:val="bottom"/>
            <w:gridSpan w:val="3"/>
          </w:tcPr>
          <w:p>
            <w:pPr>
              <w:jc w:val="right"/>
              <w:spacing w:after="0"/>
              <w:rPr>
                <w:sz w:val="20"/>
                <w:szCs w:val="20"/>
                <w:color w:val="auto"/>
              </w:rPr>
            </w:pPr>
            <w:r>
              <w:rPr>
                <w:rFonts w:ascii="Arial" w:cs="Arial" w:eastAsia="Arial" w:hAnsi="Arial"/>
                <w:sz w:val="14"/>
                <w:szCs w:val="14"/>
                <w:b w:val="1"/>
                <w:bCs w:val="1"/>
                <w:color w:val="auto"/>
              </w:rPr>
              <w:t>Six Months Ended</w:t>
            </w: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5160" w:type="dxa"/>
            <w:vAlign w:val="bottom"/>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3"/>
          </w:tcPr>
          <w:p>
            <w:pPr>
              <w:jc w:val="right"/>
              <w:ind w:right="641"/>
              <w:spacing w:after="0"/>
              <w:rPr>
                <w:sz w:val="20"/>
                <w:szCs w:val="20"/>
                <w:color w:val="auto"/>
              </w:rPr>
            </w:pPr>
            <w:r>
              <w:rPr>
                <w:rFonts w:ascii="Arial" w:cs="Arial" w:eastAsia="Arial" w:hAnsi="Arial"/>
                <w:sz w:val="14"/>
                <w:szCs w:val="14"/>
                <w:b w:val="1"/>
                <w:bCs w:val="1"/>
                <w:color w:val="auto"/>
              </w:rPr>
              <w:t>June 30,</w:t>
            </w:r>
          </w:p>
        </w:tc>
        <w:tc>
          <w:tcPr>
            <w:tcW w:w="5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3"/>
          </w:tcPr>
          <w:p>
            <w:pPr>
              <w:jc w:val="right"/>
              <w:ind w:right="259"/>
              <w:spacing w:after="0"/>
              <w:rPr>
                <w:sz w:val="20"/>
                <w:szCs w:val="20"/>
                <w:color w:val="auto"/>
              </w:rPr>
            </w:pPr>
            <w:r>
              <w:rPr>
                <w:rFonts w:ascii="Arial" w:cs="Arial" w:eastAsia="Arial" w:hAnsi="Arial"/>
                <w:sz w:val="14"/>
                <w:szCs w:val="14"/>
                <w:b w:val="1"/>
                <w:bCs w:val="1"/>
                <w:color w:val="auto"/>
              </w:rPr>
              <w:t>June 30,</w:t>
            </w:r>
          </w:p>
        </w:tc>
        <w:tc>
          <w:tcPr>
            <w:tcW w:w="9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5160" w:type="dxa"/>
            <w:vAlign w:val="bottom"/>
            <w:tcBorders>
              <w:bottom w:val="single" w:sz="8" w:color="CFF0FC"/>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600" w:type="dxa"/>
            <w:vAlign w:val="bottom"/>
            <w:tcBorders>
              <w:bottom w:val="single" w:sz="8" w:color="auto"/>
            </w:tcBorders>
          </w:tcPr>
          <w:p>
            <w:pPr>
              <w:spacing w:after="0"/>
              <w:rPr>
                <w:sz w:val="22"/>
                <w:szCs w:val="22"/>
                <w:color w:val="auto"/>
              </w:rPr>
            </w:pPr>
          </w:p>
        </w:tc>
        <w:tc>
          <w:tcPr>
            <w:tcW w:w="120" w:type="dxa"/>
            <w:vAlign w:val="bottom"/>
            <w:tcBorders>
              <w:bottom w:val="single" w:sz="8" w:color="CFF0FC"/>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2016</w:t>
            </w:r>
          </w:p>
        </w:tc>
        <w:tc>
          <w:tcPr>
            <w:tcW w:w="580" w:type="dxa"/>
            <w:vAlign w:val="bottom"/>
            <w:tcBorders>
              <w:bottom w:val="single" w:sz="8" w:color="auto"/>
            </w:tcBorders>
          </w:tcPr>
          <w:p>
            <w:pPr>
              <w:spacing w:after="0"/>
              <w:rPr>
                <w:sz w:val="22"/>
                <w:szCs w:val="22"/>
                <w:color w:val="auto"/>
              </w:rPr>
            </w:pPr>
          </w:p>
        </w:tc>
        <w:tc>
          <w:tcPr>
            <w:tcW w:w="120" w:type="dxa"/>
            <w:vAlign w:val="bottom"/>
            <w:tcBorders>
              <w:bottom w:val="single" w:sz="8" w:color="CFF0FC"/>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00"/>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FF0FC"/>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w w:val="96"/>
              </w:rPr>
              <w:t>2016</w:t>
            </w:r>
          </w:p>
        </w:tc>
        <w:tc>
          <w:tcPr>
            <w:tcW w:w="0" w:type="dxa"/>
            <w:vAlign w:val="bottom"/>
          </w:tcPr>
          <w:p>
            <w:pPr>
              <w:spacing w:after="0"/>
              <w:rPr>
                <w:sz w:val="1"/>
                <w:szCs w:val="1"/>
                <w:color w:val="auto"/>
              </w:rPr>
            </w:pPr>
          </w:p>
        </w:tc>
      </w:tr>
      <w:tr>
        <w:trPr>
          <w:trHeight w:val="256"/>
        </w:trPr>
        <w:tc>
          <w:tcPr>
            <w:tcW w:w="516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16"/>
                <w:szCs w:val="16"/>
                <w:color w:val="auto"/>
              </w:rPr>
              <w:t>Collaboration revenue</w:t>
            </w:r>
          </w:p>
        </w:tc>
        <w:tc>
          <w:tcPr>
            <w:tcW w:w="900" w:type="dxa"/>
            <w:vAlign w:val="bottom"/>
            <w:tcBorders>
              <w:bottom w:val="single" w:sz="8" w:color="CFF0FC"/>
            </w:tcBorders>
            <w:shd w:val="clear" w:color="auto" w:fill="CFF0FC"/>
          </w:tcPr>
          <w:p>
            <w:pPr>
              <w:jc w:val="right"/>
              <w:ind w:right="721"/>
              <w:spacing w:after="0"/>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CFF0FC"/>
            </w:tcBorders>
            <w:shd w:val="clear" w:color="auto" w:fill="CFF0FC"/>
          </w:tcPr>
          <w:p>
            <w:pPr>
              <w:jc w:val="right"/>
              <w:ind w:right="40"/>
              <w:spacing w:after="0"/>
              <w:rPr>
                <w:sz w:val="20"/>
                <w:szCs w:val="20"/>
                <w:color w:val="auto"/>
              </w:rPr>
            </w:pPr>
            <w:r>
              <w:rPr>
                <w:rFonts w:ascii="Arial" w:cs="Arial" w:eastAsia="Arial" w:hAnsi="Arial"/>
                <w:sz w:val="16"/>
                <w:szCs w:val="16"/>
                <w:color w:val="auto"/>
              </w:rPr>
              <w:t>7,000</w:t>
            </w:r>
          </w:p>
        </w:tc>
        <w:tc>
          <w:tcPr>
            <w:tcW w:w="120" w:type="dxa"/>
            <w:vAlign w:val="bottom"/>
            <w:tcBorders>
              <w:bottom w:val="single" w:sz="8" w:color="CFF0FC"/>
            </w:tcBorders>
            <w:shd w:val="clear" w:color="auto" w:fill="CFF0FC"/>
          </w:tcPr>
          <w:p>
            <w:pPr>
              <w:spacing w:after="0"/>
              <w:rPr>
                <w:sz w:val="22"/>
                <w:szCs w:val="22"/>
                <w:color w:val="auto"/>
              </w:rPr>
            </w:pPr>
          </w:p>
        </w:tc>
        <w:tc>
          <w:tcPr>
            <w:tcW w:w="920" w:type="dxa"/>
            <w:vAlign w:val="bottom"/>
            <w:tcBorders>
              <w:bottom w:val="single" w:sz="8" w:color="CFF0FC"/>
            </w:tcBorders>
            <w:shd w:val="clear" w:color="auto" w:fill="CFF0FC"/>
          </w:tcPr>
          <w:p>
            <w:pPr>
              <w:jc w:val="right"/>
              <w:ind w:right="741"/>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CFF0FC"/>
            </w:tcBorders>
            <w:shd w:val="clear" w:color="auto" w:fill="CFF0FC"/>
          </w:tcPr>
          <w:p>
            <w:pPr>
              <w:jc w:val="right"/>
              <w:ind w:right="39"/>
              <w:spacing w:after="0"/>
              <w:rPr>
                <w:sz w:val="20"/>
                <w:szCs w:val="20"/>
                <w:color w:val="auto"/>
              </w:rPr>
            </w:pPr>
            <w:r>
              <w:rPr>
                <w:rFonts w:ascii="Arial" w:cs="Arial" w:eastAsia="Arial" w:hAnsi="Arial"/>
                <w:sz w:val="16"/>
                <w:szCs w:val="16"/>
                <w:color w:val="auto"/>
              </w:rPr>
              <w:t>5,850</w:t>
            </w:r>
          </w:p>
        </w:tc>
        <w:tc>
          <w:tcPr>
            <w:tcW w:w="120" w:type="dxa"/>
            <w:vAlign w:val="bottom"/>
            <w:tcBorders>
              <w:bottom w:val="single" w:sz="8" w:color="CFF0FC"/>
            </w:tcBorders>
            <w:shd w:val="clear" w:color="auto" w:fill="CFF0FC"/>
          </w:tcPr>
          <w:p>
            <w:pPr>
              <w:spacing w:after="0"/>
              <w:rPr>
                <w:sz w:val="22"/>
                <w:szCs w:val="22"/>
                <w:color w:val="auto"/>
              </w:rPr>
            </w:pPr>
          </w:p>
        </w:tc>
        <w:tc>
          <w:tcPr>
            <w:tcW w:w="340" w:type="dxa"/>
            <w:vAlign w:val="bottom"/>
            <w:tcBorders>
              <w:bottom w:val="single" w:sz="8" w:color="CFF0FC"/>
            </w:tcBorders>
            <w:shd w:val="clear" w:color="auto" w:fill="CFF0FC"/>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FF0FC"/>
            </w:tcBorders>
            <w:shd w:val="clear" w:color="auto" w:fill="CFF0FC"/>
          </w:tcPr>
          <w:p>
            <w:pPr>
              <w:jc w:val="right"/>
              <w:ind w:right="40"/>
              <w:spacing w:after="0"/>
              <w:rPr>
                <w:sz w:val="20"/>
                <w:szCs w:val="20"/>
                <w:color w:val="auto"/>
              </w:rPr>
            </w:pPr>
            <w:r>
              <w:rPr>
                <w:rFonts w:ascii="Arial" w:cs="Arial" w:eastAsia="Arial" w:hAnsi="Arial"/>
                <w:sz w:val="16"/>
                <w:szCs w:val="16"/>
                <w:color w:val="auto"/>
              </w:rPr>
              <w:t>7,000</w:t>
            </w:r>
          </w:p>
        </w:tc>
        <w:tc>
          <w:tcPr>
            <w:tcW w:w="100" w:type="dxa"/>
            <w:vAlign w:val="bottom"/>
            <w:tcBorders>
              <w:bottom w:val="single" w:sz="8" w:color="CFF0FC"/>
            </w:tcBorders>
            <w:shd w:val="clear" w:color="auto" w:fill="CFF0FC"/>
          </w:tcPr>
          <w:p>
            <w:pPr>
              <w:spacing w:after="0"/>
              <w:rPr>
                <w:sz w:val="22"/>
                <w:szCs w:val="22"/>
                <w:color w:val="auto"/>
              </w:rPr>
            </w:pPr>
          </w:p>
        </w:tc>
        <w:tc>
          <w:tcPr>
            <w:tcW w:w="560" w:type="dxa"/>
            <w:vAlign w:val="bottom"/>
            <w:tcBorders>
              <w:bottom w:val="single" w:sz="8" w:color="CFF0FC"/>
            </w:tcBorders>
            <w:shd w:val="clear" w:color="auto" w:fill="CFF0FC"/>
          </w:tcPr>
          <w:p>
            <w:pPr>
              <w:jc w:val="right"/>
              <w:ind w:right="37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FF0FC"/>
            </w:tcBorders>
            <w:shd w:val="clear" w:color="auto" w:fill="CFF0FC"/>
          </w:tcPr>
          <w:p>
            <w:pPr>
              <w:jc w:val="right"/>
              <w:ind w:right="19"/>
              <w:spacing w:after="0"/>
              <w:rPr>
                <w:sz w:val="20"/>
                <w:szCs w:val="20"/>
                <w:color w:val="auto"/>
              </w:rPr>
            </w:pPr>
            <w:r>
              <w:rPr>
                <w:rFonts w:ascii="Arial" w:cs="Arial" w:eastAsia="Arial" w:hAnsi="Arial"/>
                <w:sz w:val="16"/>
                <w:szCs w:val="16"/>
                <w:color w:val="auto"/>
              </w:rPr>
              <w:t>10,716</w:t>
            </w:r>
          </w:p>
        </w:tc>
        <w:tc>
          <w:tcPr>
            <w:tcW w:w="0" w:type="dxa"/>
            <w:vAlign w:val="bottom"/>
          </w:tcPr>
          <w:p>
            <w:pPr>
              <w:spacing w:after="0"/>
              <w:rPr>
                <w:sz w:val="1"/>
                <w:szCs w:val="1"/>
                <w:color w:val="auto"/>
              </w:rPr>
            </w:pPr>
          </w:p>
        </w:tc>
      </w:tr>
      <w:tr>
        <w:trPr>
          <w:trHeight w:val="204"/>
        </w:trPr>
        <w:tc>
          <w:tcPr>
            <w:tcW w:w="5160" w:type="dxa"/>
            <w:vAlign w:val="bottom"/>
          </w:tcPr>
          <w:p>
            <w:pPr>
              <w:ind w:left="40"/>
              <w:spacing w:after="0"/>
              <w:rPr>
                <w:sz w:val="20"/>
                <w:szCs w:val="20"/>
                <w:color w:val="auto"/>
              </w:rPr>
            </w:pPr>
            <w:r>
              <w:rPr>
                <w:rFonts w:ascii="Arial" w:cs="Arial" w:eastAsia="Arial" w:hAnsi="Arial"/>
                <w:sz w:val="16"/>
                <w:szCs w:val="16"/>
                <w:color w:val="auto"/>
              </w:rPr>
              <w:t>Operating expenses:</w:t>
            </w:r>
          </w:p>
        </w:tc>
        <w:tc>
          <w:tcPr>
            <w:tcW w:w="90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60"/>
        </w:trPr>
        <w:tc>
          <w:tcPr>
            <w:tcW w:w="5160" w:type="dxa"/>
            <w:vAlign w:val="bottom"/>
          </w:tcPr>
          <w:p>
            <w:pPr>
              <w:spacing w:after="0"/>
              <w:rPr>
                <w:sz w:val="5"/>
                <w:szCs w:val="5"/>
                <w:color w:val="auto"/>
              </w:rPr>
            </w:pPr>
          </w:p>
        </w:tc>
        <w:tc>
          <w:tcPr>
            <w:tcW w:w="900" w:type="dxa"/>
            <w:vAlign w:val="bottom"/>
          </w:tcPr>
          <w:p>
            <w:pPr>
              <w:spacing w:after="0"/>
              <w:rPr>
                <w:sz w:val="5"/>
                <w:szCs w:val="5"/>
                <w:color w:val="auto"/>
              </w:rPr>
            </w:pPr>
          </w:p>
        </w:tc>
        <w:tc>
          <w:tcPr>
            <w:tcW w:w="600" w:type="dxa"/>
            <w:vAlign w:val="bottom"/>
          </w:tcPr>
          <w:p>
            <w:pPr>
              <w:spacing w:after="0"/>
              <w:rPr>
                <w:sz w:val="5"/>
                <w:szCs w:val="5"/>
                <w:color w:val="auto"/>
              </w:rPr>
            </w:pPr>
          </w:p>
        </w:tc>
        <w:tc>
          <w:tcPr>
            <w:tcW w:w="120" w:type="dxa"/>
            <w:vAlign w:val="bottom"/>
          </w:tcPr>
          <w:p>
            <w:pPr>
              <w:spacing w:after="0"/>
              <w:rPr>
                <w:sz w:val="5"/>
                <w:szCs w:val="5"/>
                <w:color w:val="auto"/>
              </w:rPr>
            </w:pPr>
          </w:p>
        </w:tc>
        <w:tc>
          <w:tcPr>
            <w:tcW w:w="920" w:type="dxa"/>
            <w:vAlign w:val="bottom"/>
          </w:tcPr>
          <w:p>
            <w:pPr>
              <w:spacing w:after="0"/>
              <w:rPr>
                <w:sz w:val="5"/>
                <w:szCs w:val="5"/>
                <w:color w:val="auto"/>
              </w:rPr>
            </w:pPr>
          </w:p>
        </w:tc>
        <w:tc>
          <w:tcPr>
            <w:tcW w:w="580" w:type="dxa"/>
            <w:vAlign w:val="bottom"/>
          </w:tcPr>
          <w:p>
            <w:pPr>
              <w:spacing w:after="0"/>
              <w:rPr>
                <w:sz w:val="5"/>
                <w:szCs w:val="5"/>
                <w:color w:val="auto"/>
              </w:rPr>
            </w:pPr>
          </w:p>
        </w:tc>
        <w:tc>
          <w:tcPr>
            <w:tcW w:w="120" w:type="dxa"/>
            <w:vAlign w:val="bottom"/>
          </w:tcPr>
          <w:p>
            <w:pPr>
              <w:spacing w:after="0"/>
              <w:rPr>
                <w:sz w:val="5"/>
                <w:szCs w:val="5"/>
                <w:color w:val="auto"/>
              </w:rPr>
            </w:pPr>
          </w:p>
        </w:tc>
        <w:tc>
          <w:tcPr>
            <w:tcW w:w="3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560" w:type="dxa"/>
            <w:vAlign w:val="bottom"/>
          </w:tcPr>
          <w:p>
            <w:pPr>
              <w:spacing w:after="0"/>
              <w:rPr>
                <w:sz w:val="5"/>
                <w:szCs w:val="5"/>
                <w:color w:val="auto"/>
              </w:rPr>
            </w:pPr>
          </w:p>
        </w:tc>
        <w:tc>
          <w:tcPr>
            <w:tcW w:w="9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516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16"/>
                <w:szCs w:val="16"/>
                <w:color w:val="auto"/>
              </w:rPr>
              <w:t>Research and development</w:t>
            </w:r>
          </w:p>
        </w:tc>
        <w:tc>
          <w:tcPr>
            <w:tcW w:w="900" w:type="dxa"/>
            <w:vAlign w:val="bottom"/>
            <w:tcBorders>
              <w:bottom w:val="single" w:sz="8" w:color="CFF0FC"/>
            </w:tcBorders>
            <w:shd w:val="clear" w:color="auto" w:fill="CFF0FC"/>
          </w:tcPr>
          <w:p>
            <w:pPr>
              <w:spacing w:after="0"/>
              <w:rPr>
                <w:sz w:val="21"/>
                <w:szCs w:val="21"/>
                <w:color w:val="auto"/>
              </w:rPr>
            </w:pPr>
          </w:p>
        </w:tc>
        <w:tc>
          <w:tcPr>
            <w:tcW w:w="600" w:type="dxa"/>
            <w:vAlign w:val="bottom"/>
            <w:tcBorders>
              <w:bottom w:val="single" w:sz="8" w:color="CFF0FC"/>
            </w:tcBorders>
            <w:shd w:val="clear" w:color="auto" w:fill="CFF0FC"/>
          </w:tcPr>
          <w:p>
            <w:pPr>
              <w:jc w:val="right"/>
              <w:ind w:right="40"/>
              <w:spacing w:after="0"/>
              <w:rPr>
                <w:sz w:val="20"/>
                <w:szCs w:val="20"/>
                <w:color w:val="auto"/>
              </w:rPr>
            </w:pPr>
            <w:r>
              <w:rPr>
                <w:rFonts w:ascii="Arial" w:cs="Arial" w:eastAsia="Arial" w:hAnsi="Arial"/>
                <w:sz w:val="16"/>
                <w:szCs w:val="16"/>
                <w:color w:val="auto"/>
              </w:rPr>
              <w:t>7,205</w:t>
            </w:r>
          </w:p>
        </w:tc>
        <w:tc>
          <w:tcPr>
            <w:tcW w:w="120" w:type="dxa"/>
            <w:vAlign w:val="bottom"/>
            <w:tcBorders>
              <w:bottom w:val="single" w:sz="8" w:color="CFF0FC"/>
            </w:tcBorders>
            <w:shd w:val="clear" w:color="auto" w:fill="CFF0FC"/>
          </w:tcPr>
          <w:p>
            <w:pPr>
              <w:spacing w:after="0"/>
              <w:rPr>
                <w:sz w:val="21"/>
                <w:szCs w:val="21"/>
                <w:color w:val="auto"/>
              </w:rPr>
            </w:pPr>
          </w:p>
        </w:tc>
        <w:tc>
          <w:tcPr>
            <w:tcW w:w="920" w:type="dxa"/>
            <w:vAlign w:val="bottom"/>
            <w:tcBorders>
              <w:bottom w:val="single" w:sz="8" w:color="CFF0FC"/>
            </w:tcBorders>
            <w:shd w:val="clear" w:color="auto" w:fill="CFF0FC"/>
          </w:tcPr>
          <w:p>
            <w:pPr>
              <w:spacing w:after="0"/>
              <w:rPr>
                <w:sz w:val="21"/>
                <w:szCs w:val="21"/>
                <w:color w:val="auto"/>
              </w:rPr>
            </w:pPr>
          </w:p>
        </w:tc>
        <w:tc>
          <w:tcPr>
            <w:tcW w:w="580" w:type="dxa"/>
            <w:vAlign w:val="bottom"/>
            <w:tcBorders>
              <w:bottom w:val="single" w:sz="8" w:color="CFF0FC"/>
            </w:tcBorders>
            <w:shd w:val="clear" w:color="auto" w:fill="CFF0FC"/>
          </w:tcPr>
          <w:p>
            <w:pPr>
              <w:jc w:val="right"/>
              <w:ind w:right="39"/>
              <w:spacing w:after="0"/>
              <w:rPr>
                <w:sz w:val="20"/>
                <w:szCs w:val="20"/>
                <w:color w:val="auto"/>
              </w:rPr>
            </w:pPr>
            <w:r>
              <w:rPr>
                <w:rFonts w:ascii="Arial" w:cs="Arial" w:eastAsia="Arial" w:hAnsi="Arial"/>
                <w:sz w:val="16"/>
                <w:szCs w:val="16"/>
                <w:color w:val="auto"/>
              </w:rPr>
              <w:t>2,335</w:t>
            </w:r>
          </w:p>
        </w:tc>
        <w:tc>
          <w:tcPr>
            <w:tcW w:w="12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CFF0FC"/>
            </w:tcBorders>
            <w:shd w:val="clear" w:color="auto" w:fill="CFF0FC"/>
          </w:tcPr>
          <w:p>
            <w:pPr>
              <w:spacing w:after="0"/>
              <w:rPr>
                <w:sz w:val="21"/>
                <w:szCs w:val="21"/>
                <w:color w:val="auto"/>
              </w:rPr>
            </w:pPr>
          </w:p>
        </w:tc>
        <w:tc>
          <w:tcPr>
            <w:tcW w:w="1120" w:type="dxa"/>
            <w:vAlign w:val="bottom"/>
            <w:tcBorders>
              <w:bottom w:val="single" w:sz="8" w:color="CFF0FC"/>
            </w:tcBorders>
            <w:shd w:val="clear" w:color="auto" w:fill="CFF0FC"/>
          </w:tcPr>
          <w:p>
            <w:pPr>
              <w:jc w:val="right"/>
              <w:ind w:right="40"/>
              <w:spacing w:after="0"/>
              <w:rPr>
                <w:sz w:val="20"/>
                <w:szCs w:val="20"/>
                <w:color w:val="auto"/>
              </w:rPr>
            </w:pPr>
            <w:r>
              <w:rPr>
                <w:rFonts w:ascii="Arial" w:cs="Arial" w:eastAsia="Arial" w:hAnsi="Arial"/>
                <w:sz w:val="16"/>
                <w:szCs w:val="16"/>
                <w:color w:val="auto"/>
              </w:rPr>
              <w:t>15,140</w:t>
            </w:r>
          </w:p>
        </w:tc>
        <w:tc>
          <w:tcPr>
            <w:tcW w:w="100" w:type="dxa"/>
            <w:vAlign w:val="bottom"/>
            <w:tcBorders>
              <w:bottom w:val="single" w:sz="8" w:color="CFF0FC"/>
            </w:tcBorders>
            <w:shd w:val="clear" w:color="auto" w:fill="CFF0FC"/>
          </w:tcPr>
          <w:p>
            <w:pPr>
              <w:spacing w:after="0"/>
              <w:rPr>
                <w:sz w:val="21"/>
                <w:szCs w:val="21"/>
                <w:color w:val="auto"/>
              </w:rPr>
            </w:pPr>
          </w:p>
        </w:tc>
        <w:tc>
          <w:tcPr>
            <w:tcW w:w="560" w:type="dxa"/>
            <w:vAlign w:val="bottom"/>
            <w:tcBorders>
              <w:bottom w:val="single" w:sz="8" w:color="CFF0FC"/>
            </w:tcBorders>
            <w:shd w:val="clear" w:color="auto" w:fill="CFF0FC"/>
          </w:tcPr>
          <w:p>
            <w:pPr>
              <w:spacing w:after="0"/>
              <w:rPr>
                <w:sz w:val="21"/>
                <w:szCs w:val="21"/>
                <w:color w:val="auto"/>
              </w:rPr>
            </w:pPr>
          </w:p>
        </w:tc>
        <w:tc>
          <w:tcPr>
            <w:tcW w:w="900" w:type="dxa"/>
            <w:vAlign w:val="bottom"/>
            <w:tcBorders>
              <w:bottom w:val="single" w:sz="8" w:color="CFF0FC"/>
            </w:tcBorders>
            <w:shd w:val="clear" w:color="auto" w:fill="CFF0FC"/>
          </w:tcPr>
          <w:p>
            <w:pPr>
              <w:jc w:val="right"/>
              <w:ind w:right="19"/>
              <w:spacing w:after="0"/>
              <w:rPr>
                <w:sz w:val="20"/>
                <w:szCs w:val="20"/>
                <w:color w:val="auto"/>
              </w:rPr>
            </w:pPr>
            <w:r>
              <w:rPr>
                <w:rFonts w:ascii="Arial" w:cs="Arial" w:eastAsia="Arial" w:hAnsi="Arial"/>
                <w:sz w:val="16"/>
                <w:szCs w:val="16"/>
                <w:color w:val="auto"/>
              </w:rPr>
              <w:t>7,121</w:t>
            </w:r>
          </w:p>
        </w:tc>
        <w:tc>
          <w:tcPr>
            <w:tcW w:w="0" w:type="dxa"/>
            <w:vAlign w:val="bottom"/>
          </w:tcPr>
          <w:p>
            <w:pPr>
              <w:spacing w:after="0"/>
              <w:rPr>
                <w:sz w:val="1"/>
                <w:szCs w:val="1"/>
                <w:color w:val="auto"/>
              </w:rPr>
            </w:pPr>
          </w:p>
        </w:tc>
      </w:tr>
      <w:tr>
        <w:trPr>
          <w:trHeight w:val="237"/>
        </w:trPr>
        <w:tc>
          <w:tcPr>
            <w:tcW w:w="5160" w:type="dxa"/>
            <w:vAlign w:val="bottom"/>
          </w:tcPr>
          <w:p>
            <w:pPr>
              <w:ind w:left="280"/>
              <w:spacing w:after="0"/>
              <w:rPr>
                <w:sz w:val="20"/>
                <w:szCs w:val="20"/>
                <w:color w:val="auto"/>
              </w:rPr>
            </w:pPr>
            <w:r>
              <w:rPr>
                <w:rFonts w:ascii="Arial" w:cs="Arial" w:eastAsia="Arial" w:hAnsi="Arial"/>
                <w:sz w:val="16"/>
                <w:szCs w:val="16"/>
                <w:color w:val="auto"/>
              </w:rPr>
              <w:t>General and administrative</w:t>
            </w:r>
          </w:p>
        </w:tc>
        <w:tc>
          <w:tcPr>
            <w:tcW w:w="900" w:type="dxa"/>
            <w:vAlign w:val="bottom"/>
          </w:tcPr>
          <w:p>
            <w:pPr>
              <w:spacing w:after="0"/>
              <w:rPr>
                <w:sz w:val="20"/>
                <w:szCs w:val="20"/>
                <w:color w:val="auto"/>
              </w:rPr>
            </w:pPr>
          </w:p>
        </w:tc>
        <w:tc>
          <w:tcPr>
            <w:tcW w:w="600" w:type="dxa"/>
            <w:vAlign w:val="bottom"/>
          </w:tcPr>
          <w:p>
            <w:pPr>
              <w:jc w:val="right"/>
              <w:ind w:right="40"/>
              <w:spacing w:after="0"/>
              <w:rPr>
                <w:sz w:val="20"/>
                <w:szCs w:val="20"/>
                <w:color w:val="auto"/>
              </w:rPr>
            </w:pPr>
            <w:r>
              <w:rPr>
                <w:rFonts w:ascii="Arial" w:cs="Arial" w:eastAsia="Arial" w:hAnsi="Arial"/>
                <w:sz w:val="16"/>
                <w:szCs w:val="16"/>
                <w:color w:val="auto"/>
              </w:rPr>
              <w:t>2,350</w:t>
            </w: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580" w:type="dxa"/>
            <w:vAlign w:val="bottom"/>
          </w:tcPr>
          <w:p>
            <w:pPr>
              <w:jc w:val="right"/>
              <w:ind w:right="39"/>
              <w:spacing w:after="0"/>
              <w:rPr>
                <w:sz w:val="20"/>
                <w:szCs w:val="20"/>
                <w:color w:val="auto"/>
              </w:rPr>
            </w:pPr>
            <w:r>
              <w:rPr>
                <w:rFonts w:ascii="Arial" w:cs="Arial" w:eastAsia="Arial" w:hAnsi="Arial"/>
                <w:sz w:val="16"/>
                <w:szCs w:val="16"/>
                <w:color w:val="auto"/>
              </w:rPr>
              <w:t>1,152</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40"/>
              <w:spacing w:after="0"/>
              <w:rPr>
                <w:sz w:val="20"/>
                <w:szCs w:val="20"/>
                <w:color w:val="auto"/>
              </w:rPr>
            </w:pPr>
            <w:r>
              <w:rPr>
                <w:rFonts w:ascii="Arial" w:cs="Arial" w:eastAsia="Arial" w:hAnsi="Arial"/>
                <w:sz w:val="16"/>
                <w:szCs w:val="16"/>
                <w:color w:val="auto"/>
              </w:rPr>
              <w:t>4,403</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2,371</w:t>
            </w:r>
          </w:p>
        </w:tc>
        <w:tc>
          <w:tcPr>
            <w:tcW w:w="0" w:type="dxa"/>
            <w:vAlign w:val="bottom"/>
          </w:tcPr>
          <w:p>
            <w:pPr>
              <w:spacing w:after="0"/>
              <w:rPr>
                <w:sz w:val="1"/>
                <w:szCs w:val="1"/>
                <w:color w:val="auto"/>
              </w:rPr>
            </w:pPr>
          </w:p>
        </w:tc>
      </w:tr>
      <w:tr>
        <w:trPr>
          <w:trHeight w:val="33"/>
        </w:trPr>
        <w:tc>
          <w:tcPr>
            <w:tcW w:w="5160" w:type="dxa"/>
            <w:vAlign w:val="bottom"/>
            <w:tcBorders>
              <w:bottom w:val="single" w:sz="8" w:color="CFF0FC"/>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FF0FC"/>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CFF0FC"/>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5160" w:type="dxa"/>
            <w:vAlign w:val="bottom"/>
            <w:tcBorders>
              <w:bottom w:val="single" w:sz="8" w:color="CFF0FC"/>
            </w:tcBorders>
            <w:shd w:val="clear" w:color="auto" w:fill="CFF0FC"/>
          </w:tcPr>
          <w:p>
            <w:pPr>
              <w:ind w:left="520"/>
              <w:spacing w:after="0"/>
              <w:rPr>
                <w:sz w:val="20"/>
                <w:szCs w:val="20"/>
                <w:color w:val="auto"/>
              </w:rPr>
            </w:pPr>
            <w:r>
              <w:rPr>
                <w:rFonts w:ascii="Arial" w:cs="Arial" w:eastAsia="Arial" w:hAnsi="Arial"/>
                <w:sz w:val="16"/>
                <w:szCs w:val="16"/>
                <w:color w:val="auto"/>
              </w:rPr>
              <w:t>Total operating expenses</w:t>
            </w:r>
          </w:p>
        </w:tc>
        <w:tc>
          <w:tcPr>
            <w:tcW w:w="900" w:type="dxa"/>
            <w:vAlign w:val="bottom"/>
            <w:tcBorders>
              <w:bottom w:val="single" w:sz="8" w:color="CFF0FC"/>
            </w:tcBorders>
            <w:shd w:val="clear" w:color="auto" w:fill="CFF0FC"/>
          </w:tcPr>
          <w:p>
            <w:pPr>
              <w:spacing w:after="0"/>
              <w:rPr>
                <w:sz w:val="21"/>
                <w:szCs w:val="21"/>
                <w:color w:val="auto"/>
              </w:rPr>
            </w:pPr>
          </w:p>
        </w:tc>
        <w:tc>
          <w:tcPr>
            <w:tcW w:w="600" w:type="dxa"/>
            <w:vAlign w:val="bottom"/>
            <w:tcBorders>
              <w:bottom w:val="single" w:sz="8" w:color="CFF0FC"/>
            </w:tcBorders>
            <w:shd w:val="clear" w:color="auto" w:fill="CFF0FC"/>
          </w:tcPr>
          <w:p>
            <w:pPr>
              <w:jc w:val="right"/>
              <w:ind w:right="40"/>
              <w:spacing w:after="0"/>
              <w:rPr>
                <w:sz w:val="20"/>
                <w:szCs w:val="20"/>
                <w:color w:val="auto"/>
              </w:rPr>
            </w:pPr>
            <w:r>
              <w:rPr>
                <w:rFonts w:ascii="Arial" w:cs="Arial" w:eastAsia="Arial" w:hAnsi="Arial"/>
                <w:sz w:val="16"/>
                <w:szCs w:val="16"/>
                <w:color w:val="auto"/>
              </w:rPr>
              <w:t>9,555</w:t>
            </w:r>
          </w:p>
        </w:tc>
        <w:tc>
          <w:tcPr>
            <w:tcW w:w="120" w:type="dxa"/>
            <w:vAlign w:val="bottom"/>
            <w:tcBorders>
              <w:bottom w:val="single" w:sz="8" w:color="CFF0FC"/>
            </w:tcBorders>
            <w:shd w:val="clear" w:color="auto" w:fill="CFF0FC"/>
          </w:tcPr>
          <w:p>
            <w:pPr>
              <w:spacing w:after="0"/>
              <w:rPr>
                <w:sz w:val="21"/>
                <w:szCs w:val="21"/>
                <w:color w:val="auto"/>
              </w:rPr>
            </w:pPr>
          </w:p>
        </w:tc>
        <w:tc>
          <w:tcPr>
            <w:tcW w:w="920" w:type="dxa"/>
            <w:vAlign w:val="bottom"/>
            <w:tcBorders>
              <w:bottom w:val="single" w:sz="8" w:color="CFF0FC"/>
            </w:tcBorders>
            <w:shd w:val="clear" w:color="auto" w:fill="CFF0FC"/>
          </w:tcPr>
          <w:p>
            <w:pPr>
              <w:spacing w:after="0"/>
              <w:rPr>
                <w:sz w:val="21"/>
                <w:szCs w:val="21"/>
                <w:color w:val="auto"/>
              </w:rPr>
            </w:pPr>
          </w:p>
        </w:tc>
        <w:tc>
          <w:tcPr>
            <w:tcW w:w="580" w:type="dxa"/>
            <w:vAlign w:val="bottom"/>
            <w:tcBorders>
              <w:bottom w:val="single" w:sz="8" w:color="CFF0FC"/>
            </w:tcBorders>
            <w:shd w:val="clear" w:color="auto" w:fill="CFF0FC"/>
          </w:tcPr>
          <w:p>
            <w:pPr>
              <w:jc w:val="right"/>
              <w:ind w:right="39"/>
              <w:spacing w:after="0"/>
              <w:rPr>
                <w:sz w:val="20"/>
                <w:szCs w:val="20"/>
                <w:color w:val="auto"/>
              </w:rPr>
            </w:pPr>
            <w:r>
              <w:rPr>
                <w:rFonts w:ascii="Arial" w:cs="Arial" w:eastAsia="Arial" w:hAnsi="Arial"/>
                <w:sz w:val="16"/>
                <w:szCs w:val="16"/>
                <w:color w:val="auto"/>
              </w:rPr>
              <w:t>3,487</w:t>
            </w:r>
          </w:p>
        </w:tc>
        <w:tc>
          <w:tcPr>
            <w:tcW w:w="12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CFF0FC"/>
            </w:tcBorders>
            <w:shd w:val="clear" w:color="auto" w:fill="CFF0FC"/>
          </w:tcPr>
          <w:p>
            <w:pPr>
              <w:spacing w:after="0"/>
              <w:rPr>
                <w:sz w:val="21"/>
                <w:szCs w:val="21"/>
                <w:color w:val="auto"/>
              </w:rPr>
            </w:pPr>
          </w:p>
        </w:tc>
        <w:tc>
          <w:tcPr>
            <w:tcW w:w="1120" w:type="dxa"/>
            <w:vAlign w:val="bottom"/>
            <w:tcBorders>
              <w:bottom w:val="single" w:sz="8" w:color="CFF0FC"/>
            </w:tcBorders>
            <w:shd w:val="clear" w:color="auto" w:fill="CFF0FC"/>
          </w:tcPr>
          <w:p>
            <w:pPr>
              <w:jc w:val="right"/>
              <w:ind w:right="40"/>
              <w:spacing w:after="0"/>
              <w:rPr>
                <w:sz w:val="20"/>
                <w:szCs w:val="20"/>
                <w:color w:val="auto"/>
              </w:rPr>
            </w:pPr>
            <w:r>
              <w:rPr>
                <w:rFonts w:ascii="Arial" w:cs="Arial" w:eastAsia="Arial" w:hAnsi="Arial"/>
                <w:sz w:val="16"/>
                <w:szCs w:val="16"/>
                <w:color w:val="auto"/>
              </w:rPr>
              <w:t>19,543</w:t>
            </w:r>
          </w:p>
        </w:tc>
        <w:tc>
          <w:tcPr>
            <w:tcW w:w="100" w:type="dxa"/>
            <w:vAlign w:val="bottom"/>
            <w:tcBorders>
              <w:bottom w:val="single" w:sz="8" w:color="CFF0FC"/>
            </w:tcBorders>
            <w:shd w:val="clear" w:color="auto" w:fill="CFF0FC"/>
          </w:tcPr>
          <w:p>
            <w:pPr>
              <w:spacing w:after="0"/>
              <w:rPr>
                <w:sz w:val="21"/>
                <w:szCs w:val="21"/>
                <w:color w:val="auto"/>
              </w:rPr>
            </w:pPr>
          </w:p>
        </w:tc>
        <w:tc>
          <w:tcPr>
            <w:tcW w:w="560" w:type="dxa"/>
            <w:vAlign w:val="bottom"/>
            <w:tcBorders>
              <w:bottom w:val="single" w:sz="8" w:color="CFF0FC"/>
            </w:tcBorders>
            <w:shd w:val="clear" w:color="auto" w:fill="CFF0FC"/>
          </w:tcPr>
          <w:p>
            <w:pPr>
              <w:spacing w:after="0"/>
              <w:rPr>
                <w:sz w:val="21"/>
                <w:szCs w:val="21"/>
                <w:color w:val="auto"/>
              </w:rPr>
            </w:pPr>
          </w:p>
        </w:tc>
        <w:tc>
          <w:tcPr>
            <w:tcW w:w="900" w:type="dxa"/>
            <w:vAlign w:val="bottom"/>
            <w:tcBorders>
              <w:bottom w:val="single" w:sz="8" w:color="CFF0FC"/>
            </w:tcBorders>
            <w:shd w:val="clear" w:color="auto" w:fill="CFF0FC"/>
          </w:tcPr>
          <w:p>
            <w:pPr>
              <w:jc w:val="right"/>
              <w:ind w:right="19"/>
              <w:spacing w:after="0"/>
              <w:rPr>
                <w:sz w:val="20"/>
                <w:szCs w:val="20"/>
                <w:color w:val="auto"/>
              </w:rPr>
            </w:pPr>
            <w:r>
              <w:rPr>
                <w:rFonts w:ascii="Arial" w:cs="Arial" w:eastAsia="Arial" w:hAnsi="Arial"/>
                <w:sz w:val="16"/>
                <w:szCs w:val="16"/>
                <w:color w:val="auto"/>
              </w:rPr>
              <w:t>9,492</w:t>
            </w:r>
          </w:p>
        </w:tc>
        <w:tc>
          <w:tcPr>
            <w:tcW w:w="0" w:type="dxa"/>
            <w:vAlign w:val="bottom"/>
          </w:tcPr>
          <w:p>
            <w:pPr>
              <w:spacing w:after="0"/>
              <w:rPr>
                <w:sz w:val="1"/>
                <w:szCs w:val="1"/>
                <w:color w:val="auto"/>
              </w:rPr>
            </w:pPr>
          </w:p>
        </w:tc>
      </w:tr>
      <w:tr>
        <w:trPr>
          <w:trHeight w:val="217"/>
        </w:trPr>
        <w:tc>
          <w:tcPr>
            <w:tcW w:w="5160" w:type="dxa"/>
            <w:vAlign w:val="bottom"/>
          </w:tcPr>
          <w:p>
            <w:pPr>
              <w:ind w:left="800"/>
              <w:spacing w:after="0"/>
              <w:rPr>
                <w:sz w:val="20"/>
                <w:szCs w:val="20"/>
                <w:color w:val="auto"/>
              </w:rPr>
            </w:pPr>
            <w:r>
              <w:rPr>
                <w:rFonts w:ascii="Arial" w:cs="Arial" w:eastAsia="Arial" w:hAnsi="Arial"/>
                <w:sz w:val="16"/>
                <w:szCs w:val="16"/>
                <w:color w:val="auto"/>
              </w:rPr>
              <w:t>Income (loss) from operations</w:t>
            </w:r>
          </w:p>
        </w:tc>
        <w:tc>
          <w:tcPr>
            <w:tcW w:w="90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98"/>
              </w:rPr>
              <w:t>(2,555)</w:t>
            </w:r>
          </w:p>
        </w:tc>
        <w:tc>
          <w:tcPr>
            <w:tcW w:w="12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2,363</w:t>
            </w:r>
          </w:p>
        </w:tc>
        <w:tc>
          <w:tcPr>
            <w:tcW w:w="12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(12,543)</w:t>
            </w:r>
          </w:p>
        </w:tc>
        <w:tc>
          <w:tcPr>
            <w:tcW w:w="100" w:type="dxa"/>
            <w:vAlign w:val="bottom"/>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1,224</w:t>
            </w:r>
          </w:p>
        </w:tc>
        <w:tc>
          <w:tcPr>
            <w:tcW w:w="0" w:type="dxa"/>
            <w:vAlign w:val="bottom"/>
          </w:tcPr>
          <w:p>
            <w:pPr>
              <w:spacing w:after="0"/>
              <w:rPr>
                <w:sz w:val="1"/>
                <w:szCs w:val="1"/>
                <w:color w:val="auto"/>
              </w:rPr>
            </w:pPr>
          </w:p>
        </w:tc>
      </w:tr>
      <w:tr>
        <w:trPr>
          <w:trHeight w:val="33"/>
        </w:trPr>
        <w:tc>
          <w:tcPr>
            <w:tcW w:w="5160" w:type="dxa"/>
            <w:vAlign w:val="bottom"/>
            <w:tcBorders>
              <w:bottom w:val="single" w:sz="8" w:color="CFF0FC"/>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FF0FC"/>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CFF0FC"/>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5160" w:type="dxa"/>
            <w:vAlign w:val="bottom"/>
            <w:shd w:val="clear" w:color="auto" w:fill="CFF0FC"/>
          </w:tcPr>
          <w:p>
            <w:pPr>
              <w:ind w:left="40"/>
              <w:spacing w:after="0"/>
              <w:rPr>
                <w:sz w:val="20"/>
                <w:szCs w:val="20"/>
                <w:color w:val="auto"/>
              </w:rPr>
            </w:pPr>
            <w:r>
              <w:rPr>
                <w:rFonts w:ascii="Arial" w:cs="Arial" w:eastAsia="Arial" w:hAnsi="Arial"/>
                <w:sz w:val="16"/>
                <w:szCs w:val="16"/>
                <w:color w:val="auto"/>
              </w:rPr>
              <w:t>Other income (expense), net</w:t>
            </w:r>
          </w:p>
        </w:tc>
        <w:tc>
          <w:tcPr>
            <w:tcW w:w="90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60"/>
        </w:trPr>
        <w:tc>
          <w:tcPr>
            <w:tcW w:w="5160" w:type="dxa"/>
            <w:vAlign w:val="bottom"/>
            <w:shd w:val="clear" w:color="auto" w:fill="CFF0FC"/>
          </w:tcPr>
          <w:p>
            <w:pPr>
              <w:spacing w:after="0"/>
              <w:rPr>
                <w:sz w:val="5"/>
                <w:szCs w:val="5"/>
                <w:color w:val="auto"/>
              </w:rPr>
            </w:pPr>
          </w:p>
        </w:tc>
        <w:tc>
          <w:tcPr>
            <w:tcW w:w="900" w:type="dxa"/>
            <w:vAlign w:val="bottom"/>
            <w:shd w:val="clear" w:color="auto" w:fill="CFF0FC"/>
          </w:tcPr>
          <w:p>
            <w:pPr>
              <w:spacing w:after="0"/>
              <w:rPr>
                <w:sz w:val="5"/>
                <w:szCs w:val="5"/>
                <w:color w:val="auto"/>
              </w:rPr>
            </w:pPr>
          </w:p>
        </w:tc>
        <w:tc>
          <w:tcPr>
            <w:tcW w:w="600" w:type="dxa"/>
            <w:vAlign w:val="bottom"/>
            <w:shd w:val="clear" w:color="auto" w:fill="CFF0FC"/>
          </w:tcPr>
          <w:p>
            <w:pPr>
              <w:spacing w:after="0"/>
              <w:rPr>
                <w:sz w:val="5"/>
                <w:szCs w:val="5"/>
                <w:color w:val="auto"/>
              </w:rPr>
            </w:pPr>
          </w:p>
        </w:tc>
        <w:tc>
          <w:tcPr>
            <w:tcW w:w="120" w:type="dxa"/>
            <w:vAlign w:val="bottom"/>
            <w:shd w:val="clear" w:color="auto" w:fill="CFF0FC"/>
          </w:tcPr>
          <w:p>
            <w:pPr>
              <w:spacing w:after="0"/>
              <w:rPr>
                <w:sz w:val="5"/>
                <w:szCs w:val="5"/>
                <w:color w:val="auto"/>
              </w:rPr>
            </w:pPr>
          </w:p>
        </w:tc>
        <w:tc>
          <w:tcPr>
            <w:tcW w:w="920" w:type="dxa"/>
            <w:vAlign w:val="bottom"/>
            <w:shd w:val="clear" w:color="auto" w:fill="CFF0FC"/>
          </w:tcPr>
          <w:p>
            <w:pPr>
              <w:spacing w:after="0"/>
              <w:rPr>
                <w:sz w:val="5"/>
                <w:szCs w:val="5"/>
                <w:color w:val="auto"/>
              </w:rPr>
            </w:pPr>
          </w:p>
        </w:tc>
        <w:tc>
          <w:tcPr>
            <w:tcW w:w="580" w:type="dxa"/>
            <w:vAlign w:val="bottom"/>
            <w:shd w:val="clear" w:color="auto" w:fill="CFF0FC"/>
          </w:tcPr>
          <w:p>
            <w:pPr>
              <w:spacing w:after="0"/>
              <w:rPr>
                <w:sz w:val="5"/>
                <w:szCs w:val="5"/>
                <w:color w:val="auto"/>
              </w:rPr>
            </w:pPr>
          </w:p>
        </w:tc>
        <w:tc>
          <w:tcPr>
            <w:tcW w:w="120" w:type="dxa"/>
            <w:vAlign w:val="bottom"/>
            <w:shd w:val="clear" w:color="auto" w:fill="CFF0FC"/>
          </w:tcPr>
          <w:p>
            <w:pPr>
              <w:spacing w:after="0"/>
              <w:rPr>
                <w:sz w:val="5"/>
                <w:szCs w:val="5"/>
                <w:color w:val="auto"/>
              </w:rPr>
            </w:pPr>
          </w:p>
        </w:tc>
        <w:tc>
          <w:tcPr>
            <w:tcW w:w="340" w:type="dxa"/>
            <w:vAlign w:val="bottom"/>
            <w:shd w:val="clear" w:color="auto" w:fill="CFF0FC"/>
          </w:tcPr>
          <w:p>
            <w:pPr>
              <w:spacing w:after="0"/>
              <w:rPr>
                <w:sz w:val="5"/>
                <w:szCs w:val="5"/>
                <w:color w:val="auto"/>
              </w:rPr>
            </w:pPr>
          </w:p>
        </w:tc>
        <w:tc>
          <w:tcPr>
            <w:tcW w:w="1120" w:type="dxa"/>
            <w:vAlign w:val="bottom"/>
            <w:shd w:val="clear" w:color="auto" w:fill="CFF0FC"/>
          </w:tcPr>
          <w:p>
            <w:pPr>
              <w:spacing w:after="0"/>
              <w:rPr>
                <w:sz w:val="5"/>
                <w:szCs w:val="5"/>
                <w:color w:val="auto"/>
              </w:rPr>
            </w:pPr>
          </w:p>
        </w:tc>
        <w:tc>
          <w:tcPr>
            <w:tcW w:w="100" w:type="dxa"/>
            <w:vAlign w:val="bottom"/>
            <w:shd w:val="clear" w:color="auto" w:fill="CFF0FC"/>
          </w:tcPr>
          <w:p>
            <w:pPr>
              <w:spacing w:after="0"/>
              <w:rPr>
                <w:sz w:val="5"/>
                <w:szCs w:val="5"/>
                <w:color w:val="auto"/>
              </w:rPr>
            </w:pPr>
          </w:p>
        </w:tc>
        <w:tc>
          <w:tcPr>
            <w:tcW w:w="560" w:type="dxa"/>
            <w:vAlign w:val="bottom"/>
            <w:shd w:val="clear" w:color="auto" w:fill="CFF0FC"/>
          </w:tcPr>
          <w:p>
            <w:pPr>
              <w:spacing w:after="0"/>
              <w:rPr>
                <w:sz w:val="5"/>
                <w:szCs w:val="5"/>
                <w:color w:val="auto"/>
              </w:rPr>
            </w:pPr>
          </w:p>
        </w:tc>
        <w:tc>
          <w:tcPr>
            <w:tcW w:w="900" w:type="dxa"/>
            <w:vAlign w:val="bottom"/>
            <w:shd w:val="clear" w:color="auto" w:fill="CFF0FC"/>
          </w:tcPr>
          <w:p>
            <w:pPr>
              <w:spacing w:after="0"/>
              <w:rPr>
                <w:sz w:val="5"/>
                <w:szCs w:val="5"/>
                <w:color w:val="auto"/>
              </w:rPr>
            </w:pPr>
          </w:p>
        </w:tc>
        <w:tc>
          <w:tcPr>
            <w:tcW w:w="0" w:type="dxa"/>
            <w:vAlign w:val="bottom"/>
          </w:tcPr>
          <w:p>
            <w:pPr>
              <w:spacing w:after="0"/>
              <w:rPr>
                <w:sz w:val="1"/>
                <w:szCs w:val="1"/>
                <w:color w:val="auto"/>
              </w:rPr>
            </w:pPr>
          </w:p>
        </w:tc>
      </w:tr>
      <w:tr>
        <w:trPr>
          <w:trHeight w:val="237"/>
        </w:trPr>
        <w:tc>
          <w:tcPr>
            <w:tcW w:w="5160" w:type="dxa"/>
            <w:vAlign w:val="bottom"/>
          </w:tcPr>
          <w:p>
            <w:pPr>
              <w:ind w:left="280"/>
              <w:spacing w:after="0"/>
              <w:rPr>
                <w:sz w:val="20"/>
                <w:szCs w:val="20"/>
                <w:color w:val="auto"/>
              </w:rPr>
            </w:pPr>
            <w:r>
              <w:rPr>
                <w:rFonts w:ascii="Arial" w:cs="Arial" w:eastAsia="Arial" w:hAnsi="Arial"/>
                <w:sz w:val="16"/>
                <w:szCs w:val="16"/>
                <w:color w:val="auto"/>
              </w:rPr>
              <w:t>Interest expense</w:t>
            </w:r>
          </w:p>
        </w:tc>
        <w:tc>
          <w:tcPr>
            <w:tcW w:w="9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(439)</w:t>
            </w: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(116)</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(867)</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(231)</w:t>
            </w:r>
          </w:p>
        </w:tc>
        <w:tc>
          <w:tcPr>
            <w:tcW w:w="0" w:type="dxa"/>
            <w:vAlign w:val="bottom"/>
          </w:tcPr>
          <w:p>
            <w:pPr>
              <w:spacing w:after="0"/>
              <w:rPr>
                <w:sz w:val="1"/>
                <w:szCs w:val="1"/>
                <w:color w:val="auto"/>
              </w:rPr>
            </w:pPr>
          </w:p>
        </w:tc>
      </w:tr>
      <w:tr>
        <w:trPr>
          <w:trHeight w:val="33"/>
        </w:trPr>
        <w:tc>
          <w:tcPr>
            <w:tcW w:w="5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16"/>
                <w:szCs w:val="16"/>
                <w:color w:val="auto"/>
              </w:rPr>
              <w:t>Change in fair value of liability for preferred stock warrants</w:t>
            </w:r>
          </w:p>
        </w:tc>
        <w:tc>
          <w:tcPr>
            <w:tcW w:w="900" w:type="dxa"/>
            <w:vAlign w:val="bottom"/>
            <w:tcBorders>
              <w:bottom w:val="single" w:sz="8" w:color="CFF0FC"/>
            </w:tcBorders>
            <w:shd w:val="clear" w:color="auto" w:fill="CFF0FC"/>
          </w:tcPr>
          <w:p>
            <w:pPr>
              <w:spacing w:after="0"/>
              <w:rPr>
                <w:sz w:val="21"/>
                <w:szCs w:val="21"/>
                <w:color w:val="auto"/>
              </w:rPr>
            </w:pPr>
          </w:p>
        </w:tc>
        <w:tc>
          <w:tcPr>
            <w:tcW w:w="720" w:type="dxa"/>
            <w:vAlign w:val="bottom"/>
            <w:tcBorders>
              <w:bottom w:val="single" w:sz="8" w:color="CFF0FC"/>
            </w:tcBorders>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FF0FC"/>
            </w:tcBorders>
            <w:shd w:val="clear" w:color="auto" w:fill="CFF0FC"/>
          </w:tcPr>
          <w:p>
            <w:pPr>
              <w:spacing w:after="0"/>
              <w:rPr>
                <w:sz w:val="21"/>
                <w:szCs w:val="21"/>
                <w:color w:val="auto"/>
              </w:rPr>
            </w:pPr>
          </w:p>
        </w:tc>
        <w:tc>
          <w:tcPr>
            <w:tcW w:w="580" w:type="dxa"/>
            <w:vAlign w:val="bottom"/>
            <w:tcBorders>
              <w:bottom w:val="single" w:sz="8" w:color="CFF0FC"/>
            </w:tcBorders>
            <w:shd w:val="clear" w:color="auto" w:fill="CFF0FC"/>
          </w:tcPr>
          <w:p>
            <w:pPr>
              <w:jc w:val="right"/>
              <w:ind w:right="39"/>
              <w:spacing w:after="0"/>
              <w:rPr>
                <w:sz w:val="20"/>
                <w:szCs w:val="20"/>
                <w:color w:val="auto"/>
              </w:rPr>
            </w:pPr>
            <w:r>
              <w:rPr>
                <w:rFonts w:ascii="Arial" w:cs="Arial" w:eastAsia="Arial" w:hAnsi="Arial"/>
                <w:sz w:val="16"/>
                <w:szCs w:val="16"/>
                <w:color w:val="auto"/>
              </w:rPr>
              <w:t>3</w:t>
            </w:r>
          </w:p>
        </w:tc>
        <w:tc>
          <w:tcPr>
            <w:tcW w:w="12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CFF0FC"/>
            </w:tcBorders>
            <w:shd w:val="clear" w:color="auto" w:fill="CFF0FC"/>
          </w:tcPr>
          <w:p>
            <w:pPr>
              <w:spacing w:after="0"/>
              <w:rPr>
                <w:sz w:val="21"/>
                <w:szCs w:val="21"/>
                <w:color w:val="auto"/>
              </w:rPr>
            </w:pPr>
          </w:p>
        </w:tc>
        <w:tc>
          <w:tcPr>
            <w:tcW w:w="11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(1,366)</w:t>
            </w:r>
          </w:p>
        </w:tc>
        <w:tc>
          <w:tcPr>
            <w:tcW w:w="100" w:type="dxa"/>
            <w:vAlign w:val="bottom"/>
            <w:tcBorders>
              <w:bottom w:val="single" w:sz="8" w:color="CFF0FC"/>
            </w:tcBorders>
            <w:shd w:val="clear" w:color="auto" w:fill="CFF0FC"/>
          </w:tcPr>
          <w:p>
            <w:pPr>
              <w:spacing w:after="0"/>
              <w:rPr>
                <w:sz w:val="21"/>
                <w:szCs w:val="21"/>
                <w:color w:val="auto"/>
              </w:rPr>
            </w:pPr>
          </w:p>
        </w:tc>
        <w:tc>
          <w:tcPr>
            <w:tcW w:w="560" w:type="dxa"/>
            <w:vAlign w:val="bottom"/>
            <w:tcBorders>
              <w:bottom w:val="single" w:sz="8" w:color="CFF0FC"/>
            </w:tcBorders>
            <w:shd w:val="clear" w:color="auto" w:fill="CFF0FC"/>
          </w:tcPr>
          <w:p>
            <w:pPr>
              <w:spacing w:after="0"/>
              <w:rPr>
                <w:sz w:val="21"/>
                <w:szCs w:val="21"/>
                <w:color w:val="auto"/>
              </w:rPr>
            </w:pPr>
          </w:p>
        </w:tc>
        <w:tc>
          <w:tcPr>
            <w:tcW w:w="900" w:type="dxa"/>
            <w:vAlign w:val="bottom"/>
            <w:tcBorders>
              <w:bottom w:val="single" w:sz="8" w:color="CFF0FC"/>
            </w:tcBorders>
            <w:shd w:val="clear" w:color="auto" w:fill="CFF0FC"/>
          </w:tcPr>
          <w:p>
            <w:pPr>
              <w:jc w:val="right"/>
              <w:ind w:right="19"/>
              <w:spacing w:after="0"/>
              <w:rPr>
                <w:sz w:val="20"/>
                <w:szCs w:val="20"/>
                <w:color w:val="auto"/>
              </w:rPr>
            </w:pPr>
            <w:r>
              <w:rPr>
                <w:rFonts w:ascii="Arial" w:cs="Arial" w:eastAsia="Arial" w:hAnsi="Arial"/>
                <w:sz w:val="16"/>
                <w:szCs w:val="16"/>
                <w:color w:val="auto"/>
              </w:rPr>
              <w:t>382</w:t>
            </w:r>
          </w:p>
        </w:tc>
        <w:tc>
          <w:tcPr>
            <w:tcW w:w="0" w:type="dxa"/>
            <w:vAlign w:val="bottom"/>
          </w:tcPr>
          <w:p>
            <w:pPr>
              <w:spacing w:after="0"/>
              <w:rPr>
                <w:sz w:val="1"/>
                <w:szCs w:val="1"/>
                <w:color w:val="auto"/>
              </w:rPr>
            </w:pPr>
          </w:p>
        </w:tc>
      </w:tr>
      <w:tr>
        <w:trPr>
          <w:trHeight w:val="237"/>
        </w:trPr>
        <w:tc>
          <w:tcPr>
            <w:tcW w:w="5160" w:type="dxa"/>
            <w:vAlign w:val="bottom"/>
          </w:tcPr>
          <w:p>
            <w:pPr>
              <w:ind w:left="280"/>
              <w:spacing w:after="0"/>
              <w:rPr>
                <w:sz w:val="20"/>
                <w:szCs w:val="20"/>
                <w:color w:val="auto"/>
              </w:rPr>
            </w:pPr>
            <w:r>
              <w:rPr>
                <w:rFonts w:ascii="Arial" w:cs="Arial" w:eastAsia="Arial" w:hAnsi="Arial"/>
                <w:sz w:val="16"/>
                <w:szCs w:val="16"/>
                <w:color w:val="auto"/>
              </w:rPr>
              <w:t>Other income (expense), net</w:t>
            </w:r>
          </w:p>
        </w:tc>
        <w:tc>
          <w:tcPr>
            <w:tcW w:w="900" w:type="dxa"/>
            <w:vAlign w:val="bottom"/>
          </w:tcPr>
          <w:p>
            <w:pPr>
              <w:spacing w:after="0"/>
              <w:rPr>
                <w:sz w:val="20"/>
                <w:szCs w:val="20"/>
                <w:color w:val="auto"/>
              </w:rPr>
            </w:pPr>
          </w:p>
        </w:tc>
        <w:tc>
          <w:tcPr>
            <w:tcW w:w="600" w:type="dxa"/>
            <w:vAlign w:val="bottom"/>
          </w:tcPr>
          <w:p>
            <w:pPr>
              <w:jc w:val="right"/>
              <w:ind w:right="40"/>
              <w:spacing w:after="0"/>
              <w:rPr>
                <w:sz w:val="20"/>
                <w:szCs w:val="20"/>
                <w:color w:val="auto"/>
              </w:rPr>
            </w:pPr>
            <w:r>
              <w:rPr>
                <w:rFonts w:ascii="Arial" w:cs="Arial" w:eastAsia="Arial" w:hAnsi="Arial"/>
                <w:sz w:val="16"/>
                <w:szCs w:val="16"/>
                <w:color w:val="auto"/>
              </w:rPr>
              <w:t>310</w:t>
            </w: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580" w:type="dxa"/>
            <w:vAlign w:val="bottom"/>
          </w:tcPr>
          <w:p>
            <w:pPr>
              <w:jc w:val="right"/>
              <w:ind w:right="39"/>
              <w:spacing w:after="0"/>
              <w:rPr>
                <w:sz w:val="20"/>
                <w:szCs w:val="20"/>
                <w:color w:val="auto"/>
              </w:rPr>
            </w:pPr>
            <w:r>
              <w:rPr>
                <w:rFonts w:ascii="Arial" w:cs="Arial" w:eastAsia="Arial" w:hAnsi="Arial"/>
                <w:sz w:val="16"/>
                <w:szCs w:val="16"/>
                <w:color w:val="auto"/>
              </w:rPr>
              <w:t>72</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40"/>
              <w:spacing w:after="0"/>
              <w:rPr>
                <w:sz w:val="20"/>
                <w:szCs w:val="20"/>
                <w:color w:val="auto"/>
              </w:rPr>
            </w:pPr>
            <w:r>
              <w:rPr>
                <w:rFonts w:ascii="Arial" w:cs="Arial" w:eastAsia="Arial" w:hAnsi="Arial"/>
                <w:sz w:val="16"/>
                <w:szCs w:val="16"/>
                <w:color w:val="auto"/>
              </w:rPr>
              <w:t>657</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59</w:t>
            </w:r>
          </w:p>
        </w:tc>
        <w:tc>
          <w:tcPr>
            <w:tcW w:w="0" w:type="dxa"/>
            <w:vAlign w:val="bottom"/>
          </w:tcPr>
          <w:p>
            <w:pPr>
              <w:spacing w:after="0"/>
              <w:rPr>
                <w:sz w:val="1"/>
                <w:szCs w:val="1"/>
                <w:color w:val="auto"/>
              </w:rPr>
            </w:pPr>
          </w:p>
        </w:tc>
      </w:tr>
      <w:tr>
        <w:trPr>
          <w:trHeight w:val="33"/>
        </w:trPr>
        <w:tc>
          <w:tcPr>
            <w:tcW w:w="5160" w:type="dxa"/>
            <w:vAlign w:val="bottom"/>
            <w:tcBorders>
              <w:bottom w:val="single" w:sz="8" w:color="CFF0FC"/>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FF0FC"/>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CFF0FC"/>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5160" w:type="dxa"/>
            <w:vAlign w:val="bottom"/>
            <w:tcBorders>
              <w:bottom w:val="single" w:sz="8" w:color="CFF0FC"/>
            </w:tcBorders>
            <w:shd w:val="clear" w:color="auto" w:fill="CFF0FC"/>
          </w:tcPr>
          <w:p>
            <w:pPr>
              <w:ind w:left="520"/>
              <w:spacing w:after="0"/>
              <w:rPr>
                <w:sz w:val="20"/>
                <w:szCs w:val="20"/>
                <w:color w:val="auto"/>
              </w:rPr>
            </w:pPr>
            <w:r>
              <w:rPr>
                <w:rFonts w:ascii="Arial" w:cs="Arial" w:eastAsia="Arial" w:hAnsi="Arial"/>
                <w:sz w:val="16"/>
                <w:szCs w:val="16"/>
                <w:color w:val="auto"/>
              </w:rPr>
              <w:t>Total other income (expense), net</w:t>
            </w:r>
          </w:p>
        </w:tc>
        <w:tc>
          <w:tcPr>
            <w:tcW w:w="900" w:type="dxa"/>
            <w:vAlign w:val="bottom"/>
            <w:tcBorders>
              <w:bottom w:val="single" w:sz="8" w:color="CFF0FC"/>
            </w:tcBorders>
            <w:shd w:val="clear" w:color="auto" w:fill="CFF0FC"/>
          </w:tcPr>
          <w:p>
            <w:pPr>
              <w:spacing w:after="0"/>
              <w:rPr>
                <w:sz w:val="21"/>
                <w:szCs w:val="21"/>
                <w:color w:val="auto"/>
              </w:rPr>
            </w:pPr>
          </w:p>
        </w:tc>
        <w:tc>
          <w:tcPr>
            <w:tcW w:w="6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(129)</w:t>
            </w:r>
          </w:p>
        </w:tc>
        <w:tc>
          <w:tcPr>
            <w:tcW w:w="120" w:type="dxa"/>
            <w:vAlign w:val="bottom"/>
            <w:tcBorders>
              <w:bottom w:val="single" w:sz="8" w:color="CFF0FC"/>
            </w:tcBorders>
            <w:shd w:val="clear" w:color="auto" w:fill="CFF0FC"/>
          </w:tcPr>
          <w:p>
            <w:pPr>
              <w:spacing w:after="0"/>
              <w:rPr>
                <w:sz w:val="21"/>
                <w:szCs w:val="21"/>
                <w:color w:val="auto"/>
              </w:rPr>
            </w:pPr>
          </w:p>
        </w:tc>
        <w:tc>
          <w:tcPr>
            <w:tcW w:w="920" w:type="dxa"/>
            <w:vAlign w:val="bottom"/>
            <w:tcBorders>
              <w:bottom w:val="single" w:sz="8" w:color="CFF0FC"/>
            </w:tcBorders>
            <w:shd w:val="clear" w:color="auto" w:fill="CFF0FC"/>
          </w:tcPr>
          <w:p>
            <w:pPr>
              <w:spacing w:after="0"/>
              <w:rPr>
                <w:sz w:val="21"/>
                <w:szCs w:val="21"/>
                <w:color w:val="auto"/>
              </w:rPr>
            </w:pPr>
          </w:p>
        </w:tc>
        <w:tc>
          <w:tcPr>
            <w:tcW w:w="5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(41)</w:t>
            </w:r>
          </w:p>
        </w:tc>
        <w:tc>
          <w:tcPr>
            <w:tcW w:w="12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CFF0FC"/>
            </w:tcBorders>
            <w:shd w:val="clear" w:color="auto" w:fill="CFF0FC"/>
          </w:tcPr>
          <w:p>
            <w:pPr>
              <w:spacing w:after="0"/>
              <w:rPr>
                <w:sz w:val="21"/>
                <w:szCs w:val="21"/>
                <w:color w:val="auto"/>
              </w:rPr>
            </w:pPr>
          </w:p>
        </w:tc>
        <w:tc>
          <w:tcPr>
            <w:tcW w:w="11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(1,576)</w:t>
            </w:r>
          </w:p>
        </w:tc>
        <w:tc>
          <w:tcPr>
            <w:tcW w:w="100" w:type="dxa"/>
            <w:vAlign w:val="bottom"/>
            <w:tcBorders>
              <w:bottom w:val="single" w:sz="8" w:color="CFF0FC"/>
            </w:tcBorders>
            <w:shd w:val="clear" w:color="auto" w:fill="CFF0FC"/>
          </w:tcPr>
          <w:p>
            <w:pPr>
              <w:spacing w:after="0"/>
              <w:rPr>
                <w:sz w:val="21"/>
                <w:szCs w:val="21"/>
                <w:color w:val="auto"/>
              </w:rPr>
            </w:pPr>
          </w:p>
        </w:tc>
        <w:tc>
          <w:tcPr>
            <w:tcW w:w="560" w:type="dxa"/>
            <w:vAlign w:val="bottom"/>
            <w:tcBorders>
              <w:bottom w:val="single" w:sz="8" w:color="CFF0FC"/>
            </w:tcBorders>
            <w:shd w:val="clear" w:color="auto" w:fill="CFF0FC"/>
          </w:tcPr>
          <w:p>
            <w:pPr>
              <w:spacing w:after="0"/>
              <w:rPr>
                <w:sz w:val="21"/>
                <w:szCs w:val="21"/>
                <w:color w:val="auto"/>
              </w:rPr>
            </w:pPr>
          </w:p>
        </w:tc>
        <w:tc>
          <w:tcPr>
            <w:tcW w:w="900" w:type="dxa"/>
            <w:vAlign w:val="bottom"/>
            <w:tcBorders>
              <w:bottom w:val="single" w:sz="8" w:color="CFF0FC"/>
            </w:tcBorders>
            <w:shd w:val="clear" w:color="auto" w:fill="CFF0FC"/>
          </w:tcPr>
          <w:p>
            <w:pPr>
              <w:jc w:val="right"/>
              <w:ind w:right="19"/>
              <w:spacing w:after="0"/>
              <w:rPr>
                <w:sz w:val="20"/>
                <w:szCs w:val="20"/>
                <w:color w:val="auto"/>
              </w:rPr>
            </w:pPr>
            <w:r>
              <w:rPr>
                <w:rFonts w:ascii="Arial" w:cs="Arial" w:eastAsia="Arial" w:hAnsi="Arial"/>
                <w:sz w:val="16"/>
                <w:szCs w:val="16"/>
                <w:color w:val="auto"/>
              </w:rPr>
              <w:t>210</w:t>
            </w:r>
          </w:p>
        </w:tc>
        <w:tc>
          <w:tcPr>
            <w:tcW w:w="0" w:type="dxa"/>
            <w:vAlign w:val="bottom"/>
          </w:tcPr>
          <w:p>
            <w:pPr>
              <w:spacing w:after="0"/>
              <w:rPr>
                <w:sz w:val="1"/>
                <w:szCs w:val="1"/>
                <w:color w:val="auto"/>
              </w:rPr>
            </w:pPr>
          </w:p>
        </w:tc>
      </w:tr>
      <w:tr>
        <w:trPr>
          <w:trHeight w:val="217"/>
        </w:trPr>
        <w:tc>
          <w:tcPr>
            <w:tcW w:w="5160" w:type="dxa"/>
            <w:vAlign w:val="bottom"/>
          </w:tcPr>
          <w:p>
            <w:pPr>
              <w:ind w:left="760"/>
              <w:spacing w:after="0"/>
              <w:rPr>
                <w:sz w:val="20"/>
                <w:szCs w:val="20"/>
                <w:color w:val="auto"/>
              </w:rPr>
            </w:pPr>
            <w:r>
              <w:rPr>
                <w:rFonts w:ascii="Arial" w:cs="Arial" w:eastAsia="Arial" w:hAnsi="Arial"/>
                <w:sz w:val="16"/>
                <w:szCs w:val="16"/>
                <w:color w:val="auto"/>
              </w:rPr>
              <w:t>Net income (loss)</w:t>
            </w:r>
          </w:p>
        </w:tc>
        <w:tc>
          <w:tcPr>
            <w:tcW w:w="90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98"/>
              </w:rPr>
              <w:t>(2,684)</w:t>
            </w:r>
          </w:p>
        </w:tc>
        <w:tc>
          <w:tcPr>
            <w:tcW w:w="12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2,322</w:t>
            </w:r>
          </w:p>
        </w:tc>
        <w:tc>
          <w:tcPr>
            <w:tcW w:w="12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(14,119)</w:t>
            </w:r>
          </w:p>
        </w:tc>
        <w:tc>
          <w:tcPr>
            <w:tcW w:w="100" w:type="dxa"/>
            <w:vAlign w:val="bottom"/>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1,434</w:t>
            </w:r>
          </w:p>
        </w:tc>
        <w:tc>
          <w:tcPr>
            <w:tcW w:w="0" w:type="dxa"/>
            <w:vAlign w:val="bottom"/>
          </w:tcPr>
          <w:p>
            <w:pPr>
              <w:spacing w:after="0"/>
              <w:rPr>
                <w:sz w:val="1"/>
                <w:szCs w:val="1"/>
                <w:color w:val="auto"/>
              </w:rPr>
            </w:pPr>
          </w:p>
        </w:tc>
      </w:tr>
      <w:tr>
        <w:trPr>
          <w:trHeight w:val="33"/>
        </w:trPr>
        <w:tc>
          <w:tcPr>
            <w:tcW w:w="5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FF0FC"/>
            </w:tcBorders>
            <w:shd w:val="clear" w:color="auto" w:fill="CFF0FC"/>
          </w:tcPr>
          <w:p>
            <w:pPr>
              <w:ind w:left="180"/>
              <w:spacing w:after="0"/>
              <w:rPr>
                <w:sz w:val="20"/>
                <w:szCs w:val="20"/>
                <w:color w:val="auto"/>
              </w:rPr>
            </w:pPr>
            <w:r>
              <w:rPr>
                <w:rFonts w:ascii="Arial" w:cs="Arial" w:eastAsia="Arial" w:hAnsi="Arial"/>
                <w:sz w:val="16"/>
                <w:szCs w:val="16"/>
                <w:color w:val="auto"/>
              </w:rPr>
              <w:t>Net income attributed to participating securities</w:t>
            </w:r>
          </w:p>
        </w:tc>
        <w:tc>
          <w:tcPr>
            <w:tcW w:w="900" w:type="dxa"/>
            <w:vAlign w:val="bottom"/>
            <w:tcBorders>
              <w:bottom w:val="single" w:sz="8" w:color="CFF0FC"/>
            </w:tcBorders>
            <w:shd w:val="clear" w:color="auto" w:fill="CFF0FC"/>
          </w:tcPr>
          <w:p>
            <w:pPr>
              <w:spacing w:after="0"/>
              <w:rPr>
                <w:sz w:val="23"/>
                <w:szCs w:val="23"/>
                <w:color w:val="auto"/>
              </w:rPr>
            </w:pPr>
          </w:p>
        </w:tc>
        <w:tc>
          <w:tcPr>
            <w:tcW w:w="720" w:type="dxa"/>
            <w:vAlign w:val="bottom"/>
            <w:tcBorders>
              <w:bottom w:val="single" w:sz="8" w:color="CFF0FC"/>
            </w:tcBorders>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FF0FC"/>
            </w:tcBorders>
            <w:shd w:val="clear" w:color="auto" w:fill="CFF0FC"/>
          </w:tcPr>
          <w:p>
            <w:pPr>
              <w:spacing w:after="0"/>
              <w:rPr>
                <w:sz w:val="23"/>
                <w:szCs w:val="23"/>
                <w:color w:val="auto"/>
              </w:rPr>
            </w:pPr>
          </w:p>
        </w:tc>
        <w:tc>
          <w:tcPr>
            <w:tcW w:w="5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94"/>
              </w:rPr>
              <w:t>(2,141)</w:t>
            </w:r>
          </w:p>
        </w:tc>
        <w:tc>
          <w:tcPr>
            <w:tcW w:w="120" w:type="dxa"/>
            <w:vAlign w:val="bottom"/>
            <w:tcBorders>
              <w:bottom w:val="single" w:sz="8" w:color="CFF0FC"/>
            </w:tcBorders>
            <w:shd w:val="clear" w:color="auto" w:fill="CFF0FC"/>
          </w:tcPr>
          <w:p>
            <w:pPr>
              <w:spacing w:after="0"/>
              <w:rPr>
                <w:sz w:val="23"/>
                <w:szCs w:val="23"/>
                <w:color w:val="auto"/>
              </w:rPr>
            </w:pPr>
          </w:p>
        </w:tc>
        <w:tc>
          <w:tcPr>
            <w:tcW w:w="340" w:type="dxa"/>
            <w:vAlign w:val="bottom"/>
            <w:tcBorders>
              <w:bottom w:val="single" w:sz="8" w:color="CFF0FC"/>
            </w:tcBorders>
            <w:shd w:val="clear" w:color="auto" w:fill="CFF0FC"/>
          </w:tcPr>
          <w:p>
            <w:pPr>
              <w:spacing w:after="0"/>
              <w:rPr>
                <w:sz w:val="23"/>
                <w:szCs w:val="23"/>
                <w:color w:val="auto"/>
              </w:rPr>
            </w:pPr>
          </w:p>
        </w:tc>
        <w:tc>
          <w:tcPr>
            <w:tcW w:w="1220" w:type="dxa"/>
            <w:vAlign w:val="bottom"/>
            <w:tcBorders>
              <w:bottom w:val="single" w:sz="8" w:color="CFF0FC"/>
            </w:tcBorders>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560" w:type="dxa"/>
            <w:vAlign w:val="bottom"/>
            <w:tcBorders>
              <w:bottom w:val="single" w:sz="8" w:color="CFF0FC"/>
            </w:tcBorders>
            <w:shd w:val="clear" w:color="auto" w:fill="CFF0FC"/>
          </w:tcPr>
          <w:p>
            <w:pPr>
              <w:spacing w:after="0"/>
              <w:rPr>
                <w:sz w:val="23"/>
                <w:szCs w:val="23"/>
                <w:color w:val="auto"/>
              </w:rPr>
            </w:pPr>
          </w:p>
        </w:tc>
        <w:tc>
          <w:tcPr>
            <w:tcW w:w="9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(1,434)</w:t>
            </w:r>
          </w:p>
        </w:tc>
        <w:tc>
          <w:tcPr>
            <w:tcW w:w="0" w:type="dxa"/>
            <w:vAlign w:val="bottom"/>
          </w:tcPr>
          <w:p>
            <w:pPr>
              <w:spacing w:after="0"/>
              <w:rPr>
                <w:sz w:val="1"/>
                <w:szCs w:val="1"/>
                <w:color w:val="auto"/>
              </w:rPr>
            </w:pPr>
          </w:p>
        </w:tc>
      </w:tr>
      <w:tr>
        <w:trPr>
          <w:trHeight w:val="217"/>
        </w:trPr>
        <w:tc>
          <w:tcPr>
            <w:tcW w:w="5160" w:type="dxa"/>
            <w:vAlign w:val="bottom"/>
          </w:tcPr>
          <w:p>
            <w:pPr>
              <w:ind w:left="520"/>
              <w:spacing w:after="0"/>
              <w:rPr>
                <w:sz w:val="20"/>
                <w:szCs w:val="20"/>
                <w:color w:val="auto"/>
              </w:rPr>
            </w:pPr>
            <w:r>
              <w:rPr>
                <w:rFonts w:ascii="Arial" w:cs="Arial" w:eastAsia="Arial" w:hAnsi="Arial"/>
                <w:sz w:val="16"/>
                <w:szCs w:val="16"/>
                <w:color w:val="auto"/>
              </w:rPr>
              <w:t>Net income (loss) attributed to common stockholders</w:t>
            </w:r>
          </w:p>
        </w:tc>
        <w:tc>
          <w:tcPr>
            <w:tcW w:w="90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98"/>
              </w:rPr>
              <w:t>(2,684)</w:t>
            </w:r>
          </w:p>
        </w:tc>
        <w:tc>
          <w:tcPr>
            <w:tcW w:w="12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181</w:t>
            </w:r>
          </w:p>
        </w:tc>
        <w:tc>
          <w:tcPr>
            <w:tcW w:w="12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(14,119)</w:t>
            </w:r>
          </w:p>
        </w:tc>
        <w:tc>
          <w:tcPr>
            <w:tcW w:w="100" w:type="dxa"/>
            <w:vAlign w:val="bottom"/>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5160" w:type="dxa"/>
            <w:vAlign w:val="bottom"/>
            <w:tcBorders>
              <w:bottom w:val="single" w:sz="8" w:color="CFF0FC"/>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FF0FC"/>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CFF0FC"/>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5160" w:type="dxa"/>
            <w:vAlign w:val="bottom"/>
            <w:tcBorders>
              <w:bottom w:val="single" w:sz="8" w:color="CFF0FC"/>
            </w:tcBorders>
            <w:shd w:val="clear" w:color="auto" w:fill="CFF0FC"/>
          </w:tcPr>
          <w:p>
            <w:pPr>
              <w:ind w:left="520"/>
              <w:spacing w:after="0"/>
              <w:rPr>
                <w:sz w:val="20"/>
                <w:szCs w:val="20"/>
                <w:color w:val="auto"/>
              </w:rPr>
            </w:pPr>
            <w:r>
              <w:rPr>
                <w:rFonts w:ascii="Arial" w:cs="Arial" w:eastAsia="Arial" w:hAnsi="Arial"/>
                <w:sz w:val="16"/>
                <w:szCs w:val="16"/>
                <w:color w:val="auto"/>
              </w:rPr>
              <w:t>Unrealized loss on available for sale securities</w:t>
            </w:r>
          </w:p>
        </w:tc>
        <w:tc>
          <w:tcPr>
            <w:tcW w:w="900" w:type="dxa"/>
            <w:vAlign w:val="bottom"/>
            <w:tcBorders>
              <w:bottom w:val="single" w:sz="8" w:color="CFF0FC"/>
            </w:tcBorders>
            <w:shd w:val="clear" w:color="auto" w:fill="CFF0FC"/>
          </w:tcPr>
          <w:p>
            <w:pPr>
              <w:spacing w:after="0"/>
              <w:rPr>
                <w:sz w:val="21"/>
                <w:szCs w:val="21"/>
                <w:color w:val="auto"/>
              </w:rPr>
            </w:pPr>
          </w:p>
        </w:tc>
        <w:tc>
          <w:tcPr>
            <w:tcW w:w="6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(46)</w:t>
            </w:r>
          </w:p>
        </w:tc>
        <w:tc>
          <w:tcPr>
            <w:tcW w:w="120" w:type="dxa"/>
            <w:vAlign w:val="bottom"/>
            <w:tcBorders>
              <w:bottom w:val="single" w:sz="8" w:color="CFF0FC"/>
            </w:tcBorders>
            <w:shd w:val="clear" w:color="auto" w:fill="CFF0FC"/>
          </w:tcPr>
          <w:p>
            <w:pPr>
              <w:spacing w:after="0"/>
              <w:rPr>
                <w:sz w:val="21"/>
                <w:szCs w:val="21"/>
                <w:color w:val="auto"/>
              </w:rPr>
            </w:pPr>
          </w:p>
        </w:tc>
        <w:tc>
          <w:tcPr>
            <w:tcW w:w="920" w:type="dxa"/>
            <w:vAlign w:val="bottom"/>
            <w:tcBorders>
              <w:bottom w:val="single" w:sz="8" w:color="CFF0FC"/>
            </w:tcBorders>
            <w:shd w:val="clear" w:color="auto" w:fill="CFF0FC"/>
          </w:tcPr>
          <w:p>
            <w:pPr>
              <w:spacing w:after="0"/>
              <w:rPr>
                <w:sz w:val="21"/>
                <w:szCs w:val="21"/>
                <w:color w:val="auto"/>
              </w:rPr>
            </w:pPr>
          </w:p>
        </w:tc>
        <w:tc>
          <w:tcPr>
            <w:tcW w:w="700" w:type="dxa"/>
            <w:vAlign w:val="bottom"/>
            <w:tcBorders>
              <w:bottom w:val="single" w:sz="8" w:color="CFF0FC"/>
            </w:tcBorders>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FF0FC"/>
            </w:tcBorders>
            <w:shd w:val="clear" w:color="auto" w:fill="CFF0FC"/>
          </w:tcPr>
          <w:p>
            <w:pPr>
              <w:spacing w:after="0"/>
              <w:rPr>
                <w:sz w:val="21"/>
                <w:szCs w:val="21"/>
                <w:color w:val="auto"/>
              </w:rPr>
            </w:pPr>
          </w:p>
        </w:tc>
        <w:tc>
          <w:tcPr>
            <w:tcW w:w="11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(59)</w:t>
            </w:r>
          </w:p>
        </w:tc>
        <w:tc>
          <w:tcPr>
            <w:tcW w:w="100" w:type="dxa"/>
            <w:vAlign w:val="bottom"/>
            <w:tcBorders>
              <w:bottom w:val="single" w:sz="8" w:color="CFF0FC"/>
            </w:tcBorders>
            <w:shd w:val="clear" w:color="auto" w:fill="CFF0FC"/>
          </w:tcPr>
          <w:p>
            <w:pPr>
              <w:spacing w:after="0"/>
              <w:rPr>
                <w:sz w:val="21"/>
                <w:szCs w:val="21"/>
                <w:color w:val="auto"/>
              </w:rPr>
            </w:pPr>
          </w:p>
        </w:tc>
        <w:tc>
          <w:tcPr>
            <w:tcW w:w="560" w:type="dxa"/>
            <w:vAlign w:val="bottom"/>
            <w:tcBorders>
              <w:bottom w:val="single" w:sz="8" w:color="CFF0FC"/>
            </w:tcBorders>
            <w:shd w:val="clear" w:color="auto" w:fill="CFF0FC"/>
          </w:tcPr>
          <w:p>
            <w:pPr>
              <w:spacing w:after="0"/>
              <w:rPr>
                <w:sz w:val="21"/>
                <w:szCs w:val="21"/>
                <w:color w:val="auto"/>
              </w:rPr>
            </w:pPr>
          </w:p>
        </w:tc>
        <w:tc>
          <w:tcPr>
            <w:tcW w:w="900" w:type="dxa"/>
            <w:vAlign w:val="bottom"/>
            <w:tcBorders>
              <w:bottom w:val="single" w:sz="8" w:color="CFF0FC"/>
            </w:tcBorders>
            <w:shd w:val="clear" w:color="auto" w:fill="CFF0FC"/>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5160" w:type="dxa"/>
            <w:vAlign w:val="bottom"/>
          </w:tcPr>
          <w:p>
            <w:pPr>
              <w:ind w:left="280"/>
              <w:spacing w:after="0"/>
              <w:rPr>
                <w:sz w:val="20"/>
                <w:szCs w:val="20"/>
                <w:color w:val="auto"/>
              </w:rPr>
            </w:pPr>
            <w:r>
              <w:rPr>
                <w:rFonts w:ascii="Arial" w:cs="Arial" w:eastAsia="Arial" w:hAnsi="Arial"/>
                <w:sz w:val="16"/>
                <w:szCs w:val="16"/>
                <w:color w:val="auto"/>
              </w:rPr>
              <w:t>Other comprehensive loss</w:t>
            </w:r>
          </w:p>
        </w:tc>
        <w:tc>
          <w:tcPr>
            <w:tcW w:w="90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(46)</w:t>
            </w:r>
          </w:p>
        </w:tc>
        <w:tc>
          <w:tcPr>
            <w:tcW w:w="12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(59)</w:t>
            </w:r>
          </w:p>
        </w:tc>
        <w:tc>
          <w:tcPr>
            <w:tcW w:w="100" w:type="dxa"/>
            <w:vAlign w:val="bottom"/>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5160" w:type="dxa"/>
            <w:vAlign w:val="bottom"/>
            <w:tcBorders>
              <w:bottom w:val="single" w:sz="8" w:color="CFF0FC"/>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FF0FC"/>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CFF0FC"/>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5160" w:type="dxa"/>
            <w:vAlign w:val="bottom"/>
            <w:tcBorders>
              <w:bottom w:val="single" w:sz="8" w:color="CFF0FC"/>
            </w:tcBorders>
            <w:shd w:val="clear" w:color="auto" w:fill="CFF0FC"/>
          </w:tcPr>
          <w:p>
            <w:pPr>
              <w:ind w:left="960"/>
              <w:spacing w:after="0"/>
              <w:rPr>
                <w:sz w:val="20"/>
                <w:szCs w:val="20"/>
                <w:color w:val="auto"/>
              </w:rPr>
            </w:pPr>
            <w:r>
              <w:rPr>
                <w:rFonts w:ascii="Arial" w:cs="Arial" w:eastAsia="Arial" w:hAnsi="Arial"/>
                <w:sz w:val="16"/>
                <w:szCs w:val="16"/>
                <w:color w:val="auto"/>
              </w:rPr>
              <w:t>Comprehensive income (loss)</w:t>
            </w:r>
          </w:p>
        </w:tc>
        <w:tc>
          <w:tcPr>
            <w:tcW w:w="900" w:type="dxa"/>
            <w:vAlign w:val="bottom"/>
            <w:tcBorders>
              <w:bottom w:val="single" w:sz="8" w:color="CFF0FC"/>
            </w:tcBorders>
            <w:shd w:val="clear" w:color="auto" w:fill="CFF0FC"/>
          </w:tcPr>
          <w:p>
            <w:pPr>
              <w:jc w:val="right"/>
              <w:ind w:right="721"/>
              <w:spacing w:after="0"/>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98"/>
              </w:rPr>
              <w:t>(2,730)</w:t>
            </w:r>
          </w:p>
        </w:tc>
        <w:tc>
          <w:tcPr>
            <w:tcW w:w="120" w:type="dxa"/>
            <w:vAlign w:val="bottom"/>
            <w:tcBorders>
              <w:bottom w:val="single" w:sz="8" w:color="CFF0FC"/>
            </w:tcBorders>
            <w:shd w:val="clear" w:color="auto" w:fill="CFF0FC"/>
          </w:tcPr>
          <w:p>
            <w:pPr>
              <w:spacing w:after="0"/>
              <w:rPr>
                <w:sz w:val="21"/>
                <w:szCs w:val="21"/>
                <w:color w:val="auto"/>
              </w:rPr>
            </w:pPr>
          </w:p>
        </w:tc>
        <w:tc>
          <w:tcPr>
            <w:tcW w:w="920" w:type="dxa"/>
            <w:vAlign w:val="bottom"/>
            <w:tcBorders>
              <w:bottom w:val="single" w:sz="8" w:color="CFF0FC"/>
            </w:tcBorders>
            <w:shd w:val="clear" w:color="auto" w:fill="CFF0FC"/>
          </w:tcPr>
          <w:p>
            <w:pPr>
              <w:jc w:val="right"/>
              <w:ind w:right="741"/>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CFF0FC"/>
            </w:tcBorders>
            <w:shd w:val="clear" w:color="auto" w:fill="CFF0FC"/>
          </w:tcPr>
          <w:p>
            <w:pPr>
              <w:jc w:val="right"/>
              <w:ind w:right="39"/>
              <w:spacing w:after="0"/>
              <w:rPr>
                <w:sz w:val="20"/>
                <w:szCs w:val="20"/>
                <w:color w:val="auto"/>
              </w:rPr>
            </w:pPr>
            <w:r>
              <w:rPr>
                <w:rFonts w:ascii="Arial" w:cs="Arial" w:eastAsia="Arial" w:hAnsi="Arial"/>
                <w:sz w:val="16"/>
                <w:szCs w:val="16"/>
                <w:color w:val="auto"/>
              </w:rPr>
              <w:t>181</w:t>
            </w:r>
          </w:p>
        </w:tc>
        <w:tc>
          <w:tcPr>
            <w:tcW w:w="12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CFF0FC"/>
            </w:tcBorders>
            <w:shd w:val="clear" w:color="auto" w:fill="CFF0FC"/>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(14,178)</w:t>
            </w:r>
          </w:p>
        </w:tc>
        <w:tc>
          <w:tcPr>
            <w:tcW w:w="100" w:type="dxa"/>
            <w:vAlign w:val="bottom"/>
            <w:tcBorders>
              <w:bottom w:val="single" w:sz="8" w:color="CFF0FC"/>
            </w:tcBorders>
            <w:shd w:val="clear" w:color="auto" w:fill="CFF0FC"/>
          </w:tcPr>
          <w:p>
            <w:pPr>
              <w:spacing w:after="0"/>
              <w:rPr>
                <w:sz w:val="21"/>
                <w:szCs w:val="21"/>
                <w:color w:val="auto"/>
              </w:rPr>
            </w:pPr>
          </w:p>
        </w:tc>
        <w:tc>
          <w:tcPr>
            <w:tcW w:w="560" w:type="dxa"/>
            <w:vAlign w:val="bottom"/>
            <w:tcBorders>
              <w:bottom w:val="single" w:sz="8" w:color="CFF0FC"/>
            </w:tcBorders>
            <w:shd w:val="clear" w:color="auto" w:fill="CFF0FC"/>
          </w:tcPr>
          <w:p>
            <w:pPr>
              <w:jc w:val="right"/>
              <w:ind w:right="37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FF0FC"/>
            </w:tcBorders>
            <w:shd w:val="clear" w:color="auto" w:fill="CFF0FC"/>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5160" w:type="dxa"/>
            <w:vAlign w:val="bottom"/>
            <w:tcBorders>
              <w:top w:val="single" w:sz="8" w:color="CFF0FC"/>
              <w:bottom w:val="single" w:sz="8" w:color="CFF0FC"/>
            </w:tcBorders>
            <w:vMerge w:val="restart"/>
          </w:tcPr>
          <w:p>
            <w:pPr>
              <w:ind w:left="280"/>
              <w:spacing w:after="0"/>
              <w:rPr>
                <w:sz w:val="20"/>
                <w:szCs w:val="20"/>
                <w:color w:val="auto"/>
              </w:rPr>
            </w:pPr>
            <w:r>
              <w:rPr>
                <w:rFonts w:ascii="Arial" w:cs="Arial" w:eastAsia="Arial" w:hAnsi="Arial"/>
                <w:sz w:val="16"/>
                <w:szCs w:val="16"/>
                <w:color w:val="auto"/>
              </w:rPr>
              <w:t>Net income (loss) per common share:</w:t>
            </w: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5160" w:type="dxa"/>
            <w:vAlign w:val="bottom"/>
            <w:vMerge w:val="continue"/>
          </w:tcPr>
          <w:p>
            <w:pPr>
              <w:spacing w:after="0"/>
              <w:rPr>
                <w:sz w:val="15"/>
                <w:szCs w:val="15"/>
                <w:color w:val="auto"/>
              </w:rPr>
            </w:pPr>
          </w:p>
        </w:tc>
        <w:tc>
          <w:tcPr>
            <w:tcW w:w="9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5160" w:type="dxa"/>
            <w:vAlign w:val="bottom"/>
          </w:tcPr>
          <w:p>
            <w:pPr>
              <w:spacing w:after="0"/>
              <w:rPr>
                <w:sz w:val="6"/>
                <w:szCs w:val="6"/>
                <w:color w:val="auto"/>
              </w:rPr>
            </w:pPr>
          </w:p>
        </w:tc>
        <w:tc>
          <w:tcPr>
            <w:tcW w:w="900" w:type="dxa"/>
            <w:vAlign w:val="bottom"/>
          </w:tcPr>
          <w:p>
            <w:pPr>
              <w:spacing w:after="0"/>
              <w:rPr>
                <w:sz w:val="6"/>
                <w:szCs w:val="6"/>
                <w:color w:val="auto"/>
              </w:rPr>
            </w:pPr>
          </w:p>
        </w:tc>
        <w:tc>
          <w:tcPr>
            <w:tcW w:w="600" w:type="dxa"/>
            <w:vAlign w:val="bottom"/>
          </w:tcPr>
          <w:p>
            <w:pPr>
              <w:spacing w:after="0"/>
              <w:rPr>
                <w:sz w:val="6"/>
                <w:szCs w:val="6"/>
                <w:color w:val="auto"/>
              </w:rPr>
            </w:pPr>
          </w:p>
        </w:tc>
        <w:tc>
          <w:tcPr>
            <w:tcW w:w="120" w:type="dxa"/>
            <w:vAlign w:val="bottom"/>
          </w:tcPr>
          <w:p>
            <w:pPr>
              <w:spacing w:after="0"/>
              <w:rPr>
                <w:sz w:val="6"/>
                <w:szCs w:val="6"/>
                <w:color w:val="auto"/>
              </w:rPr>
            </w:pPr>
          </w:p>
        </w:tc>
        <w:tc>
          <w:tcPr>
            <w:tcW w:w="920" w:type="dxa"/>
            <w:vAlign w:val="bottom"/>
          </w:tcPr>
          <w:p>
            <w:pPr>
              <w:spacing w:after="0"/>
              <w:rPr>
                <w:sz w:val="6"/>
                <w:szCs w:val="6"/>
                <w:color w:val="auto"/>
              </w:rPr>
            </w:pPr>
          </w:p>
        </w:tc>
        <w:tc>
          <w:tcPr>
            <w:tcW w:w="580" w:type="dxa"/>
            <w:vAlign w:val="bottom"/>
          </w:tcPr>
          <w:p>
            <w:pPr>
              <w:spacing w:after="0"/>
              <w:rPr>
                <w:sz w:val="6"/>
                <w:szCs w:val="6"/>
                <w:color w:val="auto"/>
              </w:rPr>
            </w:pPr>
          </w:p>
        </w:tc>
        <w:tc>
          <w:tcPr>
            <w:tcW w:w="120" w:type="dxa"/>
            <w:vAlign w:val="bottom"/>
          </w:tcPr>
          <w:p>
            <w:pPr>
              <w:spacing w:after="0"/>
              <w:rPr>
                <w:sz w:val="6"/>
                <w:szCs w:val="6"/>
                <w:color w:val="auto"/>
              </w:rPr>
            </w:pPr>
          </w:p>
        </w:tc>
        <w:tc>
          <w:tcPr>
            <w:tcW w:w="3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560" w:type="dxa"/>
            <w:vAlign w:val="bottom"/>
          </w:tcPr>
          <w:p>
            <w:pPr>
              <w:spacing w:after="0"/>
              <w:rPr>
                <w:sz w:val="6"/>
                <w:szCs w:val="6"/>
                <w:color w:val="auto"/>
              </w:rPr>
            </w:pPr>
          </w:p>
        </w:tc>
        <w:tc>
          <w:tcPr>
            <w:tcW w:w="9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62"/>
        </w:trPr>
        <w:tc>
          <w:tcPr>
            <w:tcW w:w="5160" w:type="dxa"/>
            <w:vAlign w:val="bottom"/>
            <w:tcBorders>
              <w:bottom w:val="single" w:sz="8" w:color="CFF0FC"/>
            </w:tcBorders>
            <w:shd w:val="clear" w:color="auto" w:fill="CFF0FC"/>
          </w:tcPr>
          <w:p>
            <w:pPr>
              <w:ind w:left="520"/>
              <w:spacing w:after="0"/>
              <w:rPr>
                <w:sz w:val="20"/>
                <w:szCs w:val="20"/>
                <w:color w:val="auto"/>
              </w:rPr>
            </w:pPr>
            <w:r>
              <w:rPr>
                <w:rFonts w:ascii="Arial" w:cs="Arial" w:eastAsia="Arial" w:hAnsi="Arial"/>
                <w:sz w:val="16"/>
                <w:szCs w:val="16"/>
                <w:color w:val="auto"/>
              </w:rPr>
              <w:t>Basic</w:t>
            </w:r>
          </w:p>
        </w:tc>
        <w:tc>
          <w:tcPr>
            <w:tcW w:w="900" w:type="dxa"/>
            <w:vAlign w:val="bottom"/>
            <w:tcBorders>
              <w:bottom w:val="single" w:sz="8" w:color="CFF0FC"/>
            </w:tcBorders>
            <w:shd w:val="clear" w:color="auto" w:fill="CFF0FC"/>
          </w:tcPr>
          <w:p>
            <w:pPr>
              <w:jc w:val="right"/>
              <w:ind w:right="721"/>
              <w:spacing w:after="0"/>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(0.13)</w:t>
            </w:r>
          </w:p>
        </w:tc>
        <w:tc>
          <w:tcPr>
            <w:tcW w:w="120" w:type="dxa"/>
            <w:vAlign w:val="bottom"/>
            <w:tcBorders>
              <w:bottom w:val="single" w:sz="8" w:color="CFF0FC"/>
            </w:tcBorders>
            <w:shd w:val="clear" w:color="auto" w:fill="CFF0FC"/>
          </w:tcPr>
          <w:p>
            <w:pPr>
              <w:spacing w:after="0"/>
              <w:rPr>
                <w:sz w:val="22"/>
                <w:szCs w:val="22"/>
                <w:color w:val="auto"/>
              </w:rPr>
            </w:pPr>
          </w:p>
        </w:tc>
        <w:tc>
          <w:tcPr>
            <w:tcW w:w="920" w:type="dxa"/>
            <w:vAlign w:val="bottom"/>
            <w:tcBorders>
              <w:bottom w:val="single" w:sz="8" w:color="CFF0FC"/>
            </w:tcBorders>
            <w:shd w:val="clear" w:color="auto" w:fill="CFF0FC"/>
          </w:tcPr>
          <w:p>
            <w:pPr>
              <w:jc w:val="right"/>
              <w:ind w:right="741"/>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CFF0FC"/>
            </w:tcBorders>
            <w:shd w:val="clear" w:color="auto" w:fill="CFF0FC"/>
          </w:tcPr>
          <w:p>
            <w:pPr>
              <w:jc w:val="right"/>
              <w:ind w:right="39"/>
              <w:spacing w:after="0"/>
              <w:rPr>
                <w:sz w:val="20"/>
                <w:szCs w:val="20"/>
                <w:color w:val="auto"/>
              </w:rPr>
            </w:pPr>
            <w:r>
              <w:rPr>
                <w:rFonts w:ascii="Arial" w:cs="Arial" w:eastAsia="Arial" w:hAnsi="Arial"/>
                <w:sz w:val="16"/>
                <w:szCs w:val="16"/>
                <w:color w:val="auto"/>
              </w:rPr>
              <w:t>0.07</w:t>
            </w:r>
          </w:p>
        </w:tc>
        <w:tc>
          <w:tcPr>
            <w:tcW w:w="120" w:type="dxa"/>
            <w:vAlign w:val="bottom"/>
            <w:tcBorders>
              <w:bottom w:val="single" w:sz="8" w:color="CFF0FC"/>
            </w:tcBorders>
            <w:shd w:val="clear" w:color="auto" w:fill="CFF0FC"/>
          </w:tcPr>
          <w:p>
            <w:pPr>
              <w:spacing w:after="0"/>
              <w:rPr>
                <w:sz w:val="22"/>
                <w:szCs w:val="22"/>
                <w:color w:val="auto"/>
              </w:rPr>
            </w:pPr>
          </w:p>
        </w:tc>
        <w:tc>
          <w:tcPr>
            <w:tcW w:w="340" w:type="dxa"/>
            <w:vAlign w:val="bottom"/>
            <w:tcBorders>
              <w:bottom w:val="single" w:sz="8" w:color="CFF0FC"/>
            </w:tcBorders>
            <w:shd w:val="clear" w:color="auto" w:fill="CFF0FC"/>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(0.79)</w:t>
            </w:r>
          </w:p>
        </w:tc>
        <w:tc>
          <w:tcPr>
            <w:tcW w:w="100" w:type="dxa"/>
            <w:vAlign w:val="bottom"/>
            <w:tcBorders>
              <w:bottom w:val="single" w:sz="8" w:color="CFF0FC"/>
            </w:tcBorders>
            <w:shd w:val="clear" w:color="auto" w:fill="CFF0FC"/>
          </w:tcPr>
          <w:p>
            <w:pPr>
              <w:spacing w:after="0"/>
              <w:rPr>
                <w:sz w:val="22"/>
                <w:szCs w:val="22"/>
                <w:color w:val="auto"/>
              </w:rPr>
            </w:pPr>
          </w:p>
        </w:tc>
        <w:tc>
          <w:tcPr>
            <w:tcW w:w="560" w:type="dxa"/>
            <w:vAlign w:val="bottom"/>
            <w:tcBorders>
              <w:bottom w:val="single" w:sz="8" w:color="CFF0FC"/>
            </w:tcBorders>
            <w:shd w:val="clear" w:color="auto" w:fill="CFF0FC"/>
          </w:tcPr>
          <w:p>
            <w:pPr>
              <w:jc w:val="right"/>
              <w:ind w:right="37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FF0FC"/>
            </w:tcBorders>
            <w:shd w:val="clear" w:color="auto" w:fill="CFF0FC"/>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5160" w:type="dxa"/>
            <w:vAlign w:val="bottom"/>
            <w:tcBorders>
              <w:top w:val="single" w:sz="8" w:color="CFF0FC"/>
              <w:bottom w:val="single" w:sz="8" w:color="CFF0FC"/>
            </w:tcBorders>
            <w:vMerge w:val="restart"/>
          </w:tcPr>
          <w:p>
            <w:pPr>
              <w:ind w:left="520"/>
              <w:spacing w:after="0"/>
              <w:rPr>
                <w:sz w:val="20"/>
                <w:szCs w:val="20"/>
                <w:color w:val="auto"/>
              </w:rPr>
            </w:pPr>
            <w:r>
              <w:rPr>
                <w:rFonts w:ascii="Arial" w:cs="Arial" w:eastAsia="Arial" w:hAnsi="Arial"/>
                <w:sz w:val="16"/>
                <w:szCs w:val="16"/>
                <w:color w:val="auto"/>
              </w:rPr>
              <w:t>Diluted</w:t>
            </w: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5160" w:type="dxa"/>
            <w:vAlign w:val="bottom"/>
            <w:vMerge w:val="continue"/>
          </w:tcPr>
          <w:p>
            <w:pPr>
              <w:spacing w:after="0"/>
              <w:rPr>
                <w:sz w:val="17"/>
                <w:szCs w:val="17"/>
                <w:color w:val="auto"/>
              </w:rPr>
            </w:pPr>
          </w:p>
        </w:tc>
        <w:tc>
          <w:tcPr>
            <w:tcW w:w="900" w:type="dxa"/>
            <w:vAlign w:val="bottom"/>
          </w:tcPr>
          <w:p>
            <w:pPr>
              <w:jc w:val="right"/>
              <w:ind w:right="721"/>
              <w:spacing w:after="0"/>
              <w:rPr>
                <w:sz w:val="20"/>
                <w:szCs w:val="20"/>
                <w:color w:val="auto"/>
              </w:rPr>
            </w:pPr>
            <w:r>
              <w:rPr>
                <w:rFonts w:ascii="Arial" w:cs="Arial" w:eastAsia="Arial" w:hAnsi="Arial"/>
                <w:sz w:val="16"/>
                <w:szCs w:val="16"/>
                <w:color w:val="auto"/>
                <w:w w:val="89"/>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(0.13)</w:t>
            </w:r>
          </w:p>
        </w:tc>
        <w:tc>
          <w:tcPr>
            <w:tcW w:w="120" w:type="dxa"/>
            <w:vAlign w:val="bottom"/>
          </w:tcPr>
          <w:p>
            <w:pPr>
              <w:spacing w:after="0"/>
              <w:rPr>
                <w:sz w:val="17"/>
                <w:szCs w:val="17"/>
                <w:color w:val="auto"/>
              </w:rPr>
            </w:pPr>
          </w:p>
        </w:tc>
        <w:tc>
          <w:tcPr>
            <w:tcW w:w="920" w:type="dxa"/>
            <w:vAlign w:val="bottom"/>
          </w:tcPr>
          <w:p>
            <w:pPr>
              <w:jc w:val="right"/>
              <w:ind w:right="741"/>
              <w:spacing w:after="0"/>
              <w:rPr>
                <w:sz w:val="20"/>
                <w:szCs w:val="20"/>
                <w:color w:val="auto"/>
              </w:rPr>
            </w:pPr>
            <w:r>
              <w:rPr>
                <w:rFonts w:ascii="Arial" w:cs="Arial" w:eastAsia="Arial" w:hAnsi="Arial"/>
                <w:sz w:val="16"/>
                <w:szCs w:val="16"/>
                <w:color w:val="auto"/>
                <w:w w:val="89"/>
              </w:rPr>
              <w:t>$</w:t>
            </w:r>
          </w:p>
        </w:tc>
        <w:tc>
          <w:tcPr>
            <w:tcW w:w="580" w:type="dxa"/>
            <w:vAlign w:val="bottom"/>
          </w:tcPr>
          <w:p>
            <w:pPr>
              <w:jc w:val="right"/>
              <w:ind w:right="39"/>
              <w:spacing w:after="0"/>
              <w:rPr>
                <w:sz w:val="20"/>
                <w:szCs w:val="20"/>
                <w:color w:val="auto"/>
              </w:rPr>
            </w:pPr>
            <w:r>
              <w:rPr>
                <w:rFonts w:ascii="Arial" w:cs="Arial" w:eastAsia="Arial" w:hAnsi="Arial"/>
                <w:sz w:val="16"/>
                <w:szCs w:val="16"/>
                <w:color w:val="auto"/>
              </w:rPr>
              <w:t>0.05</w:t>
            </w:r>
          </w:p>
        </w:tc>
        <w:tc>
          <w:tcPr>
            <w:tcW w:w="120" w:type="dxa"/>
            <w:vAlign w:val="bottom"/>
          </w:tcPr>
          <w:p>
            <w:pPr>
              <w:spacing w:after="0"/>
              <w:rPr>
                <w:sz w:val="17"/>
                <w:szCs w:val="17"/>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(0.79)</w:t>
            </w:r>
          </w:p>
        </w:tc>
        <w:tc>
          <w:tcPr>
            <w:tcW w:w="100" w:type="dxa"/>
            <w:vAlign w:val="bottom"/>
          </w:tcPr>
          <w:p>
            <w:pPr>
              <w:spacing w:after="0"/>
              <w:rPr>
                <w:sz w:val="17"/>
                <w:szCs w:val="17"/>
                <w:color w:val="auto"/>
              </w:rPr>
            </w:pPr>
          </w:p>
        </w:tc>
        <w:tc>
          <w:tcPr>
            <w:tcW w:w="560" w:type="dxa"/>
            <w:vAlign w:val="bottom"/>
          </w:tcPr>
          <w:p>
            <w:pPr>
              <w:jc w:val="right"/>
              <w:ind w:right="379"/>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73"/>
        </w:trPr>
        <w:tc>
          <w:tcPr>
            <w:tcW w:w="5160" w:type="dxa"/>
            <w:vAlign w:val="bottom"/>
            <w:tcBorders>
              <w:bottom w:val="single" w:sz="8" w:color="CFF0FC"/>
            </w:tcBorders>
          </w:tcPr>
          <w:p>
            <w:pPr>
              <w:spacing w:after="0"/>
              <w:rPr>
                <w:sz w:val="6"/>
                <w:szCs w:val="6"/>
                <w:color w:val="auto"/>
              </w:rPr>
            </w:pPr>
          </w:p>
        </w:tc>
        <w:tc>
          <w:tcPr>
            <w:tcW w:w="900" w:type="dxa"/>
            <w:vAlign w:val="bottom"/>
            <w:tcBorders>
              <w:bottom w:val="single" w:sz="8" w:color="auto"/>
            </w:tcBorders>
          </w:tcPr>
          <w:p>
            <w:pPr>
              <w:spacing w:after="0"/>
              <w:rPr>
                <w:sz w:val="6"/>
                <w:szCs w:val="6"/>
                <w:color w:val="auto"/>
              </w:rPr>
            </w:pPr>
          </w:p>
        </w:tc>
        <w:tc>
          <w:tcPr>
            <w:tcW w:w="600" w:type="dxa"/>
            <w:vAlign w:val="bottom"/>
            <w:tcBorders>
              <w:bottom w:val="single" w:sz="8" w:color="auto"/>
            </w:tcBorders>
          </w:tcPr>
          <w:p>
            <w:pPr>
              <w:spacing w:after="0"/>
              <w:rPr>
                <w:sz w:val="6"/>
                <w:szCs w:val="6"/>
                <w:color w:val="auto"/>
              </w:rPr>
            </w:pPr>
          </w:p>
        </w:tc>
        <w:tc>
          <w:tcPr>
            <w:tcW w:w="120" w:type="dxa"/>
            <w:vAlign w:val="bottom"/>
            <w:tcBorders>
              <w:bottom w:val="single" w:sz="8" w:color="CFF0FC"/>
            </w:tcBorders>
          </w:tcPr>
          <w:p>
            <w:pPr>
              <w:spacing w:after="0"/>
              <w:rPr>
                <w:sz w:val="6"/>
                <w:szCs w:val="6"/>
                <w:color w:val="auto"/>
              </w:rPr>
            </w:pPr>
          </w:p>
        </w:tc>
        <w:tc>
          <w:tcPr>
            <w:tcW w:w="920" w:type="dxa"/>
            <w:vAlign w:val="bottom"/>
            <w:tcBorders>
              <w:bottom w:val="single" w:sz="8" w:color="auto"/>
            </w:tcBorders>
          </w:tcPr>
          <w:p>
            <w:pPr>
              <w:spacing w:after="0"/>
              <w:rPr>
                <w:sz w:val="6"/>
                <w:szCs w:val="6"/>
                <w:color w:val="auto"/>
              </w:rPr>
            </w:pPr>
          </w:p>
        </w:tc>
        <w:tc>
          <w:tcPr>
            <w:tcW w:w="580" w:type="dxa"/>
            <w:vAlign w:val="bottom"/>
            <w:tcBorders>
              <w:bottom w:val="single" w:sz="8" w:color="auto"/>
            </w:tcBorders>
          </w:tcPr>
          <w:p>
            <w:pPr>
              <w:spacing w:after="0"/>
              <w:rPr>
                <w:sz w:val="6"/>
                <w:szCs w:val="6"/>
                <w:color w:val="auto"/>
              </w:rPr>
            </w:pPr>
          </w:p>
        </w:tc>
        <w:tc>
          <w:tcPr>
            <w:tcW w:w="120" w:type="dxa"/>
            <w:vAlign w:val="bottom"/>
            <w:tcBorders>
              <w:bottom w:val="single" w:sz="8" w:color="CFF0FC"/>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1120" w:type="dxa"/>
            <w:vAlign w:val="bottom"/>
            <w:tcBorders>
              <w:bottom w:val="single" w:sz="8" w:color="auto"/>
            </w:tcBorders>
          </w:tcPr>
          <w:p>
            <w:pPr>
              <w:spacing w:after="0"/>
              <w:rPr>
                <w:sz w:val="6"/>
                <w:szCs w:val="6"/>
                <w:color w:val="auto"/>
              </w:rPr>
            </w:pPr>
          </w:p>
        </w:tc>
        <w:tc>
          <w:tcPr>
            <w:tcW w:w="100" w:type="dxa"/>
            <w:vAlign w:val="bottom"/>
            <w:tcBorders>
              <w:bottom w:val="single" w:sz="8" w:color="CFF0FC"/>
            </w:tcBorders>
          </w:tcPr>
          <w:p>
            <w:pPr>
              <w:spacing w:after="0"/>
              <w:rPr>
                <w:sz w:val="6"/>
                <w:szCs w:val="6"/>
                <w:color w:val="auto"/>
              </w:rPr>
            </w:pPr>
          </w:p>
        </w:tc>
        <w:tc>
          <w:tcPr>
            <w:tcW w:w="560" w:type="dxa"/>
            <w:vAlign w:val="bottom"/>
            <w:tcBorders>
              <w:bottom w:val="single" w:sz="8" w:color="auto"/>
            </w:tcBorders>
          </w:tcPr>
          <w:p>
            <w:pPr>
              <w:spacing w:after="0"/>
              <w:rPr>
                <w:sz w:val="6"/>
                <w:szCs w:val="6"/>
                <w:color w:val="auto"/>
              </w:rPr>
            </w:pPr>
          </w:p>
        </w:tc>
        <w:tc>
          <w:tcPr>
            <w:tcW w:w="90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5160" w:type="dxa"/>
            <w:vAlign w:val="bottom"/>
            <w:shd w:val="clear" w:color="auto" w:fill="CFF0FC"/>
          </w:tcPr>
          <w:p>
            <w:pPr>
              <w:ind w:left="280"/>
              <w:spacing w:after="0" w:line="177" w:lineRule="exact"/>
              <w:rPr>
                <w:sz w:val="20"/>
                <w:szCs w:val="20"/>
                <w:color w:val="auto"/>
              </w:rPr>
            </w:pPr>
            <w:r>
              <w:rPr>
                <w:rFonts w:ascii="Arial" w:cs="Arial" w:eastAsia="Arial" w:hAnsi="Arial"/>
                <w:sz w:val="16"/>
                <w:szCs w:val="16"/>
                <w:color w:val="auto"/>
              </w:rPr>
              <w:t>Weighted-average number of shares outstanding:</w:t>
            </w:r>
          </w:p>
        </w:tc>
        <w:tc>
          <w:tcPr>
            <w:tcW w:w="900" w:type="dxa"/>
            <w:vAlign w:val="bottom"/>
            <w:shd w:val="clear" w:color="auto" w:fill="CFF0FC"/>
          </w:tcPr>
          <w:p>
            <w:pPr>
              <w:spacing w:after="0"/>
              <w:rPr>
                <w:sz w:val="15"/>
                <w:szCs w:val="15"/>
                <w:color w:val="auto"/>
              </w:rPr>
            </w:pPr>
          </w:p>
        </w:tc>
        <w:tc>
          <w:tcPr>
            <w:tcW w:w="6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920" w:type="dxa"/>
            <w:vAlign w:val="bottom"/>
            <w:shd w:val="clear" w:color="auto" w:fill="CFF0FC"/>
          </w:tcPr>
          <w:p>
            <w:pPr>
              <w:spacing w:after="0"/>
              <w:rPr>
                <w:sz w:val="15"/>
                <w:szCs w:val="15"/>
                <w:color w:val="auto"/>
              </w:rPr>
            </w:pPr>
          </w:p>
        </w:tc>
        <w:tc>
          <w:tcPr>
            <w:tcW w:w="5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1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56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5160" w:type="dxa"/>
            <w:vAlign w:val="bottom"/>
            <w:shd w:val="clear" w:color="auto" w:fill="CFF0FC"/>
          </w:tcPr>
          <w:p>
            <w:pPr>
              <w:spacing w:after="0"/>
              <w:rPr>
                <w:sz w:val="6"/>
                <w:szCs w:val="6"/>
                <w:color w:val="auto"/>
              </w:rPr>
            </w:pPr>
          </w:p>
        </w:tc>
        <w:tc>
          <w:tcPr>
            <w:tcW w:w="900" w:type="dxa"/>
            <w:vAlign w:val="bottom"/>
            <w:shd w:val="clear" w:color="auto" w:fill="CFF0FC"/>
          </w:tcPr>
          <w:p>
            <w:pPr>
              <w:spacing w:after="0"/>
              <w:rPr>
                <w:sz w:val="6"/>
                <w:szCs w:val="6"/>
                <w:color w:val="auto"/>
              </w:rPr>
            </w:pPr>
          </w:p>
        </w:tc>
        <w:tc>
          <w:tcPr>
            <w:tcW w:w="600" w:type="dxa"/>
            <w:vAlign w:val="bottom"/>
            <w:shd w:val="clear" w:color="auto" w:fill="CFF0FC"/>
          </w:tcPr>
          <w:p>
            <w:pPr>
              <w:spacing w:after="0"/>
              <w:rPr>
                <w:sz w:val="6"/>
                <w:szCs w:val="6"/>
                <w:color w:val="auto"/>
              </w:rPr>
            </w:pPr>
          </w:p>
        </w:tc>
        <w:tc>
          <w:tcPr>
            <w:tcW w:w="120" w:type="dxa"/>
            <w:vAlign w:val="bottom"/>
            <w:shd w:val="clear" w:color="auto" w:fill="CFF0FC"/>
          </w:tcPr>
          <w:p>
            <w:pPr>
              <w:spacing w:after="0"/>
              <w:rPr>
                <w:sz w:val="6"/>
                <w:szCs w:val="6"/>
                <w:color w:val="auto"/>
              </w:rPr>
            </w:pPr>
          </w:p>
        </w:tc>
        <w:tc>
          <w:tcPr>
            <w:tcW w:w="920" w:type="dxa"/>
            <w:vAlign w:val="bottom"/>
            <w:shd w:val="clear" w:color="auto" w:fill="CFF0FC"/>
          </w:tcPr>
          <w:p>
            <w:pPr>
              <w:spacing w:after="0"/>
              <w:rPr>
                <w:sz w:val="6"/>
                <w:szCs w:val="6"/>
                <w:color w:val="auto"/>
              </w:rPr>
            </w:pPr>
          </w:p>
        </w:tc>
        <w:tc>
          <w:tcPr>
            <w:tcW w:w="580" w:type="dxa"/>
            <w:vAlign w:val="bottom"/>
            <w:shd w:val="clear" w:color="auto" w:fill="CFF0FC"/>
          </w:tcPr>
          <w:p>
            <w:pPr>
              <w:spacing w:after="0"/>
              <w:rPr>
                <w:sz w:val="6"/>
                <w:szCs w:val="6"/>
                <w:color w:val="auto"/>
              </w:rPr>
            </w:pPr>
          </w:p>
        </w:tc>
        <w:tc>
          <w:tcPr>
            <w:tcW w:w="120" w:type="dxa"/>
            <w:vAlign w:val="bottom"/>
            <w:shd w:val="clear" w:color="auto" w:fill="CFF0FC"/>
          </w:tcPr>
          <w:p>
            <w:pPr>
              <w:spacing w:after="0"/>
              <w:rPr>
                <w:sz w:val="6"/>
                <w:szCs w:val="6"/>
                <w:color w:val="auto"/>
              </w:rPr>
            </w:pPr>
          </w:p>
        </w:tc>
        <w:tc>
          <w:tcPr>
            <w:tcW w:w="340" w:type="dxa"/>
            <w:vAlign w:val="bottom"/>
            <w:shd w:val="clear" w:color="auto" w:fill="CFF0FC"/>
          </w:tcPr>
          <w:p>
            <w:pPr>
              <w:spacing w:after="0"/>
              <w:rPr>
                <w:sz w:val="6"/>
                <w:szCs w:val="6"/>
                <w:color w:val="auto"/>
              </w:rPr>
            </w:pPr>
          </w:p>
        </w:tc>
        <w:tc>
          <w:tcPr>
            <w:tcW w:w="1120" w:type="dxa"/>
            <w:vAlign w:val="bottom"/>
            <w:shd w:val="clear" w:color="auto" w:fill="CFF0FC"/>
          </w:tcPr>
          <w:p>
            <w:pPr>
              <w:spacing w:after="0"/>
              <w:rPr>
                <w:sz w:val="6"/>
                <w:szCs w:val="6"/>
                <w:color w:val="auto"/>
              </w:rPr>
            </w:pPr>
          </w:p>
        </w:tc>
        <w:tc>
          <w:tcPr>
            <w:tcW w:w="100" w:type="dxa"/>
            <w:vAlign w:val="bottom"/>
            <w:shd w:val="clear" w:color="auto" w:fill="CFF0FC"/>
          </w:tcPr>
          <w:p>
            <w:pPr>
              <w:spacing w:after="0"/>
              <w:rPr>
                <w:sz w:val="6"/>
                <w:szCs w:val="6"/>
                <w:color w:val="auto"/>
              </w:rPr>
            </w:pPr>
          </w:p>
        </w:tc>
        <w:tc>
          <w:tcPr>
            <w:tcW w:w="560" w:type="dxa"/>
            <w:vAlign w:val="bottom"/>
            <w:shd w:val="clear" w:color="auto" w:fill="CFF0FC"/>
          </w:tcPr>
          <w:p>
            <w:pPr>
              <w:spacing w:after="0"/>
              <w:rPr>
                <w:sz w:val="6"/>
                <w:szCs w:val="6"/>
                <w:color w:val="auto"/>
              </w:rPr>
            </w:pPr>
          </w:p>
        </w:tc>
        <w:tc>
          <w:tcPr>
            <w:tcW w:w="900" w:type="dxa"/>
            <w:vAlign w:val="bottom"/>
            <w:shd w:val="clear" w:color="auto" w:fill="CFF0FC"/>
          </w:tcPr>
          <w:p>
            <w:pPr>
              <w:spacing w:after="0"/>
              <w:rPr>
                <w:sz w:val="6"/>
                <w:szCs w:val="6"/>
                <w:color w:val="auto"/>
              </w:rPr>
            </w:pPr>
          </w:p>
        </w:tc>
        <w:tc>
          <w:tcPr>
            <w:tcW w:w="0" w:type="dxa"/>
            <w:vAlign w:val="bottom"/>
          </w:tcPr>
          <w:p>
            <w:pPr>
              <w:spacing w:after="0"/>
              <w:rPr>
                <w:sz w:val="1"/>
                <w:szCs w:val="1"/>
                <w:color w:val="auto"/>
              </w:rPr>
            </w:pPr>
          </w:p>
        </w:tc>
      </w:tr>
      <w:tr>
        <w:trPr>
          <w:trHeight w:val="224"/>
        </w:trPr>
        <w:tc>
          <w:tcPr>
            <w:tcW w:w="5160" w:type="dxa"/>
            <w:vAlign w:val="bottom"/>
          </w:tcPr>
          <w:p>
            <w:pPr>
              <w:ind w:left="520"/>
              <w:spacing w:after="0"/>
              <w:rPr>
                <w:sz w:val="20"/>
                <w:szCs w:val="20"/>
                <w:color w:val="auto"/>
              </w:rPr>
            </w:pPr>
            <w:r>
              <w:rPr>
                <w:rFonts w:ascii="Arial" w:cs="Arial" w:eastAsia="Arial" w:hAnsi="Arial"/>
                <w:sz w:val="16"/>
                <w:szCs w:val="16"/>
                <w:color w:val="auto"/>
              </w:rPr>
              <w:t>Basic</w:t>
            </w:r>
          </w:p>
        </w:tc>
        <w:tc>
          <w:tcPr>
            <w:tcW w:w="900" w:type="dxa"/>
            <w:vAlign w:val="bottom"/>
          </w:tcPr>
          <w:p>
            <w:pPr>
              <w:spacing w:after="0"/>
              <w:rPr>
                <w:sz w:val="19"/>
                <w:szCs w:val="19"/>
                <w:color w:val="auto"/>
              </w:rPr>
            </w:pPr>
          </w:p>
        </w:tc>
        <w:tc>
          <w:tcPr>
            <w:tcW w:w="600" w:type="dxa"/>
            <w:vAlign w:val="bottom"/>
          </w:tcPr>
          <w:p>
            <w:pPr>
              <w:jc w:val="right"/>
              <w:ind w:right="40"/>
              <w:spacing w:after="0"/>
              <w:rPr>
                <w:sz w:val="20"/>
                <w:szCs w:val="20"/>
                <w:color w:val="auto"/>
              </w:rPr>
            </w:pPr>
            <w:r>
              <w:rPr>
                <w:rFonts w:ascii="Arial" w:cs="Arial" w:eastAsia="Arial" w:hAnsi="Arial"/>
                <w:sz w:val="16"/>
                <w:szCs w:val="16"/>
                <w:color w:val="auto"/>
                <w:w w:val="93"/>
              </w:rPr>
              <w:t>20,271</w:t>
            </w: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80" w:type="dxa"/>
            <w:vAlign w:val="bottom"/>
          </w:tcPr>
          <w:p>
            <w:pPr>
              <w:jc w:val="right"/>
              <w:ind w:right="39"/>
              <w:spacing w:after="0"/>
              <w:rPr>
                <w:sz w:val="20"/>
                <w:szCs w:val="20"/>
                <w:color w:val="auto"/>
              </w:rPr>
            </w:pPr>
            <w:r>
              <w:rPr>
                <w:rFonts w:ascii="Arial" w:cs="Arial" w:eastAsia="Arial" w:hAnsi="Arial"/>
                <w:sz w:val="16"/>
                <w:szCs w:val="16"/>
                <w:color w:val="auto"/>
              </w:rPr>
              <w:t>2,635</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ind w:right="40"/>
              <w:spacing w:after="0"/>
              <w:rPr>
                <w:sz w:val="20"/>
                <w:szCs w:val="20"/>
                <w:color w:val="auto"/>
              </w:rPr>
            </w:pPr>
            <w:r>
              <w:rPr>
                <w:rFonts w:ascii="Arial" w:cs="Arial" w:eastAsia="Arial" w:hAnsi="Arial"/>
                <w:sz w:val="16"/>
                <w:szCs w:val="16"/>
                <w:color w:val="auto"/>
              </w:rPr>
              <w:t>17,797</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2,632</w:t>
            </w:r>
          </w:p>
        </w:tc>
        <w:tc>
          <w:tcPr>
            <w:tcW w:w="0" w:type="dxa"/>
            <w:vAlign w:val="bottom"/>
          </w:tcPr>
          <w:p>
            <w:pPr>
              <w:spacing w:after="0"/>
              <w:rPr>
                <w:sz w:val="1"/>
                <w:szCs w:val="1"/>
                <w:color w:val="auto"/>
              </w:rPr>
            </w:pPr>
          </w:p>
        </w:tc>
      </w:tr>
      <w:tr>
        <w:trPr>
          <w:trHeight w:val="73"/>
        </w:trPr>
        <w:tc>
          <w:tcPr>
            <w:tcW w:w="5160" w:type="dxa"/>
            <w:vAlign w:val="bottom"/>
            <w:tcBorders>
              <w:bottom w:val="single" w:sz="8" w:color="CFF0FC"/>
            </w:tcBorders>
          </w:tcPr>
          <w:p>
            <w:pPr>
              <w:spacing w:after="0"/>
              <w:rPr>
                <w:sz w:val="6"/>
                <w:szCs w:val="6"/>
                <w:color w:val="auto"/>
              </w:rPr>
            </w:pPr>
          </w:p>
        </w:tc>
        <w:tc>
          <w:tcPr>
            <w:tcW w:w="900" w:type="dxa"/>
            <w:vAlign w:val="bottom"/>
            <w:tcBorders>
              <w:bottom w:val="single" w:sz="8" w:color="auto"/>
            </w:tcBorders>
          </w:tcPr>
          <w:p>
            <w:pPr>
              <w:spacing w:after="0"/>
              <w:rPr>
                <w:sz w:val="6"/>
                <w:szCs w:val="6"/>
                <w:color w:val="auto"/>
              </w:rPr>
            </w:pPr>
          </w:p>
        </w:tc>
        <w:tc>
          <w:tcPr>
            <w:tcW w:w="600" w:type="dxa"/>
            <w:vAlign w:val="bottom"/>
            <w:tcBorders>
              <w:bottom w:val="single" w:sz="8" w:color="auto"/>
            </w:tcBorders>
          </w:tcPr>
          <w:p>
            <w:pPr>
              <w:spacing w:after="0"/>
              <w:rPr>
                <w:sz w:val="6"/>
                <w:szCs w:val="6"/>
                <w:color w:val="auto"/>
              </w:rPr>
            </w:pPr>
          </w:p>
        </w:tc>
        <w:tc>
          <w:tcPr>
            <w:tcW w:w="120" w:type="dxa"/>
            <w:vAlign w:val="bottom"/>
            <w:tcBorders>
              <w:bottom w:val="single" w:sz="8" w:color="CFF0FC"/>
            </w:tcBorders>
          </w:tcPr>
          <w:p>
            <w:pPr>
              <w:spacing w:after="0"/>
              <w:rPr>
                <w:sz w:val="6"/>
                <w:szCs w:val="6"/>
                <w:color w:val="auto"/>
              </w:rPr>
            </w:pPr>
          </w:p>
        </w:tc>
        <w:tc>
          <w:tcPr>
            <w:tcW w:w="920" w:type="dxa"/>
            <w:vAlign w:val="bottom"/>
            <w:tcBorders>
              <w:bottom w:val="single" w:sz="8" w:color="auto"/>
            </w:tcBorders>
          </w:tcPr>
          <w:p>
            <w:pPr>
              <w:spacing w:after="0"/>
              <w:rPr>
                <w:sz w:val="6"/>
                <w:szCs w:val="6"/>
                <w:color w:val="auto"/>
              </w:rPr>
            </w:pPr>
          </w:p>
        </w:tc>
        <w:tc>
          <w:tcPr>
            <w:tcW w:w="580" w:type="dxa"/>
            <w:vAlign w:val="bottom"/>
            <w:tcBorders>
              <w:bottom w:val="single" w:sz="8" w:color="auto"/>
            </w:tcBorders>
          </w:tcPr>
          <w:p>
            <w:pPr>
              <w:spacing w:after="0"/>
              <w:rPr>
                <w:sz w:val="6"/>
                <w:szCs w:val="6"/>
                <w:color w:val="auto"/>
              </w:rPr>
            </w:pPr>
          </w:p>
        </w:tc>
        <w:tc>
          <w:tcPr>
            <w:tcW w:w="120" w:type="dxa"/>
            <w:vAlign w:val="bottom"/>
            <w:tcBorders>
              <w:bottom w:val="single" w:sz="8" w:color="CFF0FC"/>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1120" w:type="dxa"/>
            <w:vAlign w:val="bottom"/>
            <w:tcBorders>
              <w:bottom w:val="single" w:sz="8" w:color="auto"/>
            </w:tcBorders>
          </w:tcPr>
          <w:p>
            <w:pPr>
              <w:spacing w:after="0"/>
              <w:rPr>
                <w:sz w:val="6"/>
                <w:szCs w:val="6"/>
                <w:color w:val="auto"/>
              </w:rPr>
            </w:pPr>
          </w:p>
        </w:tc>
        <w:tc>
          <w:tcPr>
            <w:tcW w:w="100" w:type="dxa"/>
            <w:vAlign w:val="bottom"/>
            <w:tcBorders>
              <w:bottom w:val="single" w:sz="8" w:color="CFF0FC"/>
            </w:tcBorders>
          </w:tcPr>
          <w:p>
            <w:pPr>
              <w:spacing w:after="0"/>
              <w:rPr>
                <w:sz w:val="6"/>
                <w:szCs w:val="6"/>
                <w:color w:val="auto"/>
              </w:rPr>
            </w:pPr>
          </w:p>
        </w:tc>
        <w:tc>
          <w:tcPr>
            <w:tcW w:w="560" w:type="dxa"/>
            <w:vAlign w:val="bottom"/>
            <w:tcBorders>
              <w:bottom w:val="single" w:sz="8" w:color="auto"/>
            </w:tcBorders>
          </w:tcPr>
          <w:p>
            <w:pPr>
              <w:spacing w:after="0"/>
              <w:rPr>
                <w:sz w:val="6"/>
                <w:szCs w:val="6"/>
                <w:color w:val="auto"/>
              </w:rPr>
            </w:pPr>
          </w:p>
        </w:tc>
        <w:tc>
          <w:tcPr>
            <w:tcW w:w="90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42"/>
        </w:trPr>
        <w:tc>
          <w:tcPr>
            <w:tcW w:w="5160" w:type="dxa"/>
            <w:vAlign w:val="bottom"/>
            <w:tcBorders>
              <w:bottom w:val="single" w:sz="8" w:color="CFF0FC"/>
            </w:tcBorders>
            <w:shd w:val="clear" w:color="auto" w:fill="CFF0FC"/>
          </w:tcPr>
          <w:p>
            <w:pPr>
              <w:ind w:left="520"/>
              <w:spacing w:after="0" w:line="177" w:lineRule="exact"/>
              <w:rPr>
                <w:sz w:val="20"/>
                <w:szCs w:val="20"/>
                <w:color w:val="auto"/>
              </w:rPr>
            </w:pPr>
            <w:r>
              <w:rPr>
                <w:rFonts w:ascii="Arial" w:cs="Arial" w:eastAsia="Arial" w:hAnsi="Arial"/>
                <w:sz w:val="16"/>
                <w:szCs w:val="16"/>
                <w:color w:val="auto"/>
              </w:rPr>
              <w:t>Diluted</w:t>
            </w:r>
          </w:p>
        </w:tc>
        <w:tc>
          <w:tcPr>
            <w:tcW w:w="900" w:type="dxa"/>
            <w:vAlign w:val="bottom"/>
            <w:tcBorders>
              <w:bottom w:val="single" w:sz="8" w:color="CFF0FC"/>
            </w:tcBorders>
            <w:shd w:val="clear" w:color="auto" w:fill="CFF0FC"/>
          </w:tcPr>
          <w:p>
            <w:pPr>
              <w:spacing w:after="0"/>
              <w:rPr>
                <w:sz w:val="20"/>
                <w:szCs w:val="20"/>
                <w:color w:val="auto"/>
              </w:rPr>
            </w:pPr>
          </w:p>
        </w:tc>
        <w:tc>
          <w:tcPr>
            <w:tcW w:w="600" w:type="dxa"/>
            <w:vAlign w:val="bottom"/>
            <w:tcBorders>
              <w:bottom w:val="single" w:sz="8" w:color="CFF0FC"/>
            </w:tcBorders>
            <w:shd w:val="clear" w:color="auto" w:fill="CFF0FC"/>
          </w:tcPr>
          <w:p>
            <w:pPr>
              <w:jc w:val="right"/>
              <w:ind w:right="40"/>
              <w:spacing w:after="0"/>
              <w:rPr>
                <w:sz w:val="20"/>
                <w:szCs w:val="20"/>
                <w:color w:val="auto"/>
              </w:rPr>
            </w:pPr>
            <w:r>
              <w:rPr>
                <w:rFonts w:ascii="Arial" w:cs="Arial" w:eastAsia="Arial" w:hAnsi="Arial"/>
                <w:sz w:val="16"/>
                <w:szCs w:val="16"/>
                <w:color w:val="auto"/>
                <w:w w:val="93"/>
              </w:rPr>
              <w:t>20,271</w:t>
            </w:r>
          </w:p>
        </w:tc>
        <w:tc>
          <w:tcPr>
            <w:tcW w:w="120" w:type="dxa"/>
            <w:vAlign w:val="bottom"/>
            <w:tcBorders>
              <w:bottom w:val="single" w:sz="8" w:color="CFF0FC"/>
            </w:tcBorders>
            <w:shd w:val="clear" w:color="auto" w:fill="CFF0FC"/>
          </w:tcPr>
          <w:p>
            <w:pPr>
              <w:spacing w:after="0"/>
              <w:rPr>
                <w:sz w:val="20"/>
                <w:szCs w:val="20"/>
                <w:color w:val="auto"/>
              </w:rPr>
            </w:pPr>
          </w:p>
        </w:tc>
        <w:tc>
          <w:tcPr>
            <w:tcW w:w="920" w:type="dxa"/>
            <w:vAlign w:val="bottom"/>
            <w:tcBorders>
              <w:bottom w:val="single" w:sz="8" w:color="CFF0FC"/>
            </w:tcBorders>
            <w:shd w:val="clear" w:color="auto" w:fill="CFF0FC"/>
          </w:tcPr>
          <w:p>
            <w:pPr>
              <w:spacing w:after="0"/>
              <w:rPr>
                <w:sz w:val="20"/>
                <w:szCs w:val="20"/>
                <w:color w:val="auto"/>
              </w:rPr>
            </w:pPr>
          </w:p>
        </w:tc>
        <w:tc>
          <w:tcPr>
            <w:tcW w:w="580" w:type="dxa"/>
            <w:vAlign w:val="bottom"/>
            <w:tcBorders>
              <w:bottom w:val="single" w:sz="8" w:color="CFF0FC"/>
            </w:tcBorders>
            <w:shd w:val="clear" w:color="auto" w:fill="CFF0FC"/>
          </w:tcPr>
          <w:p>
            <w:pPr>
              <w:jc w:val="right"/>
              <w:ind w:right="39"/>
              <w:spacing w:after="0"/>
              <w:rPr>
                <w:sz w:val="20"/>
                <w:szCs w:val="20"/>
                <w:color w:val="auto"/>
              </w:rPr>
            </w:pPr>
            <w:r>
              <w:rPr>
                <w:rFonts w:ascii="Arial" w:cs="Arial" w:eastAsia="Arial" w:hAnsi="Arial"/>
                <w:sz w:val="16"/>
                <w:szCs w:val="16"/>
                <w:color w:val="auto"/>
              </w:rPr>
              <w:t>3,498</w:t>
            </w:r>
          </w:p>
        </w:tc>
        <w:tc>
          <w:tcPr>
            <w:tcW w:w="120" w:type="dxa"/>
            <w:vAlign w:val="bottom"/>
            <w:tcBorders>
              <w:bottom w:val="single" w:sz="8" w:color="CFF0FC"/>
            </w:tcBorders>
            <w:shd w:val="clear" w:color="auto" w:fill="CFF0FC"/>
          </w:tcPr>
          <w:p>
            <w:pPr>
              <w:spacing w:after="0"/>
              <w:rPr>
                <w:sz w:val="20"/>
                <w:szCs w:val="20"/>
                <w:color w:val="auto"/>
              </w:rPr>
            </w:pPr>
          </w:p>
        </w:tc>
        <w:tc>
          <w:tcPr>
            <w:tcW w:w="340" w:type="dxa"/>
            <w:vAlign w:val="bottom"/>
            <w:tcBorders>
              <w:bottom w:val="single" w:sz="8" w:color="CFF0FC"/>
            </w:tcBorders>
            <w:shd w:val="clear" w:color="auto" w:fill="CFF0FC"/>
          </w:tcPr>
          <w:p>
            <w:pPr>
              <w:spacing w:after="0"/>
              <w:rPr>
                <w:sz w:val="20"/>
                <w:szCs w:val="20"/>
                <w:color w:val="auto"/>
              </w:rPr>
            </w:pPr>
          </w:p>
        </w:tc>
        <w:tc>
          <w:tcPr>
            <w:tcW w:w="1120" w:type="dxa"/>
            <w:vAlign w:val="bottom"/>
            <w:tcBorders>
              <w:bottom w:val="single" w:sz="8" w:color="CFF0FC"/>
            </w:tcBorders>
            <w:shd w:val="clear" w:color="auto" w:fill="CFF0FC"/>
          </w:tcPr>
          <w:p>
            <w:pPr>
              <w:jc w:val="right"/>
              <w:ind w:right="40"/>
              <w:spacing w:after="0"/>
              <w:rPr>
                <w:sz w:val="20"/>
                <w:szCs w:val="20"/>
                <w:color w:val="auto"/>
              </w:rPr>
            </w:pPr>
            <w:r>
              <w:rPr>
                <w:rFonts w:ascii="Arial" w:cs="Arial" w:eastAsia="Arial" w:hAnsi="Arial"/>
                <w:sz w:val="16"/>
                <w:szCs w:val="16"/>
                <w:color w:val="auto"/>
              </w:rPr>
              <w:t>17,797</w:t>
            </w:r>
          </w:p>
        </w:tc>
        <w:tc>
          <w:tcPr>
            <w:tcW w:w="100" w:type="dxa"/>
            <w:vAlign w:val="bottom"/>
            <w:tcBorders>
              <w:bottom w:val="single" w:sz="8" w:color="CFF0FC"/>
            </w:tcBorders>
            <w:shd w:val="clear" w:color="auto" w:fill="CFF0FC"/>
          </w:tcPr>
          <w:p>
            <w:pPr>
              <w:spacing w:after="0"/>
              <w:rPr>
                <w:sz w:val="20"/>
                <w:szCs w:val="20"/>
                <w:color w:val="auto"/>
              </w:rPr>
            </w:pPr>
          </w:p>
        </w:tc>
        <w:tc>
          <w:tcPr>
            <w:tcW w:w="560" w:type="dxa"/>
            <w:vAlign w:val="bottom"/>
            <w:tcBorders>
              <w:bottom w:val="single" w:sz="8" w:color="CFF0FC"/>
            </w:tcBorders>
            <w:shd w:val="clear" w:color="auto" w:fill="CFF0FC"/>
          </w:tcPr>
          <w:p>
            <w:pPr>
              <w:spacing w:after="0"/>
              <w:rPr>
                <w:sz w:val="20"/>
                <w:szCs w:val="20"/>
                <w:color w:val="auto"/>
              </w:rPr>
            </w:pPr>
          </w:p>
        </w:tc>
        <w:tc>
          <w:tcPr>
            <w:tcW w:w="900" w:type="dxa"/>
            <w:vAlign w:val="bottom"/>
            <w:tcBorders>
              <w:bottom w:val="single" w:sz="8" w:color="CFF0FC"/>
            </w:tcBorders>
            <w:shd w:val="clear" w:color="auto" w:fill="CFF0FC"/>
          </w:tcPr>
          <w:p>
            <w:pPr>
              <w:jc w:val="right"/>
              <w:ind w:right="19"/>
              <w:spacing w:after="0"/>
              <w:rPr>
                <w:sz w:val="20"/>
                <w:szCs w:val="20"/>
                <w:color w:val="auto"/>
              </w:rPr>
            </w:pPr>
            <w:r>
              <w:rPr>
                <w:rFonts w:ascii="Arial" w:cs="Arial" w:eastAsia="Arial" w:hAnsi="Arial"/>
                <w:sz w:val="16"/>
                <w:szCs w:val="16"/>
                <w:color w:val="auto"/>
              </w:rPr>
              <w:t>3,497</w:t>
            </w:r>
          </w:p>
        </w:tc>
        <w:tc>
          <w:tcPr>
            <w:tcW w:w="0" w:type="dxa"/>
            <w:vAlign w:val="bottom"/>
          </w:tcPr>
          <w:p>
            <w:pPr>
              <w:spacing w:after="0"/>
              <w:rPr>
                <w:sz w:val="1"/>
                <w:szCs w:val="1"/>
                <w:color w:val="auto"/>
              </w:rPr>
            </w:pPr>
          </w:p>
        </w:tc>
      </w:tr>
      <w:tr>
        <w:trPr>
          <w:trHeight w:val="20"/>
        </w:trPr>
        <w:tc>
          <w:tcPr>
            <w:tcW w:w="5160" w:type="dxa"/>
            <w:vAlign w:val="bottom"/>
            <w:tcBorders>
              <w:top w:val="single" w:sz="8" w:color="CFF0FC"/>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 w:lineRule="exact"/>
        <w:rPr>
          <w:sz w:val="20"/>
          <w:szCs w:val="20"/>
          <w:color w:val="auto"/>
        </w:rPr>
      </w:pP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1)"/>
      <w:numFmt w:val="decimal"/>
      <w:start w:val="2"/>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
      <w:numFmt w:val="bullet"/>
      <w:start w:val="1"/>
    </w:lvl>
  </w:abstractNum>
  <w:abstractNum w:abstractNumId="3">
    <w:nsid w:val="507ED7AB"/>
    <w:multiLevelType w:val="hybridMultilevel"/>
    <w:lvl w:ilvl="0">
      <w:lvlJc w:val="left"/>
      <w:lvlText w:val="•"/>
      <w:numFmt w:val="bullet"/>
      <w:start w:val="1"/>
    </w:lvl>
  </w:abstractNum>
  <w:abstractNum w:abstractNumId="4">
    <w:nsid w:val="2EB141F2"/>
    <w:multiLevelType w:val="hybridMultilevel"/>
    <w:lvl w:ilvl="0">
      <w:lvlJc w:val="left"/>
      <w:lvlText w:val="•"/>
      <w:numFmt w:val="bullet"/>
      <w:start w:val="1"/>
    </w:lvl>
  </w:abstractNum>
  <w:abstractNum w:abstractNumId="5">
    <w:nsid w:val="41B71EFB"/>
    <w:multiLevelType w:val="hybridMultilevel"/>
    <w:lvl w:ilvl="0">
      <w:lvlJc w:val="left"/>
      <w:lvlText w:val="•"/>
      <w:numFmt w:val="bullet"/>
      <w:start w:val="1"/>
    </w:lvl>
  </w:abstractNum>
  <w:abstractNum w:abstractNumId="6">
    <w:nsid w:val="79E2A9E3"/>
    <w:multiLevelType w:val="hybridMultilevel"/>
    <w:lvl w:ilvl="0">
      <w:lvlJc w:val="left"/>
      <w:lvlText w:val="\emdash "/>
      <w:numFmt w:val="bullet"/>
      <w:start w:val="1"/>
    </w:lvl>
  </w:abstractNum>
  <w:abstractNum w:abstractNumId="7">
    <w:nsid w:val="7545E146"/>
    <w:multiLevelType w:val="hybridMultilevel"/>
    <w:lvl w:ilvl="0">
      <w:lvlJc w:val="left"/>
      <w:lvlText w:val="\emdash "/>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2019-12-07T03:45:28Z</dcterms:created>
  <dcterms:modified xsi:type="dcterms:W3CDTF">2019-12-07T03:45:28Z</dcterms:modified>
</cp:coreProperties>
</file>