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71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MULROY DENNIS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9"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19"/>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7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06/23/2022</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10,000</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3"/>
                <w:szCs w:val="13"/>
                <w:color w:val="0000FF"/>
              </w:rPr>
              <w:t>10,000</w:t>
            </w:r>
            <w:r>
              <w:rPr>
                <w:rFonts w:ascii="Times New Roman" w:cs="Times New Roman" w:eastAsia="Times New Roman" w:hAnsi="Times New Roman"/>
                <w:sz w:val="21"/>
                <w:szCs w:val="21"/>
                <w:color w:val="008000"/>
                <w:vertAlign w:val="superscript"/>
              </w:rPr>
              <w:t>(2)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10, 2021, the reporting person was granted a performance-based option to purchase 10,000 shares of the Issuer's common stock, subject to the achievement of certain corporate performance criteria and the reporting person's continued service to the Issuer upon achievement thereof. The performance criteria were achieved on the date in Column 3, resulting in the vesting of the entire award.</w:t>
      </w:r>
    </w:p>
    <w:p>
      <w:pPr>
        <w:spacing w:after="0" w:line="18"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10,000 shares of common stock as set forth in Table II above, the Reporting Person also holds (i) additional options to purchase up to an aggregate of 205,600 shares of common stock, which options vest according to their terms, and (ii) 964 shares of common stock held directly.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Eric Loumeau,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06/27/2022</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2022-06-27T20:04:52Z</dcterms:created>
  <dcterms:modified xsi:type="dcterms:W3CDTF">2022-06-27T20:04:52Z</dcterms:modified>
</cp:coreProperties>
</file>