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ind w:left="5040"/>
        <w:spacing w:after="0"/>
        <w:rPr>
          <w:sz w:val="20"/>
          <w:szCs w:val="20"/>
          <w:color w:val="auto"/>
        </w:rPr>
      </w:pPr>
      <w:r>
        <w:rPr>
          <w:rFonts w:ascii="Arial" w:cs="Arial" w:eastAsia="Arial" w:hAnsi="Arial"/>
          <w:sz w:val="20"/>
          <w:szCs w:val="20"/>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10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11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240" w:top="231"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188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CUSIP No. </w:t>
            </w:r>
            <w:r>
              <w:rPr>
                <w:rFonts w:ascii="Arial" w:cs="Arial" w:eastAsia="Arial" w:hAnsi="Arial"/>
                <w:sz w:val="19"/>
                <w:szCs w:val="19"/>
                <w:b w:val="1"/>
                <w:bCs w:val="1"/>
                <w:color w:val="auto"/>
                <w:w w:val="94"/>
              </w:rPr>
              <w:t>032724106</w:t>
            </w:r>
          </w:p>
        </w:tc>
        <w:tc>
          <w:tcPr>
            <w:tcW w:w="6320" w:type="dxa"/>
            <w:vAlign w:val="bottom"/>
          </w:tcPr>
          <w:p>
            <w:pPr>
              <w:ind w:left="3600"/>
              <w:spacing w:after="0"/>
              <w:rPr>
                <w:sz w:val="20"/>
                <w:szCs w:val="20"/>
                <w:color w:val="auto"/>
              </w:rPr>
            </w:pPr>
            <w:r>
              <w:rPr>
                <w:rFonts w:ascii="Arial" w:cs="Arial" w:eastAsia="Arial" w:hAnsi="Arial"/>
                <w:sz w:val="18"/>
                <w:szCs w:val="18"/>
                <w:b w:val="1"/>
                <w:bCs w:val="1"/>
                <w:color w:val="auto"/>
              </w:rPr>
              <w:t>13G/A</w:t>
            </w:r>
          </w:p>
        </w:tc>
        <w:tc>
          <w:tcPr>
            <w:tcW w:w="3220" w:type="dxa"/>
            <w:vAlign w:val="bottom"/>
          </w:tcPr>
          <w:p>
            <w:pPr>
              <w:ind w:left="1740"/>
              <w:spacing w:after="0"/>
              <w:rPr>
                <w:sz w:val="20"/>
                <w:szCs w:val="20"/>
                <w:color w:val="auto"/>
              </w:rPr>
            </w:pPr>
            <w:r>
              <w:rPr>
                <w:rFonts w:ascii="Arial" w:cs="Arial" w:eastAsia="Arial" w:hAnsi="Arial"/>
                <w:sz w:val="18"/>
                <w:szCs w:val="18"/>
                <w:b w:val="1"/>
                <w:bCs w:val="1"/>
                <w:color w:val="auto"/>
                <w:w w:val="86"/>
              </w:rPr>
              <w:t xml:space="preserve">Page 2 </w:t>
            </w:r>
            <w:r>
              <w:rPr>
                <w:rFonts w:ascii="Arial" w:cs="Arial" w:eastAsia="Arial" w:hAnsi="Arial"/>
                <w:sz w:val="19"/>
                <w:szCs w:val="19"/>
                <w:b w:val="1"/>
                <w:bCs w:val="1"/>
                <w:color w:val="auto"/>
                <w:w w:val="86"/>
              </w:rPr>
              <w:t>of 11 Pages</w:t>
            </w:r>
          </w:p>
        </w:tc>
        <w:tc>
          <w:tcPr>
            <w:tcW w:w="0" w:type="dxa"/>
            <w:vAlign w:val="bottom"/>
          </w:tcPr>
          <w:p>
            <w:pPr>
              <w:spacing w:after="0"/>
              <w:rPr>
                <w:sz w:val="1"/>
                <w:szCs w:val="1"/>
                <w:color w:val="auto"/>
              </w:rPr>
            </w:pPr>
          </w:p>
        </w:tc>
      </w:tr>
      <w:tr>
        <w:trPr>
          <w:trHeight w:val="226"/>
        </w:trPr>
        <w:tc>
          <w:tcPr>
            <w:tcW w:w="1880" w:type="dxa"/>
            <w:vAlign w:val="bottom"/>
            <w:tcBorders>
              <w:bottom w:val="single" w:sz="8" w:color="auto"/>
            </w:tcBorders>
          </w:tcPr>
          <w:p>
            <w:pPr>
              <w:spacing w:after="0"/>
              <w:rPr>
                <w:sz w:val="19"/>
                <w:szCs w:val="19"/>
                <w:color w:val="auto"/>
              </w:rPr>
            </w:pPr>
          </w:p>
        </w:tc>
        <w:tc>
          <w:tcPr>
            <w:tcW w:w="6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1</w:t>
            </w:r>
          </w:p>
        </w:tc>
        <w:tc>
          <w:tcPr>
            <w:tcW w:w="632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6320" w:type="dxa"/>
            <w:vAlign w:val="bottom"/>
            <w:vMerge w:val="restart"/>
          </w:tcPr>
          <w:p>
            <w:pPr>
              <w:ind w:left="420"/>
              <w:spacing w:after="0"/>
              <w:rPr>
                <w:sz w:val="20"/>
                <w:szCs w:val="20"/>
                <w:color w:val="auto"/>
              </w:rPr>
            </w:pPr>
            <w:r>
              <w:rPr>
                <w:rFonts w:ascii="Arial" w:cs="Arial" w:eastAsia="Arial" w:hAnsi="Arial"/>
                <w:sz w:val="20"/>
                <w:szCs w:val="20"/>
                <w:color w:val="auto"/>
              </w:rPr>
              <w:t>Adage Capital Partners, L.P.</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2</w:t>
            </w:r>
          </w:p>
        </w:tc>
        <w:tc>
          <w:tcPr>
            <w:tcW w:w="632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220" w:type="dxa"/>
            <w:vAlign w:val="bottom"/>
            <w:vMerge w:val="restart"/>
          </w:tcPr>
          <w:p>
            <w:pPr>
              <w:ind w:left="19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32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220" w:type="dxa"/>
            <w:vAlign w:val="bottom"/>
          </w:tcPr>
          <w:p>
            <w:pPr>
              <w:ind w:left="19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1,250,000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1,250,000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1,250,000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5.32%</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PN</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8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CUSIP No. </w:t>
            </w:r>
            <w:r>
              <w:rPr>
                <w:rFonts w:ascii="Arial" w:cs="Arial" w:eastAsia="Arial" w:hAnsi="Arial"/>
                <w:sz w:val="19"/>
                <w:szCs w:val="19"/>
                <w:b w:val="1"/>
                <w:bCs w:val="1"/>
                <w:color w:val="auto"/>
                <w:w w:val="94"/>
              </w:rPr>
              <w:t>032724106</w:t>
            </w:r>
          </w:p>
        </w:tc>
        <w:tc>
          <w:tcPr>
            <w:tcW w:w="6320" w:type="dxa"/>
            <w:vAlign w:val="bottom"/>
          </w:tcPr>
          <w:p>
            <w:pPr>
              <w:ind w:left="3600"/>
              <w:spacing w:after="0"/>
              <w:rPr>
                <w:sz w:val="20"/>
                <w:szCs w:val="20"/>
                <w:color w:val="auto"/>
              </w:rPr>
            </w:pPr>
            <w:r>
              <w:rPr>
                <w:rFonts w:ascii="Arial" w:cs="Arial" w:eastAsia="Arial" w:hAnsi="Arial"/>
                <w:sz w:val="18"/>
                <w:szCs w:val="18"/>
                <w:b w:val="1"/>
                <w:bCs w:val="1"/>
                <w:color w:val="auto"/>
              </w:rPr>
              <w:t>13G/A</w:t>
            </w:r>
          </w:p>
        </w:tc>
        <w:tc>
          <w:tcPr>
            <w:tcW w:w="3220" w:type="dxa"/>
            <w:vAlign w:val="bottom"/>
          </w:tcPr>
          <w:p>
            <w:pPr>
              <w:ind w:left="1740"/>
              <w:spacing w:after="0"/>
              <w:rPr>
                <w:sz w:val="20"/>
                <w:szCs w:val="20"/>
                <w:color w:val="auto"/>
              </w:rPr>
            </w:pPr>
            <w:r>
              <w:rPr>
                <w:rFonts w:ascii="Arial" w:cs="Arial" w:eastAsia="Arial" w:hAnsi="Arial"/>
                <w:sz w:val="18"/>
                <w:szCs w:val="18"/>
                <w:b w:val="1"/>
                <w:bCs w:val="1"/>
                <w:color w:val="auto"/>
                <w:w w:val="86"/>
              </w:rPr>
              <w:t xml:space="preserve">Page 3 </w:t>
            </w:r>
            <w:r>
              <w:rPr>
                <w:rFonts w:ascii="Arial" w:cs="Arial" w:eastAsia="Arial" w:hAnsi="Arial"/>
                <w:sz w:val="19"/>
                <w:szCs w:val="19"/>
                <w:b w:val="1"/>
                <w:bCs w:val="1"/>
                <w:color w:val="auto"/>
                <w:w w:val="86"/>
              </w:rPr>
              <w:t>of 11 Pages</w:t>
            </w:r>
          </w:p>
        </w:tc>
        <w:tc>
          <w:tcPr>
            <w:tcW w:w="0" w:type="dxa"/>
            <w:vAlign w:val="bottom"/>
          </w:tcPr>
          <w:p>
            <w:pPr>
              <w:spacing w:after="0"/>
              <w:rPr>
                <w:sz w:val="1"/>
                <w:szCs w:val="1"/>
                <w:color w:val="auto"/>
              </w:rPr>
            </w:pPr>
          </w:p>
        </w:tc>
      </w:tr>
      <w:tr>
        <w:trPr>
          <w:trHeight w:val="320"/>
        </w:trPr>
        <w:tc>
          <w:tcPr>
            <w:tcW w:w="18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1</w:t>
            </w:r>
          </w:p>
        </w:tc>
        <w:tc>
          <w:tcPr>
            <w:tcW w:w="632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6320" w:type="dxa"/>
            <w:vAlign w:val="bottom"/>
            <w:vMerge w:val="restart"/>
          </w:tcPr>
          <w:p>
            <w:pPr>
              <w:ind w:left="420"/>
              <w:spacing w:after="0"/>
              <w:rPr>
                <w:sz w:val="20"/>
                <w:szCs w:val="20"/>
                <w:color w:val="auto"/>
              </w:rPr>
            </w:pPr>
            <w:r>
              <w:rPr>
                <w:rFonts w:ascii="Arial" w:cs="Arial" w:eastAsia="Arial" w:hAnsi="Arial"/>
                <w:sz w:val="20"/>
                <w:szCs w:val="20"/>
                <w:color w:val="auto"/>
              </w:rPr>
              <w:t>Adage Capital Partners GP, L.L.C.</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2</w:t>
            </w:r>
          </w:p>
        </w:tc>
        <w:tc>
          <w:tcPr>
            <w:tcW w:w="632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220" w:type="dxa"/>
            <w:vAlign w:val="bottom"/>
            <w:vMerge w:val="restart"/>
          </w:tcPr>
          <w:p>
            <w:pPr>
              <w:ind w:left="19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32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220" w:type="dxa"/>
            <w:vAlign w:val="bottom"/>
          </w:tcPr>
          <w:p>
            <w:pPr>
              <w:ind w:left="19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3"/>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1,250,000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1,250,000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1,250,000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5.32%</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8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CUSIP No. </w:t>
            </w:r>
            <w:r>
              <w:rPr>
                <w:rFonts w:ascii="Arial" w:cs="Arial" w:eastAsia="Arial" w:hAnsi="Arial"/>
                <w:sz w:val="19"/>
                <w:szCs w:val="19"/>
                <w:b w:val="1"/>
                <w:bCs w:val="1"/>
                <w:color w:val="auto"/>
                <w:w w:val="94"/>
              </w:rPr>
              <w:t>032724106</w:t>
            </w:r>
          </w:p>
        </w:tc>
        <w:tc>
          <w:tcPr>
            <w:tcW w:w="6320" w:type="dxa"/>
            <w:vAlign w:val="bottom"/>
          </w:tcPr>
          <w:p>
            <w:pPr>
              <w:ind w:left="3600"/>
              <w:spacing w:after="0"/>
              <w:rPr>
                <w:sz w:val="20"/>
                <w:szCs w:val="20"/>
                <w:color w:val="auto"/>
              </w:rPr>
            </w:pPr>
            <w:r>
              <w:rPr>
                <w:rFonts w:ascii="Arial" w:cs="Arial" w:eastAsia="Arial" w:hAnsi="Arial"/>
                <w:sz w:val="18"/>
                <w:szCs w:val="18"/>
                <w:b w:val="1"/>
                <w:bCs w:val="1"/>
                <w:color w:val="auto"/>
              </w:rPr>
              <w:t>13G/A</w:t>
            </w:r>
          </w:p>
        </w:tc>
        <w:tc>
          <w:tcPr>
            <w:tcW w:w="3220" w:type="dxa"/>
            <w:vAlign w:val="bottom"/>
          </w:tcPr>
          <w:p>
            <w:pPr>
              <w:ind w:left="1740"/>
              <w:spacing w:after="0"/>
              <w:rPr>
                <w:sz w:val="20"/>
                <w:szCs w:val="20"/>
                <w:color w:val="auto"/>
              </w:rPr>
            </w:pPr>
            <w:r>
              <w:rPr>
                <w:rFonts w:ascii="Arial" w:cs="Arial" w:eastAsia="Arial" w:hAnsi="Arial"/>
                <w:sz w:val="18"/>
                <w:szCs w:val="18"/>
                <w:b w:val="1"/>
                <w:bCs w:val="1"/>
                <w:color w:val="auto"/>
                <w:w w:val="86"/>
              </w:rPr>
              <w:t xml:space="preserve">Page 4 </w:t>
            </w:r>
            <w:r>
              <w:rPr>
                <w:rFonts w:ascii="Arial" w:cs="Arial" w:eastAsia="Arial" w:hAnsi="Arial"/>
                <w:sz w:val="19"/>
                <w:szCs w:val="19"/>
                <w:b w:val="1"/>
                <w:bCs w:val="1"/>
                <w:color w:val="auto"/>
                <w:w w:val="86"/>
              </w:rPr>
              <w:t>of 11 Pages</w:t>
            </w:r>
          </w:p>
        </w:tc>
        <w:tc>
          <w:tcPr>
            <w:tcW w:w="0" w:type="dxa"/>
            <w:vAlign w:val="bottom"/>
          </w:tcPr>
          <w:p>
            <w:pPr>
              <w:spacing w:after="0"/>
              <w:rPr>
                <w:sz w:val="1"/>
                <w:szCs w:val="1"/>
                <w:color w:val="auto"/>
              </w:rPr>
            </w:pPr>
          </w:p>
        </w:tc>
      </w:tr>
      <w:tr>
        <w:trPr>
          <w:trHeight w:val="455"/>
        </w:trPr>
        <w:tc>
          <w:tcPr>
            <w:tcW w:w="18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1</w:t>
            </w:r>
          </w:p>
        </w:tc>
        <w:tc>
          <w:tcPr>
            <w:tcW w:w="632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6320" w:type="dxa"/>
            <w:vAlign w:val="bottom"/>
            <w:vMerge w:val="restart"/>
          </w:tcPr>
          <w:p>
            <w:pPr>
              <w:ind w:left="420"/>
              <w:spacing w:after="0"/>
              <w:rPr>
                <w:sz w:val="20"/>
                <w:szCs w:val="20"/>
                <w:color w:val="auto"/>
              </w:rPr>
            </w:pPr>
            <w:r>
              <w:rPr>
                <w:rFonts w:ascii="Arial" w:cs="Arial" w:eastAsia="Arial" w:hAnsi="Arial"/>
                <w:sz w:val="20"/>
                <w:szCs w:val="20"/>
                <w:color w:val="auto"/>
              </w:rPr>
              <w:t>Adage Capital Advisors, L.L.C.</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2</w:t>
            </w:r>
          </w:p>
        </w:tc>
        <w:tc>
          <w:tcPr>
            <w:tcW w:w="632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220" w:type="dxa"/>
            <w:vAlign w:val="bottom"/>
            <w:vMerge w:val="restart"/>
          </w:tcPr>
          <w:p>
            <w:pPr>
              <w:ind w:left="19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32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220" w:type="dxa"/>
            <w:vAlign w:val="bottom"/>
          </w:tcPr>
          <w:p>
            <w:pPr>
              <w:ind w:left="19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4"/>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1,250,000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1,250,000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1,250,000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5.32%</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8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CUSIP No. </w:t>
            </w:r>
            <w:r>
              <w:rPr>
                <w:rFonts w:ascii="Arial" w:cs="Arial" w:eastAsia="Arial" w:hAnsi="Arial"/>
                <w:sz w:val="19"/>
                <w:szCs w:val="19"/>
                <w:b w:val="1"/>
                <w:bCs w:val="1"/>
                <w:color w:val="auto"/>
                <w:w w:val="94"/>
              </w:rPr>
              <w:t>032724106</w:t>
            </w:r>
          </w:p>
        </w:tc>
        <w:tc>
          <w:tcPr>
            <w:tcW w:w="6320" w:type="dxa"/>
            <w:vAlign w:val="bottom"/>
          </w:tcPr>
          <w:p>
            <w:pPr>
              <w:ind w:left="3600"/>
              <w:spacing w:after="0"/>
              <w:rPr>
                <w:sz w:val="20"/>
                <w:szCs w:val="20"/>
                <w:color w:val="auto"/>
              </w:rPr>
            </w:pPr>
            <w:r>
              <w:rPr>
                <w:rFonts w:ascii="Arial" w:cs="Arial" w:eastAsia="Arial" w:hAnsi="Arial"/>
                <w:sz w:val="18"/>
                <w:szCs w:val="18"/>
                <w:b w:val="1"/>
                <w:bCs w:val="1"/>
                <w:color w:val="auto"/>
              </w:rPr>
              <w:t>13G/A</w:t>
            </w:r>
          </w:p>
        </w:tc>
        <w:tc>
          <w:tcPr>
            <w:tcW w:w="3220" w:type="dxa"/>
            <w:vAlign w:val="bottom"/>
          </w:tcPr>
          <w:p>
            <w:pPr>
              <w:ind w:left="1740"/>
              <w:spacing w:after="0"/>
              <w:rPr>
                <w:sz w:val="20"/>
                <w:szCs w:val="20"/>
                <w:color w:val="auto"/>
              </w:rPr>
            </w:pPr>
            <w:r>
              <w:rPr>
                <w:rFonts w:ascii="Arial" w:cs="Arial" w:eastAsia="Arial" w:hAnsi="Arial"/>
                <w:sz w:val="18"/>
                <w:szCs w:val="18"/>
                <w:b w:val="1"/>
                <w:bCs w:val="1"/>
                <w:color w:val="auto"/>
                <w:w w:val="86"/>
              </w:rPr>
              <w:t xml:space="preserve">Page 5 </w:t>
            </w:r>
            <w:r>
              <w:rPr>
                <w:rFonts w:ascii="Arial" w:cs="Arial" w:eastAsia="Arial" w:hAnsi="Arial"/>
                <w:sz w:val="19"/>
                <w:szCs w:val="19"/>
                <w:b w:val="1"/>
                <w:bCs w:val="1"/>
                <w:color w:val="auto"/>
                <w:w w:val="86"/>
              </w:rPr>
              <w:t>of 11 Pages</w:t>
            </w:r>
          </w:p>
        </w:tc>
        <w:tc>
          <w:tcPr>
            <w:tcW w:w="0" w:type="dxa"/>
            <w:vAlign w:val="bottom"/>
          </w:tcPr>
          <w:p>
            <w:pPr>
              <w:spacing w:after="0"/>
              <w:rPr>
                <w:sz w:val="1"/>
                <w:szCs w:val="1"/>
                <w:color w:val="auto"/>
              </w:rPr>
            </w:pPr>
          </w:p>
        </w:tc>
      </w:tr>
      <w:tr>
        <w:trPr>
          <w:trHeight w:val="455"/>
        </w:trPr>
        <w:tc>
          <w:tcPr>
            <w:tcW w:w="18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1</w:t>
            </w:r>
          </w:p>
        </w:tc>
        <w:tc>
          <w:tcPr>
            <w:tcW w:w="632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6320" w:type="dxa"/>
            <w:vAlign w:val="bottom"/>
            <w:vMerge w:val="restart"/>
          </w:tcPr>
          <w:p>
            <w:pPr>
              <w:ind w:left="420"/>
              <w:spacing w:after="0"/>
              <w:rPr>
                <w:sz w:val="20"/>
                <w:szCs w:val="20"/>
                <w:color w:val="auto"/>
              </w:rPr>
            </w:pPr>
            <w:r>
              <w:rPr>
                <w:rFonts w:ascii="Arial" w:cs="Arial" w:eastAsia="Arial" w:hAnsi="Arial"/>
                <w:sz w:val="20"/>
                <w:szCs w:val="20"/>
                <w:color w:val="auto"/>
              </w:rPr>
              <w:t>Robert Atchinson</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2</w:t>
            </w:r>
          </w:p>
        </w:tc>
        <w:tc>
          <w:tcPr>
            <w:tcW w:w="632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220" w:type="dxa"/>
            <w:vAlign w:val="bottom"/>
            <w:vMerge w:val="restart"/>
          </w:tcPr>
          <w:p>
            <w:pPr>
              <w:ind w:left="19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32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220" w:type="dxa"/>
            <w:vAlign w:val="bottom"/>
          </w:tcPr>
          <w:p>
            <w:pPr>
              <w:ind w:left="19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5"/>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1,250,000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1,250,000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1,250,000</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5.32%</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8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CUSIP No. </w:t>
            </w:r>
            <w:r>
              <w:rPr>
                <w:rFonts w:ascii="Arial" w:cs="Arial" w:eastAsia="Arial" w:hAnsi="Arial"/>
                <w:sz w:val="19"/>
                <w:szCs w:val="19"/>
                <w:b w:val="1"/>
                <w:bCs w:val="1"/>
                <w:color w:val="auto"/>
                <w:w w:val="94"/>
              </w:rPr>
              <w:t>032724106</w:t>
            </w:r>
          </w:p>
        </w:tc>
        <w:tc>
          <w:tcPr>
            <w:tcW w:w="6320" w:type="dxa"/>
            <w:vAlign w:val="bottom"/>
          </w:tcPr>
          <w:p>
            <w:pPr>
              <w:ind w:left="3600"/>
              <w:spacing w:after="0"/>
              <w:rPr>
                <w:sz w:val="20"/>
                <w:szCs w:val="20"/>
                <w:color w:val="auto"/>
              </w:rPr>
            </w:pPr>
            <w:r>
              <w:rPr>
                <w:rFonts w:ascii="Arial" w:cs="Arial" w:eastAsia="Arial" w:hAnsi="Arial"/>
                <w:sz w:val="18"/>
                <w:szCs w:val="18"/>
                <w:b w:val="1"/>
                <w:bCs w:val="1"/>
                <w:color w:val="auto"/>
              </w:rPr>
              <w:t>13G/A</w:t>
            </w:r>
          </w:p>
        </w:tc>
        <w:tc>
          <w:tcPr>
            <w:tcW w:w="3220" w:type="dxa"/>
            <w:vAlign w:val="bottom"/>
          </w:tcPr>
          <w:p>
            <w:pPr>
              <w:ind w:left="1740"/>
              <w:spacing w:after="0"/>
              <w:rPr>
                <w:sz w:val="20"/>
                <w:szCs w:val="20"/>
                <w:color w:val="auto"/>
              </w:rPr>
            </w:pPr>
            <w:r>
              <w:rPr>
                <w:rFonts w:ascii="Arial" w:cs="Arial" w:eastAsia="Arial" w:hAnsi="Arial"/>
                <w:sz w:val="18"/>
                <w:szCs w:val="18"/>
                <w:b w:val="1"/>
                <w:bCs w:val="1"/>
                <w:color w:val="auto"/>
                <w:w w:val="86"/>
              </w:rPr>
              <w:t xml:space="preserve">Page 6 </w:t>
            </w:r>
            <w:r>
              <w:rPr>
                <w:rFonts w:ascii="Arial" w:cs="Arial" w:eastAsia="Arial" w:hAnsi="Arial"/>
                <w:sz w:val="19"/>
                <w:szCs w:val="19"/>
                <w:b w:val="1"/>
                <w:bCs w:val="1"/>
                <w:color w:val="auto"/>
                <w:w w:val="86"/>
              </w:rPr>
              <w:t>of 11 Pages</w:t>
            </w:r>
          </w:p>
        </w:tc>
        <w:tc>
          <w:tcPr>
            <w:tcW w:w="0" w:type="dxa"/>
            <w:vAlign w:val="bottom"/>
          </w:tcPr>
          <w:p>
            <w:pPr>
              <w:spacing w:after="0"/>
              <w:rPr>
                <w:sz w:val="1"/>
                <w:szCs w:val="1"/>
                <w:color w:val="auto"/>
              </w:rPr>
            </w:pPr>
          </w:p>
        </w:tc>
      </w:tr>
      <w:tr>
        <w:trPr>
          <w:trHeight w:val="455"/>
        </w:trPr>
        <w:tc>
          <w:tcPr>
            <w:tcW w:w="18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1</w:t>
            </w:r>
          </w:p>
        </w:tc>
        <w:tc>
          <w:tcPr>
            <w:tcW w:w="632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6320" w:type="dxa"/>
            <w:vAlign w:val="bottom"/>
            <w:vMerge w:val="restart"/>
          </w:tcPr>
          <w:p>
            <w:pPr>
              <w:ind w:left="420"/>
              <w:spacing w:after="0"/>
              <w:rPr>
                <w:sz w:val="20"/>
                <w:szCs w:val="20"/>
                <w:color w:val="auto"/>
              </w:rPr>
            </w:pPr>
            <w:r>
              <w:rPr>
                <w:rFonts w:ascii="Arial" w:cs="Arial" w:eastAsia="Arial" w:hAnsi="Arial"/>
                <w:sz w:val="20"/>
                <w:szCs w:val="20"/>
                <w:color w:val="auto"/>
              </w:rPr>
              <w:t>Phillip Gross</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right"/>
              <w:ind w:right="754"/>
              <w:spacing w:after="0"/>
              <w:rPr>
                <w:sz w:val="20"/>
                <w:szCs w:val="20"/>
                <w:color w:val="auto"/>
              </w:rPr>
            </w:pPr>
            <w:r>
              <w:rPr>
                <w:rFonts w:ascii="Arial" w:cs="Arial" w:eastAsia="Arial" w:hAnsi="Arial"/>
                <w:sz w:val="29"/>
                <w:szCs w:val="29"/>
                <w:b w:val="1"/>
                <w:bCs w:val="1"/>
                <w:color w:val="auto"/>
              </w:rPr>
              <w:t>2</w:t>
            </w:r>
          </w:p>
        </w:tc>
        <w:tc>
          <w:tcPr>
            <w:tcW w:w="632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220" w:type="dxa"/>
            <w:vAlign w:val="bottom"/>
            <w:vMerge w:val="restart"/>
          </w:tcPr>
          <w:p>
            <w:pPr>
              <w:ind w:left="19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32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220" w:type="dxa"/>
            <w:vAlign w:val="bottom"/>
          </w:tcPr>
          <w:p>
            <w:pPr>
              <w:ind w:left="19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6"/>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1,250,000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1,250,000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1,250,000</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5.32%</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032724106</w:t>
            </w:r>
          </w:p>
        </w:tc>
        <w:tc>
          <w:tcPr>
            <w:tcW w:w="4120" w:type="dxa"/>
            <w:vAlign w:val="bottom"/>
            <w:gridSpan w:val="3"/>
          </w:tcPr>
          <w:p>
            <w:pPr>
              <w:ind w:left="1040"/>
              <w:spacing w:after="0"/>
              <w:rPr>
                <w:sz w:val="20"/>
                <w:szCs w:val="20"/>
                <w:color w:val="auto"/>
              </w:rPr>
            </w:pPr>
            <w:r>
              <w:rPr>
                <w:rFonts w:ascii="Arial" w:cs="Arial" w:eastAsia="Arial" w:hAnsi="Arial"/>
                <w:sz w:val="18"/>
                <w:szCs w:val="18"/>
                <w:b w:val="1"/>
                <w:bCs w:val="1"/>
                <w:color w:val="auto"/>
              </w:rPr>
              <w:t>13G/A</w:t>
            </w:r>
          </w:p>
        </w:tc>
        <w:tc>
          <w:tcPr>
            <w:tcW w:w="2860" w:type="dxa"/>
            <w:vAlign w:val="bottom"/>
          </w:tcPr>
          <w:p>
            <w:pPr>
              <w:ind w:left="1380"/>
              <w:spacing w:after="0"/>
              <w:rPr>
                <w:sz w:val="20"/>
                <w:szCs w:val="20"/>
                <w:color w:val="auto"/>
              </w:rPr>
            </w:pPr>
            <w:r>
              <w:rPr>
                <w:rFonts w:ascii="Arial" w:cs="Arial" w:eastAsia="Arial" w:hAnsi="Arial"/>
                <w:sz w:val="18"/>
                <w:szCs w:val="18"/>
                <w:b w:val="1"/>
                <w:bCs w:val="1"/>
                <w:color w:val="auto"/>
                <w:w w:val="86"/>
              </w:rPr>
              <w:t xml:space="preserve">Page 7 </w:t>
            </w:r>
            <w:r>
              <w:rPr>
                <w:rFonts w:ascii="Arial" w:cs="Arial" w:eastAsia="Arial" w:hAnsi="Arial"/>
                <w:sz w:val="19"/>
                <w:szCs w:val="19"/>
                <w:b w:val="1"/>
                <w:bCs w:val="1"/>
                <w:color w:val="auto"/>
                <w:w w:val="86"/>
              </w:rPr>
              <w:t>of 11 Pages</w:t>
            </w:r>
          </w:p>
        </w:tc>
      </w:tr>
      <w:tr>
        <w:trPr>
          <w:trHeight w:val="78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3160" w:type="dxa"/>
            <w:vAlign w:val="bottom"/>
          </w:tcPr>
          <w:p>
            <w:pPr>
              <w:ind w:left="440"/>
              <w:spacing w:after="0"/>
              <w:rPr>
                <w:sz w:val="20"/>
                <w:szCs w:val="20"/>
                <w:color w:val="auto"/>
              </w:rPr>
            </w:pPr>
            <w:r>
              <w:rPr>
                <w:rFonts w:ascii="Arial" w:cs="Arial" w:eastAsia="Arial" w:hAnsi="Arial"/>
                <w:sz w:val="20"/>
                <w:szCs w:val="20"/>
                <w:b w:val="1"/>
                <w:bCs w:val="1"/>
                <w:color w:val="auto"/>
              </w:rPr>
              <w:t>NAME OF ISSUER</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6"/>
        </w:trPr>
        <w:tc>
          <w:tcPr>
            <w:tcW w:w="1280" w:type="dxa"/>
            <w:vAlign w:val="bottom"/>
          </w:tcPr>
          <w:p>
            <w:pPr>
              <w:spacing w:after="0"/>
              <w:rPr>
                <w:sz w:val="17"/>
                <w:szCs w:val="17"/>
                <w:color w:val="auto"/>
              </w:rPr>
            </w:pPr>
          </w:p>
        </w:tc>
        <w:tc>
          <w:tcPr>
            <w:tcW w:w="7280" w:type="dxa"/>
            <w:vAlign w:val="bottom"/>
            <w:gridSpan w:val="4"/>
          </w:tcPr>
          <w:p>
            <w:pPr>
              <w:ind w:left="440"/>
              <w:spacing w:after="0" w:line="206" w:lineRule="exact"/>
              <w:rPr>
                <w:sz w:val="20"/>
                <w:szCs w:val="20"/>
                <w:color w:val="auto"/>
              </w:rPr>
            </w:pPr>
            <w:r>
              <w:rPr>
                <w:rFonts w:ascii="Arial" w:cs="Arial" w:eastAsia="Arial" w:hAnsi="Arial"/>
                <w:sz w:val="20"/>
                <w:szCs w:val="20"/>
                <w:color w:val="auto"/>
              </w:rPr>
              <w:t>The name of the issuer is AnaptysBio, Inc. (the "Company").</w:t>
            </w:r>
          </w:p>
        </w:tc>
        <w:tc>
          <w:tcPr>
            <w:tcW w:w="28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708"/>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7280" w:type="dxa"/>
            <w:vAlign w:val="bottom"/>
            <w:gridSpan w:val="4"/>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c>
          <w:tcPr>
            <w:tcW w:w="2860" w:type="dxa"/>
            <w:vAlign w:val="bottom"/>
          </w:tcPr>
          <w:p>
            <w:pPr>
              <w:spacing w:after="0"/>
              <w:rPr>
                <w:sz w:val="24"/>
                <w:szCs w:val="24"/>
                <w:color w:val="auto"/>
              </w:rPr>
            </w:pPr>
          </w:p>
        </w:tc>
      </w:tr>
    </w:tbl>
    <w:p>
      <w:pPr>
        <w:ind w:left="1820" w:right="200"/>
        <w:spacing w:after="0" w:line="244" w:lineRule="auto"/>
        <w:rPr>
          <w:sz w:val="20"/>
          <w:szCs w:val="20"/>
          <w:color w:val="auto"/>
        </w:rPr>
      </w:pPr>
      <w:r>
        <w:rPr>
          <w:rFonts w:ascii="Arial" w:cs="Arial" w:eastAsia="Arial" w:hAnsi="Arial"/>
          <w:sz w:val="20"/>
          <w:szCs w:val="20"/>
          <w:color w:val="auto"/>
        </w:rPr>
        <w:t>The Company's principal executive offices are located at 10421 Pacific Center Court, Suite 200, San Diego, California 92121.</w:t>
      </w:r>
    </w:p>
    <w:p>
      <w:pPr>
        <w:spacing w:after="0" w:line="200" w:lineRule="exact"/>
        <w:rPr>
          <w:sz w:val="20"/>
          <w:szCs w:val="20"/>
          <w:color w:val="auto"/>
        </w:rPr>
      </w:pPr>
    </w:p>
    <w:p>
      <w:pPr>
        <w:spacing w:after="0" w:line="229"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20"/>
          <w:szCs w:val="20"/>
          <w:b w:val="1"/>
          <w:bCs w:val="1"/>
          <w:color w:val="auto"/>
        </w:rPr>
        <w:t>NAME OF PERSON FILING</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This statement is filed by:</w:t>
      </w:r>
    </w:p>
    <w:p>
      <w:pPr>
        <w:spacing w:after="0" w:line="213" w:lineRule="exact"/>
        <w:rPr>
          <w:sz w:val="20"/>
          <w:szCs w:val="20"/>
          <w:color w:val="auto"/>
        </w:rPr>
      </w:pPr>
    </w:p>
    <w:p>
      <w:pPr>
        <w:ind w:left="2620" w:right="420" w:hanging="800"/>
        <w:spacing w:after="0" w:line="260" w:lineRule="auto"/>
        <w:tabs>
          <w:tab w:leader="none" w:pos="2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Partners, L.P., a Delaware limited partnership ("</w:t>
      </w:r>
      <w:r>
        <w:rPr>
          <w:rFonts w:ascii="Arial" w:cs="Arial" w:eastAsia="Arial" w:hAnsi="Arial"/>
          <w:sz w:val="20"/>
          <w:szCs w:val="20"/>
          <w:u w:val="single" w:color="auto"/>
          <w:color w:val="auto"/>
        </w:rPr>
        <w:t>ACP</w:t>
      </w:r>
      <w:r>
        <w:rPr>
          <w:rFonts w:ascii="Arial" w:cs="Arial" w:eastAsia="Arial" w:hAnsi="Arial"/>
          <w:sz w:val="20"/>
          <w:szCs w:val="20"/>
          <w:color w:val="auto"/>
        </w:rPr>
        <w:t>") with respect to the shares of Common Stock directly owned by it;</w:t>
      </w:r>
    </w:p>
    <w:p>
      <w:pPr>
        <w:spacing w:after="0" w:line="190" w:lineRule="exact"/>
        <w:rPr>
          <w:rFonts w:ascii="Arial" w:cs="Arial" w:eastAsia="Arial" w:hAnsi="Arial"/>
          <w:sz w:val="20"/>
          <w:szCs w:val="20"/>
          <w:color w:val="auto"/>
        </w:rPr>
      </w:pPr>
    </w:p>
    <w:p>
      <w:pPr>
        <w:ind w:left="2620" w:right="320" w:hanging="800"/>
        <w:spacing w:after="0" w:line="250" w:lineRule="auto"/>
        <w:tabs>
          <w:tab w:leader="none" w:pos="2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Partners GP, L.L.C., a limited liability company organized under the laws of the State of Delaware ("</w:t>
      </w:r>
      <w:r>
        <w:rPr>
          <w:rFonts w:ascii="Arial" w:cs="Arial" w:eastAsia="Arial" w:hAnsi="Arial"/>
          <w:sz w:val="20"/>
          <w:szCs w:val="20"/>
          <w:u w:val="single" w:color="auto"/>
          <w:color w:val="auto"/>
        </w:rPr>
        <w:t>ACPGP</w:t>
      </w:r>
      <w:r>
        <w:rPr>
          <w:rFonts w:ascii="Arial" w:cs="Arial" w:eastAsia="Arial" w:hAnsi="Arial"/>
          <w:sz w:val="20"/>
          <w:szCs w:val="20"/>
          <w:color w:val="auto"/>
        </w:rPr>
        <w:t>"), as general partner of ACP with respect to the shares of Common Stock directly owned by ACP;</w:t>
      </w:r>
    </w:p>
    <w:p>
      <w:pPr>
        <w:spacing w:after="0" w:line="199" w:lineRule="exact"/>
        <w:rPr>
          <w:rFonts w:ascii="Arial" w:cs="Arial" w:eastAsia="Arial" w:hAnsi="Arial"/>
          <w:sz w:val="20"/>
          <w:szCs w:val="20"/>
          <w:color w:val="auto"/>
        </w:rPr>
      </w:pPr>
    </w:p>
    <w:p>
      <w:pPr>
        <w:ind w:left="2620" w:right="240" w:hanging="800"/>
        <w:spacing w:after="0" w:line="250" w:lineRule="auto"/>
        <w:tabs>
          <w:tab w:leader="none" w:pos="2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Advisors, L.L.C., a limited liability company organized under the laws of the State of Delaware ("</w:t>
      </w:r>
      <w:r>
        <w:rPr>
          <w:rFonts w:ascii="Arial" w:cs="Arial" w:eastAsia="Arial" w:hAnsi="Arial"/>
          <w:sz w:val="20"/>
          <w:szCs w:val="20"/>
          <w:u w:val="single" w:color="auto"/>
          <w:color w:val="auto"/>
        </w:rPr>
        <w:t>ACA</w:t>
      </w:r>
      <w:r>
        <w:rPr>
          <w:rFonts w:ascii="Arial" w:cs="Arial" w:eastAsia="Arial" w:hAnsi="Arial"/>
          <w:sz w:val="20"/>
          <w:szCs w:val="20"/>
          <w:color w:val="auto"/>
        </w:rPr>
        <w:t>"), as managing member of ACPGP, general partner of ACP, with respect to the shares of Common Stock directly owned by ACP;</w:t>
      </w:r>
    </w:p>
    <w:p>
      <w:pPr>
        <w:spacing w:after="0" w:line="199" w:lineRule="exact"/>
        <w:rPr>
          <w:rFonts w:ascii="Arial" w:cs="Arial" w:eastAsia="Arial" w:hAnsi="Arial"/>
          <w:sz w:val="20"/>
          <w:szCs w:val="20"/>
          <w:color w:val="auto"/>
        </w:rPr>
      </w:pPr>
    </w:p>
    <w:p>
      <w:pPr>
        <w:ind w:left="2620" w:right="480" w:hanging="800"/>
        <w:spacing w:after="0" w:line="287" w:lineRule="auto"/>
        <w:tabs>
          <w:tab w:leader="none" w:pos="2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Robert Atchinson ("</w:t>
      </w:r>
      <w:r>
        <w:rPr>
          <w:rFonts w:ascii="Arial" w:cs="Arial" w:eastAsia="Arial" w:hAnsi="Arial"/>
          <w:sz w:val="19"/>
          <w:szCs w:val="19"/>
          <w:u w:val="single" w:color="auto"/>
          <w:color w:val="auto"/>
        </w:rPr>
        <w:t>Mr. Atchinson</w:t>
      </w:r>
      <w:r>
        <w:rPr>
          <w:rFonts w:ascii="Arial" w:cs="Arial" w:eastAsia="Arial" w:hAnsi="Arial"/>
          <w:sz w:val="19"/>
          <w:szCs w:val="19"/>
          <w:color w:val="auto"/>
        </w:rPr>
        <w:t>"), as managing member of ACA, managing member of ACPGP, general partner of ACP with respect to the shares of Common Stock directly owned by ACP; and</w:t>
      </w:r>
    </w:p>
    <w:p>
      <w:pPr>
        <w:spacing w:after="0" w:line="166" w:lineRule="exact"/>
        <w:rPr>
          <w:rFonts w:ascii="Arial" w:cs="Arial" w:eastAsia="Arial" w:hAnsi="Arial"/>
          <w:sz w:val="19"/>
          <w:szCs w:val="19"/>
          <w:color w:val="auto"/>
        </w:rPr>
      </w:pPr>
    </w:p>
    <w:p>
      <w:pPr>
        <w:ind w:left="2620" w:right="380" w:hanging="800"/>
        <w:spacing w:after="0" w:line="260" w:lineRule="auto"/>
        <w:tabs>
          <w:tab w:leader="none" w:pos="2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Phillip Gross ("</w:t>
      </w:r>
      <w:r>
        <w:rPr>
          <w:rFonts w:ascii="Arial" w:cs="Arial" w:eastAsia="Arial" w:hAnsi="Arial"/>
          <w:sz w:val="20"/>
          <w:szCs w:val="20"/>
          <w:u w:val="single" w:color="auto"/>
          <w:color w:val="auto"/>
        </w:rPr>
        <w:t>Mr. Gross</w:t>
      </w:r>
      <w:r>
        <w:rPr>
          <w:rFonts w:ascii="Arial" w:cs="Arial" w:eastAsia="Arial" w:hAnsi="Arial"/>
          <w:sz w:val="20"/>
          <w:szCs w:val="20"/>
          <w:color w:val="auto"/>
        </w:rPr>
        <w:t>"), as managing member of ACA, managing member of ACPGP, general partner of ACP with respect to the shares of Common Stock directly owned by ACP.</w:t>
      </w:r>
    </w:p>
    <w:p>
      <w:pPr>
        <w:spacing w:after="0" w:line="190" w:lineRule="exact"/>
        <w:rPr>
          <w:sz w:val="20"/>
          <w:szCs w:val="20"/>
          <w:color w:val="auto"/>
        </w:rPr>
      </w:pPr>
    </w:p>
    <w:p>
      <w:pPr>
        <w:ind w:left="1820" w:right="300"/>
        <w:spacing w:after="0" w:line="250" w:lineRule="auto"/>
        <w:rPr>
          <w:sz w:val="20"/>
          <w:szCs w:val="20"/>
          <w:color w:val="auto"/>
        </w:rPr>
      </w:pPr>
      <w:r>
        <w:rPr>
          <w:rFonts w:ascii="Arial" w:cs="Arial" w:eastAsia="Arial" w:hAnsi="Arial"/>
          <w:sz w:val="20"/>
          <w:szCs w:val="20"/>
          <w:color w:val="auto"/>
        </w:rPr>
        <w:t>The foregoing persons are hereinafter sometimes collectively referred to as the "</w:t>
      </w:r>
      <w:r>
        <w:rPr>
          <w:rFonts w:ascii="Arial" w:cs="Arial" w:eastAsia="Arial" w:hAnsi="Arial"/>
          <w:sz w:val="20"/>
          <w:szCs w:val="20"/>
          <w:u w:val="single" w:color="auto"/>
          <w:color w:val="auto"/>
        </w:rPr>
        <w:t>Reporting Persons</w:t>
      </w:r>
      <w:r>
        <w:rPr>
          <w:rFonts w:ascii="Arial" w:cs="Arial" w:eastAsia="Arial" w:hAnsi="Arial"/>
          <w:sz w:val="20"/>
          <w:szCs w:val="20"/>
          <w:color w:val="auto"/>
        </w:rPr>
        <w:t>." Any disclosures herein with respect to persons other than the Reporting Persons are made on information and belief after making inquiry to the appropriate party.</w:t>
      </w:r>
    </w:p>
    <w:p>
      <w:pPr>
        <w:spacing w:after="0" w:line="200" w:lineRule="exact"/>
        <w:rPr>
          <w:sz w:val="20"/>
          <w:szCs w:val="20"/>
          <w:color w:val="auto"/>
        </w:rPr>
      </w:pPr>
    </w:p>
    <w:p>
      <w:pPr>
        <w:ind w:left="1820" w:right="580"/>
        <w:spacing w:after="0" w:line="260" w:lineRule="auto"/>
        <w:rPr>
          <w:sz w:val="20"/>
          <w:szCs w:val="20"/>
          <w:color w:val="auto"/>
        </w:rPr>
      </w:pPr>
      <w:r>
        <w:rPr>
          <w:rFonts w:ascii="Arial" w:cs="Arial" w:eastAsia="Arial" w:hAnsi="Arial"/>
          <w:sz w:val="20"/>
          <w:szCs w:val="20"/>
          <w:color w:val="auto"/>
        </w:rPr>
        <w:t>The filing of this statement should not be construed in and of itself as an admission by any Reporting Person as to beneficial ownership of the securities reported herein.</w:t>
      </w:r>
    </w:p>
    <w:p>
      <w:pPr>
        <w:spacing w:after="0" w:line="200" w:lineRule="exact"/>
        <w:rPr>
          <w:sz w:val="20"/>
          <w:szCs w:val="20"/>
          <w:color w:val="auto"/>
        </w:rPr>
      </w:pPr>
    </w:p>
    <w:p>
      <w:pPr>
        <w:spacing w:after="0" w:line="214"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2" w:lineRule="exact"/>
        <w:rPr>
          <w:sz w:val="20"/>
          <w:szCs w:val="20"/>
          <w:color w:val="auto"/>
        </w:rPr>
      </w:pPr>
    </w:p>
    <w:p>
      <w:pPr>
        <w:ind w:left="1720" w:right="840"/>
        <w:spacing w:after="0" w:line="244" w:lineRule="auto"/>
        <w:rPr>
          <w:sz w:val="20"/>
          <w:szCs w:val="20"/>
          <w:color w:val="auto"/>
        </w:rPr>
      </w:pPr>
      <w:r>
        <w:rPr>
          <w:rFonts w:ascii="Arial" w:cs="Arial" w:eastAsia="Arial" w:hAnsi="Arial"/>
          <w:sz w:val="20"/>
          <w:szCs w:val="20"/>
          <w:color w:val="auto"/>
        </w:rPr>
        <w:t>The address of the business office of each of the Reporting Persons is 200 Clarendon Street, 52nd floor, Boston, Massachusetts 02116.</w:t>
      </w:r>
    </w:p>
    <w:p>
      <w:pPr>
        <w:sectPr>
          <w:pgSz w:w="11900" w:h="16838" w:orient="portrait"/>
          <w:cols w:equalWidth="0" w:num="1">
            <w:col w:w="11420"/>
          </w:cols>
          <w:pgMar w:left="240" w:top="2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6"/>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032724106</w:t>
            </w:r>
          </w:p>
        </w:tc>
        <w:tc>
          <w:tcPr>
            <w:tcW w:w="3260" w:type="dxa"/>
            <w:vAlign w:val="bottom"/>
            <w:gridSpan w:val="3"/>
          </w:tcPr>
          <w:p>
            <w:pPr>
              <w:ind w:left="280"/>
              <w:spacing w:after="0"/>
              <w:rPr>
                <w:sz w:val="20"/>
                <w:szCs w:val="20"/>
                <w:color w:val="auto"/>
              </w:rPr>
            </w:pPr>
            <w:r>
              <w:rPr>
                <w:rFonts w:ascii="Arial" w:cs="Arial" w:eastAsia="Arial" w:hAnsi="Arial"/>
                <w:sz w:val="18"/>
                <w:szCs w:val="18"/>
                <w:b w:val="1"/>
                <w:bCs w:val="1"/>
                <w:color w:val="auto"/>
              </w:rPr>
              <w:t>13G/A</w:t>
            </w:r>
          </w:p>
        </w:tc>
        <w:tc>
          <w:tcPr>
            <w:tcW w:w="2960" w:type="dxa"/>
            <w:vAlign w:val="bottom"/>
          </w:tcPr>
          <w:p>
            <w:pPr>
              <w:ind w:left="1480"/>
              <w:spacing w:after="0"/>
              <w:rPr>
                <w:sz w:val="20"/>
                <w:szCs w:val="20"/>
                <w:color w:val="auto"/>
              </w:rPr>
            </w:pPr>
            <w:r>
              <w:rPr>
                <w:rFonts w:ascii="Arial" w:cs="Arial" w:eastAsia="Arial" w:hAnsi="Arial"/>
                <w:sz w:val="18"/>
                <w:szCs w:val="18"/>
                <w:b w:val="1"/>
                <w:bCs w:val="1"/>
                <w:color w:val="auto"/>
                <w:w w:val="86"/>
              </w:rPr>
              <w:t xml:space="preserve">Page 8 </w:t>
            </w:r>
            <w:r>
              <w:rPr>
                <w:rFonts w:ascii="Arial" w:cs="Arial" w:eastAsia="Arial" w:hAnsi="Arial"/>
                <w:sz w:val="19"/>
                <w:szCs w:val="19"/>
                <w:b w:val="1"/>
                <w:bCs w:val="1"/>
                <w:color w:val="auto"/>
                <w:w w:val="86"/>
              </w:rPr>
              <w:t>of 11 Pages</w:t>
            </w:r>
          </w:p>
        </w:tc>
      </w:tr>
      <w:tr>
        <w:trPr>
          <w:trHeight w:val="438"/>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3920" w:type="dxa"/>
            <w:vAlign w:val="bottom"/>
          </w:tcPr>
          <w:p>
            <w:pPr>
              <w:ind w:left="440"/>
              <w:spacing w:after="0"/>
              <w:rPr>
                <w:sz w:val="20"/>
                <w:szCs w:val="20"/>
                <w:color w:val="auto"/>
              </w:rPr>
            </w:pPr>
            <w:r>
              <w:rPr>
                <w:rFonts w:ascii="Arial" w:cs="Arial" w:eastAsia="Arial" w:hAnsi="Arial"/>
                <w:sz w:val="20"/>
                <w:szCs w:val="20"/>
                <w:b w:val="1"/>
                <w:bCs w:val="1"/>
                <w:color w:val="auto"/>
              </w:rPr>
              <w:t>CITIZENSHIP</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30"/>
        </w:trPr>
        <w:tc>
          <w:tcPr>
            <w:tcW w:w="1280" w:type="dxa"/>
            <w:vAlign w:val="bottom"/>
          </w:tcPr>
          <w:p>
            <w:pPr>
              <w:spacing w:after="0"/>
              <w:rPr>
                <w:sz w:val="19"/>
                <w:szCs w:val="19"/>
                <w:color w:val="auto"/>
              </w:rPr>
            </w:pPr>
          </w:p>
        </w:tc>
        <w:tc>
          <w:tcPr>
            <w:tcW w:w="10140" w:type="dxa"/>
            <w:vAlign w:val="bottom"/>
            <w:gridSpan w:val="5"/>
          </w:tcPr>
          <w:p>
            <w:pPr>
              <w:ind w:left="440"/>
              <w:spacing w:after="0"/>
              <w:rPr>
                <w:sz w:val="20"/>
                <w:szCs w:val="20"/>
                <w:color w:val="auto"/>
              </w:rPr>
            </w:pPr>
            <w:r>
              <w:rPr>
                <w:rFonts w:ascii="Arial" w:cs="Arial" w:eastAsia="Arial" w:hAnsi="Arial"/>
                <w:sz w:val="20"/>
                <w:szCs w:val="20"/>
                <w:color w:val="auto"/>
                <w:w w:val="94"/>
              </w:rPr>
              <w:t>ACP is a limited partnership organized under the laws of the State of Delaware. ACPGP and ACA are limited liability</w:t>
            </w:r>
          </w:p>
        </w:tc>
      </w:tr>
      <w:tr>
        <w:trPr>
          <w:trHeight w:val="230"/>
        </w:trPr>
        <w:tc>
          <w:tcPr>
            <w:tcW w:w="1280" w:type="dxa"/>
            <w:vAlign w:val="bottom"/>
          </w:tcPr>
          <w:p>
            <w:pPr>
              <w:spacing w:after="0"/>
              <w:rPr>
                <w:sz w:val="19"/>
                <w:szCs w:val="19"/>
                <w:color w:val="auto"/>
              </w:rPr>
            </w:pPr>
          </w:p>
        </w:tc>
        <w:tc>
          <w:tcPr>
            <w:tcW w:w="10140" w:type="dxa"/>
            <w:vAlign w:val="bottom"/>
            <w:gridSpan w:val="5"/>
          </w:tcPr>
          <w:p>
            <w:pPr>
              <w:ind w:left="440"/>
              <w:spacing w:after="0"/>
              <w:rPr>
                <w:sz w:val="20"/>
                <w:szCs w:val="20"/>
                <w:color w:val="auto"/>
              </w:rPr>
            </w:pPr>
            <w:r>
              <w:rPr>
                <w:rFonts w:ascii="Arial" w:cs="Arial" w:eastAsia="Arial" w:hAnsi="Arial"/>
                <w:sz w:val="20"/>
                <w:szCs w:val="20"/>
                <w:color w:val="auto"/>
                <w:w w:val="92"/>
              </w:rPr>
              <w:t>companies organized under the laws of the State of Delaware. Messrs. Gross and Atchinson are citizens of the United</w:t>
            </w:r>
          </w:p>
        </w:tc>
      </w:tr>
      <w:tr>
        <w:trPr>
          <w:trHeight w:val="250"/>
        </w:trPr>
        <w:tc>
          <w:tcPr>
            <w:tcW w:w="1280" w:type="dxa"/>
            <w:vAlign w:val="bottom"/>
          </w:tcPr>
          <w:p>
            <w:pPr>
              <w:spacing w:after="0"/>
              <w:rPr>
                <w:sz w:val="21"/>
                <w:szCs w:val="21"/>
                <w:color w:val="auto"/>
              </w:rPr>
            </w:pPr>
          </w:p>
        </w:tc>
        <w:tc>
          <w:tcPr>
            <w:tcW w:w="3920" w:type="dxa"/>
            <w:vAlign w:val="bottom"/>
          </w:tcPr>
          <w:p>
            <w:pPr>
              <w:ind w:left="440"/>
              <w:spacing w:after="0"/>
              <w:rPr>
                <w:sz w:val="20"/>
                <w:szCs w:val="20"/>
                <w:color w:val="auto"/>
              </w:rPr>
            </w:pPr>
            <w:r>
              <w:rPr>
                <w:rFonts w:ascii="Arial" w:cs="Arial" w:eastAsia="Arial" w:hAnsi="Arial"/>
                <w:sz w:val="20"/>
                <w:szCs w:val="20"/>
                <w:color w:val="auto"/>
              </w:rPr>
              <w:t>States.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668"/>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3920" w:type="dxa"/>
            <w:vAlign w:val="bottom"/>
          </w:tcPr>
          <w:p>
            <w:pPr>
              <w:ind w:left="440"/>
              <w:spacing w:after="0"/>
              <w:rPr>
                <w:sz w:val="20"/>
                <w:szCs w:val="20"/>
                <w:color w:val="auto"/>
              </w:rPr>
            </w:pPr>
            <w:r>
              <w:rPr>
                <w:rFonts w:ascii="Arial" w:cs="Arial" w:eastAsia="Arial" w:hAnsi="Arial"/>
                <w:sz w:val="20"/>
                <w:szCs w:val="20"/>
                <w:b w:val="1"/>
                <w:bCs w:val="1"/>
                <w:color w:val="auto"/>
              </w:rPr>
              <w:t>TITLE OF CLASS OF SECURITIES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6"/>
        </w:trPr>
        <w:tc>
          <w:tcPr>
            <w:tcW w:w="1280" w:type="dxa"/>
            <w:vAlign w:val="bottom"/>
          </w:tcPr>
          <w:p>
            <w:pPr>
              <w:spacing w:after="0"/>
              <w:rPr>
                <w:sz w:val="17"/>
                <w:szCs w:val="17"/>
                <w:color w:val="auto"/>
              </w:rPr>
            </w:pPr>
          </w:p>
        </w:tc>
        <w:tc>
          <w:tcPr>
            <w:tcW w:w="7180" w:type="dxa"/>
            <w:vAlign w:val="bottom"/>
            <w:gridSpan w:val="4"/>
          </w:tcPr>
          <w:p>
            <w:pPr>
              <w:ind w:left="440"/>
              <w:spacing w:after="0" w:line="206" w:lineRule="exact"/>
              <w:rPr>
                <w:sz w:val="20"/>
                <w:szCs w:val="20"/>
                <w:color w:val="auto"/>
              </w:rPr>
            </w:pPr>
            <w:r>
              <w:rPr>
                <w:rFonts w:ascii="Arial" w:cs="Arial" w:eastAsia="Arial" w:hAnsi="Arial"/>
                <w:sz w:val="20"/>
                <w:szCs w:val="20"/>
                <w:color w:val="auto"/>
              </w:rPr>
              <w:t>Common Stock, par value $0.001 per share (the "Common Stock").</w:t>
            </w:r>
          </w:p>
        </w:tc>
        <w:tc>
          <w:tcPr>
            <w:tcW w:w="2960" w:type="dxa"/>
            <w:vAlign w:val="bottom"/>
          </w:tcPr>
          <w:p>
            <w:pPr>
              <w:spacing w:after="0"/>
              <w:rPr>
                <w:sz w:val="17"/>
                <w:szCs w:val="17"/>
                <w:color w:val="auto"/>
              </w:rPr>
            </w:pPr>
          </w:p>
        </w:tc>
      </w:tr>
      <w:tr>
        <w:trPr>
          <w:trHeight w:val="69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3920" w:type="dxa"/>
            <w:vAlign w:val="bottom"/>
          </w:tcPr>
          <w:p>
            <w:pPr>
              <w:ind w:left="440"/>
              <w:spacing w:after="0"/>
              <w:rPr>
                <w:sz w:val="20"/>
                <w:szCs w:val="20"/>
                <w:color w:val="auto"/>
              </w:rPr>
            </w:pPr>
            <w:r>
              <w:rPr>
                <w:rFonts w:ascii="Arial" w:cs="Arial" w:eastAsia="Arial" w:hAnsi="Arial"/>
                <w:sz w:val="20"/>
                <w:szCs w:val="20"/>
                <w:b w:val="1"/>
                <w:bCs w:val="1"/>
                <w:color w:val="auto"/>
              </w:rPr>
              <w:t>CUSIP NUMBER</w:t>
            </w:r>
          </w:p>
        </w:tc>
        <w:tc>
          <w:tcPr>
            <w:tcW w:w="3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3920" w:type="dxa"/>
            <w:vAlign w:val="bottom"/>
          </w:tcPr>
          <w:p>
            <w:pPr>
              <w:ind w:left="440"/>
              <w:spacing w:after="0"/>
              <w:rPr>
                <w:sz w:val="20"/>
                <w:szCs w:val="20"/>
                <w:color w:val="auto"/>
              </w:rPr>
            </w:pPr>
            <w:r>
              <w:rPr>
                <w:rFonts w:ascii="Arial" w:cs="Arial" w:eastAsia="Arial" w:hAnsi="Arial"/>
                <w:sz w:val="20"/>
                <w:szCs w:val="20"/>
                <w:color w:val="auto"/>
              </w:rPr>
              <w:t>032724106</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66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10140" w:type="dxa"/>
            <w:vAlign w:val="bottom"/>
            <w:gridSpan w:val="5"/>
          </w:tcPr>
          <w:p>
            <w:pPr>
              <w:ind w:left="440"/>
              <w:spacing w:after="0"/>
              <w:rPr>
                <w:sz w:val="20"/>
                <w:szCs w:val="20"/>
                <w:color w:val="auto"/>
              </w:rPr>
            </w:pPr>
            <w:r>
              <w:rPr>
                <w:rFonts w:ascii="Arial" w:cs="Arial" w:eastAsia="Arial" w:hAnsi="Arial"/>
                <w:sz w:val="20"/>
                <w:szCs w:val="20"/>
                <w:b w:val="1"/>
                <w:bCs w:val="1"/>
                <w:color w:val="auto"/>
              </w:rPr>
              <w:t>IF THIS STATEMENT IS FILED PURSUANT TO Rules 13d-1(b), OR 13d-2(b) OR (c), CHECK WHETHER</w:t>
            </w:r>
          </w:p>
        </w:tc>
      </w:tr>
      <w:tr>
        <w:trPr>
          <w:trHeight w:val="252"/>
        </w:trPr>
        <w:tc>
          <w:tcPr>
            <w:tcW w:w="1280" w:type="dxa"/>
            <w:vAlign w:val="bottom"/>
          </w:tcPr>
          <w:p>
            <w:pPr>
              <w:spacing w:after="0"/>
              <w:rPr>
                <w:sz w:val="21"/>
                <w:szCs w:val="21"/>
                <w:color w:val="auto"/>
              </w:rPr>
            </w:pPr>
          </w:p>
        </w:tc>
        <w:tc>
          <w:tcPr>
            <w:tcW w:w="3920" w:type="dxa"/>
            <w:vAlign w:val="bottom"/>
          </w:tcPr>
          <w:p>
            <w:pPr>
              <w:ind w:left="440"/>
              <w:spacing w:after="0"/>
              <w:rPr>
                <w:sz w:val="20"/>
                <w:szCs w:val="20"/>
                <w:color w:val="auto"/>
              </w:rPr>
            </w:pPr>
            <w:r>
              <w:rPr>
                <w:rFonts w:ascii="Arial" w:cs="Arial" w:eastAsia="Arial" w:hAnsi="Arial"/>
                <w:sz w:val="20"/>
                <w:szCs w:val="20"/>
                <w:b w:val="1"/>
                <w:bCs w:val="1"/>
                <w:color w:val="auto"/>
              </w:rPr>
              <w:t>THE PERSON FILING IS A:</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960" w:type="dxa"/>
            <w:vAlign w:val="bottom"/>
          </w:tcPr>
          <w:p>
            <w:pPr>
              <w:spacing w:after="0"/>
              <w:rPr>
                <w:sz w:val="21"/>
                <w:szCs w:val="21"/>
                <w:color w:val="auto"/>
              </w:rPr>
            </w:pPr>
          </w:p>
        </w:tc>
      </w:tr>
    </w:tbl>
    <w:p>
      <w:pPr>
        <w:ind w:left="2780" w:hanging="960"/>
        <w:spacing w:after="0" w:line="230" w:lineRule="exact"/>
        <w:tabs>
          <w:tab w:leader="none" w:pos="27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189" w:lineRule="exact"/>
        <w:rPr>
          <w:rFonts w:ascii="Arial" w:cs="Arial" w:eastAsia="Arial" w:hAnsi="Arial"/>
          <w:sz w:val="20"/>
          <w:szCs w:val="20"/>
          <w:color w:val="auto"/>
        </w:rPr>
      </w:pPr>
    </w:p>
    <w:p>
      <w:pPr>
        <w:ind w:left="2780" w:hanging="960"/>
        <w:spacing w:after="0" w:line="230" w:lineRule="exact"/>
        <w:tabs>
          <w:tab w:leader="none" w:pos="27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780" w:hanging="960"/>
        <w:spacing w:after="0" w:line="230" w:lineRule="exact"/>
        <w:tabs>
          <w:tab w:leader="none" w:pos="27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780" w:hanging="960"/>
        <w:spacing w:after="0" w:line="230" w:lineRule="exact"/>
        <w:tabs>
          <w:tab w:leader="none" w:pos="27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780" w:hanging="960"/>
        <w:spacing w:after="0" w:line="230" w:lineRule="exact"/>
        <w:tabs>
          <w:tab w:leader="none" w:pos="27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pacing w:after="0" w:line="229" w:lineRule="exact"/>
        <w:rPr>
          <w:rFonts w:ascii="Arial" w:cs="Arial" w:eastAsia="Arial" w:hAnsi="Arial"/>
          <w:sz w:val="20"/>
          <w:szCs w:val="20"/>
          <w:color w:val="auto"/>
        </w:rPr>
      </w:pPr>
    </w:p>
    <w:p>
      <w:pPr>
        <w:ind w:left="2780" w:hanging="960"/>
        <w:spacing w:after="0" w:line="230" w:lineRule="exact"/>
        <w:tabs>
          <w:tab w:leader="none" w:pos="27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An employee benefit plan or endowment fund in accordance with Rule 13d-1(b)(1)(ii)(F);</w:t>
      </w:r>
    </w:p>
    <w:p>
      <w:pPr>
        <w:spacing w:after="0" w:line="229" w:lineRule="exact"/>
        <w:rPr>
          <w:rFonts w:ascii="Arial" w:cs="Arial" w:eastAsia="Arial" w:hAnsi="Arial"/>
          <w:sz w:val="20"/>
          <w:szCs w:val="20"/>
          <w:color w:val="auto"/>
        </w:rPr>
      </w:pPr>
    </w:p>
    <w:p>
      <w:pPr>
        <w:ind w:left="2780" w:hanging="960"/>
        <w:spacing w:after="0" w:line="230" w:lineRule="exact"/>
        <w:tabs>
          <w:tab w:leader="none" w:pos="27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 parent holding company or control person in accordance with Rule 13d-1(b)(1)(ii)(G);</w:t>
      </w:r>
    </w:p>
    <w:p>
      <w:pPr>
        <w:spacing w:after="0" w:line="229" w:lineRule="exact"/>
        <w:rPr>
          <w:rFonts w:ascii="Arial" w:cs="Arial" w:eastAsia="Arial" w:hAnsi="Arial"/>
          <w:sz w:val="20"/>
          <w:szCs w:val="20"/>
          <w:color w:val="auto"/>
        </w:rPr>
      </w:pPr>
    </w:p>
    <w:p>
      <w:pPr>
        <w:ind w:left="2780" w:hanging="960"/>
        <w:spacing w:after="0" w:line="230" w:lineRule="exact"/>
        <w:tabs>
          <w:tab w:leader="none" w:pos="27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29" w:lineRule="exact"/>
        <w:rPr>
          <w:rFonts w:ascii="Arial" w:cs="Arial" w:eastAsia="Arial" w:hAnsi="Arial"/>
          <w:sz w:val="20"/>
          <w:szCs w:val="20"/>
          <w:color w:val="auto"/>
        </w:rPr>
      </w:pPr>
    </w:p>
    <w:p>
      <w:pPr>
        <w:ind w:left="3300" w:right="180" w:hanging="1480"/>
        <w:spacing w:after="0" w:line="252" w:lineRule="exact"/>
        <w:tabs>
          <w:tab w:leader="none" w:pos="2778"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780" w:hanging="960"/>
        <w:spacing w:after="0" w:line="230" w:lineRule="exact"/>
        <w:tabs>
          <w:tab w:leader="none" w:pos="27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780" w:hanging="960"/>
        <w:spacing w:after="0" w:line="230" w:lineRule="exact"/>
        <w:tabs>
          <w:tab w:leader="none" w:pos="278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53" w:lineRule="exact"/>
        <w:rPr>
          <w:sz w:val="20"/>
          <w:szCs w:val="20"/>
          <w:color w:val="auto"/>
        </w:rPr>
      </w:pPr>
    </w:p>
    <w:p>
      <w:pPr>
        <w:ind w:left="1940" w:right="292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p>
    <w:p>
      <w:pPr>
        <w:sectPr>
          <w:pgSz w:w="11900" w:h="16838" w:orient="portrait"/>
          <w:cols w:equalWidth="0" w:num="1">
            <w:col w:w="11420"/>
          </w:cols>
          <w:pgMar w:left="240" w:top="225" w:right="239" w:bottom="1440" w:gutter="0" w:footer="0" w:header="0"/>
        </w:sectPr>
      </w:pPr>
    </w:p>
    <w:bookmarkStart w:id="8" w:name="page9"/>
    <w:bookmarkEnd w:id="8"/>
    <w:p>
      <w:pPr>
        <w:spacing w:after="0"/>
        <w:tabs>
          <w:tab w:leader="none" w:pos="5460" w:val="left"/>
          <w:tab w:leader="none" w:pos="992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 xml:space="preserve">Page 9 </w:t>
      </w:r>
      <w:r>
        <w:rPr>
          <w:rFonts w:ascii="Arial" w:cs="Arial" w:eastAsia="Arial" w:hAnsi="Arial"/>
          <w:sz w:val="16"/>
          <w:szCs w:val="16"/>
          <w:b w:val="1"/>
          <w:bCs w:val="1"/>
          <w:color w:val="auto"/>
        </w:rPr>
        <w:t>of 11 Pages</w:t>
      </w:r>
    </w:p>
    <w:p>
      <w:pPr>
        <w:sectPr>
          <w:pgSz w:w="11900" w:h="16838" w:orient="portrait"/>
          <w:cols w:equalWidth="0" w:num="1">
            <w:col w:w="11420"/>
          </w:cols>
          <w:pgMar w:left="240" w:top="225" w:right="239" w:bottom="1440" w:gutter="0" w:footer="0" w:header="0"/>
        </w:sectPr>
      </w:pPr>
    </w:p>
    <w:p>
      <w:pPr>
        <w:spacing w:after="0" w:line="241" w:lineRule="exact"/>
        <w:rPr>
          <w:sz w:val="20"/>
          <w:szCs w:val="20"/>
          <w:color w:val="auto"/>
        </w:rPr>
      </w:pPr>
    </w:p>
    <w:p>
      <w:pPr>
        <w:ind w:left="220"/>
        <w:spacing w:after="0"/>
        <w:tabs>
          <w:tab w:leader="none" w:pos="174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 w:lineRule="exact"/>
        <w:rPr>
          <w:sz w:val="20"/>
          <w:szCs w:val="20"/>
          <w:color w:val="auto"/>
        </w:rPr>
      </w:pPr>
    </w:p>
    <w:p>
      <w:pPr>
        <w:ind w:left="1860" w:hanging="817"/>
        <w:spacing w:after="0"/>
        <w:tabs>
          <w:tab w:leader="none" w:pos="1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ind w:left="3100" w:hanging="558"/>
        <w:spacing w:after="0"/>
        <w:tabs>
          <w:tab w:leader="none" w:pos="3100" w:val="left"/>
        </w:tabs>
        <w:numPr>
          <w:ilvl w:val="1"/>
          <w:numId w:val="9"/>
        </w:numPr>
        <w:rPr>
          <w:rFonts w:ascii="Arial" w:cs="Arial" w:eastAsia="Arial" w:hAnsi="Arial"/>
          <w:sz w:val="20"/>
          <w:szCs w:val="20"/>
          <w:color w:val="auto"/>
        </w:rPr>
      </w:pPr>
      <w:r>
        <w:rPr>
          <w:rFonts w:ascii="Arial" w:cs="Arial" w:eastAsia="Arial" w:hAnsi="Arial"/>
          <w:sz w:val="20"/>
          <w:szCs w:val="20"/>
          <w:color w:val="auto"/>
        </w:rPr>
        <w:t>Amount beneficially owned: 1,250,000</w:t>
      </w:r>
    </w:p>
    <w:p>
      <w:pPr>
        <w:jc w:val="both"/>
        <w:ind w:left="3100" w:right="260" w:hanging="558"/>
        <w:spacing w:after="0" w:line="266" w:lineRule="auto"/>
        <w:tabs>
          <w:tab w:leader="none" w:pos="3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5.32%. The percentage set forth in this Schedule 13G/A is calculated based upon the 23,497,680 shares of Common Stock reported to be issued and outstanding as of November 3, 2017 as reflected in the Company's Quarterly Report on Form 10-Q for the quarterly period ended September 30, 2017 filed with the Securities and Exchange Commission on November 7, 2017.</w:t>
      </w:r>
    </w:p>
    <w:p>
      <w:pPr>
        <w:ind w:left="3100" w:hanging="558"/>
        <w:spacing w:after="0"/>
        <w:tabs>
          <w:tab w:leader="none" w:pos="3100" w:val="left"/>
        </w:tabs>
        <w:numPr>
          <w:ilvl w:val="1"/>
          <w:numId w:val="9"/>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900" w:hanging="790"/>
        <w:spacing w:after="0"/>
        <w:tabs>
          <w:tab w:leader="none" w:pos="3900" w:val="left"/>
        </w:tabs>
        <w:numPr>
          <w:ilvl w:val="2"/>
          <w:numId w:val="9"/>
        </w:numPr>
        <w:rPr>
          <w:rFonts w:ascii="Arial" w:cs="Arial" w:eastAsia="Arial" w:hAnsi="Arial"/>
          <w:sz w:val="20"/>
          <w:szCs w:val="20"/>
          <w:color w:val="auto"/>
        </w:rPr>
      </w:pPr>
      <w:r>
        <w:rPr>
          <w:rFonts w:ascii="Arial" w:cs="Arial" w:eastAsia="Arial" w:hAnsi="Arial"/>
          <w:sz w:val="20"/>
          <w:szCs w:val="20"/>
          <w:color w:val="auto"/>
        </w:rPr>
        <w:t>Shared power to vote or direct the vote: 1,250,000</w:t>
      </w:r>
    </w:p>
    <w:p>
      <w:pPr>
        <w:ind w:left="3900" w:hanging="790"/>
        <w:spacing w:after="0"/>
        <w:tabs>
          <w:tab w:leader="none" w:pos="3900" w:val="left"/>
        </w:tabs>
        <w:numPr>
          <w:ilvl w:val="2"/>
          <w:numId w:val="9"/>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900" w:hanging="790"/>
        <w:spacing w:after="0"/>
        <w:tabs>
          <w:tab w:leader="none" w:pos="3900" w:val="left"/>
        </w:tabs>
        <w:numPr>
          <w:ilvl w:val="2"/>
          <w:numId w:val="9"/>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1,250,000</w:t>
      </w:r>
    </w:p>
    <w:p>
      <w:pPr>
        <w:spacing w:after="0" w:line="213" w:lineRule="exact"/>
        <w:rPr>
          <w:sz w:val="20"/>
          <w:szCs w:val="20"/>
          <w:color w:val="auto"/>
        </w:rPr>
      </w:pPr>
    </w:p>
    <w:p>
      <w:pPr>
        <w:ind w:left="120" w:right="140"/>
        <w:spacing w:after="0" w:line="246" w:lineRule="auto"/>
        <w:rPr>
          <w:sz w:val="20"/>
          <w:szCs w:val="20"/>
          <w:color w:val="auto"/>
        </w:rPr>
      </w:pPr>
      <w:r>
        <w:rPr>
          <w:rFonts w:ascii="Arial" w:cs="Arial" w:eastAsia="Arial" w:hAnsi="Arial"/>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Securities Exchange Act of 1934 (the "</w:t>
      </w:r>
      <w:r>
        <w:rPr>
          <w:rFonts w:ascii="Arial" w:cs="Arial" w:eastAsia="Arial" w:hAnsi="Arial"/>
          <w:sz w:val="20"/>
          <w:szCs w:val="20"/>
          <w:u w:val="single" w:color="auto"/>
          <w:color w:val="auto"/>
        </w:rPr>
        <w:t>Act</w:t>
      </w:r>
      <w:r>
        <w:rPr>
          <w:rFonts w:ascii="Arial" w:cs="Arial" w:eastAsia="Arial" w:hAnsi="Arial"/>
          <w:sz w:val="20"/>
          <w:szCs w:val="20"/>
          <w:color w:val="auto"/>
        </w:rPr>
        <w:t>"), ACPGP and ACA may be deemed to beneficially own the shares owned by ACP.</w:t>
      </w:r>
    </w:p>
    <w:p>
      <w:pPr>
        <w:spacing w:after="0" w:line="205" w:lineRule="exact"/>
        <w:rPr>
          <w:sz w:val="20"/>
          <w:szCs w:val="20"/>
          <w:color w:val="auto"/>
        </w:rPr>
      </w:pPr>
    </w:p>
    <w:p>
      <w:pPr>
        <w:ind w:left="1860" w:hanging="817"/>
        <w:spacing w:after="0"/>
        <w:tabs>
          <w:tab w:leader="none" w:pos="1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3220" w:hanging="786"/>
        <w:spacing w:after="0"/>
        <w:tabs>
          <w:tab w:leader="none" w:pos="32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Amount beneficially owned: 1,250,000</w:t>
      </w:r>
    </w:p>
    <w:p>
      <w:pPr>
        <w:ind w:left="3220" w:hanging="786"/>
        <w:spacing w:after="0"/>
        <w:tabs>
          <w:tab w:leader="none" w:pos="32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Percent of class: 5.32%</w:t>
      </w:r>
    </w:p>
    <w:p>
      <w:pPr>
        <w:ind w:left="3220" w:hanging="786"/>
        <w:spacing w:after="0"/>
        <w:tabs>
          <w:tab w:leader="none" w:pos="32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4000" w:hanging="789"/>
        <w:spacing w:after="0"/>
        <w:tabs>
          <w:tab w:leader="none" w:pos="4000" w:val="left"/>
        </w:tabs>
        <w:numPr>
          <w:ilvl w:val="2"/>
          <w:numId w:val="10"/>
        </w:numPr>
        <w:rPr>
          <w:rFonts w:ascii="Arial" w:cs="Arial" w:eastAsia="Arial" w:hAnsi="Arial"/>
          <w:sz w:val="20"/>
          <w:szCs w:val="20"/>
          <w:color w:val="auto"/>
        </w:rPr>
      </w:pPr>
      <w:r>
        <w:rPr>
          <w:rFonts w:ascii="Arial" w:cs="Arial" w:eastAsia="Arial" w:hAnsi="Arial"/>
          <w:sz w:val="20"/>
          <w:szCs w:val="20"/>
          <w:color w:val="auto"/>
        </w:rPr>
        <w:t>Shared power to vote or direct the vote: 1,250,000</w:t>
      </w:r>
    </w:p>
    <w:p>
      <w:pPr>
        <w:ind w:left="4000" w:hanging="789"/>
        <w:spacing w:after="0"/>
        <w:tabs>
          <w:tab w:leader="none" w:pos="4000" w:val="left"/>
        </w:tabs>
        <w:numPr>
          <w:ilvl w:val="2"/>
          <w:numId w:val="10"/>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4000" w:hanging="789"/>
        <w:spacing w:after="0"/>
        <w:tabs>
          <w:tab w:leader="none" w:pos="4000" w:val="left"/>
        </w:tabs>
        <w:numPr>
          <w:ilvl w:val="2"/>
          <w:numId w:val="10"/>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1,250,000</w:t>
      </w:r>
    </w:p>
    <w:p>
      <w:pPr>
        <w:spacing w:after="0" w:line="213" w:lineRule="exact"/>
        <w:rPr>
          <w:sz w:val="20"/>
          <w:szCs w:val="20"/>
          <w:color w:val="auto"/>
        </w:rPr>
      </w:pPr>
    </w:p>
    <w:p>
      <w:pPr>
        <w:jc w:val="both"/>
        <w:ind w:left="120" w:right="32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720" w:right="1900" w:hanging="1617"/>
        <w:spacing w:after="0" w:line="267" w:lineRule="auto"/>
        <w:tabs>
          <w:tab w:leader="none" w:pos="17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 xml:space="preserve">OWNERSHIP OF MORE THAN FIVE PERCENT ON BEHALF OF ANOTHER PERSON </w:t>
      </w:r>
      <w:r>
        <w:rPr>
          <w:rFonts w:ascii="Arial" w:cs="Arial" w:eastAsia="Arial" w:hAnsi="Arial"/>
          <w:sz w:val="20"/>
          <w:szCs w:val="20"/>
          <w:color w:val="auto"/>
        </w:rPr>
        <w:t>Not applicable.</w:t>
      </w:r>
    </w:p>
    <w:p>
      <w:pPr>
        <w:sectPr>
          <w:pgSz w:w="11900" w:h="16838" w:orient="portrait"/>
          <w:cols w:equalWidth="0" w:num="1">
            <w:col w:w="11420"/>
          </w:cols>
          <w:pgMar w:left="240" w:top="225" w:right="239" w:bottom="1440" w:gutter="0" w:footer="0" w:header="0"/>
          <w:type w:val="continuous"/>
        </w:sectPr>
      </w:pPr>
    </w:p>
    <w:bookmarkStart w:id="9" w:name="page10"/>
    <w:bookmarkEnd w:id="9"/>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 xml:space="preserve">Page 10 </w:t>
      </w:r>
      <w:r>
        <w:rPr>
          <w:rFonts w:ascii="Arial" w:cs="Arial" w:eastAsia="Arial" w:hAnsi="Arial"/>
          <w:sz w:val="16"/>
          <w:szCs w:val="16"/>
          <w:b w:val="1"/>
          <w:bCs w:val="1"/>
          <w:color w:val="auto"/>
        </w:rPr>
        <w:t>of 11 Pages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2" w:lineRule="exact"/>
        <w:rPr>
          <w:sz w:val="20"/>
          <w:szCs w:val="20"/>
          <w:color w:val="auto"/>
        </w:rPr>
      </w:pPr>
    </w:p>
    <w:p>
      <w:pPr>
        <w:ind w:left="1720" w:right="1600"/>
        <w:spacing w:after="0" w:line="244" w:lineRule="auto"/>
        <w:rPr>
          <w:sz w:val="20"/>
          <w:szCs w:val="20"/>
          <w:color w:val="auto"/>
        </w:rPr>
      </w:pPr>
      <w:r>
        <w:rPr>
          <w:rFonts w:ascii="Arial" w:cs="Arial" w:eastAsia="Arial" w:hAnsi="Arial"/>
          <w:sz w:val="20"/>
          <w:szCs w:val="20"/>
          <w:b w:val="1"/>
          <w:bCs w:val="1"/>
          <w:color w:val="auto"/>
        </w:rPr>
        <w:t xml:space="preserve">BEING REPORTED ON BY THE PARENT HOLDING COMPANY OR CONTROL PERSON </w:t>
      </w:r>
      <w:r>
        <w:rPr>
          <w:rFonts w:ascii="Arial" w:cs="Arial" w:eastAsia="Arial" w:hAnsi="Arial"/>
          <w:sz w:val="20"/>
          <w:szCs w:val="20"/>
          <w:color w:val="auto"/>
        </w:rPr>
        <w:t>Not applicable.</w:t>
      </w:r>
    </w:p>
    <w:p>
      <w:pPr>
        <w:spacing w:after="0" w:line="200" w:lineRule="exact"/>
        <w:rPr>
          <w:sz w:val="20"/>
          <w:szCs w:val="20"/>
          <w:color w:val="auto"/>
        </w:rPr>
      </w:pPr>
    </w:p>
    <w:p>
      <w:pPr>
        <w:spacing w:after="0" w:line="229"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820" w:right="16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5" w:right="239" w:bottom="1440" w:gutter="0" w:footer="0" w:header="0"/>
          <w:type w:val="continuous"/>
        </w:sectPr>
      </w:pPr>
    </w:p>
    <w:bookmarkStart w:id="10" w:name="page11"/>
    <w:bookmarkEnd w:id="10"/>
    <w:p>
      <w:pPr>
        <w:spacing w:after="0"/>
        <w:tabs>
          <w:tab w:leader="none" w:pos="5460" w:val="left"/>
          <w:tab w:leader="none" w:pos="984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032724106</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 xml:space="preserve">Page 11 </w:t>
      </w:r>
      <w:r>
        <w:rPr>
          <w:rFonts w:ascii="Arial" w:cs="Arial" w:eastAsia="Arial" w:hAnsi="Arial"/>
          <w:sz w:val="16"/>
          <w:szCs w:val="16"/>
          <w:b w:val="1"/>
          <w:bCs w:val="1"/>
          <w:color w:val="auto"/>
        </w:rPr>
        <w:t>of 11 Pages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13, 2018</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 individually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Gross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
    <w:nsid w:val="4DB127F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2019-12-16T08:20:42Z</dcterms:created>
  <dcterms:modified xsi:type="dcterms:W3CDTF">2019-12-16T08:20:42Z</dcterms:modified>
</cp:coreProperties>
</file>