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-185420</wp:posOffset>
            </wp:positionV>
            <wp:extent cx="2633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158115</wp:posOffset>
            </wp:positionV>
            <wp:extent cx="2633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169545</wp:posOffset>
            </wp:positionV>
            <wp:extent cx="2633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pacing w:after="0" w:line="387" w:lineRule="exact"/>
        <w:rPr>
          <w:sz w:val="24"/>
          <w:szCs w:val="24"/>
          <w:color w:val="auto"/>
        </w:rPr>
      </w:pPr>
    </w:p>
    <w:p>
      <w:pPr>
        <w:ind w:left="480" w:hanging="453"/>
        <w:spacing w:after="0"/>
        <w:tabs>
          <w:tab w:leader="none" w:pos="48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June 30, 2018</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152" w:lineRule="exact"/>
        <w:rPr>
          <w:sz w:val="24"/>
          <w:szCs w:val="24"/>
          <w:color w:val="auto"/>
        </w:rPr>
      </w:pPr>
    </w:p>
    <w:p>
      <w:pPr>
        <w:ind w:left="480" w:hanging="453"/>
        <w:spacing w:after="0"/>
        <w:tabs>
          <w:tab w:leader="none" w:pos="4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95" w:lineRule="exact"/>
        <w:rPr>
          <w:sz w:val="24"/>
          <w:szCs w:val="24"/>
          <w:color w:val="auto"/>
        </w:rPr>
      </w:pPr>
    </w:p>
    <w:tbl>
      <w:tblPr>
        <w:tblLayout w:type="fixed"/>
        <w:tblInd w:w="3600" w:type="dxa"/>
        <w:tblCellMar>
          <w:top w:w="0" w:type="dxa"/>
          <w:left w:w="0" w:type="dxa"/>
          <w:bottom w:w="0" w:type="dxa"/>
          <w:right w:w="0" w:type="dxa"/>
        </w:tblCellMar>
      </w:tblPr>
      <w:tr>
        <w:trPr>
          <w:trHeight w:val="195"/>
        </w:trPr>
        <w:tc>
          <w:tcPr>
            <w:tcW w:w="2220" w:type="dxa"/>
            <w:vAlign w:val="bottom"/>
          </w:tcPr>
          <w:p>
            <w:pPr>
              <w:spacing w:after="0"/>
              <w:rPr>
                <w:sz w:val="20"/>
                <w:szCs w:val="20"/>
                <w:color w:val="auto"/>
              </w:rPr>
            </w:pPr>
            <w:r>
              <w:rPr>
                <w:rFonts w:ascii="Arial" w:cs="Arial" w:eastAsia="Arial" w:hAnsi="Arial"/>
                <w:sz w:val="17"/>
                <w:szCs w:val="17"/>
                <w:b w:val="1"/>
                <w:bCs w:val="1"/>
                <w:color w:val="auto"/>
                <w:w w:val="92"/>
              </w:rPr>
              <w:t>For the transition period from</w:t>
            </w:r>
          </w:p>
        </w:tc>
        <w:tc>
          <w:tcPr>
            <w:tcW w:w="86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7"/>
                <w:szCs w:val="17"/>
                <w:b w:val="1"/>
                <w:bCs w:val="1"/>
                <w:color w:val="auto"/>
                <w:w w:val="99"/>
              </w:rPr>
              <w:t>to</w:t>
            </w:r>
          </w:p>
        </w:tc>
        <w:tc>
          <w:tcPr>
            <w:tcW w:w="52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3"/>
        </w:trPr>
        <w:tc>
          <w:tcPr>
            <w:tcW w:w="3820" w:type="dxa"/>
            <w:vAlign w:val="bottom"/>
            <w:gridSpan w:val="4"/>
          </w:tcPr>
          <w:p>
            <w:pPr>
              <w:ind w:left="760"/>
              <w:spacing w:after="0"/>
              <w:rPr>
                <w:sz w:val="20"/>
                <w:szCs w:val="20"/>
                <w:color w:val="auto"/>
              </w:rPr>
            </w:pPr>
            <w:r>
              <w:rPr>
                <w:rFonts w:ascii="Arial" w:cs="Arial" w:eastAsia="Arial" w:hAnsi="Arial"/>
                <w:sz w:val="17"/>
                <w:szCs w:val="17"/>
                <w:b w:val="1"/>
                <w:bCs w:val="1"/>
                <w:color w:val="auto"/>
              </w:rPr>
              <w:t>Commission File Number: 001-37985</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154305</wp:posOffset>
            </wp:positionV>
            <wp:extent cx="2633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ANAPTYSBIO, INC.</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168910</wp:posOffset>
            </wp:positionV>
            <wp:extent cx="2633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p>
      <w:pPr>
        <w:spacing w:after="0" w:line="200" w:lineRule="exact"/>
        <w:rPr>
          <w:sz w:val="24"/>
          <w:szCs w:val="24"/>
          <w:color w:val="auto"/>
        </w:rPr>
      </w:pPr>
    </w:p>
    <w:p>
      <w:pPr>
        <w:spacing w:after="0" w:line="215" w:lineRule="exact"/>
        <w:rPr>
          <w:sz w:val="24"/>
          <w:szCs w:val="24"/>
          <w:color w:val="auto"/>
        </w:rPr>
      </w:pPr>
    </w:p>
    <w:p>
      <w:pPr>
        <w:ind w:left="27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9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20-3828755</w:t>
      </w:r>
    </w:p>
    <w:p>
      <w:pPr>
        <w:spacing w:after="0" w:line="71" w:lineRule="exact"/>
        <w:rPr>
          <w:sz w:val="24"/>
          <w:szCs w:val="24"/>
          <w:color w:val="auto"/>
        </w:rPr>
      </w:pPr>
    </w:p>
    <w:p>
      <w:pPr>
        <w:sectPr>
          <w:pgSz w:w="11900" w:h="16838" w:orient="portrait"/>
          <w:cols w:equalWidth="0" w:num="2">
            <w:col w:w="7280" w:space="720"/>
            <w:col w:w="3420"/>
          </w:cols>
          <w:pgMar w:left="240" w:top="466" w:right="239" w:bottom="1440" w:gutter="0" w:footer="0" w:header="0"/>
          <w:type w:val="continuous"/>
        </w:sectPr>
      </w:pPr>
    </w:p>
    <w:p>
      <w:pPr>
        <w:spacing w:after="0" w:line="7" w:lineRule="exact"/>
        <w:rPr>
          <w:sz w:val="24"/>
          <w:szCs w:val="24"/>
          <w:color w:val="auto"/>
        </w:rPr>
      </w:pPr>
    </w:p>
    <w:p>
      <w:pPr>
        <w:ind w:left="2220"/>
        <w:spacing w:after="0"/>
        <w:rPr>
          <w:sz w:val="20"/>
          <w:szCs w:val="20"/>
          <w:color w:val="auto"/>
        </w:rPr>
      </w:pPr>
      <w:r>
        <w:rPr>
          <w:rFonts w:ascii="Arial" w:cs="Arial" w:eastAsia="Arial" w:hAnsi="Arial"/>
          <w:sz w:val="12"/>
          <w:szCs w:val="12"/>
          <w:b w:val="1"/>
          <w:bCs w:val="1"/>
          <w:color w:val="auto"/>
        </w:rPr>
        <w:t>(State or other jurisdiction of</w:t>
      </w:r>
    </w:p>
    <w:p>
      <w:pPr>
        <w:spacing w:after="0" w:line="16"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4"/>
          <w:szCs w:val="14"/>
          <w:b w:val="1"/>
          <w:bCs w:val="1"/>
          <w:color w:val="auto"/>
        </w:rPr>
        <w:t>(I.R.S. Employer</w:t>
      </w:r>
    </w:p>
    <w:p>
      <w:pPr>
        <w:jc w:val="center"/>
        <w:ind w:right="2340"/>
        <w:spacing w:after="0"/>
        <w:rPr>
          <w:sz w:val="20"/>
          <w:szCs w:val="20"/>
          <w:color w:val="auto"/>
        </w:rPr>
      </w:pPr>
      <w:r>
        <w:rPr>
          <w:rFonts w:ascii="Arial" w:cs="Arial" w:eastAsia="Arial" w:hAnsi="Arial"/>
          <w:sz w:val="12"/>
          <w:szCs w:val="12"/>
          <w:b w:val="1"/>
          <w:bCs w:val="1"/>
          <w:color w:val="auto"/>
        </w:rPr>
        <w:t>Identification Number)</w:t>
      </w:r>
    </w:p>
    <w:p>
      <w:pPr>
        <w:spacing w:after="0" w:line="200" w:lineRule="exact"/>
        <w:rPr>
          <w:sz w:val="24"/>
          <w:szCs w:val="24"/>
          <w:color w:val="auto"/>
        </w:rPr>
      </w:pPr>
    </w:p>
    <w:p>
      <w:pPr>
        <w:sectPr>
          <w:pgSz w:w="11900" w:h="16838" w:orient="portrait"/>
          <w:cols w:equalWidth="0" w:num="2">
            <w:col w:w="7020" w:space="720"/>
            <w:col w:w="3680"/>
          </w:cols>
          <w:pgMar w:left="240" w:top="466" w:right="2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10421 Pacific Center Court, Suite 200</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San Diego, CA 92121</w:t>
      </w:r>
    </w:p>
    <w:p>
      <w:pPr>
        <w:sectPr>
          <w:pgSz w:w="11900" w:h="16838" w:orient="portrait"/>
          <w:cols w:equalWidth="0" w:num="1">
            <w:col w:w="11420"/>
          </w:cols>
          <w:pgMar w:left="240" w:top="466" w:right="239" w:bottom="144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(858) 362-6295</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152400</wp:posOffset>
            </wp:positionV>
            <wp:extent cx="2633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pacing w:after="0" w:line="271"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21" w:lineRule="exact"/>
        <w:rPr>
          <w:sz w:val="24"/>
          <w:szCs w:val="24"/>
          <w:color w:val="auto"/>
        </w:rPr>
      </w:pPr>
    </w:p>
    <w:p>
      <w:pPr>
        <w:ind w:right="140"/>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67"/>
        </w:trPr>
        <w:tc>
          <w:tcPr>
            <w:tcW w:w="21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504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3420" w:type="dxa"/>
            <w:vAlign w:val="bottom"/>
          </w:tcPr>
          <w:p>
            <w:pPr>
              <w:ind w:left="1080"/>
              <w:spacing w:after="0"/>
              <w:rPr>
                <w:sz w:val="20"/>
                <w:szCs w:val="20"/>
                <w:color w:val="auto"/>
              </w:rPr>
            </w:pPr>
            <w:r>
              <w:rPr>
                <w:rFonts w:ascii="Arial" w:cs="Arial" w:eastAsia="Arial" w:hAnsi="Arial"/>
                <w:sz w:val="17"/>
                <w:szCs w:val="17"/>
                <w:color w:val="auto"/>
              </w:rPr>
              <w:t>Accelerated filer</w:t>
            </w:r>
          </w:p>
        </w:tc>
        <w:tc>
          <w:tcPr>
            <w:tcW w:w="660" w:type="dxa"/>
            <w:vAlign w:val="bottom"/>
          </w:tcPr>
          <w:p>
            <w:pPr>
              <w:ind w:left="500"/>
              <w:spacing w:after="0"/>
              <w:rPr>
                <w:sz w:val="20"/>
                <w:szCs w:val="20"/>
                <w:color w:val="auto"/>
              </w:rPr>
            </w:pPr>
            <w:r>
              <w:rPr>
                <w:rFonts w:ascii="Arial" w:cs="Arial" w:eastAsia="Arial" w:hAnsi="Arial"/>
                <w:sz w:val="17"/>
                <w:szCs w:val="17"/>
                <w:color w:val="auto"/>
              </w:rPr>
              <w:t>x</w:t>
            </w:r>
          </w:p>
        </w:tc>
      </w:tr>
      <w:tr>
        <w:trPr>
          <w:trHeight w:val="369"/>
        </w:trPr>
        <w:tc>
          <w:tcPr>
            <w:tcW w:w="2140" w:type="dxa"/>
            <w:vAlign w:val="bottom"/>
          </w:tcPr>
          <w:p>
            <w:pPr>
              <w:spacing w:after="0"/>
              <w:rPr>
                <w:sz w:val="20"/>
                <w:szCs w:val="20"/>
                <w:color w:val="auto"/>
              </w:rPr>
            </w:pPr>
            <w:r>
              <w:rPr>
                <w:rFonts w:ascii="Arial" w:cs="Arial" w:eastAsia="Arial" w:hAnsi="Arial"/>
                <w:sz w:val="17"/>
                <w:szCs w:val="17"/>
                <w:color w:val="auto"/>
              </w:rPr>
              <w:t>Non-accelerated filer</w:t>
            </w:r>
          </w:p>
        </w:tc>
        <w:tc>
          <w:tcPr>
            <w:tcW w:w="5040" w:type="dxa"/>
            <w:vAlign w:val="bottom"/>
          </w:tcPr>
          <w:p>
            <w:pPr>
              <w:ind w:left="6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3420" w:type="dxa"/>
            <w:vAlign w:val="bottom"/>
          </w:tcPr>
          <w:p>
            <w:pPr>
              <w:ind w:left="1080"/>
              <w:spacing w:after="0"/>
              <w:rPr>
                <w:sz w:val="20"/>
                <w:szCs w:val="20"/>
                <w:color w:val="auto"/>
              </w:rPr>
            </w:pPr>
            <w:r>
              <w:rPr>
                <w:rFonts w:ascii="Arial" w:cs="Arial" w:eastAsia="Arial" w:hAnsi="Arial"/>
                <w:sz w:val="17"/>
                <w:szCs w:val="17"/>
                <w:color w:val="auto"/>
              </w:rPr>
              <w:t>Smaller reporting company</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49"/>
        </w:trPr>
        <w:tc>
          <w:tcPr>
            <w:tcW w:w="21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420" w:type="dxa"/>
            <w:vAlign w:val="bottom"/>
          </w:tcPr>
          <w:p>
            <w:pPr>
              <w:ind w:left="1080"/>
              <w:spacing w:after="0"/>
              <w:rPr>
                <w:sz w:val="20"/>
                <w:szCs w:val="20"/>
                <w:color w:val="auto"/>
              </w:rPr>
            </w:pPr>
            <w:r>
              <w:rPr>
                <w:rFonts w:ascii="Arial" w:cs="Arial" w:eastAsia="Arial" w:hAnsi="Arial"/>
                <w:sz w:val="17"/>
                <w:szCs w:val="17"/>
                <w:color w:val="auto"/>
              </w:rPr>
              <w:t>Emerging growth company</w:t>
            </w:r>
          </w:p>
        </w:tc>
        <w:tc>
          <w:tcPr>
            <w:tcW w:w="660" w:type="dxa"/>
            <w:vAlign w:val="bottom"/>
          </w:tcPr>
          <w:p>
            <w:pPr>
              <w:ind w:left="500"/>
              <w:spacing w:after="0"/>
              <w:rPr>
                <w:sz w:val="20"/>
                <w:szCs w:val="20"/>
                <w:color w:val="auto"/>
              </w:rPr>
            </w:pPr>
            <w:r>
              <w:rPr>
                <w:rFonts w:ascii="Arial" w:cs="Arial" w:eastAsia="Arial" w:hAnsi="Arial"/>
                <w:sz w:val="17"/>
                <w:szCs w:val="17"/>
                <w:color w:val="auto"/>
              </w:rPr>
              <w:t>x</w:t>
            </w:r>
          </w:p>
        </w:tc>
      </w:tr>
    </w:tbl>
    <w:p>
      <w:pPr>
        <w:spacing w:after="0" w:line="65" w:lineRule="exact"/>
        <w:rPr>
          <w:sz w:val="24"/>
          <w:szCs w:val="24"/>
          <w:color w:val="auto"/>
        </w:rPr>
      </w:pPr>
    </w:p>
    <w:p>
      <w:pPr>
        <w:ind w:right="280"/>
        <w:spacing w:after="0" w:line="261"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 w:lineRule="exact"/>
        <w:rPr>
          <w:sz w:val="24"/>
          <w:szCs w:val="24"/>
          <w:color w:val="auto"/>
        </w:rPr>
      </w:pPr>
    </w:p>
    <w:p>
      <w:pPr>
        <w:spacing w:after="0" w:line="196" w:lineRule="exact"/>
        <w:tabs>
          <w:tab w:leader="none" w:pos="7200" w:val="left"/>
          <w:tab w:leader="none" w:pos="78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No x</w:t>
      </w:r>
    </w:p>
    <w:p>
      <w:pPr>
        <w:spacing w:after="0" w:line="91" w:lineRule="exact"/>
        <w:rPr>
          <w:sz w:val="24"/>
          <w:szCs w:val="24"/>
          <w:color w:val="auto"/>
        </w:rPr>
      </w:pPr>
    </w:p>
    <w:p>
      <w:pPr>
        <w:spacing w:after="0"/>
        <w:rPr>
          <w:sz w:val="20"/>
          <w:szCs w:val="20"/>
          <w:color w:val="auto"/>
        </w:rPr>
      </w:pPr>
      <w:r>
        <w:rPr>
          <w:rFonts w:ascii="Arial" w:cs="Arial" w:eastAsia="Arial" w:hAnsi="Arial"/>
          <w:sz w:val="17"/>
          <w:szCs w:val="17"/>
          <w:color w:val="auto"/>
        </w:rPr>
        <w:t>As of August 3, 2018, there were 24,036,451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166370</wp:posOffset>
            </wp:positionV>
            <wp:extent cx="2633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3345" cy="82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42"/>
        </w:trPr>
        <w:tc>
          <w:tcPr>
            <w:tcW w:w="1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540" w:type="dxa"/>
            <w:vAlign w:val="bottom"/>
            <w:gridSpan w:val="7"/>
          </w:tcPr>
          <w:p>
            <w:pPr>
              <w:jc w:val="center"/>
              <w:ind w:right="1720"/>
              <w:spacing w:after="0"/>
              <w:rPr>
                <w:sz w:val="20"/>
                <w:szCs w:val="20"/>
                <w:color w:val="auto"/>
              </w:rPr>
            </w:pPr>
            <w:r>
              <w:rPr>
                <w:rFonts w:ascii="Arial" w:cs="Arial" w:eastAsia="Arial" w:hAnsi="Arial"/>
                <w:sz w:val="20"/>
                <w:szCs w:val="20"/>
                <w:b w:val="1"/>
                <w:bCs w:val="1"/>
                <w:color w:val="auto"/>
              </w:rPr>
              <w:t>ANAPTYSBIO, INC.</w:t>
            </w:r>
          </w:p>
        </w:tc>
      </w:tr>
      <w:tr>
        <w:trPr>
          <w:trHeight w:val="263"/>
        </w:trPr>
        <w:tc>
          <w:tcPr>
            <w:tcW w:w="1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540" w:type="dxa"/>
            <w:vAlign w:val="bottom"/>
            <w:gridSpan w:val="7"/>
          </w:tcPr>
          <w:p>
            <w:pPr>
              <w:jc w:val="center"/>
              <w:ind w:right="1720"/>
              <w:spacing w:after="0"/>
              <w:rPr>
                <w:sz w:val="20"/>
                <w:szCs w:val="20"/>
                <w:color w:val="auto"/>
              </w:rPr>
            </w:pPr>
            <w:r>
              <w:rPr>
                <w:rFonts w:ascii="Arial" w:cs="Arial" w:eastAsia="Arial" w:hAnsi="Arial"/>
                <w:sz w:val="20"/>
                <w:szCs w:val="20"/>
                <w:b w:val="1"/>
                <w:bCs w:val="1"/>
                <w:color w:val="auto"/>
              </w:rPr>
              <w:t>TABLE OF CONTENTS</w:t>
            </w:r>
          </w:p>
        </w:tc>
      </w:tr>
      <w:tr>
        <w:trPr>
          <w:trHeight w:val="842"/>
        </w:trPr>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540" w:type="dxa"/>
            <w:vAlign w:val="bottom"/>
            <w:gridSpan w:val="7"/>
          </w:tcPr>
          <w:p>
            <w:pPr>
              <w:jc w:val="center"/>
              <w:ind w:right="1580"/>
              <w:spacing w:after="0"/>
              <w:rPr>
                <w:sz w:val="20"/>
                <w:szCs w:val="20"/>
                <w:color w:val="auto"/>
              </w:rPr>
            </w:pPr>
            <w:r>
              <w:rPr>
                <w:rFonts w:ascii="Arial" w:cs="Arial" w:eastAsia="Arial" w:hAnsi="Arial"/>
                <w:sz w:val="17"/>
                <w:szCs w:val="17"/>
                <w:b w:val="1"/>
                <w:bCs w:val="1"/>
                <w:color w:val="auto"/>
              </w:rPr>
              <w:t>PART I. FINANCIAL INFORMATION</w:t>
            </w:r>
          </w:p>
        </w:tc>
      </w:tr>
      <w:tr>
        <w:trPr>
          <w:trHeight w:val="383"/>
        </w:trPr>
        <w:tc>
          <w:tcPr>
            <w:tcW w:w="1620" w:type="dxa"/>
            <w:vAlign w:val="bottom"/>
          </w:tcPr>
          <w:p>
            <w:pPr>
              <w:spacing w:after="0"/>
              <w:rPr>
                <w:rFonts w:ascii="Arial" w:cs="Arial" w:eastAsia="Arial" w:hAnsi="Arial"/>
                <w:sz w:val="17"/>
                <w:szCs w:val="17"/>
                <w:color w:val="auto"/>
              </w:rPr>
            </w:pPr>
            <w:hyperlink w:anchor="page3">
              <w:r>
                <w:rPr>
                  <w:rFonts w:ascii="Arial" w:cs="Arial" w:eastAsia="Arial" w:hAnsi="Arial"/>
                  <w:sz w:val="17"/>
                  <w:szCs w:val="17"/>
                  <w:color w:val="auto"/>
                </w:rPr>
                <w:t>Item 1.</w:t>
              </w:r>
            </w:hyperlink>
          </w:p>
        </w:tc>
        <w:tc>
          <w:tcPr>
            <w:tcW w:w="8200" w:type="dxa"/>
            <w:vAlign w:val="bottom"/>
            <w:gridSpan w:val="9"/>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Financial Statements (unaudited)</w:t>
              </w:r>
            </w:hyperlink>
          </w:p>
        </w:tc>
      </w:tr>
      <w:tr>
        <w:trPr>
          <w:trHeight w:val="20"/>
        </w:trPr>
        <w:tc>
          <w:tcPr>
            <w:tcW w:w="16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11"/>
        </w:trPr>
        <w:tc>
          <w:tcPr>
            <w:tcW w:w="1620" w:type="dxa"/>
            <w:vAlign w:val="bottom"/>
          </w:tcPr>
          <w:p>
            <w:pPr>
              <w:spacing w:after="0"/>
              <w:rPr>
                <w:sz w:val="24"/>
                <w:szCs w:val="24"/>
                <w:color w:val="auto"/>
              </w:rPr>
            </w:pPr>
          </w:p>
        </w:tc>
        <w:tc>
          <w:tcPr>
            <w:tcW w:w="4980" w:type="dxa"/>
            <w:vAlign w:val="bottom"/>
            <w:tcBorders>
              <w:bottom w:val="single" w:sz="8" w:color="0000EE"/>
            </w:tcBorders>
            <w:gridSpan w:val="6"/>
          </w:tcPr>
          <w:p>
            <w:pPr>
              <w:spacing w:after="0"/>
              <w:rPr>
                <w:rFonts w:ascii="Arial" w:cs="Arial" w:eastAsia="Arial" w:hAnsi="Arial"/>
                <w:sz w:val="17"/>
                <w:szCs w:val="17"/>
                <w:color w:val="0000EE"/>
                <w:w w:val="87"/>
              </w:rPr>
            </w:pPr>
            <w:hyperlink w:anchor="page3">
              <w:r>
                <w:rPr>
                  <w:rFonts w:ascii="Arial" w:cs="Arial" w:eastAsia="Arial" w:hAnsi="Arial"/>
                  <w:sz w:val="17"/>
                  <w:szCs w:val="17"/>
                  <w:color w:val="0000EE"/>
                  <w:w w:val="87"/>
                </w:rPr>
                <w:t>Consolidated Balance Sheets as of June 30, 2018 and December 31, 2017</w:t>
              </w:r>
            </w:hyperlink>
          </w:p>
        </w:tc>
        <w:tc>
          <w:tcPr>
            <w:tcW w:w="3220" w:type="dxa"/>
            <w:vAlign w:val="bottom"/>
            <w:gridSpan w:val="3"/>
          </w:tcPr>
          <w:p>
            <w:pPr>
              <w:spacing w:after="0"/>
              <w:rPr>
                <w:sz w:val="24"/>
                <w:szCs w:val="24"/>
                <w:color w:val="auto"/>
              </w:rPr>
            </w:pPr>
          </w:p>
        </w:tc>
      </w:tr>
      <w:tr>
        <w:trPr>
          <w:trHeight w:val="311"/>
        </w:trPr>
        <w:tc>
          <w:tcPr>
            <w:tcW w:w="1620" w:type="dxa"/>
            <w:vAlign w:val="bottom"/>
          </w:tcPr>
          <w:p>
            <w:pPr>
              <w:spacing w:after="0"/>
              <w:rPr>
                <w:sz w:val="24"/>
                <w:szCs w:val="24"/>
                <w:color w:val="auto"/>
              </w:rPr>
            </w:pPr>
          </w:p>
        </w:tc>
        <w:tc>
          <w:tcPr>
            <w:tcW w:w="8200" w:type="dxa"/>
            <w:vAlign w:val="bottom"/>
            <w:tcBorders>
              <w:bottom w:val="single" w:sz="8" w:color="0000EE"/>
            </w:tcBorders>
            <w:gridSpan w:val="9"/>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Consolidated Statements of Operations and Comprehensive Loss for the Three and Six Months Ended June 30, 2018 and</w:t>
              </w:r>
            </w:hyperlink>
          </w:p>
        </w:tc>
      </w:tr>
      <w:tr>
        <w:trPr>
          <w:trHeight w:val="184"/>
        </w:trPr>
        <w:tc>
          <w:tcPr>
            <w:tcW w:w="1620" w:type="dxa"/>
            <w:vAlign w:val="bottom"/>
          </w:tcPr>
          <w:p>
            <w:pPr>
              <w:spacing w:after="0"/>
              <w:rPr>
                <w:sz w:val="15"/>
                <w:szCs w:val="15"/>
                <w:color w:val="auto"/>
              </w:rPr>
            </w:pPr>
          </w:p>
        </w:tc>
        <w:tc>
          <w:tcPr>
            <w:tcW w:w="320" w:type="dxa"/>
            <w:vAlign w:val="bottom"/>
            <w:tcBorders>
              <w:bottom w:val="single" w:sz="8" w:color="0000EE"/>
            </w:tcBorders>
          </w:tcPr>
          <w:p>
            <w:pPr>
              <w:spacing w:after="0" w:line="184" w:lineRule="exact"/>
              <w:rPr>
                <w:rFonts w:ascii="Arial" w:cs="Arial" w:eastAsia="Arial" w:hAnsi="Arial"/>
                <w:sz w:val="17"/>
                <w:szCs w:val="17"/>
                <w:color w:val="0000EE"/>
                <w:w w:val="79"/>
              </w:rPr>
            </w:pPr>
            <w:hyperlink w:anchor="page4">
              <w:r>
                <w:rPr>
                  <w:rFonts w:ascii="Arial" w:cs="Arial" w:eastAsia="Arial" w:hAnsi="Arial"/>
                  <w:sz w:val="17"/>
                  <w:szCs w:val="17"/>
                  <w:color w:val="0000EE"/>
                  <w:w w:val="79"/>
                </w:rPr>
                <w:t>2017</w:t>
              </w:r>
            </w:hyperlink>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11"/>
        </w:trPr>
        <w:tc>
          <w:tcPr>
            <w:tcW w:w="1620" w:type="dxa"/>
            <w:vAlign w:val="bottom"/>
          </w:tcPr>
          <w:p>
            <w:pPr>
              <w:spacing w:after="0"/>
              <w:rPr>
                <w:sz w:val="24"/>
                <w:szCs w:val="24"/>
                <w:color w:val="auto"/>
              </w:rPr>
            </w:pPr>
          </w:p>
        </w:tc>
        <w:tc>
          <w:tcPr>
            <w:tcW w:w="8200" w:type="dxa"/>
            <w:vAlign w:val="bottom"/>
            <w:gridSpan w:val="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Statements of Cash Flows for the Six Months Ended June 30, 2018 and 2017</w:t>
              </w:r>
            </w:hyperlink>
          </w:p>
        </w:tc>
      </w:tr>
      <w:tr>
        <w:trPr>
          <w:trHeight w:val="311"/>
        </w:trPr>
        <w:tc>
          <w:tcPr>
            <w:tcW w:w="162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89"/>
              </w:rPr>
            </w:pPr>
            <w:hyperlink w:anchor="page6">
              <w:r>
                <w:rPr>
                  <w:rFonts w:ascii="Arial" w:cs="Arial" w:eastAsia="Arial" w:hAnsi="Arial"/>
                  <w:sz w:val="17"/>
                  <w:szCs w:val="17"/>
                  <w:color w:val="0000EE"/>
                  <w:w w:val="89"/>
                </w:rPr>
                <w:t>Notes to the Unaudited Consolidated Financial Statements</w:t>
              </w:r>
            </w:hyperlink>
          </w:p>
        </w:tc>
        <w:tc>
          <w:tcPr>
            <w:tcW w:w="2180" w:type="dxa"/>
            <w:vAlign w:val="bottom"/>
            <w:tcBorders>
              <w:top w:val="single" w:sz="8" w:color="0000EE"/>
            </w:tcBorders>
            <w:gridSpan w:val="4"/>
          </w:tcPr>
          <w:p>
            <w:pPr>
              <w:spacing w:after="0"/>
              <w:rPr>
                <w:sz w:val="24"/>
                <w:szCs w:val="24"/>
                <w:color w:val="auto"/>
              </w:rPr>
            </w:pPr>
          </w:p>
        </w:tc>
        <w:tc>
          <w:tcPr>
            <w:tcW w:w="2060" w:type="dxa"/>
            <w:vAlign w:val="bottom"/>
          </w:tcPr>
          <w:p>
            <w:pPr>
              <w:spacing w:after="0"/>
              <w:rPr>
                <w:sz w:val="24"/>
                <w:szCs w:val="24"/>
                <w:color w:val="auto"/>
              </w:rPr>
            </w:pPr>
          </w:p>
        </w:tc>
      </w:tr>
      <w:tr>
        <w:trPr>
          <w:trHeight w:val="311"/>
        </w:trPr>
        <w:tc>
          <w:tcPr>
            <w:tcW w:w="1620" w:type="dxa"/>
            <w:vAlign w:val="bottom"/>
          </w:tcPr>
          <w:p>
            <w:pPr>
              <w:spacing w:after="0"/>
              <w:rPr>
                <w:rFonts w:ascii="Arial" w:cs="Arial" w:eastAsia="Arial" w:hAnsi="Arial"/>
                <w:sz w:val="17"/>
                <w:szCs w:val="17"/>
                <w:color w:val="auto"/>
              </w:rPr>
            </w:pPr>
            <w:hyperlink w:anchor="page20">
              <w:r>
                <w:rPr>
                  <w:rFonts w:ascii="Arial" w:cs="Arial" w:eastAsia="Arial" w:hAnsi="Arial"/>
                  <w:sz w:val="17"/>
                  <w:szCs w:val="17"/>
                  <w:color w:val="auto"/>
                </w:rPr>
                <w:t>Item 2.</w:t>
              </w:r>
            </w:hyperlink>
          </w:p>
        </w:tc>
        <w:tc>
          <w:tcPr>
            <w:tcW w:w="6080" w:type="dxa"/>
            <w:vAlign w:val="bottom"/>
            <w:tcBorders>
              <w:bottom w:val="single" w:sz="8" w:color="0000EE"/>
            </w:tcBorders>
            <w:gridSpan w:val="7"/>
          </w:tcPr>
          <w:p>
            <w:pPr>
              <w:spacing w:after="0"/>
              <w:rPr>
                <w:rFonts w:ascii="Arial" w:cs="Arial" w:eastAsia="Arial" w:hAnsi="Arial"/>
                <w:sz w:val="17"/>
                <w:szCs w:val="17"/>
                <w:color w:val="0000EE"/>
                <w:w w:val="90"/>
              </w:rPr>
            </w:pPr>
            <w:hyperlink w:anchor="page20">
              <w:r>
                <w:rPr>
                  <w:rFonts w:ascii="Arial" w:cs="Arial" w:eastAsia="Arial" w:hAnsi="Arial"/>
                  <w:sz w:val="17"/>
                  <w:szCs w:val="17"/>
                  <w:color w:val="0000EE"/>
                  <w:w w:val="90"/>
                </w:rPr>
                <w:t>Management’s Discussion and Analysis of Financial Condition and Results of Operations</w:t>
              </w:r>
            </w:hyperlink>
          </w:p>
        </w:tc>
        <w:tc>
          <w:tcPr>
            <w:tcW w:w="2120" w:type="dxa"/>
            <w:vAlign w:val="bottom"/>
            <w:gridSpan w:val="2"/>
          </w:tcPr>
          <w:p>
            <w:pPr>
              <w:spacing w:after="0"/>
              <w:rPr>
                <w:sz w:val="24"/>
                <w:szCs w:val="24"/>
                <w:color w:val="auto"/>
              </w:rPr>
            </w:pPr>
          </w:p>
        </w:tc>
      </w:tr>
      <w:tr>
        <w:trPr>
          <w:trHeight w:val="311"/>
        </w:trPr>
        <w:tc>
          <w:tcPr>
            <w:tcW w:w="1620" w:type="dxa"/>
            <w:vAlign w:val="bottom"/>
          </w:tcPr>
          <w:p>
            <w:pPr>
              <w:spacing w:after="0"/>
              <w:rPr>
                <w:rFonts w:ascii="Arial" w:cs="Arial" w:eastAsia="Arial" w:hAnsi="Arial"/>
                <w:sz w:val="17"/>
                <w:szCs w:val="17"/>
                <w:color w:val="auto"/>
              </w:rPr>
            </w:pPr>
            <w:hyperlink w:anchor="page30">
              <w:r>
                <w:rPr>
                  <w:rFonts w:ascii="Arial" w:cs="Arial" w:eastAsia="Arial" w:hAnsi="Arial"/>
                  <w:sz w:val="17"/>
                  <w:szCs w:val="17"/>
                  <w:color w:val="auto"/>
                </w:rPr>
                <w:t>Item 3.</w:t>
              </w:r>
            </w:hyperlink>
          </w:p>
        </w:tc>
        <w:tc>
          <w:tcPr>
            <w:tcW w:w="410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30">
              <w:r>
                <w:rPr>
                  <w:rFonts w:ascii="Arial" w:cs="Arial" w:eastAsia="Arial" w:hAnsi="Arial"/>
                  <w:sz w:val="17"/>
                  <w:szCs w:val="17"/>
                  <w:color w:val="0000EE"/>
                  <w:w w:val="91"/>
                </w:rPr>
                <w:t>Quantitative and Qualitative Disclosures About Market Risk</w:t>
              </w:r>
            </w:hyperlink>
          </w:p>
        </w:tc>
        <w:tc>
          <w:tcPr>
            <w:tcW w:w="4100" w:type="dxa"/>
            <w:vAlign w:val="bottom"/>
            <w:gridSpan w:val="4"/>
          </w:tcPr>
          <w:p>
            <w:pPr>
              <w:spacing w:after="0"/>
              <w:rPr>
                <w:sz w:val="24"/>
                <w:szCs w:val="24"/>
                <w:color w:val="auto"/>
              </w:rPr>
            </w:pPr>
          </w:p>
        </w:tc>
      </w:tr>
      <w:tr>
        <w:trPr>
          <w:trHeight w:val="311"/>
        </w:trPr>
        <w:tc>
          <w:tcPr>
            <w:tcW w:w="1620" w:type="dxa"/>
            <w:vAlign w:val="bottom"/>
          </w:tcPr>
          <w:p>
            <w:pPr>
              <w:spacing w:after="0"/>
              <w:rPr>
                <w:rFonts w:ascii="Arial" w:cs="Arial" w:eastAsia="Arial" w:hAnsi="Arial"/>
                <w:sz w:val="17"/>
                <w:szCs w:val="17"/>
                <w:color w:val="auto"/>
              </w:rPr>
            </w:pPr>
            <w:hyperlink w:anchor="page30">
              <w:r>
                <w:rPr>
                  <w:rFonts w:ascii="Arial" w:cs="Arial" w:eastAsia="Arial" w:hAnsi="Arial"/>
                  <w:sz w:val="17"/>
                  <w:szCs w:val="17"/>
                  <w:color w:val="auto"/>
                </w:rPr>
                <w:t>Item 4.</w:t>
              </w:r>
            </w:hyperlink>
          </w:p>
        </w:tc>
        <w:tc>
          <w:tcPr>
            <w:tcW w:w="8200" w:type="dxa"/>
            <w:vAlign w:val="bottom"/>
            <w:gridSpan w:val="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Controls and Procedures</w:t>
              </w:r>
            </w:hyperlink>
          </w:p>
        </w:tc>
      </w:tr>
      <w:tr>
        <w:trPr>
          <w:trHeight w:val="653"/>
        </w:trPr>
        <w:tc>
          <w:tcPr>
            <w:tcW w:w="16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6540" w:type="dxa"/>
            <w:vAlign w:val="bottom"/>
            <w:gridSpan w:val="7"/>
          </w:tcPr>
          <w:p>
            <w:pPr>
              <w:jc w:val="center"/>
              <w:ind w:right="1580"/>
              <w:spacing w:after="0"/>
              <w:rPr>
                <w:sz w:val="20"/>
                <w:szCs w:val="20"/>
                <w:color w:val="auto"/>
              </w:rPr>
            </w:pPr>
            <w:r>
              <w:rPr>
                <w:rFonts w:ascii="Arial" w:cs="Arial" w:eastAsia="Arial" w:hAnsi="Arial"/>
                <w:sz w:val="17"/>
                <w:szCs w:val="17"/>
                <w:b w:val="1"/>
                <w:bCs w:val="1"/>
                <w:color w:val="auto"/>
              </w:rPr>
              <w:t>PART II. OTHER 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-2147570</wp:posOffset>
            </wp:positionV>
            <wp:extent cx="7254240" cy="2101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2101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-1727835</wp:posOffset>
            </wp:positionV>
            <wp:extent cx="7254240" cy="339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240" cy="3390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-1178560</wp:posOffset>
            </wp:positionV>
            <wp:extent cx="7254240" cy="210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2101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-758190</wp:posOffset>
            </wp:positionV>
            <wp:extent cx="7254240" cy="210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2101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-337820</wp:posOffset>
            </wp:positionV>
            <wp:extent cx="7254240" cy="193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240" cy="1936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wp:posOffset>
            </wp:positionV>
            <wp:extent cx="7254240" cy="193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240" cy="193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43815</wp:posOffset>
            </wp:positionV>
            <wp:extent cx="9372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420"/>
        <w:spacing w:after="0"/>
        <w:rPr>
          <w:rFonts w:ascii="Arial" w:cs="Arial" w:eastAsia="Arial" w:hAnsi="Arial"/>
          <w:sz w:val="17"/>
          <w:szCs w:val="17"/>
          <w:color w:val="auto"/>
        </w:rPr>
      </w:pPr>
      <w:hyperlink w:anchor="page3">
        <w:r>
          <w:rPr>
            <w:rFonts w:ascii="Arial" w:cs="Arial" w:eastAsia="Arial" w:hAnsi="Arial"/>
            <w:sz w:val="17"/>
            <w:szCs w:val="17"/>
            <w:color w:val="auto"/>
          </w:rPr>
          <w:t>1</w:t>
        </w:r>
      </w:hyperlink>
    </w:p>
    <w:p>
      <w:pPr>
        <w:spacing w:after="0" w:line="135" w:lineRule="exact"/>
        <w:rPr>
          <w:sz w:val="20"/>
          <w:szCs w:val="20"/>
          <w:color w:val="auto"/>
        </w:rPr>
      </w:pPr>
    </w:p>
    <w:p>
      <w:pPr>
        <w:ind w:left="420"/>
        <w:spacing w:after="0"/>
        <w:rPr>
          <w:rFonts w:ascii="Arial" w:cs="Arial" w:eastAsia="Arial" w:hAnsi="Arial"/>
          <w:sz w:val="17"/>
          <w:szCs w:val="17"/>
          <w:color w:val="auto"/>
        </w:rPr>
      </w:pPr>
      <w:hyperlink w:anchor="page3">
        <w:r>
          <w:rPr>
            <w:rFonts w:ascii="Arial" w:cs="Arial" w:eastAsia="Arial" w:hAnsi="Arial"/>
            <w:sz w:val="17"/>
            <w:szCs w:val="17"/>
            <w:color w:val="auto"/>
          </w:rPr>
          <w:t>1</w:t>
        </w:r>
      </w:hyperlink>
    </w:p>
    <w:p>
      <w:pPr>
        <w:spacing w:after="0" w:line="339" w:lineRule="exact"/>
        <w:rPr>
          <w:sz w:val="20"/>
          <w:szCs w:val="20"/>
          <w:color w:val="auto"/>
        </w:rPr>
      </w:pPr>
    </w:p>
    <w:p>
      <w:pPr>
        <w:ind w:left="420"/>
        <w:spacing w:after="0"/>
        <w:rPr>
          <w:rFonts w:ascii="Arial" w:cs="Arial" w:eastAsia="Arial" w:hAnsi="Arial"/>
          <w:sz w:val="17"/>
          <w:szCs w:val="17"/>
          <w:color w:val="auto"/>
        </w:rPr>
      </w:pPr>
      <w:hyperlink w:anchor="page4">
        <w:r>
          <w:rPr>
            <w:rFonts w:ascii="Arial" w:cs="Arial" w:eastAsia="Arial" w:hAnsi="Arial"/>
            <w:sz w:val="17"/>
            <w:szCs w:val="17"/>
            <w:color w:val="auto"/>
          </w:rPr>
          <w:t>2</w:t>
        </w:r>
      </w:hyperlink>
    </w:p>
    <w:p>
      <w:pPr>
        <w:spacing w:after="0" w:line="135" w:lineRule="exact"/>
        <w:rPr>
          <w:sz w:val="20"/>
          <w:szCs w:val="20"/>
          <w:color w:val="auto"/>
        </w:rPr>
      </w:pPr>
    </w:p>
    <w:p>
      <w:pPr>
        <w:ind w:left="420"/>
        <w:spacing w:after="0"/>
        <w:rPr>
          <w:rFonts w:ascii="Arial" w:cs="Arial" w:eastAsia="Arial" w:hAnsi="Arial"/>
          <w:sz w:val="17"/>
          <w:szCs w:val="17"/>
          <w:color w:val="auto"/>
        </w:rPr>
      </w:pPr>
      <w:hyperlink w:anchor="page5">
        <w:r>
          <w:rPr>
            <w:rFonts w:ascii="Arial" w:cs="Arial" w:eastAsia="Arial" w:hAnsi="Arial"/>
            <w:sz w:val="17"/>
            <w:szCs w:val="17"/>
            <w:color w:val="auto"/>
          </w:rPr>
          <w:t>3</w:t>
        </w:r>
      </w:hyperlink>
    </w:p>
    <w:p>
      <w:pPr>
        <w:spacing w:after="0" w:line="135" w:lineRule="exact"/>
        <w:rPr>
          <w:sz w:val="20"/>
          <w:szCs w:val="20"/>
          <w:color w:val="auto"/>
        </w:rPr>
      </w:pPr>
    </w:p>
    <w:p>
      <w:pPr>
        <w:ind w:left="420"/>
        <w:spacing w:after="0"/>
        <w:rPr>
          <w:rFonts w:ascii="Arial" w:cs="Arial" w:eastAsia="Arial" w:hAnsi="Arial"/>
          <w:sz w:val="17"/>
          <w:szCs w:val="17"/>
          <w:color w:val="auto"/>
        </w:rPr>
      </w:pPr>
      <w:hyperlink w:anchor="page6">
        <w:r>
          <w:rPr>
            <w:rFonts w:ascii="Arial" w:cs="Arial" w:eastAsia="Arial" w:hAnsi="Arial"/>
            <w:sz w:val="17"/>
            <w:szCs w:val="17"/>
            <w:color w:val="auto"/>
          </w:rPr>
          <w:t>4</w:t>
        </w:r>
      </w:hyperlink>
    </w:p>
    <w:p>
      <w:pPr>
        <w:spacing w:after="0" w:line="135" w:lineRule="exact"/>
        <w:rPr>
          <w:sz w:val="20"/>
          <w:szCs w:val="20"/>
          <w:color w:val="auto"/>
        </w:rPr>
      </w:pPr>
    </w:p>
    <w:p>
      <w:pPr>
        <w:ind w:left="380"/>
        <w:spacing w:after="0"/>
        <w:rPr>
          <w:rFonts w:ascii="Arial" w:cs="Arial" w:eastAsia="Arial" w:hAnsi="Arial"/>
          <w:sz w:val="17"/>
          <w:szCs w:val="17"/>
          <w:color w:val="auto"/>
        </w:rPr>
      </w:pPr>
      <w:hyperlink w:anchor="page20">
        <w:r>
          <w:rPr>
            <w:rFonts w:ascii="Arial" w:cs="Arial" w:eastAsia="Arial" w:hAnsi="Arial"/>
            <w:sz w:val="17"/>
            <w:szCs w:val="17"/>
            <w:color w:val="auto"/>
          </w:rPr>
          <w:t>18</w:t>
        </w:r>
      </w:hyperlink>
    </w:p>
    <w:p>
      <w:pPr>
        <w:spacing w:after="0" w:line="135" w:lineRule="exact"/>
        <w:rPr>
          <w:sz w:val="20"/>
          <w:szCs w:val="20"/>
          <w:color w:val="auto"/>
        </w:rPr>
      </w:pPr>
    </w:p>
    <w:p>
      <w:pPr>
        <w:ind w:left="380"/>
        <w:spacing w:after="0"/>
        <w:rPr>
          <w:rFonts w:ascii="Arial" w:cs="Arial" w:eastAsia="Arial" w:hAnsi="Arial"/>
          <w:sz w:val="17"/>
          <w:szCs w:val="17"/>
          <w:color w:val="auto"/>
        </w:rPr>
      </w:pPr>
      <w:hyperlink w:anchor="page30">
        <w:r>
          <w:rPr>
            <w:rFonts w:ascii="Arial" w:cs="Arial" w:eastAsia="Arial" w:hAnsi="Arial"/>
            <w:sz w:val="17"/>
            <w:szCs w:val="17"/>
            <w:color w:val="auto"/>
          </w:rPr>
          <w:t>28</w:t>
        </w:r>
      </w:hyperlink>
    </w:p>
    <w:p>
      <w:pPr>
        <w:spacing w:after="0" w:line="135" w:lineRule="exact"/>
        <w:rPr>
          <w:sz w:val="20"/>
          <w:szCs w:val="20"/>
          <w:color w:val="auto"/>
        </w:rPr>
      </w:pPr>
    </w:p>
    <w:p>
      <w:pPr>
        <w:ind w:left="380"/>
        <w:spacing w:after="0"/>
        <w:rPr>
          <w:rFonts w:ascii="Arial" w:cs="Arial" w:eastAsia="Arial" w:hAnsi="Arial"/>
          <w:sz w:val="17"/>
          <w:szCs w:val="17"/>
          <w:color w:val="auto"/>
        </w:rPr>
      </w:pPr>
      <w:hyperlink w:anchor="page30">
        <w:r>
          <w:rPr>
            <w:rFonts w:ascii="Arial" w:cs="Arial" w:eastAsia="Arial" w:hAnsi="Arial"/>
            <w:sz w:val="17"/>
            <w:szCs w:val="17"/>
            <w:color w:val="auto"/>
          </w:rPr>
          <w:t>28</w:t>
        </w:r>
      </w:hyperlink>
    </w:p>
    <w:p>
      <w:pPr>
        <w:spacing w:after="0" w:line="779" w:lineRule="exact"/>
        <w:rPr>
          <w:sz w:val="20"/>
          <w:szCs w:val="20"/>
          <w:color w:val="auto"/>
        </w:rPr>
      </w:pPr>
    </w:p>
    <w:p>
      <w:pPr>
        <w:sectPr>
          <w:pgSz w:w="11900" w:h="16838" w:orient="portrait"/>
          <w:cols w:equalWidth="0" w:num="2">
            <w:col w:w="9840" w:space="380"/>
            <w:col w:w="1200"/>
          </w:cols>
          <w:pgMar w:left="240" w:top="356" w:right="239" w:bottom="1440" w:gutter="0" w:footer="0" w:header="0"/>
        </w:sectPr>
      </w:pP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ind w:left="20"/>
              <w:spacing w:after="0"/>
              <w:rPr>
                <w:rFonts w:ascii="Arial" w:cs="Arial" w:eastAsia="Arial" w:hAnsi="Arial"/>
                <w:sz w:val="17"/>
                <w:szCs w:val="17"/>
                <w:color w:val="auto"/>
              </w:rPr>
            </w:pPr>
            <w:hyperlink w:anchor="page31">
              <w:r>
                <w:rPr>
                  <w:rFonts w:ascii="Arial" w:cs="Arial" w:eastAsia="Arial" w:hAnsi="Arial"/>
                  <w:sz w:val="17"/>
                  <w:szCs w:val="17"/>
                  <w:color w:val="auto"/>
                </w:rPr>
                <w:t>Item 1.</w:t>
              </w:r>
            </w:hyperlink>
          </w:p>
        </w:tc>
        <w:tc>
          <w:tcPr>
            <w:tcW w:w="7020" w:type="dxa"/>
            <w:vAlign w:val="bottom"/>
            <w:gridSpan w:val="9"/>
          </w:tcPr>
          <w:p>
            <w:pPr>
              <w:ind w:left="500"/>
              <w:spacing w:after="0"/>
              <w:rPr>
                <w:rFonts w:ascii="Arial" w:cs="Arial" w:eastAsia="Arial" w:hAnsi="Arial"/>
                <w:sz w:val="17"/>
                <w:szCs w:val="17"/>
                <w:color w:val="0000EE"/>
              </w:rPr>
            </w:pPr>
            <w:hyperlink w:anchor="page31">
              <w:r>
                <w:rPr>
                  <w:rFonts w:ascii="Arial" w:cs="Arial" w:eastAsia="Arial" w:hAnsi="Arial"/>
                  <w:sz w:val="17"/>
                  <w:szCs w:val="17"/>
                  <w:color w:val="0000EE"/>
                </w:rPr>
                <w:t>Legal Proceedings</w:t>
              </w:r>
            </w:hyperlink>
          </w:p>
        </w:tc>
        <w:tc>
          <w:tcPr>
            <w:tcW w:w="3260" w:type="dxa"/>
            <w:vAlign w:val="bottom"/>
            <w:vMerge w:val="restart"/>
          </w:tcPr>
          <w:p>
            <w:pPr>
              <w:jc w:val="right"/>
              <w:ind w:right="555"/>
              <w:spacing w:after="0"/>
              <w:rPr>
                <w:rFonts w:ascii="Arial" w:cs="Arial" w:eastAsia="Arial" w:hAnsi="Arial"/>
                <w:sz w:val="17"/>
                <w:szCs w:val="17"/>
                <w:color w:val="auto"/>
              </w:rPr>
            </w:pPr>
            <w:hyperlink w:anchor="page31">
              <w:r>
                <w:rPr>
                  <w:rFonts w:ascii="Arial" w:cs="Arial" w:eastAsia="Arial" w:hAnsi="Arial"/>
                  <w:sz w:val="17"/>
                  <w:szCs w:val="17"/>
                  <w:color w:val="auto"/>
                </w:rPr>
                <w:t>29</w:t>
              </w:r>
            </w:hyperlink>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140" w:type="dxa"/>
            <w:vAlign w:val="bottom"/>
            <w:shd w:val="clear" w:color="auto" w:fill="CCEEFF"/>
          </w:tcPr>
          <w:p>
            <w:pPr>
              <w:ind w:left="20"/>
              <w:spacing w:after="0" w:line="191" w:lineRule="exact"/>
              <w:rPr>
                <w:rFonts w:ascii="Arial" w:cs="Arial" w:eastAsia="Arial" w:hAnsi="Arial"/>
                <w:sz w:val="17"/>
                <w:szCs w:val="17"/>
                <w:color w:val="auto"/>
              </w:rPr>
            </w:pPr>
            <w:hyperlink w:anchor="page31">
              <w:r>
                <w:rPr>
                  <w:rFonts w:ascii="Arial" w:cs="Arial" w:eastAsia="Arial" w:hAnsi="Arial"/>
                  <w:sz w:val="17"/>
                  <w:szCs w:val="17"/>
                  <w:color w:val="auto"/>
                </w:rPr>
                <w:t>Item 1A.</w:t>
              </w:r>
            </w:hyperlink>
          </w:p>
        </w:tc>
        <w:tc>
          <w:tcPr>
            <w:tcW w:w="7020" w:type="dxa"/>
            <w:vAlign w:val="bottom"/>
            <w:gridSpan w:val="9"/>
            <w:shd w:val="clear" w:color="auto" w:fill="CCEEFF"/>
          </w:tcPr>
          <w:p>
            <w:pPr>
              <w:ind w:left="500"/>
              <w:spacing w:after="0" w:line="191" w:lineRule="exact"/>
              <w:rPr>
                <w:rFonts w:ascii="Arial" w:cs="Arial" w:eastAsia="Arial" w:hAnsi="Arial"/>
                <w:sz w:val="17"/>
                <w:szCs w:val="17"/>
                <w:color w:val="0000EE"/>
              </w:rPr>
            </w:pPr>
            <w:hyperlink w:anchor="page31">
              <w:r>
                <w:rPr>
                  <w:rFonts w:ascii="Arial" w:cs="Arial" w:eastAsia="Arial" w:hAnsi="Arial"/>
                  <w:sz w:val="17"/>
                  <w:szCs w:val="17"/>
                  <w:color w:val="0000EE"/>
                </w:rPr>
                <w:t>Risk Factors</w:t>
              </w:r>
            </w:hyperlink>
          </w:p>
        </w:tc>
        <w:tc>
          <w:tcPr>
            <w:tcW w:w="3260" w:type="dxa"/>
            <w:vAlign w:val="bottom"/>
            <w:vMerge w:val="restart"/>
            <w:shd w:val="clear" w:color="auto" w:fill="CCEEFF"/>
          </w:tcPr>
          <w:p>
            <w:pPr>
              <w:jc w:val="right"/>
              <w:ind w:right="555"/>
              <w:spacing w:after="0"/>
              <w:rPr>
                <w:rFonts w:ascii="Arial" w:cs="Arial" w:eastAsia="Arial" w:hAnsi="Arial"/>
                <w:sz w:val="17"/>
                <w:szCs w:val="17"/>
                <w:color w:val="auto"/>
              </w:rPr>
            </w:pPr>
            <w:hyperlink w:anchor="page31">
              <w:r>
                <w:rPr>
                  <w:rFonts w:ascii="Arial" w:cs="Arial" w:eastAsia="Arial" w:hAnsi="Arial"/>
                  <w:sz w:val="17"/>
                  <w:szCs w:val="17"/>
                  <w:color w:val="auto"/>
                </w:rPr>
                <w:t>29</w:t>
              </w:r>
            </w:hyperlink>
          </w:p>
        </w:tc>
        <w:tc>
          <w:tcPr>
            <w:tcW w:w="0" w:type="dxa"/>
            <w:vAlign w:val="bottom"/>
          </w:tcPr>
          <w:p>
            <w:pPr>
              <w:spacing w:after="0"/>
              <w:rPr>
                <w:sz w:val="1"/>
                <w:szCs w:val="1"/>
                <w:color w:val="auto"/>
              </w:rPr>
            </w:pPr>
          </w:p>
        </w:tc>
      </w:tr>
      <w:tr>
        <w:trPr>
          <w:trHeight w:val="100"/>
        </w:trPr>
        <w:tc>
          <w:tcPr>
            <w:tcW w:w="1140" w:type="dxa"/>
            <w:vAlign w:val="bottom"/>
            <w:tcBorders>
              <w:top w:val="single" w:sz="8" w:color="CCEEFF"/>
              <w:bottom w:val="single" w:sz="8" w:color="CCEEFF"/>
            </w:tcBorders>
            <w:shd w:val="clear" w:color="auto" w:fill="CCEEFF"/>
          </w:tcPr>
          <w:p>
            <w:pPr>
              <w:spacing w:after="0"/>
              <w:rPr>
                <w:sz w:val="8"/>
                <w:szCs w:val="8"/>
                <w:color w:val="auto"/>
              </w:rPr>
            </w:pPr>
          </w:p>
        </w:tc>
        <w:tc>
          <w:tcPr>
            <w:tcW w:w="50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0000EE"/>
              <w:bottom w:val="single" w:sz="8" w:color="CCEEFF"/>
            </w:tcBorders>
            <w:shd w:val="clear" w:color="auto" w:fill="CCEEFF"/>
          </w:tcPr>
          <w:p>
            <w:pPr>
              <w:spacing w:after="0"/>
              <w:rPr>
                <w:sz w:val="8"/>
                <w:szCs w:val="8"/>
                <w:color w:val="auto"/>
              </w:rPr>
            </w:pPr>
          </w:p>
        </w:tc>
        <w:tc>
          <w:tcPr>
            <w:tcW w:w="280" w:type="dxa"/>
            <w:vAlign w:val="bottom"/>
            <w:tcBorders>
              <w:top w:val="single" w:sz="8" w:color="0000EE"/>
              <w:bottom w:val="single" w:sz="8" w:color="CCEEFF"/>
            </w:tcBorders>
            <w:shd w:val="clear" w:color="auto" w:fill="CCEEFF"/>
          </w:tcPr>
          <w:p>
            <w:pPr>
              <w:spacing w:after="0"/>
              <w:rPr>
                <w:sz w:val="8"/>
                <w:szCs w:val="8"/>
                <w:color w:val="auto"/>
              </w:rPr>
            </w:pPr>
          </w:p>
        </w:tc>
        <w:tc>
          <w:tcPr>
            <w:tcW w:w="380" w:type="dxa"/>
            <w:vAlign w:val="bottom"/>
            <w:tcBorders>
              <w:top w:val="single" w:sz="8" w:color="CCEEFF"/>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420" w:type="dxa"/>
            <w:vAlign w:val="bottom"/>
            <w:tcBorders>
              <w:top w:val="single" w:sz="8" w:color="CCEEFF"/>
              <w:bottom w:val="single" w:sz="8" w:color="CCEEFF"/>
            </w:tcBorders>
            <w:shd w:val="clear" w:color="auto" w:fill="CCEEFF"/>
          </w:tcPr>
          <w:p>
            <w:pPr>
              <w:spacing w:after="0"/>
              <w:rPr>
                <w:sz w:val="8"/>
                <w:szCs w:val="8"/>
                <w:color w:val="auto"/>
              </w:rPr>
            </w:pPr>
          </w:p>
        </w:tc>
        <w:tc>
          <w:tcPr>
            <w:tcW w:w="520" w:type="dxa"/>
            <w:vAlign w:val="bottom"/>
            <w:tcBorders>
              <w:top w:val="single" w:sz="8" w:color="CCEEFF"/>
              <w:bottom w:val="single" w:sz="8" w:color="CCEEFF"/>
            </w:tcBorders>
            <w:shd w:val="clear" w:color="auto" w:fill="CCEEFF"/>
          </w:tcPr>
          <w:p>
            <w:pPr>
              <w:spacing w:after="0"/>
              <w:rPr>
                <w:sz w:val="8"/>
                <w:szCs w:val="8"/>
                <w:color w:val="auto"/>
              </w:rPr>
            </w:pPr>
          </w:p>
        </w:tc>
        <w:tc>
          <w:tcPr>
            <w:tcW w:w="1900" w:type="dxa"/>
            <w:vAlign w:val="bottom"/>
            <w:tcBorders>
              <w:top w:val="single" w:sz="8" w:color="CCEEFF"/>
              <w:bottom w:val="single" w:sz="8" w:color="CCEEFF"/>
            </w:tcBorders>
            <w:shd w:val="clear" w:color="auto" w:fill="CCEEFF"/>
          </w:tcPr>
          <w:p>
            <w:pPr>
              <w:spacing w:after="0"/>
              <w:rPr>
                <w:sz w:val="8"/>
                <w:szCs w:val="8"/>
                <w:color w:val="auto"/>
              </w:rPr>
            </w:pPr>
          </w:p>
        </w:tc>
        <w:tc>
          <w:tcPr>
            <w:tcW w:w="2440" w:type="dxa"/>
            <w:vAlign w:val="bottom"/>
            <w:tcBorders>
              <w:top w:val="single" w:sz="8" w:color="CCEEFF"/>
              <w:bottom w:val="single" w:sz="8" w:color="CCEEFF"/>
            </w:tcBorders>
            <w:shd w:val="clear" w:color="auto" w:fill="CCEEFF"/>
          </w:tcPr>
          <w:p>
            <w:pPr>
              <w:spacing w:after="0"/>
              <w:rPr>
                <w:sz w:val="8"/>
                <w:szCs w:val="8"/>
                <w:color w:val="auto"/>
              </w:rPr>
            </w:pPr>
          </w:p>
        </w:tc>
        <w:tc>
          <w:tcPr>
            <w:tcW w:w="3260" w:type="dxa"/>
            <w:vAlign w:val="bottom"/>
            <w:tcBorders>
              <w:top w:val="single" w:sz="8" w:color="CCEEFF"/>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140" w:type="dxa"/>
            <w:vAlign w:val="bottom"/>
          </w:tcPr>
          <w:p>
            <w:pPr>
              <w:ind w:left="20"/>
              <w:spacing w:after="0" w:line="191" w:lineRule="exact"/>
              <w:rPr>
                <w:rFonts w:ascii="Arial" w:cs="Arial" w:eastAsia="Arial" w:hAnsi="Arial"/>
                <w:sz w:val="17"/>
                <w:szCs w:val="17"/>
                <w:color w:val="auto"/>
              </w:rPr>
            </w:pPr>
            <w:hyperlink w:anchor="page63">
              <w:r>
                <w:rPr>
                  <w:rFonts w:ascii="Arial" w:cs="Arial" w:eastAsia="Arial" w:hAnsi="Arial"/>
                  <w:sz w:val="17"/>
                  <w:szCs w:val="17"/>
                  <w:color w:val="auto"/>
                </w:rPr>
                <w:t>Item 2.</w:t>
              </w:r>
            </w:hyperlink>
          </w:p>
        </w:tc>
        <w:tc>
          <w:tcPr>
            <w:tcW w:w="7020" w:type="dxa"/>
            <w:vAlign w:val="bottom"/>
            <w:gridSpan w:val="9"/>
          </w:tcPr>
          <w:p>
            <w:pPr>
              <w:ind w:left="500"/>
              <w:spacing w:after="0" w:line="191" w:lineRule="exact"/>
              <w:rPr>
                <w:rFonts w:ascii="Arial" w:cs="Arial" w:eastAsia="Arial" w:hAnsi="Arial"/>
                <w:sz w:val="17"/>
                <w:szCs w:val="17"/>
                <w:color w:val="0000EE"/>
              </w:rPr>
            </w:pPr>
            <w:hyperlink w:anchor="page63">
              <w:r>
                <w:rPr>
                  <w:rFonts w:ascii="Arial" w:cs="Arial" w:eastAsia="Arial" w:hAnsi="Arial"/>
                  <w:sz w:val="17"/>
                  <w:szCs w:val="17"/>
                  <w:color w:val="0000EE"/>
                </w:rPr>
                <w:t>Unregistered Sales of Equity Securities and Use of Proceeds</w:t>
              </w:r>
            </w:hyperlink>
          </w:p>
        </w:tc>
        <w:tc>
          <w:tcPr>
            <w:tcW w:w="3260" w:type="dxa"/>
            <w:vAlign w:val="bottom"/>
            <w:vMerge w:val="restart"/>
          </w:tcPr>
          <w:p>
            <w:pPr>
              <w:jc w:val="right"/>
              <w:ind w:right="555"/>
              <w:spacing w:after="0"/>
              <w:rPr>
                <w:rFonts w:ascii="Arial" w:cs="Arial" w:eastAsia="Arial" w:hAnsi="Arial"/>
                <w:sz w:val="17"/>
                <w:szCs w:val="17"/>
                <w:color w:val="auto"/>
              </w:rPr>
            </w:pPr>
            <w:hyperlink w:anchor="page63">
              <w:r>
                <w:rPr>
                  <w:rFonts w:ascii="Arial" w:cs="Arial" w:eastAsia="Arial" w:hAnsi="Arial"/>
                  <w:sz w:val="17"/>
                  <w:szCs w:val="17"/>
                  <w:color w:val="auto"/>
                </w:rPr>
                <w:t>61</w:t>
              </w:r>
            </w:hyperlink>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1900" w:type="dxa"/>
            <w:vAlign w:val="bottom"/>
            <w:tcBorders>
              <w:top w:val="single" w:sz="8" w:color="0000EE"/>
            </w:tcBorders>
          </w:tcPr>
          <w:p>
            <w:pPr>
              <w:spacing w:after="0"/>
              <w:rPr>
                <w:sz w:val="8"/>
                <w:szCs w:val="8"/>
                <w:color w:val="auto"/>
              </w:rPr>
            </w:pPr>
          </w:p>
        </w:tc>
        <w:tc>
          <w:tcPr>
            <w:tcW w:w="244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140" w:type="dxa"/>
            <w:vAlign w:val="bottom"/>
            <w:shd w:val="clear" w:color="auto" w:fill="CCEEFF"/>
          </w:tcPr>
          <w:p>
            <w:pPr>
              <w:ind w:left="20"/>
              <w:spacing w:after="0" w:line="191" w:lineRule="exact"/>
              <w:rPr>
                <w:rFonts w:ascii="Arial" w:cs="Arial" w:eastAsia="Arial" w:hAnsi="Arial"/>
                <w:sz w:val="17"/>
                <w:szCs w:val="17"/>
                <w:color w:val="auto"/>
              </w:rPr>
            </w:pPr>
            <w:hyperlink w:anchor="page63">
              <w:r>
                <w:rPr>
                  <w:rFonts w:ascii="Arial" w:cs="Arial" w:eastAsia="Arial" w:hAnsi="Arial"/>
                  <w:sz w:val="17"/>
                  <w:szCs w:val="17"/>
                  <w:color w:val="auto"/>
                </w:rPr>
                <w:t>Item 3.</w:t>
              </w:r>
            </w:hyperlink>
          </w:p>
        </w:tc>
        <w:tc>
          <w:tcPr>
            <w:tcW w:w="7020" w:type="dxa"/>
            <w:vAlign w:val="bottom"/>
            <w:gridSpan w:val="9"/>
            <w:shd w:val="clear" w:color="auto" w:fill="CCEEFF"/>
          </w:tcPr>
          <w:p>
            <w:pPr>
              <w:ind w:left="500"/>
              <w:spacing w:after="0" w:line="191" w:lineRule="exact"/>
              <w:rPr>
                <w:rFonts w:ascii="Arial" w:cs="Arial" w:eastAsia="Arial" w:hAnsi="Arial"/>
                <w:sz w:val="17"/>
                <w:szCs w:val="17"/>
                <w:color w:val="0000EE"/>
              </w:rPr>
            </w:pPr>
            <w:hyperlink w:anchor="page63">
              <w:r>
                <w:rPr>
                  <w:rFonts w:ascii="Arial" w:cs="Arial" w:eastAsia="Arial" w:hAnsi="Arial"/>
                  <w:sz w:val="17"/>
                  <w:szCs w:val="17"/>
                  <w:color w:val="0000EE"/>
                </w:rPr>
                <w:t>Defaults Upon Senior Securities</w:t>
              </w:r>
            </w:hyperlink>
          </w:p>
        </w:tc>
        <w:tc>
          <w:tcPr>
            <w:tcW w:w="3260" w:type="dxa"/>
            <w:vAlign w:val="bottom"/>
            <w:vMerge w:val="restart"/>
            <w:shd w:val="clear" w:color="auto" w:fill="CCEEFF"/>
          </w:tcPr>
          <w:p>
            <w:pPr>
              <w:jc w:val="right"/>
              <w:ind w:right="555"/>
              <w:spacing w:after="0"/>
              <w:rPr>
                <w:rFonts w:ascii="Arial" w:cs="Arial" w:eastAsia="Arial" w:hAnsi="Arial"/>
                <w:sz w:val="17"/>
                <w:szCs w:val="17"/>
                <w:color w:val="auto"/>
              </w:rPr>
            </w:pPr>
            <w:hyperlink w:anchor="page63">
              <w:r>
                <w:rPr>
                  <w:rFonts w:ascii="Arial" w:cs="Arial" w:eastAsia="Arial" w:hAnsi="Arial"/>
                  <w:sz w:val="17"/>
                  <w:szCs w:val="17"/>
                  <w:color w:val="auto"/>
                </w:rPr>
                <w:t>61</w:t>
              </w:r>
            </w:hyperlink>
          </w:p>
        </w:tc>
        <w:tc>
          <w:tcPr>
            <w:tcW w:w="0" w:type="dxa"/>
            <w:vAlign w:val="bottom"/>
          </w:tcPr>
          <w:p>
            <w:pPr>
              <w:spacing w:after="0"/>
              <w:rPr>
                <w:sz w:val="1"/>
                <w:szCs w:val="1"/>
                <w:color w:val="auto"/>
              </w:rPr>
            </w:pPr>
          </w:p>
        </w:tc>
      </w:tr>
      <w:tr>
        <w:trPr>
          <w:trHeight w:val="100"/>
        </w:trPr>
        <w:tc>
          <w:tcPr>
            <w:tcW w:w="1140" w:type="dxa"/>
            <w:vAlign w:val="bottom"/>
            <w:tcBorders>
              <w:top w:val="single" w:sz="8" w:color="CCEEFF"/>
              <w:bottom w:val="single" w:sz="8" w:color="CCEEFF"/>
            </w:tcBorders>
            <w:shd w:val="clear" w:color="auto" w:fill="CCEEFF"/>
          </w:tcPr>
          <w:p>
            <w:pPr>
              <w:spacing w:after="0"/>
              <w:rPr>
                <w:sz w:val="8"/>
                <w:szCs w:val="8"/>
                <w:color w:val="auto"/>
              </w:rPr>
            </w:pPr>
          </w:p>
        </w:tc>
        <w:tc>
          <w:tcPr>
            <w:tcW w:w="50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0000EE"/>
              <w:bottom w:val="single" w:sz="8" w:color="CCEEFF"/>
            </w:tcBorders>
            <w:shd w:val="clear" w:color="auto" w:fill="CCEEFF"/>
          </w:tcPr>
          <w:p>
            <w:pPr>
              <w:spacing w:after="0"/>
              <w:rPr>
                <w:sz w:val="8"/>
                <w:szCs w:val="8"/>
                <w:color w:val="auto"/>
              </w:rPr>
            </w:pPr>
          </w:p>
        </w:tc>
        <w:tc>
          <w:tcPr>
            <w:tcW w:w="280" w:type="dxa"/>
            <w:vAlign w:val="bottom"/>
            <w:tcBorders>
              <w:top w:val="single" w:sz="8" w:color="0000EE"/>
              <w:bottom w:val="single" w:sz="8" w:color="CCEEFF"/>
            </w:tcBorders>
            <w:shd w:val="clear" w:color="auto" w:fill="CCEEFF"/>
          </w:tcPr>
          <w:p>
            <w:pPr>
              <w:spacing w:after="0"/>
              <w:rPr>
                <w:sz w:val="8"/>
                <w:szCs w:val="8"/>
                <w:color w:val="auto"/>
              </w:rPr>
            </w:pPr>
          </w:p>
        </w:tc>
        <w:tc>
          <w:tcPr>
            <w:tcW w:w="380" w:type="dxa"/>
            <w:vAlign w:val="bottom"/>
            <w:tcBorders>
              <w:top w:val="single" w:sz="8" w:color="0000EE"/>
              <w:bottom w:val="single" w:sz="8" w:color="CCEEFF"/>
            </w:tcBorders>
            <w:shd w:val="clear" w:color="auto" w:fill="CCEEFF"/>
          </w:tcPr>
          <w:p>
            <w:pPr>
              <w:spacing w:after="0"/>
              <w:rPr>
                <w:sz w:val="8"/>
                <w:szCs w:val="8"/>
                <w:color w:val="auto"/>
              </w:rPr>
            </w:pPr>
          </w:p>
        </w:tc>
        <w:tc>
          <w:tcPr>
            <w:tcW w:w="20" w:type="dxa"/>
            <w:vAlign w:val="bottom"/>
            <w:tcBorders>
              <w:top w:val="single" w:sz="8" w:color="0000EE"/>
              <w:bottom w:val="single" w:sz="8" w:color="CCEEFF"/>
            </w:tcBorders>
            <w:shd w:val="clear" w:color="auto" w:fill="CCEEFF"/>
          </w:tcPr>
          <w:p>
            <w:pPr>
              <w:spacing w:after="0"/>
              <w:rPr>
                <w:sz w:val="8"/>
                <w:szCs w:val="8"/>
                <w:color w:val="auto"/>
              </w:rPr>
            </w:pPr>
          </w:p>
        </w:tc>
        <w:tc>
          <w:tcPr>
            <w:tcW w:w="420" w:type="dxa"/>
            <w:vAlign w:val="bottom"/>
            <w:tcBorders>
              <w:top w:val="single" w:sz="8" w:color="0000EE"/>
              <w:bottom w:val="single" w:sz="8" w:color="CCEEFF"/>
            </w:tcBorders>
            <w:shd w:val="clear" w:color="auto" w:fill="CCEEFF"/>
          </w:tcPr>
          <w:p>
            <w:pPr>
              <w:spacing w:after="0"/>
              <w:rPr>
                <w:sz w:val="8"/>
                <w:szCs w:val="8"/>
                <w:color w:val="auto"/>
              </w:rPr>
            </w:pPr>
          </w:p>
        </w:tc>
        <w:tc>
          <w:tcPr>
            <w:tcW w:w="520" w:type="dxa"/>
            <w:vAlign w:val="bottom"/>
            <w:tcBorders>
              <w:top w:val="single" w:sz="8" w:color="0000EE"/>
              <w:bottom w:val="single" w:sz="8" w:color="CCEEFF"/>
            </w:tcBorders>
            <w:shd w:val="clear" w:color="auto" w:fill="CCEEFF"/>
          </w:tcPr>
          <w:p>
            <w:pPr>
              <w:spacing w:after="0"/>
              <w:rPr>
                <w:sz w:val="8"/>
                <w:szCs w:val="8"/>
                <w:color w:val="auto"/>
              </w:rPr>
            </w:pPr>
          </w:p>
        </w:tc>
        <w:tc>
          <w:tcPr>
            <w:tcW w:w="1900" w:type="dxa"/>
            <w:vAlign w:val="bottom"/>
            <w:tcBorders>
              <w:top w:val="single" w:sz="8" w:color="CCEEFF"/>
              <w:bottom w:val="single" w:sz="8" w:color="CCEEFF"/>
            </w:tcBorders>
            <w:shd w:val="clear" w:color="auto" w:fill="CCEEFF"/>
          </w:tcPr>
          <w:p>
            <w:pPr>
              <w:spacing w:after="0"/>
              <w:rPr>
                <w:sz w:val="8"/>
                <w:szCs w:val="8"/>
                <w:color w:val="auto"/>
              </w:rPr>
            </w:pPr>
          </w:p>
        </w:tc>
        <w:tc>
          <w:tcPr>
            <w:tcW w:w="2440" w:type="dxa"/>
            <w:vAlign w:val="bottom"/>
            <w:tcBorders>
              <w:top w:val="single" w:sz="8" w:color="CCEEFF"/>
              <w:bottom w:val="single" w:sz="8" w:color="CCEEFF"/>
            </w:tcBorders>
            <w:shd w:val="clear" w:color="auto" w:fill="CCEEFF"/>
          </w:tcPr>
          <w:p>
            <w:pPr>
              <w:spacing w:after="0"/>
              <w:rPr>
                <w:sz w:val="8"/>
                <w:szCs w:val="8"/>
                <w:color w:val="auto"/>
              </w:rPr>
            </w:pPr>
          </w:p>
        </w:tc>
        <w:tc>
          <w:tcPr>
            <w:tcW w:w="3260" w:type="dxa"/>
            <w:vAlign w:val="bottom"/>
            <w:tcBorders>
              <w:top w:val="single" w:sz="8" w:color="CCEEFF"/>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140" w:type="dxa"/>
            <w:vAlign w:val="bottom"/>
          </w:tcPr>
          <w:p>
            <w:pPr>
              <w:ind w:left="20"/>
              <w:spacing w:after="0" w:line="191" w:lineRule="exact"/>
              <w:rPr>
                <w:rFonts w:ascii="Arial" w:cs="Arial" w:eastAsia="Arial" w:hAnsi="Arial"/>
                <w:sz w:val="17"/>
                <w:szCs w:val="17"/>
                <w:color w:val="auto"/>
              </w:rPr>
            </w:pPr>
            <w:hyperlink w:anchor="page63">
              <w:r>
                <w:rPr>
                  <w:rFonts w:ascii="Arial" w:cs="Arial" w:eastAsia="Arial" w:hAnsi="Arial"/>
                  <w:sz w:val="17"/>
                  <w:szCs w:val="17"/>
                  <w:color w:val="auto"/>
                </w:rPr>
                <w:t>Item 4.</w:t>
              </w:r>
            </w:hyperlink>
          </w:p>
        </w:tc>
        <w:tc>
          <w:tcPr>
            <w:tcW w:w="7020" w:type="dxa"/>
            <w:vAlign w:val="bottom"/>
            <w:gridSpan w:val="9"/>
          </w:tcPr>
          <w:p>
            <w:pPr>
              <w:ind w:left="500"/>
              <w:spacing w:after="0" w:line="191" w:lineRule="exact"/>
              <w:rPr>
                <w:rFonts w:ascii="Arial" w:cs="Arial" w:eastAsia="Arial" w:hAnsi="Arial"/>
                <w:sz w:val="17"/>
                <w:szCs w:val="17"/>
                <w:color w:val="0000EE"/>
              </w:rPr>
            </w:pPr>
            <w:hyperlink w:anchor="page63">
              <w:r>
                <w:rPr>
                  <w:rFonts w:ascii="Arial" w:cs="Arial" w:eastAsia="Arial" w:hAnsi="Arial"/>
                  <w:sz w:val="17"/>
                  <w:szCs w:val="17"/>
                  <w:color w:val="0000EE"/>
                </w:rPr>
                <w:t>Mine Safety Disclosures</w:t>
              </w:r>
            </w:hyperlink>
          </w:p>
        </w:tc>
        <w:tc>
          <w:tcPr>
            <w:tcW w:w="3260" w:type="dxa"/>
            <w:vAlign w:val="bottom"/>
            <w:vMerge w:val="restart"/>
          </w:tcPr>
          <w:p>
            <w:pPr>
              <w:jc w:val="right"/>
              <w:ind w:right="555"/>
              <w:spacing w:after="0"/>
              <w:rPr>
                <w:rFonts w:ascii="Arial" w:cs="Arial" w:eastAsia="Arial" w:hAnsi="Arial"/>
                <w:sz w:val="17"/>
                <w:szCs w:val="17"/>
                <w:color w:val="auto"/>
              </w:rPr>
            </w:pPr>
            <w:hyperlink w:anchor="page63">
              <w:r>
                <w:rPr>
                  <w:rFonts w:ascii="Arial" w:cs="Arial" w:eastAsia="Arial" w:hAnsi="Arial"/>
                  <w:sz w:val="17"/>
                  <w:szCs w:val="17"/>
                  <w:color w:val="auto"/>
                </w:rPr>
                <w:t>61</w:t>
              </w:r>
            </w:hyperlink>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140" w:type="dxa"/>
            <w:vAlign w:val="bottom"/>
            <w:shd w:val="clear" w:color="auto" w:fill="CCEEFF"/>
          </w:tcPr>
          <w:p>
            <w:pPr>
              <w:ind w:left="20"/>
              <w:spacing w:after="0" w:line="191" w:lineRule="exact"/>
              <w:rPr>
                <w:rFonts w:ascii="Arial" w:cs="Arial" w:eastAsia="Arial" w:hAnsi="Arial"/>
                <w:sz w:val="17"/>
                <w:szCs w:val="17"/>
                <w:color w:val="auto"/>
              </w:rPr>
            </w:pPr>
            <w:hyperlink w:anchor="page63">
              <w:r>
                <w:rPr>
                  <w:rFonts w:ascii="Arial" w:cs="Arial" w:eastAsia="Arial" w:hAnsi="Arial"/>
                  <w:sz w:val="17"/>
                  <w:szCs w:val="17"/>
                  <w:color w:val="auto"/>
                </w:rPr>
                <w:t>Item 5.</w:t>
              </w:r>
            </w:hyperlink>
          </w:p>
        </w:tc>
        <w:tc>
          <w:tcPr>
            <w:tcW w:w="7020" w:type="dxa"/>
            <w:vAlign w:val="bottom"/>
            <w:gridSpan w:val="9"/>
            <w:shd w:val="clear" w:color="auto" w:fill="CCEEFF"/>
          </w:tcPr>
          <w:p>
            <w:pPr>
              <w:ind w:left="500"/>
              <w:spacing w:after="0" w:line="191" w:lineRule="exact"/>
              <w:rPr>
                <w:rFonts w:ascii="Arial" w:cs="Arial" w:eastAsia="Arial" w:hAnsi="Arial"/>
                <w:sz w:val="17"/>
                <w:szCs w:val="17"/>
                <w:color w:val="0000EE"/>
              </w:rPr>
            </w:pPr>
            <w:hyperlink w:anchor="page63">
              <w:r>
                <w:rPr>
                  <w:rFonts w:ascii="Arial" w:cs="Arial" w:eastAsia="Arial" w:hAnsi="Arial"/>
                  <w:sz w:val="17"/>
                  <w:szCs w:val="17"/>
                  <w:color w:val="0000EE"/>
                </w:rPr>
                <w:t>Other Information</w:t>
              </w:r>
            </w:hyperlink>
          </w:p>
        </w:tc>
        <w:tc>
          <w:tcPr>
            <w:tcW w:w="3260" w:type="dxa"/>
            <w:vAlign w:val="bottom"/>
            <w:vMerge w:val="restart"/>
            <w:shd w:val="clear" w:color="auto" w:fill="CCEEFF"/>
          </w:tcPr>
          <w:p>
            <w:pPr>
              <w:jc w:val="right"/>
              <w:ind w:right="555"/>
              <w:spacing w:after="0"/>
              <w:rPr>
                <w:rFonts w:ascii="Arial" w:cs="Arial" w:eastAsia="Arial" w:hAnsi="Arial"/>
                <w:sz w:val="17"/>
                <w:szCs w:val="17"/>
                <w:color w:val="auto"/>
              </w:rPr>
            </w:pPr>
            <w:hyperlink w:anchor="page63">
              <w:r>
                <w:rPr>
                  <w:rFonts w:ascii="Arial" w:cs="Arial" w:eastAsia="Arial" w:hAnsi="Arial"/>
                  <w:sz w:val="17"/>
                  <w:szCs w:val="17"/>
                  <w:color w:val="auto"/>
                </w:rPr>
                <w:t>61</w:t>
              </w:r>
            </w:hyperlink>
          </w:p>
        </w:tc>
        <w:tc>
          <w:tcPr>
            <w:tcW w:w="0" w:type="dxa"/>
            <w:vAlign w:val="bottom"/>
          </w:tcPr>
          <w:p>
            <w:pPr>
              <w:spacing w:after="0"/>
              <w:rPr>
                <w:sz w:val="1"/>
                <w:szCs w:val="1"/>
                <w:color w:val="auto"/>
              </w:rPr>
            </w:pPr>
          </w:p>
        </w:tc>
      </w:tr>
      <w:tr>
        <w:trPr>
          <w:trHeight w:val="100"/>
        </w:trPr>
        <w:tc>
          <w:tcPr>
            <w:tcW w:w="1140" w:type="dxa"/>
            <w:vAlign w:val="bottom"/>
            <w:tcBorders>
              <w:top w:val="single" w:sz="8" w:color="CCEEFF"/>
              <w:bottom w:val="single" w:sz="8" w:color="CCEEFF"/>
            </w:tcBorders>
            <w:shd w:val="clear" w:color="auto" w:fill="CCEEFF"/>
          </w:tcPr>
          <w:p>
            <w:pPr>
              <w:spacing w:after="0"/>
              <w:rPr>
                <w:sz w:val="8"/>
                <w:szCs w:val="8"/>
                <w:color w:val="auto"/>
              </w:rPr>
            </w:pPr>
          </w:p>
        </w:tc>
        <w:tc>
          <w:tcPr>
            <w:tcW w:w="50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0000EE"/>
              <w:bottom w:val="single" w:sz="8" w:color="CCEEFF"/>
            </w:tcBorders>
            <w:shd w:val="clear" w:color="auto" w:fill="CCEEFF"/>
          </w:tcPr>
          <w:p>
            <w:pPr>
              <w:spacing w:after="0"/>
              <w:rPr>
                <w:sz w:val="8"/>
                <w:szCs w:val="8"/>
                <w:color w:val="auto"/>
              </w:rPr>
            </w:pPr>
          </w:p>
        </w:tc>
        <w:tc>
          <w:tcPr>
            <w:tcW w:w="280" w:type="dxa"/>
            <w:vAlign w:val="bottom"/>
            <w:tcBorders>
              <w:top w:val="single" w:sz="8" w:color="0000EE"/>
              <w:bottom w:val="single" w:sz="8" w:color="CCEEFF"/>
            </w:tcBorders>
            <w:shd w:val="clear" w:color="auto" w:fill="CCEEFF"/>
          </w:tcPr>
          <w:p>
            <w:pPr>
              <w:spacing w:after="0"/>
              <w:rPr>
                <w:sz w:val="8"/>
                <w:szCs w:val="8"/>
                <w:color w:val="auto"/>
              </w:rPr>
            </w:pPr>
          </w:p>
        </w:tc>
        <w:tc>
          <w:tcPr>
            <w:tcW w:w="380" w:type="dxa"/>
            <w:vAlign w:val="bottom"/>
            <w:tcBorders>
              <w:top w:val="single" w:sz="8" w:color="0000EE"/>
              <w:bottom w:val="single" w:sz="8" w:color="CCEEFF"/>
            </w:tcBorders>
            <w:shd w:val="clear" w:color="auto" w:fill="CCEEFF"/>
          </w:tcPr>
          <w:p>
            <w:pPr>
              <w:spacing w:after="0"/>
              <w:rPr>
                <w:sz w:val="8"/>
                <w:szCs w:val="8"/>
                <w:color w:val="auto"/>
              </w:rPr>
            </w:pP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420" w:type="dxa"/>
            <w:vAlign w:val="bottom"/>
            <w:tcBorders>
              <w:top w:val="single" w:sz="8" w:color="CCEEFF"/>
              <w:bottom w:val="single" w:sz="8" w:color="CCEEFF"/>
            </w:tcBorders>
            <w:shd w:val="clear" w:color="auto" w:fill="CCEEFF"/>
          </w:tcPr>
          <w:p>
            <w:pPr>
              <w:spacing w:after="0"/>
              <w:rPr>
                <w:sz w:val="8"/>
                <w:szCs w:val="8"/>
                <w:color w:val="auto"/>
              </w:rPr>
            </w:pPr>
          </w:p>
        </w:tc>
        <w:tc>
          <w:tcPr>
            <w:tcW w:w="520" w:type="dxa"/>
            <w:vAlign w:val="bottom"/>
            <w:tcBorders>
              <w:top w:val="single" w:sz="8" w:color="CCEEFF"/>
              <w:bottom w:val="single" w:sz="8" w:color="CCEEFF"/>
            </w:tcBorders>
            <w:shd w:val="clear" w:color="auto" w:fill="CCEEFF"/>
          </w:tcPr>
          <w:p>
            <w:pPr>
              <w:spacing w:after="0"/>
              <w:rPr>
                <w:sz w:val="8"/>
                <w:szCs w:val="8"/>
                <w:color w:val="auto"/>
              </w:rPr>
            </w:pPr>
          </w:p>
        </w:tc>
        <w:tc>
          <w:tcPr>
            <w:tcW w:w="1900" w:type="dxa"/>
            <w:vAlign w:val="bottom"/>
            <w:tcBorders>
              <w:top w:val="single" w:sz="8" w:color="CCEEFF"/>
              <w:bottom w:val="single" w:sz="8" w:color="CCEEFF"/>
            </w:tcBorders>
            <w:shd w:val="clear" w:color="auto" w:fill="CCEEFF"/>
          </w:tcPr>
          <w:p>
            <w:pPr>
              <w:spacing w:after="0"/>
              <w:rPr>
                <w:sz w:val="8"/>
                <w:szCs w:val="8"/>
                <w:color w:val="auto"/>
              </w:rPr>
            </w:pPr>
          </w:p>
        </w:tc>
        <w:tc>
          <w:tcPr>
            <w:tcW w:w="2440" w:type="dxa"/>
            <w:vAlign w:val="bottom"/>
            <w:tcBorders>
              <w:top w:val="single" w:sz="8" w:color="CCEEFF"/>
              <w:bottom w:val="single" w:sz="8" w:color="CCEEFF"/>
            </w:tcBorders>
            <w:shd w:val="clear" w:color="auto" w:fill="CCEEFF"/>
          </w:tcPr>
          <w:p>
            <w:pPr>
              <w:spacing w:after="0"/>
              <w:rPr>
                <w:sz w:val="8"/>
                <w:szCs w:val="8"/>
                <w:color w:val="auto"/>
              </w:rPr>
            </w:pPr>
          </w:p>
        </w:tc>
        <w:tc>
          <w:tcPr>
            <w:tcW w:w="3260" w:type="dxa"/>
            <w:vAlign w:val="bottom"/>
            <w:tcBorders>
              <w:top w:val="single" w:sz="8" w:color="CCEEFF"/>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140" w:type="dxa"/>
            <w:vAlign w:val="bottom"/>
          </w:tcPr>
          <w:p>
            <w:pPr>
              <w:ind w:left="20"/>
              <w:spacing w:after="0" w:line="191" w:lineRule="exact"/>
              <w:rPr>
                <w:rFonts w:ascii="Arial" w:cs="Arial" w:eastAsia="Arial" w:hAnsi="Arial"/>
                <w:sz w:val="17"/>
                <w:szCs w:val="17"/>
                <w:color w:val="auto"/>
              </w:rPr>
            </w:pPr>
            <w:hyperlink w:anchor="page63">
              <w:r>
                <w:rPr>
                  <w:rFonts w:ascii="Arial" w:cs="Arial" w:eastAsia="Arial" w:hAnsi="Arial"/>
                  <w:sz w:val="17"/>
                  <w:szCs w:val="17"/>
                  <w:color w:val="auto"/>
                </w:rPr>
                <w:t>Item 6.</w:t>
              </w:r>
            </w:hyperlink>
          </w:p>
        </w:tc>
        <w:tc>
          <w:tcPr>
            <w:tcW w:w="7020" w:type="dxa"/>
            <w:vAlign w:val="bottom"/>
            <w:gridSpan w:val="9"/>
          </w:tcPr>
          <w:p>
            <w:pPr>
              <w:ind w:left="500"/>
              <w:spacing w:after="0" w:line="191" w:lineRule="exact"/>
              <w:rPr>
                <w:rFonts w:ascii="Arial" w:cs="Arial" w:eastAsia="Arial" w:hAnsi="Arial"/>
                <w:sz w:val="17"/>
                <w:szCs w:val="17"/>
                <w:color w:val="0000EE"/>
              </w:rPr>
            </w:pPr>
            <w:hyperlink w:anchor="page63">
              <w:r>
                <w:rPr>
                  <w:rFonts w:ascii="Arial" w:cs="Arial" w:eastAsia="Arial" w:hAnsi="Arial"/>
                  <w:sz w:val="17"/>
                  <w:szCs w:val="17"/>
                  <w:color w:val="0000EE"/>
                </w:rPr>
                <w:t>Exhibits</w:t>
              </w:r>
            </w:hyperlink>
          </w:p>
        </w:tc>
        <w:tc>
          <w:tcPr>
            <w:tcW w:w="3260" w:type="dxa"/>
            <w:vAlign w:val="bottom"/>
            <w:vMerge w:val="restart"/>
          </w:tcPr>
          <w:p>
            <w:pPr>
              <w:jc w:val="right"/>
              <w:ind w:right="555"/>
              <w:spacing w:after="0"/>
              <w:rPr>
                <w:rFonts w:ascii="Arial" w:cs="Arial" w:eastAsia="Arial" w:hAnsi="Arial"/>
                <w:sz w:val="17"/>
                <w:szCs w:val="17"/>
                <w:color w:val="auto"/>
              </w:rPr>
            </w:pPr>
            <w:hyperlink w:anchor="page63">
              <w:r>
                <w:rPr>
                  <w:rFonts w:ascii="Arial" w:cs="Arial" w:eastAsia="Arial" w:hAnsi="Arial"/>
                  <w:sz w:val="17"/>
                  <w:szCs w:val="17"/>
                  <w:color w:val="auto"/>
                </w:rPr>
                <w:t>61</w:t>
              </w:r>
            </w:hyperlink>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gridSpan w:val="4"/>
            <w:shd w:val="clear" w:color="auto" w:fill="CCEEFF"/>
          </w:tcPr>
          <w:p>
            <w:pPr>
              <w:ind w:left="1640"/>
              <w:spacing w:after="0"/>
              <w:rPr>
                <w:rFonts w:ascii="Arial" w:cs="Arial" w:eastAsia="Arial" w:hAnsi="Arial"/>
                <w:sz w:val="17"/>
                <w:szCs w:val="17"/>
                <w:color w:val="0000EE"/>
              </w:rPr>
            </w:pPr>
            <w:hyperlink w:anchor="page64">
              <w:r>
                <w:rPr>
                  <w:rFonts w:ascii="Arial" w:cs="Arial" w:eastAsia="Arial" w:hAnsi="Arial"/>
                  <w:sz w:val="17"/>
                  <w:szCs w:val="17"/>
                  <w:color w:val="0000EE"/>
                </w:rPr>
                <w:t>Exhibit Index</w:t>
              </w:r>
            </w:hyperlink>
          </w:p>
        </w:tc>
        <w:tc>
          <w:tcPr>
            <w:tcW w:w="4840" w:type="dxa"/>
            <w:vAlign w:val="bottom"/>
            <w:vMerge w:val="restart"/>
            <w:shd w:val="clear" w:color="auto" w:fill="CCEEFF"/>
          </w:tcPr>
          <w:p>
            <w:pPr>
              <w:jc w:val="right"/>
              <w:ind w:right="555"/>
              <w:spacing w:after="0"/>
              <w:rPr>
                <w:rFonts w:ascii="Arial" w:cs="Arial" w:eastAsia="Arial" w:hAnsi="Arial"/>
                <w:sz w:val="17"/>
                <w:szCs w:val="17"/>
                <w:color w:val="auto"/>
              </w:rPr>
            </w:pPr>
            <w:hyperlink w:anchor="page64">
              <w:r>
                <w:rPr>
                  <w:rFonts w:ascii="Arial" w:cs="Arial" w:eastAsia="Arial" w:hAnsi="Arial"/>
                  <w:sz w:val="17"/>
                  <w:szCs w:val="17"/>
                  <w:color w:val="auto"/>
                </w:rPr>
                <w:t>62</w:t>
              </w:r>
            </w:hyperlink>
          </w:p>
        </w:tc>
        <w:tc>
          <w:tcPr>
            <w:tcW w:w="0" w:type="dxa"/>
            <w:vAlign w:val="bottom"/>
          </w:tcPr>
          <w:p>
            <w:pPr>
              <w:spacing w:after="0"/>
              <w:rPr>
                <w:sz w:val="1"/>
                <w:szCs w:val="1"/>
                <w:color w:val="auto"/>
              </w:rPr>
            </w:pPr>
          </w:p>
        </w:tc>
      </w:tr>
      <w:tr>
        <w:trPr>
          <w:trHeight w:val="100"/>
        </w:trPr>
        <w:tc>
          <w:tcPr>
            <w:tcW w:w="1640" w:type="dxa"/>
            <w:vAlign w:val="bottom"/>
            <w:tcBorders>
              <w:top w:val="single" w:sz="8" w:color="CCEEFF"/>
              <w:bottom w:val="single" w:sz="8" w:color="CCEEFF"/>
            </w:tcBorders>
            <w:shd w:val="clear" w:color="auto" w:fill="CCEEFF"/>
          </w:tcPr>
          <w:p>
            <w:pPr>
              <w:spacing w:after="0"/>
              <w:rPr>
                <w:sz w:val="8"/>
                <w:szCs w:val="8"/>
                <w:color w:val="auto"/>
              </w:rPr>
            </w:pPr>
          </w:p>
        </w:tc>
        <w:tc>
          <w:tcPr>
            <w:tcW w:w="700" w:type="dxa"/>
            <w:vAlign w:val="bottom"/>
            <w:tcBorders>
              <w:top w:val="single" w:sz="8" w:color="0000EE"/>
              <w:bottom w:val="single" w:sz="8" w:color="CCEEFF"/>
            </w:tcBorders>
            <w:shd w:val="clear" w:color="auto" w:fill="CCEEFF"/>
          </w:tcPr>
          <w:p>
            <w:pPr>
              <w:spacing w:after="0"/>
              <w:rPr>
                <w:sz w:val="8"/>
                <w:szCs w:val="8"/>
                <w:color w:val="auto"/>
              </w:rPr>
            </w:pPr>
          </w:p>
        </w:tc>
        <w:tc>
          <w:tcPr>
            <w:tcW w:w="220" w:type="dxa"/>
            <w:vAlign w:val="bottom"/>
            <w:tcBorders>
              <w:top w:val="single" w:sz="8" w:color="0000EE"/>
              <w:bottom w:val="single" w:sz="8" w:color="CCEEFF"/>
            </w:tcBorders>
            <w:shd w:val="clear" w:color="auto" w:fill="CCEEFF"/>
          </w:tcPr>
          <w:p>
            <w:pPr>
              <w:spacing w:after="0"/>
              <w:rPr>
                <w:sz w:val="8"/>
                <w:szCs w:val="8"/>
                <w:color w:val="auto"/>
              </w:rPr>
            </w:pPr>
          </w:p>
        </w:tc>
        <w:tc>
          <w:tcPr>
            <w:tcW w:w="4020" w:type="dxa"/>
            <w:vAlign w:val="bottom"/>
            <w:tcBorders>
              <w:top w:val="single" w:sz="8" w:color="CCEEFF"/>
              <w:bottom w:val="single" w:sz="8" w:color="CCEEFF"/>
            </w:tcBorders>
            <w:shd w:val="clear" w:color="auto" w:fill="CCEEFF"/>
          </w:tcPr>
          <w:p>
            <w:pPr>
              <w:spacing w:after="0"/>
              <w:rPr>
                <w:sz w:val="8"/>
                <w:szCs w:val="8"/>
                <w:color w:val="auto"/>
              </w:rPr>
            </w:pPr>
          </w:p>
        </w:tc>
        <w:tc>
          <w:tcPr>
            <w:tcW w:w="4840" w:type="dxa"/>
            <w:vAlign w:val="bottom"/>
            <w:tcBorders>
              <w:top w:val="single" w:sz="8" w:color="CCEEFF"/>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580" w:type="dxa"/>
            <w:vAlign w:val="bottom"/>
            <w:gridSpan w:val="4"/>
          </w:tcPr>
          <w:p>
            <w:pPr>
              <w:ind w:left="1640"/>
              <w:spacing w:after="0" w:line="191" w:lineRule="exact"/>
              <w:rPr>
                <w:rFonts w:ascii="Arial" w:cs="Arial" w:eastAsia="Arial" w:hAnsi="Arial"/>
                <w:sz w:val="17"/>
                <w:szCs w:val="17"/>
                <w:color w:val="0000EE"/>
              </w:rPr>
            </w:pPr>
            <w:hyperlink w:anchor="page65">
              <w:r>
                <w:rPr>
                  <w:rFonts w:ascii="Arial" w:cs="Arial" w:eastAsia="Arial" w:hAnsi="Arial"/>
                  <w:sz w:val="17"/>
                  <w:szCs w:val="17"/>
                  <w:color w:val="0000EE"/>
                </w:rPr>
                <w:t>Signatures</w:t>
              </w:r>
            </w:hyperlink>
          </w:p>
        </w:tc>
        <w:tc>
          <w:tcPr>
            <w:tcW w:w="4840" w:type="dxa"/>
            <w:vAlign w:val="bottom"/>
            <w:vMerge w:val="restart"/>
          </w:tcPr>
          <w:p>
            <w:pPr>
              <w:jc w:val="right"/>
              <w:ind w:right="555"/>
              <w:spacing w:after="0"/>
              <w:rPr>
                <w:rFonts w:ascii="Arial" w:cs="Arial" w:eastAsia="Arial" w:hAnsi="Arial"/>
                <w:sz w:val="17"/>
                <w:szCs w:val="17"/>
                <w:color w:val="auto"/>
              </w:rPr>
            </w:pPr>
            <w:hyperlink w:anchor="page65">
              <w:r>
                <w:rPr>
                  <w:rFonts w:ascii="Arial" w:cs="Arial" w:eastAsia="Arial" w:hAnsi="Arial"/>
                  <w:sz w:val="17"/>
                  <w:szCs w:val="17"/>
                  <w:color w:val="auto"/>
                </w:rPr>
                <w:t>63</w:t>
              </w:r>
            </w:hyperlink>
          </w:p>
        </w:tc>
        <w:tc>
          <w:tcPr>
            <w:tcW w:w="0" w:type="dxa"/>
            <w:vAlign w:val="bottom"/>
          </w:tcPr>
          <w:p>
            <w:pPr>
              <w:spacing w:after="0"/>
              <w:rPr>
                <w:sz w:val="1"/>
                <w:szCs w:val="1"/>
                <w:color w:val="auto"/>
              </w:rPr>
            </w:pPr>
          </w:p>
        </w:tc>
      </w:tr>
      <w:tr>
        <w:trPr>
          <w:trHeight w:val="94"/>
        </w:trPr>
        <w:tc>
          <w:tcPr>
            <w:tcW w:w="164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4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6" w:right="239" w:bottom="1440" w:gutter="0" w:footer="0" w:header="0"/>
          <w:type w:val="continuous"/>
        </w:sectPr>
      </w:pPr>
    </w:p>
    <w:bookmarkStart w:id="2" w:name="page3"/>
    <w:bookmarkEnd w:id="2"/>
    <w:p>
      <w:pPr>
        <w:ind w:left="4260"/>
        <w:spacing w:after="0"/>
        <w:rPr>
          <w:sz w:val="20"/>
          <w:szCs w:val="20"/>
          <w:color w:val="auto"/>
        </w:rPr>
      </w:pPr>
      <w:r>
        <w:rPr>
          <w:rFonts w:ascii="Arial" w:cs="Arial" w:eastAsia="Arial" w:hAnsi="Arial"/>
          <w:sz w:val="17"/>
          <w:szCs w:val="17"/>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CONSOLIDATED FINANCIAL STATEMENTS (unaudited)</w:t>
      </w:r>
    </w:p>
    <w:p>
      <w:pPr>
        <w:spacing w:after="0" w:line="59"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ANAPTYSBIO, INC.</w:t>
      </w:r>
    </w:p>
    <w:p>
      <w:pPr>
        <w:spacing w:after="0" w:line="24" w:lineRule="exact"/>
        <w:rPr>
          <w:sz w:val="20"/>
          <w:szCs w:val="20"/>
          <w:color w:val="auto"/>
        </w:rPr>
      </w:pPr>
    </w:p>
    <w:p>
      <w:pPr>
        <w:jc w:val="center"/>
        <w:ind w:left="3440"/>
        <w:spacing w:after="0"/>
        <w:rPr>
          <w:sz w:val="20"/>
          <w:szCs w:val="20"/>
          <w:color w:val="auto"/>
        </w:rPr>
      </w:pPr>
      <w:r>
        <w:rPr>
          <w:rFonts w:ascii="Arial" w:cs="Arial" w:eastAsia="Arial" w:hAnsi="Arial"/>
          <w:sz w:val="17"/>
          <w:szCs w:val="17"/>
          <w:b w:val="1"/>
          <w:bCs w:val="1"/>
          <w:color w:val="auto"/>
        </w:rPr>
        <w:t>CONSOLIDATED BALANCE SHEETS</w:t>
      </w:r>
    </w:p>
    <w:p>
      <w:pPr>
        <w:spacing w:after="0" w:line="8" w:lineRule="exact"/>
        <w:rPr>
          <w:sz w:val="20"/>
          <w:szCs w:val="20"/>
          <w:color w:val="auto"/>
        </w:rPr>
      </w:pPr>
    </w:p>
    <w:p>
      <w:pPr>
        <w:jc w:val="center"/>
        <w:ind w:left="3440"/>
        <w:spacing w:after="0"/>
        <w:rPr>
          <w:sz w:val="20"/>
          <w:szCs w:val="20"/>
          <w:color w:val="auto"/>
        </w:rPr>
      </w:pPr>
      <w:r>
        <w:rPr>
          <w:rFonts w:ascii="Arial" w:cs="Arial" w:eastAsia="Arial" w:hAnsi="Arial"/>
          <w:sz w:val="17"/>
          <w:szCs w:val="17"/>
          <w:b w:val="1"/>
          <w:bCs w:val="1"/>
          <w:color w:val="auto"/>
        </w:rPr>
        <w:t>(in thousands, except par value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417830</wp:posOffset>
            </wp:positionV>
            <wp:extent cx="7254240" cy="15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15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40"/>
        <w:spacing w:after="0"/>
        <w:rPr>
          <w:sz w:val="20"/>
          <w:szCs w:val="20"/>
          <w:color w:val="auto"/>
        </w:rPr>
      </w:pPr>
      <w:r>
        <w:rPr>
          <w:rFonts w:ascii="Arial" w:cs="Arial" w:eastAsia="Arial" w:hAnsi="Arial"/>
          <w:sz w:val="15"/>
          <w:szCs w:val="15"/>
          <w:b w:val="1"/>
          <w:bCs w:val="1"/>
          <w:color w:val="auto"/>
        </w:rPr>
        <w:t>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254240" cy="161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240" cy="161290"/>
                    </a:xfrm>
                    <a:prstGeom prst="rect">
                      <a:avLst/>
                    </a:prstGeom>
                    <a:noFill/>
                  </pic:spPr>
                </pic:pic>
              </a:graphicData>
            </a:graphic>
          </wp:anchor>
        </w:drawing>
      </w:r>
    </w:p>
    <w:p>
      <w:pPr>
        <w:spacing w:after="0" w:line="62" w:lineRule="exact"/>
        <w:rPr>
          <w:sz w:val="20"/>
          <w:szCs w:val="20"/>
          <w:color w:val="auto"/>
        </w:rPr>
      </w:pPr>
    </w:p>
    <w:p>
      <w:pPr>
        <w:ind w:left="20"/>
        <w:spacing w:after="0"/>
        <w:tabs>
          <w:tab w:leader="none" w:pos="7900" w:val="left"/>
        </w:tabs>
        <w:rPr>
          <w:sz w:val="20"/>
          <w:szCs w:val="20"/>
          <w:color w:val="auto"/>
        </w:rPr>
      </w:pPr>
      <w:r>
        <w:rPr>
          <w:rFonts w:ascii="Arial" w:cs="Arial" w:eastAsia="Arial" w:hAnsi="Arial"/>
          <w:sz w:val="15"/>
          <w:szCs w:val="15"/>
          <w:color w:val="auto"/>
        </w:rPr>
        <w:t>Cash and cash equivalents</w:t>
      </w:r>
      <w:r>
        <w:rPr>
          <w:sz w:val="20"/>
          <w:szCs w:val="20"/>
          <w:color w:val="auto"/>
        </w:rPr>
        <w:tab/>
      </w:r>
      <w:r>
        <w:rPr>
          <w:rFonts w:ascii="Arial" w:cs="Arial" w:eastAsia="Arial" w:hAnsi="Arial"/>
          <w:sz w:val="14"/>
          <w:szCs w:val="14"/>
          <w:color w:val="auto"/>
        </w:rPr>
        <w: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Australian tax incentive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254240" cy="161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16129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Short-term investments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254240" cy="161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161290"/>
                    </a:xfrm>
                    <a:prstGeom prst="rect">
                      <a:avLst/>
                    </a:prstGeom>
                    <a:noFill/>
                  </pic:spPr>
                </pic:pic>
              </a:graphicData>
            </a:graphic>
          </wp:anchor>
        </w:drawing>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Total current assets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254240" cy="161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16129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Long-term investments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254240" cy="161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240" cy="16129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Restricted cash</w:t>
      </w:r>
    </w:p>
    <w:p>
      <w:pPr>
        <w:spacing w:after="0" w:line="82" w:lineRule="exact"/>
        <w:rPr>
          <w:sz w:val="20"/>
          <w:szCs w:val="20"/>
          <w:color w:val="auto"/>
        </w:rPr>
      </w:pPr>
    </w:p>
    <w:p>
      <w:pPr>
        <w:ind w:left="480"/>
        <w:spacing w:after="0"/>
        <w:tabs>
          <w:tab w:leader="none" w:pos="7900" w:val="left"/>
        </w:tabs>
        <w:rPr>
          <w:sz w:val="20"/>
          <w:szCs w:val="20"/>
          <w:color w:val="auto"/>
        </w:rPr>
      </w:pPr>
      <w:r>
        <w:rPr>
          <w:rFonts w:ascii="Arial" w:cs="Arial" w:eastAsia="Arial" w:hAnsi="Arial"/>
          <w:sz w:val="15"/>
          <w:szCs w:val="15"/>
          <w:color w:val="auto"/>
        </w:rPr>
        <w:t>Total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254240"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282575"/>
                    </a:xfrm>
                    <a:prstGeom prst="rect">
                      <a:avLst/>
                    </a:prstGeom>
                    <a:noFill/>
                  </pic:spPr>
                </pic:pic>
              </a:graphicData>
            </a:graphic>
          </wp:anchor>
        </w:drawing>
      </w:r>
    </w:p>
    <w:p>
      <w:pPr>
        <w:spacing w:after="0" w:line="83" w:lineRule="exact"/>
        <w:rPr>
          <w:sz w:val="20"/>
          <w:szCs w:val="20"/>
          <w:color w:val="auto"/>
        </w:rPr>
      </w:pPr>
    </w:p>
    <w:p>
      <w:pPr>
        <w:jc w:val="center"/>
        <w:ind w:left="3440"/>
        <w:spacing w:after="0"/>
        <w:rPr>
          <w:sz w:val="20"/>
          <w:szCs w:val="20"/>
          <w:color w:val="auto"/>
        </w:rPr>
      </w:pPr>
      <w:r>
        <w:rPr>
          <w:rFonts w:ascii="Arial" w:cs="Arial" w:eastAsia="Arial" w:hAnsi="Arial"/>
          <w:sz w:val="15"/>
          <w:szCs w:val="15"/>
          <w:b w:val="1"/>
          <w:bCs w:val="1"/>
          <w:color w:val="auto"/>
        </w:rPr>
        <w:t>LIABILITIES, PREFERRED STOCK AND</w:t>
      </w:r>
    </w:p>
    <w:p>
      <w:pPr>
        <w:spacing w:after="0" w:line="26" w:lineRule="exact"/>
        <w:rPr>
          <w:sz w:val="20"/>
          <w:szCs w:val="20"/>
          <w:color w:val="auto"/>
        </w:rPr>
      </w:pPr>
    </w:p>
    <w:p>
      <w:pPr>
        <w:jc w:val="center"/>
        <w:ind w:left="3440"/>
        <w:spacing w:after="0"/>
        <w:rPr>
          <w:sz w:val="20"/>
          <w:szCs w:val="20"/>
          <w:color w:val="auto"/>
        </w:rPr>
      </w:pPr>
      <w:r>
        <w:rPr>
          <w:rFonts w:ascii="Arial" w:cs="Arial" w:eastAsia="Arial" w:hAnsi="Arial"/>
          <w:sz w:val="15"/>
          <w:szCs w:val="15"/>
          <w:b w:val="1"/>
          <w:bCs w:val="1"/>
          <w:color w:val="auto"/>
        </w:rPr>
        <w:t>STOCKHOLDERS’ EQUITY</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254240" cy="161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240" cy="161290"/>
                    </a:xfrm>
                    <a:prstGeom prst="rect">
                      <a:avLst/>
                    </a:prstGeom>
                    <a:noFill/>
                  </pic:spPr>
                </pic:pic>
              </a:graphicData>
            </a:graphic>
          </wp:anchor>
        </w:drawing>
      </w:r>
    </w:p>
    <w:p>
      <w:pPr>
        <w:spacing w:after="0" w:line="62" w:lineRule="exact"/>
        <w:rPr>
          <w:sz w:val="20"/>
          <w:szCs w:val="20"/>
          <w:color w:val="auto"/>
        </w:rPr>
      </w:pPr>
    </w:p>
    <w:p>
      <w:pPr>
        <w:ind w:left="20"/>
        <w:spacing w:after="0"/>
        <w:tabs>
          <w:tab w:leader="none" w:pos="7900" w:val="left"/>
        </w:tabs>
        <w:rPr>
          <w:sz w:val="20"/>
          <w:szCs w:val="20"/>
          <w:color w:val="auto"/>
        </w:rPr>
      </w:pPr>
      <w:r>
        <w:rPr>
          <w:rFonts w:ascii="Arial" w:cs="Arial" w:eastAsia="Arial" w:hAnsi="Arial"/>
          <w:sz w:val="15"/>
          <w:szCs w:val="15"/>
          <w:color w:val="auto"/>
        </w:rPr>
        <w:t>Accounts payable</w:t>
      </w:r>
      <w:r>
        <w:rPr>
          <w:sz w:val="20"/>
          <w:szCs w:val="20"/>
          <w:color w:val="auto"/>
        </w:rPr>
        <w:tab/>
      </w:r>
      <w:r>
        <w:rPr>
          <w:rFonts w:ascii="Arial" w:cs="Arial" w:eastAsia="Arial" w:hAnsi="Arial"/>
          <w:sz w:val="14"/>
          <w:szCs w:val="14"/>
          <w:color w:val="auto"/>
        </w:rPr>
        <w: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254240" cy="161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240" cy="16129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Notes payable, current portion</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254240" cy="161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161290"/>
                    </a:xfrm>
                    <a:prstGeom prst="rect">
                      <a:avLst/>
                    </a:prstGeom>
                    <a:noFill/>
                  </pic:spPr>
                </pic:pic>
              </a:graphicData>
            </a:graphic>
          </wp:anchor>
        </w:drawing>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Total current liabilities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Notes payable,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254240" cy="161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16129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Deferred rent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254240" cy="282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282575"/>
                    </a:xfrm>
                    <a:prstGeom prst="rect">
                      <a:avLst/>
                    </a:prstGeom>
                    <a:noFill/>
                  </pic:spPr>
                </pic:pic>
              </a:graphicData>
            </a:graphic>
          </wp:anchor>
        </w:drawing>
      </w:r>
    </w:p>
    <w:p>
      <w:pPr>
        <w:spacing w:after="0" w:line="75" w:lineRule="exact"/>
        <w:rPr>
          <w:sz w:val="20"/>
          <w:szCs w:val="20"/>
          <w:color w:val="auto"/>
        </w:rPr>
      </w:pPr>
    </w:p>
    <w:p>
      <w:pPr>
        <w:ind w:left="20" w:right="140"/>
        <w:spacing w:after="0" w:line="295" w:lineRule="auto"/>
        <w:rPr>
          <w:sz w:val="20"/>
          <w:szCs w:val="20"/>
          <w:color w:val="auto"/>
        </w:rPr>
      </w:pPr>
      <w:r>
        <w:rPr>
          <w:rFonts w:ascii="Arial" w:cs="Arial" w:eastAsia="Arial" w:hAnsi="Arial"/>
          <w:sz w:val="15"/>
          <w:szCs w:val="15"/>
          <w:color w:val="auto"/>
        </w:rPr>
        <w:t>Preferred stock, $0.001 par value, 10,000 shares authorized and no shares, issued or outstanding at June 30, 2018 and December 31, 2017, respectively</w:t>
      </w:r>
    </w:p>
    <w:p>
      <w:pPr>
        <w:spacing w:after="0" w:line="21" w:lineRule="exact"/>
        <w:rPr>
          <w:sz w:val="20"/>
          <w:szCs w:val="20"/>
          <w:color w:val="auto"/>
        </w:rPr>
      </w:pPr>
    </w:p>
    <w:p>
      <w:pPr>
        <w:ind w:left="20" w:right="320"/>
        <w:spacing w:after="0" w:line="295" w:lineRule="auto"/>
        <w:rPr>
          <w:sz w:val="20"/>
          <w:szCs w:val="20"/>
          <w:color w:val="auto"/>
        </w:rPr>
      </w:pPr>
      <w:r>
        <w:rPr>
          <w:rFonts w:ascii="Arial" w:cs="Arial" w:eastAsia="Arial" w:hAnsi="Arial"/>
          <w:sz w:val="15"/>
          <w:szCs w:val="15"/>
          <w:color w:val="auto"/>
        </w:rPr>
        <w:t>Common stock, $0.001 par value, 500,000 shares authorized, 24,029 shares and 23,791 shares issued and outstanding at June 30,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254240" cy="161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1612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Additional paid in capital</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254240" cy="161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16129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Accumulated deficit</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254240" cy="169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169545"/>
                    </a:xfrm>
                    <a:prstGeom prst="rect">
                      <a:avLst/>
                    </a:prstGeom>
                    <a:noFill/>
                  </pic:spPr>
                </pic:pic>
              </a:graphicData>
            </a:graphic>
          </wp:anchor>
        </w:drawing>
      </w:r>
    </w:p>
    <w:p>
      <w:pPr>
        <w:spacing w:after="0" w:line="62" w:lineRule="exact"/>
        <w:rPr>
          <w:sz w:val="20"/>
          <w:szCs w:val="20"/>
          <w:color w:val="auto"/>
        </w:rPr>
      </w:pPr>
    </w:p>
    <w:p>
      <w:pPr>
        <w:ind w:left="480"/>
        <w:spacing w:after="0"/>
        <w:tabs>
          <w:tab w:leader="none" w:pos="7900" w:val="left"/>
        </w:tabs>
        <w:rPr>
          <w:sz w:val="20"/>
          <w:szCs w:val="20"/>
          <w:color w:val="auto"/>
        </w:rPr>
      </w:pPr>
      <w:r>
        <w:rPr>
          <w:rFonts w:ascii="Arial" w:cs="Arial" w:eastAsia="Arial" w:hAnsi="Arial"/>
          <w:sz w:val="15"/>
          <w:szCs w:val="15"/>
          <w:color w:val="auto"/>
        </w:rPr>
        <w:t>Total liabilities, preferred stock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360" w:type="dxa"/>
            <w:vAlign w:val="bottom"/>
          </w:tcPr>
          <w:p>
            <w:pPr>
              <w:jc w:val="center"/>
              <w:ind w:right="512"/>
              <w:spacing w:after="0"/>
              <w:rPr>
                <w:sz w:val="20"/>
                <w:szCs w:val="20"/>
                <w:color w:val="auto"/>
              </w:rPr>
            </w:pPr>
            <w:r>
              <w:rPr>
                <w:rFonts w:ascii="Arial" w:cs="Arial" w:eastAsia="Arial" w:hAnsi="Arial"/>
                <w:sz w:val="14"/>
                <w:szCs w:val="14"/>
                <w:b w:val="1"/>
                <w:bCs w:val="1"/>
                <w:color w:val="auto"/>
                <w:w w:val="85"/>
              </w:rPr>
              <w:t>June 30, 2018</w:t>
            </w:r>
          </w:p>
        </w:tc>
        <w:tc>
          <w:tcPr>
            <w:tcW w:w="17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December 31, 2017</w:t>
            </w:r>
          </w:p>
        </w:tc>
      </w:tr>
      <w:tr>
        <w:trPr>
          <w:trHeight w:val="244"/>
        </w:trPr>
        <w:tc>
          <w:tcPr>
            <w:tcW w:w="1360" w:type="dxa"/>
            <w:vAlign w:val="bottom"/>
          </w:tcPr>
          <w:p>
            <w:pPr>
              <w:jc w:val="center"/>
              <w:ind w:right="492"/>
              <w:spacing w:after="0"/>
              <w:rPr>
                <w:sz w:val="20"/>
                <w:szCs w:val="20"/>
                <w:color w:val="auto"/>
              </w:rPr>
            </w:pPr>
            <w:r>
              <w:rPr>
                <w:rFonts w:ascii="Arial" w:cs="Arial" w:eastAsia="Arial" w:hAnsi="Arial"/>
                <w:sz w:val="14"/>
                <w:szCs w:val="14"/>
                <w:b w:val="1"/>
                <w:bCs w:val="1"/>
                <w:color w:val="auto"/>
                <w:w w:val="89"/>
              </w:rPr>
              <w:t>(unaudited)</w:t>
            </w:r>
          </w:p>
        </w:tc>
        <w:tc>
          <w:tcPr>
            <w:tcW w:w="17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-161925</wp:posOffset>
            </wp:positionV>
            <wp:extent cx="10902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600" w:type="dxa"/>
        <w:tblCellMar>
          <w:top w:w="0" w:type="dxa"/>
          <w:left w:w="0" w:type="dxa"/>
          <w:bottom w:w="0" w:type="dxa"/>
          <w:right w:w="0" w:type="dxa"/>
        </w:tblCellMar>
      </w:tblPr>
      <w:tr>
        <w:trPr>
          <w:trHeight w:val="194"/>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57,057</w:t>
            </w:r>
          </w:p>
        </w:tc>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81,189</w:t>
            </w:r>
          </w:p>
        </w:tc>
      </w:tr>
      <w:tr>
        <w:trPr>
          <w:trHeight w:val="254"/>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152</w:t>
            </w:r>
          </w:p>
        </w:tc>
        <w:tc>
          <w:tcPr>
            <w:tcW w:w="60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1,601</w:t>
            </w:r>
          </w:p>
        </w:tc>
      </w:tr>
      <w:tr>
        <w:trPr>
          <w:trHeight w:val="254"/>
        </w:trPr>
        <w:tc>
          <w:tcPr>
            <w:tcW w:w="760" w:type="dxa"/>
            <w:vAlign w:val="bottom"/>
          </w:tcPr>
          <w:p>
            <w:pPr>
              <w:jc w:val="right"/>
              <w:ind w:right="144"/>
              <w:spacing w:after="0"/>
              <w:rPr>
                <w:sz w:val="20"/>
                <w:szCs w:val="20"/>
                <w:color w:val="auto"/>
              </w:rPr>
            </w:pPr>
            <w:r>
              <w:rPr>
                <w:rFonts w:ascii="Arial" w:cs="Arial" w:eastAsia="Arial" w:hAnsi="Arial"/>
                <w:sz w:val="15"/>
                <w:szCs w:val="15"/>
                <w:color w:val="auto"/>
                <w:w w:val="95"/>
              </w:rPr>
              <w:t>210,852</w:t>
            </w:r>
          </w:p>
        </w:tc>
        <w:tc>
          <w:tcPr>
            <w:tcW w:w="60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167,218</w:t>
            </w:r>
          </w:p>
        </w:tc>
      </w:tr>
      <w:tr>
        <w:trPr>
          <w:trHeight w:val="254"/>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3,758</w:t>
            </w:r>
          </w:p>
        </w:tc>
        <w:tc>
          <w:tcPr>
            <w:tcW w:w="60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2,688</w:t>
            </w:r>
          </w:p>
        </w:tc>
      </w:tr>
      <w:tr>
        <w:trPr>
          <w:trHeight w:val="30"/>
        </w:trPr>
        <w:tc>
          <w:tcPr>
            <w:tcW w:w="7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760" w:type="dxa"/>
            <w:vAlign w:val="bottom"/>
          </w:tcPr>
          <w:p>
            <w:pPr>
              <w:jc w:val="right"/>
              <w:ind w:right="144"/>
              <w:spacing w:after="0"/>
              <w:rPr>
                <w:sz w:val="20"/>
                <w:szCs w:val="20"/>
                <w:color w:val="auto"/>
              </w:rPr>
            </w:pPr>
            <w:r>
              <w:rPr>
                <w:rFonts w:ascii="Arial" w:cs="Arial" w:eastAsia="Arial" w:hAnsi="Arial"/>
                <w:sz w:val="15"/>
                <w:szCs w:val="15"/>
                <w:color w:val="auto"/>
                <w:w w:val="95"/>
              </w:rPr>
              <w:t>271,819</w:t>
            </w:r>
          </w:p>
        </w:tc>
        <w:tc>
          <w:tcPr>
            <w:tcW w:w="600" w:type="dxa"/>
            <w:vAlign w:val="bottom"/>
          </w:tcPr>
          <w:p>
            <w:pPr>
              <w:spacing w:after="0"/>
              <w:rPr>
                <w:sz w:val="17"/>
                <w:szCs w:val="17"/>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252,696</w:t>
            </w:r>
          </w:p>
        </w:tc>
      </w:tr>
      <w:tr>
        <w:trPr>
          <w:trHeight w:val="254"/>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1,086</w:t>
            </w:r>
          </w:p>
        </w:tc>
        <w:tc>
          <w:tcPr>
            <w:tcW w:w="60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665</w:t>
            </w:r>
          </w:p>
        </w:tc>
      </w:tr>
      <w:tr>
        <w:trPr>
          <w:trHeight w:val="254"/>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32,730</w:t>
            </w:r>
          </w:p>
        </w:tc>
        <w:tc>
          <w:tcPr>
            <w:tcW w:w="60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75,897</w:t>
            </w:r>
          </w:p>
        </w:tc>
      </w:tr>
      <w:tr>
        <w:trPr>
          <w:trHeight w:val="254"/>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322</w:t>
            </w:r>
          </w:p>
        </w:tc>
        <w:tc>
          <w:tcPr>
            <w:tcW w:w="60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46</w:t>
            </w:r>
          </w:p>
        </w:tc>
      </w:tr>
      <w:tr>
        <w:trPr>
          <w:trHeight w:val="254"/>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60</w:t>
            </w:r>
          </w:p>
        </w:tc>
        <w:tc>
          <w:tcPr>
            <w:tcW w:w="60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60</w:t>
            </w:r>
          </w:p>
        </w:tc>
      </w:tr>
      <w:tr>
        <w:trPr>
          <w:trHeight w:val="30"/>
        </w:trPr>
        <w:tc>
          <w:tcPr>
            <w:tcW w:w="7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760" w:type="dxa"/>
            <w:vAlign w:val="bottom"/>
          </w:tcPr>
          <w:p>
            <w:pPr>
              <w:jc w:val="right"/>
              <w:ind w:right="144"/>
              <w:spacing w:after="0"/>
              <w:rPr>
                <w:sz w:val="20"/>
                <w:szCs w:val="20"/>
                <w:color w:val="auto"/>
              </w:rPr>
            </w:pPr>
            <w:r>
              <w:rPr>
                <w:rFonts w:ascii="Arial" w:cs="Arial" w:eastAsia="Arial" w:hAnsi="Arial"/>
                <w:sz w:val="15"/>
                <w:szCs w:val="15"/>
                <w:color w:val="auto"/>
                <w:w w:val="95"/>
              </w:rPr>
              <w:t>306,017</w:t>
            </w:r>
          </w:p>
        </w:tc>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329,364</w:t>
            </w:r>
          </w:p>
        </w:tc>
      </w:tr>
      <w:tr>
        <w:trPr>
          <w:trHeight w:val="30"/>
        </w:trPr>
        <w:tc>
          <w:tcPr>
            <w:tcW w:w="7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77"/>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4,426</w:t>
            </w:r>
          </w:p>
        </w:tc>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2,323</w:t>
            </w:r>
          </w:p>
        </w:tc>
      </w:tr>
      <w:tr>
        <w:trPr>
          <w:trHeight w:val="254"/>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4,837</w:t>
            </w:r>
          </w:p>
        </w:tc>
        <w:tc>
          <w:tcPr>
            <w:tcW w:w="60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4,875</w:t>
            </w:r>
          </w:p>
        </w:tc>
      </w:tr>
      <w:tr>
        <w:trPr>
          <w:trHeight w:val="254"/>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7,500</w:t>
            </w:r>
          </w:p>
        </w:tc>
        <w:tc>
          <w:tcPr>
            <w:tcW w:w="60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6,875</w:t>
            </w:r>
          </w:p>
        </w:tc>
      </w:tr>
      <w:tr>
        <w:trPr>
          <w:trHeight w:val="254"/>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27</w:t>
            </w:r>
          </w:p>
        </w:tc>
        <w:tc>
          <w:tcPr>
            <w:tcW w:w="60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17</w:t>
            </w:r>
          </w:p>
        </w:tc>
      </w:tr>
      <w:tr>
        <w:trPr>
          <w:trHeight w:val="30"/>
        </w:trPr>
        <w:tc>
          <w:tcPr>
            <w:tcW w:w="7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16,790</w:t>
            </w:r>
          </w:p>
        </w:tc>
        <w:tc>
          <w:tcPr>
            <w:tcW w:w="600" w:type="dxa"/>
            <w:vAlign w:val="bottom"/>
          </w:tcPr>
          <w:p>
            <w:pPr>
              <w:spacing w:after="0"/>
              <w:rPr>
                <w:sz w:val="17"/>
                <w:szCs w:val="17"/>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14,090</w:t>
            </w:r>
          </w:p>
        </w:tc>
      </w:tr>
      <w:tr>
        <w:trPr>
          <w:trHeight w:val="254"/>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4,120</w:t>
            </w:r>
          </w:p>
        </w:tc>
        <w:tc>
          <w:tcPr>
            <w:tcW w:w="60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7,553</w:t>
            </w:r>
          </w:p>
        </w:tc>
      </w:tr>
      <w:tr>
        <w:trPr>
          <w:trHeight w:val="254"/>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128</w:t>
            </w:r>
          </w:p>
        </w:tc>
        <w:tc>
          <w:tcPr>
            <w:tcW w:w="60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140</w:t>
            </w:r>
          </w:p>
        </w:tc>
      </w:tr>
      <w:tr>
        <w:trPr>
          <w:trHeight w:val="700"/>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445"/>
        </w:trPr>
        <w:tc>
          <w:tcPr>
            <w:tcW w:w="760" w:type="dxa"/>
            <w:vAlign w:val="bottom"/>
          </w:tcPr>
          <w:p>
            <w:pPr>
              <w:jc w:val="right"/>
              <w:ind w:right="144"/>
              <w:spacing w:after="0"/>
              <w:rPr>
                <w:sz w:val="20"/>
                <w:szCs w:val="20"/>
                <w:color w:val="auto"/>
              </w:rPr>
            </w:pPr>
            <w:r>
              <w:rPr>
                <w:rFonts w:ascii="Arial" w:cs="Arial" w:eastAsia="Arial" w:hAnsi="Arial"/>
                <w:sz w:val="15"/>
                <w:szCs w:val="15"/>
                <w:color w:val="auto"/>
              </w:rPr>
              <w:t>24</w:t>
            </w:r>
          </w:p>
        </w:tc>
        <w:tc>
          <w:tcPr>
            <w:tcW w:w="60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24</w:t>
            </w:r>
          </w:p>
        </w:tc>
      </w:tr>
      <w:tr>
        <w:trPr>
          <w:trHeight w:val="254"/>
        </w:trPr>
        <w:tc>
          <w:tcPr>
            <w:tcW w:w="760" w:type="dxa"/>
            <w:vAlign w:val="bottom"/>
          </w:tcPr>
          <w:p>
            <w:pPr>
              <w:jc w:val="right"/>
              <w:ind w:right="144"/>
              <w:spacing w:after="0"/>
              <w:rPr>
                <w:sz w:val="20"/>
                <w:szCs w:val="20"/>
                <w:color w:val="auto"/>
              </w:rPr>
            </w:pPr>
            <w:r>
              <w:rPr>
                <w:rFonts w:ascii="Arial" w:cs="Arial" w:eastAsia="Arial" w:hAnsi="Arial"/>
                <w:sz w:val="15"/>
                <w:szCs w:val="15"/>
                <w:color w:val="auto"/>
                <w:w w:val="95"/>
              </w:rPr>
              <w:t>399,370</w:t>
            </w:r>
          </w:p>
        </w:tc>
        <w:tc>
          <w:tcPr>
            <w:tcW w:w="60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393,017</w:t>
            </w:r>
          </w:p>
        </w:tc>
      </w:tr>
      <w:tr>
        <w:trPr>
          <w:trHeight w:val="254"/>
        </w:trPr>
        <w:tc>
          <w:tcPr>
            <w:tcW w:w="760" w:type="dxa"/>
            <w:vAlign w:val="bottom"/>
          </w:tcPr>
          <w:p>
            <w:pPr>
              <w:jc w:val="right"/>
              <w:ind w:right="104"/>
              <w:spacing w:after="0"/>
              <w:rPr>
                <w:sz w:val="20"/>
                <w:szCs w:val="20"/>
                <w:color w:val="auto"/>
              </w:rPr>
            </w:pPr>
            <w:r>
              <w:rPr>
                <w:rFonts w:ascii="Arial" w:cs="Arial" w:eastAsia="Arial" w:hAnsi="Arial"/>
                <w:sz w:val="15"/>
                <w:szCs w:val="15"/>
                <w:color w:val="auto"/>
              </w:rPr>
              <w:t>(677)</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(426)</w:t>
            </w:r>
          </w:p>
        </w:tc>
      </w:tr>
      <w:tr>
        <w:trPr>
          <w:trHeight w:val="254"/>
        </w:trPr>
        <w:tc>
          <w:tcPr>
            <w:tcW w:w="760" w:type="dxa"/>
            <w:vAlign w:val="bottom"/>
          </w:tcPr>
          <w:p>
            <w:pPr>
              <w:jc w:val="right"/>
              <w:ind w:right="104"/>
              <w:spacing w:after="0"/>
              <w:rPr>
                <w:sz w:val="20"/>
                <w:szCs w:val="20"/>
                <w:color w:val="auto"/>
              </w:rPr>
            </w:pPr>
            <w:r>
              <w:rPr>
                <w:rFonts w:ascii="Arial" w:cs="Arial" w:eastAsia="Arial" w:hAnsi="Arial"/>
                <w:sz w:val="15"/>
                <w:szCs w:val="15"/>
                <w:color w:val="auto"/>
                <w:w w:val="87"/>
              </w:rPr>
              <w:t>(113,738)</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(85,034)</w:t>
            </w:r>
          </w:p>
        </w:tc>
      </w:tr>
      <w:tr>
        <w:trPr>
          <w:trHeight w:val="30"/>
        </w:trPr>
        <w:tc>
          <w:tcPr>
            <w:tcW w:w="7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760" w:type="dxa"/>
            <w:vAlign w:val="bottom"/>
          </w:tcPr>
          <w:p>
            <w:pPr>
              <w:jc w:val="right"/>
              <w:ind w:right="144"/>
              <w:spacing w:after="0"/>
              <w:rPr>
                <w:sz w:val="20"/>
                <w:szCs w:val="20"/>
                <w:color w:val="auto"/>
              </w:rPr>
            </w:pPr>
            <w:r>
              <w:rPr>
                <w:rFonts w:ascii="Arial" w:cs="Arial" w:eastAsia="Arial" w:hAnsi="Arial"/>
                <w:sz w:val="15"/>
                <w:szCs w:val="15"/>
                <w:color w:val="auto"/>
                <w:w w:val="95"/>
              </w:rPr>
              <w:t>284,979</w:t>
            </w:r>
          </w:p>
        </w:tc>
        <w:tc>
          <w:tcPr>
            <w:tcW w:w="600" w:type="dxa"/>
            <w:vAlign w:val="bottom"/>
          </w:tcPr>
          <w:p>
            <w:pPr>
              <w:spacing w:after="0"/>
              <w:rPr>
                <w:sz w:val="17"/>
                <w:szCs w:val="17"/>
                <w:color w:val="auto"/>
              </w:rPr>
            </w:pP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307,581</w:t>
            </w:r>
          </w:p>
        </w:tc>
      </w:tr>
      <w:tr>
        <w:trPr>
          <w:trHeight w:val="30"/>
        </w:trPr>
        <w:tc>
          <w:tcPr>
            <w:tcW w:w="7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760" w:type="dxa"/>
            <w:vAlign w:val="bottom"/>
          </w:tcPr>
          <w:p>
            <w:pPr>
              <w:jc w:val="right"/>
              <w:ind w:right="144"/>
              <w:spacing w:after="0"/>
              <w:rPr>
                <w:sz w:val="20"/>
                <w:szCs w:val="20"/>
                <w:color w:val="auto"/>
              </w:rPr>
            </w:pPr>
            <w:r>
              <w:rPr>
                <w:rFonts w:ascii="Arial" w:cs="Arial" w:eastAsia="Arial" w:hAnsi="Arial"/>
                <w:sz w:val="15"/>
                <w:szCs w:val="15"/>
                <w:color w:val="auto"/>
                <w:w w:val="95"/>
              </w:rPr>
              <w:t>306,017</w:t>
            </w:r>
          </w:p>
        </w:tc>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4"/>
              <w:spacing w:after="0"/>
              <w:rPr>
                <w:sz w:val="20"/>
                <w:szCs w:val="20"/>
                <w:color w:val="auto"/>
              </w:rPr>
            </w:pPr>
            <w:r>
              <w:rPr>
                <w:rFonts w:ascii="Arial" w:cs="Arial" w:eastAsia="Arial" w:hAnsi="Arial"/>
                <w:sz w:val="15"/>
                <w:szCs w:val="15"/>
                <w:color w:val="auto"/>
              </w:rPr>
              <w:t>329,364</w:t>
            </w:r>
          </w:p>
        </w:tc>
      </w:tr>
      <w:tr>
        <w:trPr>
          <w:trHeight w:val="30"/>
        </w:trPr>
        <w:tc>
          <w:tcPr>
            <w:tcW w:w="7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-7620</wp:posOffset>
            </wp:positionV>
            <wp:extent cx="10902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90295" cy="8255"/>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-346710</wp:posOffset>
            </wp:positionV>
            <wp:extent cx="10902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90295" cy="8255"/>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-3141980</wp:posOffset>
            </wp:positionV>
            <wp:extent cx="10902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90295" cy="8255"/>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-3303270</wp:posOffset>
            </wp:positionV>
            <wp:extent cx="10902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360"/>
            <w:col w:w="3060"/>
          </w:cols>
          <w:pgMar w:left="240" w:top="352" w:right="23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See accompanying notes to unaudited consolidated financial statements.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52"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ANAPTYSBIO,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80"/>
        </w:trPr>
        <w:tc>
          <w:tcPr>
            <w:tcW w:w="5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247"/>
        </w:trPr>
        <w:tc>
          <w:tcPr>
            <w:tcW w:w="56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w w:val="96"/>
              </w:rPr>
              <w:t>2017</w:t>
            </w:r>
          </w:p>
        </w:tc>
      </w:tr>
      <w:tr>
        <w:trPr>
          <w:trHeight w:val="24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Collaboration revenue</w:t>
            </w:r>
          </w:p>
        </w:tc>
        <w:tc>
          <w:tcPr>
            <w:tcW w:w="320" w:type="dxa"/>
            <w:vAlign w:val="bottom"/>
            <w:tcBorders>
              <w:bottom w:val="single" w:sz="8" w:color="CFF0FC"/>
            </w:tcBorders>
            <w:shd w:val="clear" w:color="auto" w:fill="CFF0FC"/>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FF0FC"/>
            </w:tcBorders>
            <w:shd w:val="clear" w:color="auto" w:fill="CFF0FC"/>
          </w:tcPr>
          <w:p>
            <w:pPr>
              <w:jc w:val="right"/>
              <w:ind w:right="20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5"/>
                <w:szCs w:val="15"/>
                <w:color w:val="auto"/>
              </w:rPr>
              <w:t>7,000</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FF0FC"/>
            </w:tcBorders>
            <w:shd w:val="clear" w:color="auto" w:fill="CFF0FC"/>
          </w:tcPr>
          <w:p>
            <w:pPr>
              <w:jc w:val="right"/>
              <w:ind w:right="32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7,000</w:t>
            </w:r>
          </w:p>
        </w:tc>
      </w:tr>
      <w:tr>
        <w:trPr>
          <w:trHeight w:val="191"/>
        </w:trPr>
        <w:tc>
          <w:tcPr>
            <w:tcW w:w="562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r>
      <w:tr>
        <w:trPr>
          <w:trHeight w:val="56"/>
        </w:trPr>
        <w:tc>
          <w:tcPr>
            <w:tcW w:w="5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34"/>
        </w:trPr>
        <w:tc>
          <w:tcPr>
            <w:tcW w:w="5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Research and development</w:t>
            </w:r>
          </w:p>
        </w:tc>
        <w:tc>
          <w:tcPr>
            <w:tcW w:w="3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10,583</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5"/>
                <w:szCs w:val="15"/>
                <w:color w:val="auto"/>
              </w:rPr>
              <w:t>7,205</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22,393</w:t>
            </w:r>
          </w:p>
        </w:tc>
        <w:tc>
          <w:tcPr>
            <w:tcW w:w="1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15,140</w:t>
            </w:r>
          </w:p>
        </w:tc>
      </w:tr>
      <w:tr>
        <w:trPr>
          <w:trHeight w:val="224"/>
        </w:trPr>
        <w:tc>
          <w:tcPr>
            <w:tcW w:w="5620" w:type="dxa"/>
            <w:vAlign w:val="bottom"/>
          </w:tcPr>
          <w:p>
            <w:pPr>
              <w:ind w:left="260"/>
              <w:spacing w:after="0"/>
              <w:rPr>
                <w:sz w:val="20"/>
                <w:szCs w:val="20"/>
                <w:color w:val="auto"/>
              </w:rPr>
            </w:pPr>
            <w:r>
              <w:rPr>
                <w:rFonts w:ascii="Arial" w:cs="Arial" w:eastAsia="Arial" w:hAnsi="Arial"/>
                <w:sz w:val="15"/>
                <w:szCs w:val="15"/>
                <w:color w:val="auto"/>
              </w:rPr>
              <w:t>General and administrative</w:t>
            </w:r>
          </w:p>
        </w:tc>
        <w:tc>
          <w:tcPr>
            <w:tcW w:w="320" w:type="dxa"/>
            <w:vAlign w:val="bottom"/>
          </w:tcPr>
          <w:p>
            <w:pPr>
              <w:spacing w:after="0"/>
              <w:rPr>
                <w:sz w:val="19"/>
                <w:szCs w:val="19"/>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3,832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2,350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7,779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4,403</w:t>
            </w:r>
          </w:p>
        </w:tc>
      </w:tr>
      <w:tr>
        <w:trPr>
          <w:trHeight w:val="30"/>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4"/>
        </w:trPr>
        <w:tc>
          <w:tcPr>
            <w:tcW w:w="56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5"/>
                <w:szCs w:val="15"/>
                <w:color w:val="auto"/>
              </w:rPr>
              <w:t>Total operating expenses</w:t>
            </w:r>
          </w:p>
        </w:tc>
        <w:tc>
          <w:tcPr>
            <w:tcW w:w="3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14,415</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5"/>
                <w:szCs w:val="15"/>
                <w:color w:val="auto"/>
              </w:rPr>
              <w:t>9,555</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5"/>
                <w:szCs w:val="15"/>
                <w:color w:val="auto"/>
              </w:rPr>
              <w:t>30,172</w:t>
            </w:r>
          </w:p>
        </w:tc>
        <w:tc>
          <w:tcPr>
            <w:tcW w:w="1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19,543</w:t>
            </w:r>
          </w:p>
        </w:tc>
      </w:tr>
      <w:tr>
        <w:trPr>
          <w:trHeight w:val="204"/>
        </w:trPr>
        <w:tc>
          <w:tcPr>
            <w:tcW w:w="5620" w:type="dxa"/>
            <w:vAlign w:val="bottom"/>
          </w:tcPr>
          <w:p>
            <w:pPr>
              <w:ind w:left="720"/>
              <w:spacing w:after="0"/>
              <w:rPr>
                <w:sz w:val="20"/>
                <w:szCs w:val="20"/>
                <w:color w:val="auto"/>
              </w:rPr>
            </w:pPr>
            <w:r>
              <w:rPr>
                <w:rFonts w:ascii="Arial" w:cs="Arial" w:eastAsia="Arial" w:hAnsi="Arial"/>
                <w:sz w:val="15"/>
                <w:szCs w:val="15"/>
                <w:color w:val="auto"/>
              </w:rPr>
              <w:t>Loss from operations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(14,415)</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(2,555)</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(30,172)</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(12,543)</w:t>
            </w:r>
          </w:p>
        </w:tc>
      </w:tr>
      <w:tr>
        <w:trPr>
          <w:trHeight w:val="30"/>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7"/>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Other income (expense), net</w:t>
            </w:r>
          </w:p>
        </w:tc>
        <w:tc>
          <w:tcPr>
            <w:tcW w:w="3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r>
      <w:tr>
        <w:trPr>
          <w:trHeight w:val="224"/>
        </w:trPr>
        <w:tc>
          <w:tcPr>
            <w:tcW w:w="5620" w:type="dxa"/>
            <w:vAlign w:val="bottom"/>
          </w:tcPr>
          <w:p>
            <w:pPr>
              <w:ind w:left="260"/>
              <w:spacing w:after="0"/>
              <w:rPr>
                <w:sz w:val="20"/>
                <w:szCs w:val="20"/>
                <w:color w:val="auto"/>
              </w:rPr>
            </w:pPr>
            <w:r>
              <w:rPr>
                <w:rFonts w:ascii="Arial" w:cs="Arial" w:eastAsia="Arial" w:hAnsi="Arial"/>
                <w:sz w:val="15"/>
                <w:szCs w:val="15"/>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(887)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(867)</w:t>
            </w:r>
          </w:p>
        </w:tc>
      </w:tr>
      <w:tr>
        <w:trPr>
          <w:trHeight w:val="30"/>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4"/>
        </w:trPr>
        <w:tc>
          <w:tcPr>
            <w:tcW w:w="5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Change in fair value of liability for preferred stock warrants</w:t>
            </w:r>
          </w:p>
        </w:tc>
        <w:tc>
          <w:tcPr>
            <w:tcW w:w="3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(1,366)</w:t>
            </w:r>
          </w:p>
        </w:tc>
      </w:tr>
      <w:tr>
        <w:trPr>
          <w:trHeight w:val="224"/>
        </w:trPr>
        <w:tc>
          <w:tcPr>
            <w:tcW w:w="5620" w:type="dxa"/>
            <w:vAlign w:val="bottom"/>
          </w:tcPr>
          <w:p>
            <w:pPr>
              <w:ind w:left="260"/>
              <w:spacing w:after="0"/>
              <w:rPr>
                <w:sz w:val="20"/>
                <w:szCs w:val="20"/>
                <w:color w:val="auto"/>
              </w:rPr>
            </w:pPr>
            <w:r>
              <w:rPr>
                <w:rFonts w:ascii="Arial" w:cs="Arial" w:eastAsia="Arial" w:hAnsi="Arial"/>
                <w:sz w:val="15"/>
                <w:szCs w:val="15"/>
                <w:color w:val="auto"/>
              </w:rPr>
              <w:t>Interest income</w:t>
            </w:r>
          </w:p>
        </w:tc>
        <w:tc>
          <w:tcPr>
            <w:tcW w:w="320" w:type="dxa"/>
            <w:vAlign w:val="bottom"/>
          </w:tcPr>
          <w:p>
            <w:pPr>
              <w:spacing w:after="0"/>
              <w:rPr>
                <w:sz w:val="19"/>
                <w:szCs w:val="19"/>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1,297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2,482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404</w:t>
            </w:r>
          </w:p>
        </w:tc>
      </w:tr>
      <w:tr>
        <w:trPr>
          <w:trHeight w:val="30"/>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4"/>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5"/>
                <w:szCs w:val="15"/>
                <w:color w:val="auto"/>
              </w:rPr>
              <w:t>Other income (expense), net</w:t>
            </w:r>
          </w:p>
        </w:tc>
        <w:tc>
          <w:tcPr>
            <w:tcW w:w="32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(64)</w:t>
            </w:r>
          </w:p>
        </w:tc>
        <w:tc>
          <w:tcPr>
            <w:tcW w:w="1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5"/>
                <w:szCs w:val="15"/>
                <w:color w:val="auto"/>
              </w:rPr>
              <w:t>29</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(127)</w:t>
            </w:r>
          </w:p>
        </w:tc>
        <w:tc>
          <w:tcPr>
            <w:tcW w:w="12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253</w:t>
            </w:r>
          </w:p>
        </w:tc>
      </w:tr>
      <w:tr>
        <w:trPr>
          <w:trHeight w:val="204"/>
        </w:trPr>
        <w:tc>
          <w:tcPr>
            <w:tcW w:w="5620" w:type="dxa"/>
            <w:vAlign w:val="bottom"/>
          </w:tcPr>
          <w:p>
            <w:pPr>
              <w:ind w:left="480"/>
              <w:spacing w:after="0"/>
              <w:rPr>
                <w:sz w:val="20"/>
                <w:szCs w:val="20"/>
                <w:color w:val="auto"/>
              </w:rPr>
            </w:pPr>
            <w:r>
              <w:rPr>
                <w:rFonts w:ascii="Arial" w:cs="Arial" w:eastAsia="Arial" w:hAnsi="Arial"/>
                <w:sz w:val="15"/>
                <w:szCs w:val="15"/>
                <w:color w:val="auto"/>
              </w:rPr>
              <w:t>Total other income (expense), net</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797</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1,468</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(1,576)</w:t>
            </w:r>
          </w:p>
        </w:tc>
      </w:tr>
      <w:tr>
        <w:trPr>
          <w:trHeight w:val="30"/>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4"/>
        </w:trPr>
        <w:tc>
          <w:tcPr>
            <w:tcW w:w="562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5"/>
                <w:szCs w:val="15"/>
                <w:color w:val="auto"/>
              </w:rPr>
              <w:t>Net loss</w:t>
            </w:r>
          </w:p>
        </w:tc>
        <w:tc>
          <w:tcPr>
            <w:tcW w:w="3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(13,618)</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(2,684)</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(28,704)</w:t>
            </w: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(14,119)</w:t>
            </w:r>
          </w:p>
        </w:tc>
      </w:tr>
      <w:tr>
        <w:trPr>
          <w:trHeight w:val="224"/>
        </w:trPr>
        <w:tc>
          <w:tcPr>
            <w:tcW w:w="5620" w:type="dxa"/>
            <w:vAlign w:val="bottom"/>
          </w:tcPr>
          <w:p>
            <w:pPr>
              <w:ind w:left="480"/>
              <w:spacing w:after="0"/>
              <w:rPr>
                <w:sz w:val="20"/>
                <w:szCs w:val="20"/>
                <w:color w:val="auto"/>
              </w:rPr>
            </w:pPr>
            <w:r>
              <w:rPr>
                <w:rFonts w:ascii="Arial" w:cs="Arial" w:eastAsia="Arial" w:hAnsi="Arial"/>
                <w:sz w:val="15"/>
                <w:szCs w:val="15"/>
                <w:color w:val="auto"/>
              </w:rPr>
              <w:t>Unrealized income (loss) on available for sale securities</w:t>
            </w:r>
          </w:p>
        </w:tc>
        <w:tc>
          <w:tcPr>
            <w:tcW w:w="320" w:type="dxa"/>
            <w:vAlign w:val="bottom"/>
          </w:tcPr>
          <w:p>
            <w:pPr>
              <w:spacing w:after="0"/>
              <w:rPr>
                <w:sz w:val="19"/>
                <w:szCs w:val="19"/>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124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30"/>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4"/>
        </w:trPr>
        <w:tc>
          <w:tcPr>
            <w:tcW w:w="562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5"/>
                <w:szCs w:val="15"/>
                <w:color w:val="auto"/>
              </w:rPr>
              <w:t>Other comprehensive income (loss)</w:t>
            </w:r>
          </w:p>
        </w:tc>
        <w:tc>
          <w:tcPr>
            <w:tcW w:w="3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15"/>
                <w:szCs w:val="15"/>
                <w:color w:val="auto"/>
              </w:rPr>
              <w:t>124</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(250)</w:t>
            </w:r>
          </w:p>
        </w:tc>
        <w:tc>
          <w:tcPr>
            <w:tcW w:w="1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(59)</w:t>
            </w:r>
          </w:p>
        </w:tc>
      </w:tr>
      <w:tr>
        <w:trPr>
          <w:trHeight w:val="204"/>
        </w:trPr>
        <w:tc>
          <w:tcPr>
            <w:tcW w:w="5620" w:type="dxa"/>
            <w:vAlign w:val="bottom"/>
          </w:tcPr>
          <w:p>
            <w:pPr>
              <w:ind w:left="900"/>
              <w:spacing w:after="0"/>
              <w:rPr>
                <w:sz w:val="20"/>
                <w:szCs w:val="20"/>
                <w:color w:val="auto"/>
              </w:rPr>
            </w:pPr>
            <w:r>
              <w:rPr>
                <w:rFonts w:ascii="Arial" w:cs="Arial" w:eastAsia="Arial" w:hAnsi="Arial"/>
                <w:sz w:val="15"/>
                <w:szCs w:val="15"/>
                <w:color w:val="auto"/>
              </w:rPr>
              <w:t>Comprehensive loss</w:t>
            </w:r>
          </w:p>
        </w:tc>
        <w:tc>
          <w:tcPr>
            <w:tcW w:w="32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(13,494)</w:t>
            </w:r>
          </w:p>
        </w:tc>
        <w:tc>
          <w:tcPr>
            <w:tcW w:w="120" w:type="dxa"/>
            <w:vAlign w:val="bottom"/>
          </w:tcPr>
          <w:p>
            <w:pPr>
              <w:spacing w:after="0"/>
              <w:rPr>
                <w:sz w:val="17"/>
                <w:szCs w:val="17"/>
                <w:color w:val="auto"/>
              </w:rPr>
            </w:pPr>
          </w:p>
        </w:tc>
        <w:tc>
          <w:tcPr>
            <w:tcW w:w="38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(2,730)</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(28,954)</w:t>
            </w: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2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(14,178)</w:t>
            </w:r>
          </w:p>
        </w:tc>
      </w:tr>
      <w:tr>
        <w:trPr>
          <w:trHeight w:val="70"/>
        </w:trPr>
        <w:tc>
          <w:tcPr>
            <w:tcW w:w="5620" w:type="dxa"/>
            <w:vAlign w:val="bottom"/>
            <w:tcBorders>
              <w:bottom w:val="single" w:sz="8" w:color="CFF0FC"/>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164"/>
        </w:trPr>
        <w:tc>
          <w:tcPr>
            <w:tcW w:w="5620" w:type="dxa"/>
            <w:vAlign w:val="bottom"/>
            <w:shd w:val="clear" w:color="auto" w:fill="CFF0FC"/>
          </w:tcPr>
          <w:p>
            <w:pPr>
              <w:ind w:left="260"/>
              <w:spacing w:after="0" w:line="164" w:lineRule="exact"/>
              <w:rPr>
                <w:sz w:val="20"/>
                <w:szCs w:val="20"/>
                <w:color w:val="auto"/>
              </w:rPr>
            </w:pPr>
            <w:r>
              <w:rPr>
                <w:rFonts w:ascii="Arial" w:cs="Arial" w:eastAsia="Arial" w:hAnsi="Arial"/>
                <w:sz w:val="15"/>
                <w:szCs w:val="15"/>
                <w:color w:val="auto"/>
              </w:rPr>
              <w:t>Net loss per common share:</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r>
      <w:tr>
        <w:trPr>
          <w:trHeight w:val="68"/>
        </w:trPr>
        <w:tc>
          <w:tcPr>
            <w:tcW w:w="56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0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r>
      <w:tr>
        <w:trPr>
          <w:trHeight w:val="211"/>
        </w:trPr>
        <w:tc>
          <w:tcPr>
            <w:tcW w:w="5620" w:type="dxa"/>
            <w:vAlign w:val="bottom"/>
          </w:tcPr>
          <w:p>
            <w:pPr>
              <w:ind w:left="720"/>
              <w:spacing w:after="0"/>
              <w:rPr>
                <w:sz w:val="20"/>
                <w:szCs w:val="20"/>
                <w:color w:val="auto"/>
              </w:rPr>
            </w:pPr>
            <w:r>
              <w:rPr>
                <w:rFonts w:ascii="Arial" w:cs="Arial" w:eastAsia="Arial" w:hAnsi="Arial"/>
                <w:sz w:val="15"/>
                <w:szCs w:val="15"/>
                <w:color w:val="auto"/>
              </w:rPr>
              <w:t>Basic and diluted</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(0.57)</w:t>
            </w:r>
          </w:p>
        </w:tc>
        <w:tc>
          <w:tcPr>
            <w:tcW w:w="120" w:type="dxa"/>
            <w:vAlign w:val="bottom"/>
          </w:tcPr>
          <w:p>
            <w:pPr>
              <w:spacing w:after="0"/>
              <w:rPr>
                <w:sz w:val="18"/>
                <w:szCs w:val="18"/>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(0.13)</w:t>
            </w:r>
          </w:p>
        </w:tc>
        <w:tc>
          <w:tcPr>
            <w:tcW w:w="100" w:type="dxa"/>
            <w:vAlign w:val="bottom"/>
          </w:tcPr>
          <w:p>
            <w:pPr>
              <w:spacing w:after="0"/>
              <w:rPr>
                <w:sz w:val="18"/>
                <w:szCs w:val="18"/>
                <w:color w:val="auto"/>
              </w:rPr>
            </w:pP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18"/>
                <w:szCs w:val="18"/>
                <w:color w:val="auto"/>
              </w:rPr>
            </w:pPr>
          </w:p>
        </w:tc>
        <w:tc>
          <w:tcPr>
            <w:tcW w:w="500" w:type="dxa"/>
            <w:vAlign w:val="bottom"/>
          </w:tcPr>
          <w:p>
            <w:pPr>
              <w:jc w:val="right"/>
              <w:ind w:right="32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(0.79)</w:t>
            </w:r>
          </w:p>
        </w:tc>
      </w:tr>
      <w:tr>
        <w:trPr>
          <w:trHeight w:val="70"/>
        </w:trPr>
        <w:tc>
          <w:tcPr>
            <w:tcW w:w="5620" w:type="dxa"/>
            <w:vAlign w:val="bottom"/>
            <w:tcBorders>
              <w:bottom w:val="single" w:sz="8" w:color="CFF0FC"/>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164"/>
        </w:trPr>
        <w:tc>
          <w:tcPr>
            <w:tcW w:w="5620" w:type="dxa"/>
            <w:vAlign w:val="bottom"/>
            <w:shd w:val="clear" w:color="auto" w:fill="CFF0FC"/>
          </w:tcPr>
          <w:p>
            <w:pPr>
              <w:ind w:left="260"/>
              <w:spacing w:after="0" w:line="164" w:lineRule="exact"/>
              <w:rPr>
                <w:sz w:val="20"/>
                <w:szCs w:val="20"/>
                <w:color w:val="auto"/>
              </w:rPr>
            </w:pPr>
            <w:r>
              <w:rPr>
                <w:rFonts w:ascii="Arial" w:cs="Arial" w:eastAsia="Arial" w:hAnsi="Arial"/>
                <w:sz w:val="15"/>
                <w:szCs w:val="15"/>
                <w:color w:val="auto"/>
              </w:rPr>
              <w:t>Weighted-average number of shares outstanding:</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r>
      <w:tr>
        <w:trPr>
          <w:trHeight w:val="68"/>
        </w:trPr>
        <w:tc>
          <w:tcPr>
            <w:tcW w:w="56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0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r>
      <w:tr>
        <w:trPr>
          <w:trHeight w:val="211"/>
        </w:trPr>
        <w:tc>
          <w:tcPr>
            <w:tcW w:w="5620" w:type="dxa"/>
            <w:vAlign w:val="bottom"/>
          </w:tcPr>
          <w:p>
            <w:pPr>
              <w:ind w:left="720"/>
              <w:spacing w:after="0"/>
              <w:rPr>
                <w:sz w:val="20"/>
                <w:szCs w:val="20"/>
                <w:color w:val="auto"/>
              </w:rPr>
            </w:pPr>
            <w:r>
              <w:rPr>
                <w:rFonts w:ascii="Arial" w:cs="Arial" w:eastAsia="Arial" w:hAnsi="Arial"/>
                <w:sz w:val="15"/>
                <w:szCs w:val="15"/>
                <w:color w:val="auto"/>
              </w:rPr>
              <w:t>Basic and diluted</w:t>
            </w:r>
          </w:p>
        </w:tc>
        <w:tc>
          <w:tcPr>
            <w:tcW w:w="320" w:type="dxa"/>
            <w:vAlign w:val="bottom"/>
          </w:tcPr>
          <w:p>
            <w:pPr>
              <w:spacing w:after="0"/>
              <w:rPr>
                <w:sz w:val="18"/>
                <w:szCs w:val="18"/>
                <w:color w:val="auto"/>
              </w:rPr>
            </w:pPr>
          </w:p>
        </w:tc>
        <w:tc>
          <w:tcPr>
            <w:tcW w:w="1040" w:type="dxa"/>
            <w:vAlign w:val="bottom"/>
          </w:tcPr>
          <w:p>
            <w:pPr>
              <w:jc w:val="right"/>
              <w:ind w:right="25"/>
              <w:spacing w:after="0"/>
              <w:rPr>
                <w:sz w:val="20"/>
                <w:szCs w:val="20"/>
                <w:color w:val="auto"/>
              </w:rPr>
            </w:pPr>
            <w:r>
              <w:rPr>
                <w:rFonts w:ascii="Arial" w:cs="Arial" w:eastAsia="Arial" w:hAnsi="Arial"/>
                <w:sz w:val="15"/>
                <w:szCs w:val="15"/>
                <w:color w:val="auto"/>
              </w:rPr>
              <w:t>23,932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20,271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45"/>
              <w:spacing w:after="0"/>
              <w:rPr>
                <w:sz w:val="20"/>
                <w:szCs w:val="20"/>
                <w:color w:val="auto"/>
              </w:rPr>
            </w:pPr>
            <w:r>
              <w:rPr>
                <w:rFonts w:ascii="Arial" w:cs="Arial" w:eastAsia="Arial" w:hAnsi="Arial"/>
                <w:sz w:val="15"/>
                <w:szCs w:val="15"/>
                <w:color w:val="auto"/>
              </w:rPr>
              <w:t>23,867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17,797</w:t>
            </w:r>
          </w:p>
        </w:tc>
      </w:tr>
      <w:tr>
        <w:trPr>
          <w:trHeight w:val="30"/>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5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ANAPTYSBIO,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47"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Six Months Ended</w:t>
      </w:r>
    </w:p>
    <w:p>
      <w:pPr>
        <w:jc w:val="center"/>
        <w:ind w:left="79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5009515</wp:posOffset>
            </wp:positionH>
            <wp:positionV relativeFrom="paragraph">
              <wp:posOffset>6985</wp:posOffset>
            </wp:positionV>
            <wp:extent cx="22459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8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3"/>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0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80" w:type="dxa"/>
            <w:vAlign w:val="bottom"/>
          </w:tcPr>
          <w:p>
            <w:pPr>
              <w:ind w:left="20"/>
              <w:spacing w:after="0"/>
              <w:rPr>
                <w:sz w:val="20"/>
                <w:szCs w:val="20"/>
                <w:color w:val="auto"/>
              </w:rPr>
            </w:pPr>
            <w:r>
              <w:rPr>
                <w:rFonts w:ascii="Arial" w:cs="Arial" w:eastAsia="Arial" w:hAnsi="Arial"/>
                <w:sz w:val="15"/>
                <w:szCs w:val="15"/>
                <w:color w:val="auto"/>
              </w:rPr>
              <w:t>Net loss</w:t>
            </w:r>
          </w:p>
        </w:tc>
        <w:tc>
          <w:tcPr>
            <w:tcW w:w="1080" w:type="dxa"/>
            <w:vAlign w:val="bottom"/>
          </w:tcPr>
          <w:p>
            <w:pPr>
              <w:jc w:val="right"/>
              <w:ind w:right="885"/>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(28,704)</w:t>
            </w:r>
          </w:p>
        </w:tc>
        <w:tc>
          <w:tcPr>
            <w:tcW w:w="120" w:type="dxa"/>
            <w:vAlign w:val="bottom"/>
          </w:tcPr>
          <w:p>
            <w:pPr>
              <w:spacing w:after="0"/>
              <w:rPr>
                <w:sz w:val="19"/>
                <w:szCs w:val="19"/>
                <w:color w:val="auto"/>
              </w:rPr>
            </w:pP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(14,119)</w:t>
            </w:r>
          </w:p>
        </w:tc>
        <w:tc>
          <w:tcPr>
            <w:tcW w:w="0" w:type="dxa"/>
            <w:vAlign w:val="bottom"/>
          </w:tcPr>
          <w:p>
            <w:pPr>
              <w:spacing w:after="0"/>
              <w:rPr>
                <w:sz w:val="1"/>
                <w:szCs w:val="1"/>
                <w:color w:val="auto"/>
              </w:rPr>
            </w:pPr>
          </w:p>
        </w:tc>
      </w:tr>
      <w:tr>
        <w:trPr>
          <w:trHeight w:val="30"/>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0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8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1080" w:type="dxa"/>
            <w:vAlign w:val="bottom"/>
          </w:tcPr>
          <w:p>
            <w:pPr>
              <w:spacing w:after="0"/>
              <w:rPr>
                <w:sz w:val="19"/>
                <w:szCs w:val="19"/>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30"/>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Stock-based compensation</w:t>
            </w:r>
          </w:p>
        </w:tc>
        <w:tc>
          <w:tcPr>
            <w:tcW w:w="10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4,808</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2,304</w:t>
            </w:r>
          </w:p>
        </w:tc>
        <w:tc>
          <w:tcPr>
            <w:tcW w:w="0" w:type="dxa"/>
            <w:vAlign w:val="bottom"/>
          </w:tcPr>
          <w:p>
            <w:pPr>
              <w:spacing w:after="0"/>
              <w:rPr>
                <w:sz w:val="1"/>
                <w:szCs w:val="1"/>
                <w:color w:val="auto"/>
              </w:rPr>
            </w:pPr>
          </w:p>
        </w:tc>
      </w:tr>
      <w:tr>
        <w:trPr>
          <w:trHeight w:val="224"/>
        </w:trPr>
        <w:tc>
          <w:tcPr>
            <w:tcW w:w="7880" w:type="dxa"/>
            <w:vAlign w:val="bottom"/>
          </w:tcPr>
          <w:p>
            <w:pPr>
              <w:ind w:left="260"/>
              <w:spacing w:after="0"/>
              <w:rPr>
                <w:sz w:val="20"/>
                <w:szCs w:val="20"/>
                <w:color w:val="auto"/>
              </w:rPr>
            </w:pPr>
            <w:r>
              <w:rPr>
                <w:rFonts w:ascii="Arial" w:cs="Arial" w:eastAsia="Arial" w:hAnsi="Arial"/>
                <w:sz w:val="15"/>
                <w:szCs w:val="15"/>
                <w:color w:val="auto"/>
              </w:rPr>
              <w:t>Change in fair value of liability for preferred stock warrants</w:t>
            </w:r>
          </w:p>
        </w:tc>
        <w:tc>
          <w:tcPr>
            <w:tcW w:w="10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9"/>
                <w:szCs w:val="19"/>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1,366</w:t>
            </w:r>
          </w:p>
        </w:tc>
        <w:tc>
          <w:tcPr>
            <w:tcW w:w="0" w:type="dxa"/>
            <w:vAlign w:val="bottom"/>
          </w:tcPr>
          <w:p>
            <w:pPr>
              <w:spacing w:after="0"/>
              <w:rPr>
                <w:sz w:val="1"/>
                <w:szCs w:val="1"/>
                <w:color w:val="auto"/>
              </w:rPr>
            </w:pPr>
          </w:p>
        </w:tc>
      </w:tr>
      <w:tr>
        <w:trPr>
          <w:trHeight w:val="30"/>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Income from investments</w:t>
            </w:r>
          </w:p>
        </w:tc>
        <w:tc>
          <w:tcPr>
            <w:tcW w:w="10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(255)</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7880" w:type="dxa"/>
            <w:vAlign w:val="bottom"/>
          </w:tcPr>
          <w:p>
            <w:pPr>
              <w:ind w:left="260"/>
              <w:spacing w:after="0"/>
              <w:rPr>
                <w:sz w:val="20"/>
                <w:szCs w:val="20"/>
                <w:color w:val="auto"/>
              </w:rPr>
            </w:pPr>
            <w:r>
              <w:rPr>
                <w:rFonts w:ascii="Arial" w:cs="Arial" w:eastAsia="Arial" w:hAnsi="Arial"/>
                <w:sz w:val="15"/>
                <w:szCs w:val="15"/>
                <w:color w:val="auto"/>
              </w:rPr>
              <w:t>Non-cash interest expense</w:t>
            </w:r>
          </w:p>
        </w:tc>
        <w:tc>
          <w:tcPr>
            <w:tcW w:w="1080" w:type="dxa"/>
            <w:vAlign w:val="bottom"/>
          </w:tcPr>
          <w:p>
            <w:pPr>
              <w:spacing w:after="0"/>
              <w:rPr>
                <w:sz w:val="19"/>
                <w:szCs w:val="19"/>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317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303</w:t>
            </w:r>
          </w:p>
        </w:tc>
        <w:tc>
          <w:tcPr>
            <w:tcW w:w="0" w:type="dxa"/>
            <w:vAlign w:val="bottom"/>
          </w:tcPr>
          <w:p>
            <w:pPr>
              <w:spacing w:after="0"/>
              <w:rPr>
                <w:sz w:val="1"/>
                <w:szCs w:val="1"/>
                <w:color w:val="auto"/>
              </w:rPr>
            </w:pPr>
          </w:p>
        </w:tc>
      </w:tr>
      <w:tr>
        <w:trPr>
          <w:trHeight w:val="30"/>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Changes in operating assets and liabilities:</w:t>
            </w:r>
          </w:p>
        </w:tc>
        <w:tc>
          <w:tcPr>
            <w:tcW w:w="10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80" w:type="dxa"/>
            <w:vAlign w:val="bottom"/>
          </w:tcPr>
          <w:p>
            <w:pPr>
              <w:ind w:left="480"/>
              <w:spacing w:after="0"/>
              <w:rPr>
                <w:sz w:val="20"/>
                <w:szCs w:val="20"/>
                <w:color w:val="auto"/>
              </w:rPr>
            </w:pPr>
            <w:r>
              <w:rPr>
                <w:rFonts w:ascii="Arial" w:cs="Arial" w:eastAsia="Arial" w:hAnsi="Arial"/>
                <w:sz w:val="15"/>
                <w:szCs w:val="15"/>
                <w:color w:val="auto"/>
              </w:rPr>
              <w:t>Receivable from collaborative partners</w:t>
            </w:r>
          </w:p>
        </w:tc>
        <w:tc>
          <w:tcPr>
            <w:tcW w:w="10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9"/>
                <w:szCs w:val="19"/>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1,225</w:t>
            </w:r>
          </w:p>
        </w:tc>
        <w:tc>
          <w:tcPr>
            <w:tcW w:w="0" w:type="dxa"/>
            <w:vAlign w:val="bottom"/>
          </w:tcPr>
          <w:p>
            <w:pPr>
              <w:spacing w:after="0"/>
              <w:rPr>
                <w:sz w:val="1"/>
                <w:szCs w:val="1"/>
                <w:color w:val="auto"/>
              </w:rPr>
            </w:pPr>
          </w:p>
        </w:tc>
      </w:tr>
      <w:tr>
        <w:trPr>
          <w:trHeight w:val="30"/>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8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5"/>
                <w:szCs w:val="15"/>
                <w:color w:val="auto"/>
              </w:rPr>
              <w:t>Australian tax incentive receivable</w:t>
            </w:r>
          </w:p>
        </w:tc>
        <w:tc>
          <w:tcPr>
            <w:tcW w:w="10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1,449</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(1,519)</w:t>
            </w:r>
          </w:p>
        </w:tc>
        <w:tc>
          <w:tcPr>
            <w:tcW w:w="0" w:type="dxa"/>
            <w:vAlign w:val="bottom"/>
          </w:tcPr>
          <w:p>
            <w:pPr>
              <w:spacing w:after="0"/>
              <w:rPr>
                <w:sz w:val="1"/>
                <w:szCs w:val="1"/>
                <w:color w:val="auto"/>
              </w:rPr>
            </w:pPr>
          </w:p>
        </w:tc>
      </w:tr>
      <w:tr>
        <w:trPr>
          <w:trHeight w:val="224"/>
        </w:trPr>
        <w:tc>
          <w:tcPr>
            <w:tcW w:w="7880" w:type="dxa"/>
            <w:vAlign w:val="bottom"/>
          </w:tcPr>
          <w:p>
            <w:pPr>
              <w:ind w:left="480"/>
              <w:spacing w:after="0"/>
              <w:rPr>
                <w:sz w:val="20"/>
                <w:szCs w:val="20"/>
                <w:color w:val="auto"/>
              </w:rPr>
            </w:pPr>
            <w:r>
              <w:rPr>
                <w:rFonts w:ascii="Arial" w:cs="Arial" w:eastAsia="Arial" w:hAnsi="Arial"/>
                <w:sz w:val="15"/>
                <w:szCs w:val="15"/>
                <w:color w:val="auto"/>
              </w:rPr>
              <w:t>Prepaid expenses and other assets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(2,490)</w:t>
            </w:r>
          </w:p>
        </w:tc>
        <w:tc>
          <w:tcPr>
            <w:tcW w:w="0" w:type="dxa"/>
            <w:vAlign w:val="bottom"/>
          </w:tcPr>
          <w:p>
            <w:pPr>
              <w:spacing w:after="0"/>
              <w:rPr>
                <w:sz w:val="1"/>
                <w:szCs w:val="1"/>
                <w:color w:val="auto"/>
              </w:rPr>
            </w:pPr>
          </w:p>
        </w:tc>
      </w:tr>
      <w:tr>
        <w:trPr>
          <w:trHeight w:val="30"/>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8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5"/>
                <w:szCs w:val="15"/>
                <w:color w:val="auto"/>
              </w:rPr>
              <w:t>Accounts payable and other liabilities</w:t>
            </w:r>
          </w:p>
        </w:tc>
        <w:tc>
          <w:tcPr>
            <w:tcW w:w="108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2,097</w:t>
            </w:r>
          </w:p>
        </w:tc>
        <w:tc>
          <w:tcPr>
            <w:tcW w:w="1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2,100</w:t>
            </w:r>
          </w:p>
        </w:tc>
        <w:tc>
          <w:tcPr>
            <w:tcW w:w="0" w:type="dxa"/>
            <w:vAlign w:val="bottom"/>
          </w:tcPr>
          <w:p>
            <w:pPr>
              <w:spacing w:after="0"/>
              <w:rPr>
                <w:sz w:val="1"/>
                <w:szCs w:val="1"/>
                <w:color w:val="auto"/>
              </w:rPr>
            </w:pPr>
          </w:p>
        </w:tc>
      </w:tr>
      <w:tr>
        <w:trPr>
          <w:trHeight w:val="204"/>
        </w:trPr>
        <w:tc>
          <w:tcPr>
            <w:tcW w:w="7880" w:type="dxa"/>
            <w:vAlign w:val="bottom"/>
          </w:tcPr>
          <w:p>
            <w:pPr>
              <w:ind w:left="720"/>
              <w:spacing w:after="0"/>
              <w:rPr>
                <w:sz w:val="20"/>
                <w:szCs w:val="20"/>
                <w:color w:val="auto"/>
              </w:rPr>
            </w:pPr>
            <w:r>
              <w:rPr>
                <w:rFonts w:ascii="Arial" w:cs="Arial" w:eastAsia="Arial" w:hAnsi="Arial"/>
                <w:sz w:val="15"/>
                <w:szCs w:val="15"/>
                <w:color w:val="auto"/>
              </w:rPr>
              <w:t>Net cash used in operating activities</w:t>
            </w:r>
          </w:p>
        </w:tc>
        <w:tc>
          <w:tcPr>
            <w:tcW w:w="10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(21,356)</w:t>
            </w: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(10,740)</w:t>
            </w:r>
          </w:p>
        </w:tc>
        <w:tc>
          <w:tcPr>
            <w:tcW w:w="0" w:type="dxa"/>
            <w:vAlign w:val="bottom"/>
          </w:tcPr>
          <w:p>
            <w:pPr>
              <w:spacing w:after="0"/>
              <w:rPr>
                <w:sz w:val="1"/>
                <w:szCs w:val="1"/>
                <w:color w:val="auto"/>
              </w:rPr>
            </w:pPr>
          </w:p>
        </w:tc>
      </w:tr>
      <w:tr>
        <w:trPr>
          <w:trHeight w:val="30"/>
        </w:trPr>
        <w:tc>
          <w:tcPr>
            <w:tcW w:w="7880" w:type="dxa"/>
            <w:vAlign w:val="bottom"/>
            <w:tcBorders>
              <w:bottom w:val="single" w:sz="8" w:color="CFF0F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0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80" w:type="dxa"/>
            <w:vAlign w:val="bottom"/>
          </w:tcPr>
          <w:p>
            <w:pPr>
              <w:ind w:left="20"/>
              <w:spacing w:after="0"/>
              <w:rPr>
                <w:sz w:val="20"/>
                <w:szCs w:val="20"/>
                <w:color w:val="auto"/>
              </w:rPr>
            </w:pPr>
            <w:r>
              <w:rPr>
                <w:rFonts w:ascii="Arial" w:cs="Arial" w:eastAsia="Arial" w:hAnsi="Arial"/>
                <w:sz w:val="15"/>
                <w:szCs w:val="15"/>
                <w:color w:val="auto"/>
              </w:rPr>
              <w:t>Acquisition of investments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(90,411)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(89,353)</w:t>
            </w:r>
          </w:p>
        </w:tc>
        <w:tc>
          <w:tcPr>
            <w:tcW w:w="0" w:type="dxa"/>
            <w:vAlign w:val="bottom"/>
          </w:tcPr>
          <w:p>
            <w:pPr>
              <w:spacing w:after="0"/>
              <w:rPr>
                <w:sz w:val="1"/>
                <w:szCs w:val="1"/>
                <w:color w:val="auto"/>
              </w:rPr>
            </w:pPr>
          </w:p>
        </w:tc>
      </w:tr>
      <w:tr>
        <w:trPr>
          <w:trHeight w:val="30"/>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Sales and maturities of investments</w:t>
            </w:r>
          </w:p>
        </w:tc>
        <w:tc>
          <w:tcPr>
            <w:tcW w:w="10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90,031</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7880" w:type="dxa"/>
            <w:vAlign w:val="bottom"/>
          </w:tcPr>
          <w:p>
            <w:pPr>
              <w:ind w:left="20"/>
              <w:spacing w:after="0"/>
              <w:rPr>
                <w:sz w:val="20"/>
                <w:szCs w:val="20"/>
                <w:color w:val="auto"/>
              </w:rPr>
            </w:pPr>
            <w:r>
              <w:rPr>
                <w:rFonts w:ascii="Arial" w:cs="Arial" w:eastAsia="Arial" w:hAnsi="Arial"/>
                <w:sz w:val="15"/>
                <w:szCs w:val="15"/>
                <w:color w:val="auto"/>
              </w:rPr>
              <w:t>Purchases of property and equipment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30"/>
        </w:trPr>
        <w:tc>
          <w:tcPr>
            <w:tcW w:w="7880" w:type="dxa"/>
            <w:vAlign w:val="bottom"/>
            <w:tcBorders>
              <w:bottom w:val="single" w:sz="8" w:color="CFF0F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88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5"/>
                <w:szCs w:val="15"/>
                <w:color w:val="auto"/>
              </w:rPr>
              <w:t>Net cash used in investing activities</w:t>
            </w:r>
          </w:p>
        </w:tc>
        <w:tc>
          <w:tcPr>
            <w:tcW w:w="10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(916)</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(89,506)</w:t>
            </w:r>
          </w:p>
        </w:tc>
        <w:tc>
          <w:tcPr>
            <w:tcW w:w="0" w:type="dxa"/>
            <w:vAlign w:val="bottom"/>
          </w:tcPr>
          <w:p>
            <w:pPr>
              <w:spacing w:after="0"/>
              <w:rPr>
                <w:sz w:val="1"/>
                <w:szCs w:val="1"/>
                <w:color w:val="auto"/>
              </w:rPr>
            </w:pPr>
          </w:p>
        </w:tc>
      </w:tr>
      <w:tr>
        <w:trPr>
          <w:trHeight w:val="191"/>
        </w:trPr>
        <w:tc>
          <w:tcPr>
            <w:tcW w:w="788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0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7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Proceeds from public offerings, net of underwriters' fees</w:t>
            </w:r>
          </w:p>
        </w:tc>
        <w:tc>
          <w:tcPr>
            <w:tcW w:w="10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80,213</w:t>
            </w:r>
          </w:p>
        </w:tc>
        <w:tc>
          <w:tcPr>
            <w:tcW w:w="0" w:type="dxa"/>
            <w:vAlign w:val="bottom"/>
          </w:tcPr>
          <w:p>
            <w:pPr>
              <w:spacing w:after="0"/>
              <w:rPr>
                <w:sz w:val="1"/>
                <w:szCs w:val="1"/>
                <w:color w:val="auto"/>
              </w:rPr>
            </w:pPr>
          </w:p>
        </w:tc>
      </w:tr>
      <w:tr>
        <w:trPr>
          <w:trHeight w:val="224"/>
        </w:trPr>
        <w:tc>
          <w:tcPr>
            <w:tcW w:w="7880" w:type="dxa"/>
            <w:vAlign w:val="bottom"/>
          </w:tcPr>
          <w:p>
            <w:pPr>
              <w:ind w:left="20"/>
              <w:spacing w:after="0"/>
              <w:rPr>
                <w:sz w:val="20"/>
                <w:szCs w:val="20"/>
                <w:color w:val="auto"/>
              </w:rPr>
            </w:pPr>
            <w:r>
              <w:rPr>
                <w:rFonts w:ascii="Arial" w:cs="Arial" w:eastAsia="Arial" w:hAnsi="Arial"/>
                <w:sz w:val="15"/>
                <w:szCs w:val="15"/>
                <w:color w:val="auto"/>
              </w:rPr>
              <w:t>Proceeds from issuance of common stock, upon the exercise of stock options</w:t>
            </w:r>
          </w:p>
        </w:tc>
        <w:tc>
          <w:tcPr>
            <w:tcW w:w="1080" w:type="dxa"/>
            <w:vAlign w:val="bottom"/>
          </w:tcPr>
          <w:p>
            <w:pPr>
              <w:spacing w:after="0"/>
              <w:rPr>
                <w:sz w:val="19"/>
                <w:szCs w:val="19"/>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1,469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503</w:t>
            </w:r>
          </w:p>
        </w:tc>
        <w:tc>
          <w:tcPr>
            <w:tcW w:w="0" w:type="dxa"/>
            <w:vAlign w:val="bottom"/>
          </w:tcPr>
          <w:p>
            <w:pPr>
              <w:spacing w:after="0"/>
              <w:rPr>
                <w:sz w:val="1"/>
                <w:szCs w:val="1"/>
                <w:color w:val="auto"/>
              </w:rPr>
            </w:pPr>
          </w:p>
        </w:tc>
      </w:tr>
      <w:tr>
        <w:trPr>
          <w:trHeight w:val="30"/>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Proceeds from issuance of common stock, upon the exercise of warrants</w:t>
            </w:r>
          </w:p>
        </w:tc>
        <w:tc>
          <w:tcPr>
            <w:tcW w:w="10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76</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224"/>
        </w:trPr>
        <w:tc>
          <w:tcPr>
            <w:tcW w:w="7880" w:type="dxa"/>
            <w:vAlign w:val="bottom"/>
          </w:tcPr>
          <w:p>
            <w:pPr>
              <w:ind w:left="20"/>
              <w:spacing w:after="0"/>
              <w:rPr>
                <w:sz w:val="20"/>
                <w:szCs w:val="20"/>
                <w:color w:val="auto"/>
              </w:rPr>
            </w:pPr>
            <w:r>
              <w:rPr>
                <w:rFonts w:ascii="Arial" w:cs="Arial" w:eastAsia="Arial" w:hAnsi="Arial"/>
                <w:sz w:val="15"/>
                <w:szCs w:val="15"/>
                <w:color w:val="auto"/>
              </w:rPr>
              <w:t>Payments on notes payable</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(3,125)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0"/>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Payments for offering costs</w:t>
            </w:r>
          </w:p>
        </w:tc>
        <w:tc>
          <w:tcPr>
            <w:tcW w:w="108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(280)</w:t>
            </w:r>
          </w:p>
        </w:tc>
        <w:tc>
          <w:tcPr>
            <w:tcW w:w="1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(1,485)</w:t>
            </w:r>
          </w:p>
        </w:tc>
        <w:tc>
          <w:tcPr>
            <w:tcW w:w="0" w:type="dxa"/>
            <w:vAlign w:val="bottom"/>
          </w:tcPr>
          <w:p>
            <w:pPr>
              <w:spacing w:after="0"/>
              <w:rPr>
                <w:sz w:val="1"/>
                <w:szCs w:val="1"/>
                <w:color w:val="auto"/>
              </w:rPr>
            </w:pPr>
          </w:p>
        </w:tc>
      </w:tr>
      <w:tr>
        <w:trPr>
          <w:trHeight w:val="204"/>
        </w:trPr>
        <w:tc>
          <w:tcPr>
            <w:tcW w:w="7880" w:type="dxa"/>
            <w:vAlign w:val="bottom"/>
          </w:tcPr>
          <w:p>
            <w:pPr>
              <w:ind w:left="720"/>
              <w:spacing w:after="0"/>
              <w:rPr>
                <w:sz w:val="20"/>
                <w:szCs w:val="20"/>
                <w:color w:val="auto"/>
              </w:rPr>
            </w:pPr>
            <w:r>
              <w:rPr>
                <w:rFonts w:ascii="Arial" w:cs="Arial" w:eastAsia="Arial" w:hAnsi="Arial"/>
                <w:sz w:val="15"/>
                <w:szCs w:val="15"/>
                <w:color w:val="auto"/>
              </w:rPr>
              <w:t>Net cash (used in) provided by financing activities</w:t>
            </w:r>
          </w:p>
        </w:tc>
        <w:tc>
          <w:tcPr>
            <w:tcW w:w="10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(1,860)</w:t>
            </w: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79,766</w:t>
            </w:r>
          </w:p>
        </w:tc>
        <w:tc>
          <w:tcPr>
            <w:tcW w:w="0" w:type="dxa"/>
            <w:vAlign w:val="bottom"/>
          </w:tcPr>
          <w:p>
            <w:pPr>
              <w:spacing w:after="0"/>
              <w:rPr>
                <w:sz w:val="1"/>
                <w:szCs w:val="1"/>
                <w:color w:val="auto"/>
              </w:rPr>
            </w:pPr>
          </w:p>
        </w:tc>
      </w:tr>
      <w:tr>
        <w:trPr>
          <w:trHeight w:val="30"/>
        </w:trPr>
        <w:tc>
          <w:tcPr>
            <w:tcW w:w="7880" w:type="dxa"/>
            <w:vAlign w:val="bottom"/>
            <w:tcBorders>
              <w:bottom w:val="single" w:sz="8" w:color="CFF0F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880" w:type="dxa"/>
            <w:vAlign w:val="bottom"/>
            <w:tcBorders>
              <w:bottom w:val="single" w:sz="8" w:color="CFF0FC"/>
            </w:tcBorders>
            <w:shd w:val="clear" w:color="auto" w:fill="CFF0FC"/>
          </w:tcPr>
          <w:p>
            <w:pPr>
              <w:ind w:left="960"/>
              <w:spacing w:after="0"/>
              <w:rPr>
                <w:sz w:val="20"/>
                <w:szCs w:val="20"/>
                <w:color w:val="auto"/>
              </w:rPr>
            </w:pPr>
            <w:r>
              <w:rPr>
                <w:rFonts w:ascii="Arial" w:cs="Arial" w:eastAsia="Arial" w:hAnsi="Arial"/>
                <w:sz w:val="15"/>
                <w:szCs w:val="15"/>
                <w:color w:val="auto"/>
              </w:rPr>
              <w:t>Net decrease in cash, cash equivalents, and restricted cash</w:t>
            </w:r>
          </w:p>
        </w:tc>
        <w:tc>
          <w:tcPr>
            <w:tcW w:w="10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(24,132)</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(20,480)</w:t>
            </w:r>
          </w:p>
        </w:tc>
        <w:tc>
          <w:tcPr>
            <w:tcW w:w="0" w:type="dxa"/>
            <w:vAlign w:val="bottom"/>
          </w:tcPr>
          <w:p>
            <w:pPr>
              <w:spacing w:after="0"/>
              <w:rPr>
                <w:sz w:val="1"/>
                <w:szCs w:val="1"/>
                <w:color w:val="auto"/>
              </w:rPr>
            </w:pPr>
          </w:p>
        </w:tc>
      </w:tr>
      <w:tr>
        <w:trPr>
          <w:trHeight w:val="224"/>
        </w:trPr>
        <w:tc>
          <w:tcPr>
            <w:tcW w:w="788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1080" w:type="dxa"/>
            <w:vAlign w:val="bottom"/>
          </w:tcPr>
          <w:p>
            <w:pPr>
              <w:spacing w:after="0"/>
              <w:rPr>
                <w:sz w:val="19"/>
                <w:szCs w:val="19"/>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81,249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51,292</w:t>
            </w:r>
          </w:p>
        </w:tc>
        <w:tc>
          <w:tcPr>
            <w:tcW w:w="0" w:type="dxa"/>
            <w:vAlign w:val="bottom"/>
          </w:tcPr>
          <w:p>
            <w:pPr>
              <w:spacing w:after="0"/>
              <w:rPr>
                <w:sz w:val="1"/>
                <w:szCs w:val="1"/>
                <w:color w:val="auto"/>
              </w:rPr>
            </w:pPr>
          </w:p>
        </w:tc>
      </w:tr>
      <w:tr>
        <w:trPr>
          <w:trHeight w:val="30"/>
        </w:trPr>
        <w:tc>
          <w:tcPr>
            <w:tcW w:w="7880" w:type="dxa"/>
            <w:vAlign w:val="bottom"/>
            <w:tcBorders>
              <w:bottom w:val="single" w:sz="8" w:color="CFF0F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Cash, cash equivalents and restricted cash, end of period</w:t>
            </w:r>
          </w:p>
        </w:tc>
        <w:tc>
          <w:tcPr>
            <w:tcW w:w="1080" w:type="dxa"/>
            <w:vAlign w:val="bottom"/>
            <w:tcBorders>
              <w:bottom w:val="single" w:sz="8" w:color="CFF0FC"/>
            </w:tcBorders>
            <w:shd w:val="clear" w:color="auto" w:fill="CFF0FC"/>
          </w:tcPr>
          <w:p>
            <w:pPr>
              <w:jc w:val="right"/>
              <w:ind w:right="885"/>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57,117</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jc w:val="right"/>
              <w:ind w:right="24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30,812</w:t>
            </w:r>
          </w:p>
        </w:tc>
        <w:tc>
          <w:tcPr>
            <w:tcW w:w="0" w:type="dxa"/>
            <w:vAlign w:val="bottom"/>
          </w:tcPr>
          <w:p>
            <w:pPr>
              <w:spacing w:after="0"/>
              <w:rPr>
                <w:sz w:val="1"/>
                <w:szCs w:val="1"/>
                <w:color w:val="auto"/>
              </w:rPr>
            </w:pPr>
          </w:p>
        </w:tc>
      </w:tr>
      <w:tr>
        <w:trPr>
          <w:trHeight w:val="20"/>
        </w:trPr>
        <w:tc>
          <w:tcPr>
            <w:tcW w:w="78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8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Interest paid</w:t>
            </w:r>
          </w:p>
        </w:tc>
        <w:tc>
          <w:tcPr>
            <w:tcW w:w="1080" w:type="dxa"/>
            <w:vAlign w:val="bottom"/>
            <w:tcBorders>
              <w:bottom w:val="single" w:sz="8" w:color="CFF0FC"/>
            </w:tcBorders>
            <w:shd w:val="clear" w:color="auto" w:fill="CFF0FC"/>
          </w:tcPr>
          <w:p>
            <w:pPr>
              <w:jc w:val="right"/>
              <w:ind w:right="885"/>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585</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jc w:val="right"/>
              <w:ind w:right="24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469</w:t>
            </w:r>
          </w:p>
        </w:tc>
        <w:tc>
          <w:tcPr>
            <w:tcW w:w="0" w:type="dxa"/>
            <w:vAlign w:val="bottom"/>
          </w:tcPr>
          <w:p>
            <w:pPr>
              <w:spacing w:after="0"/>
              <w:rPr>
                <w:sz w:val="1"/>
                <w:szCs w:val="1"/>
                <w:color w:val="auto"/>
              </w:rPr>
            </w:pPr>
          </w:p>
        </w:tc>
      </w:tr>
      <w:tr>
        <w:trPr>
          <w:trHeight w:val="211"/>
        </w:trPr>
        <w:tc>
          <w:tcPr>
            <w:tcW w:w="7880" w:type="dxa"/>
            <w:vAlign w:val="bottom"/>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7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7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Amounts accrued for property and equipment</w:t>
            </w:r>
          </w:p>
        </w:tc>
        <w:tc>
          <w:tcPr>
            <w:tcW w:w="1080" w:type="dxa"/>
            <w:vAlign w:val="bottom"/>
            <w:tcBorders>
              <w:bottom w:val="single" w:sz="8" w:color="CFF0FC"/>
            </w:tcBorders>
            <w:shd w:val="clear" w:color="auto" w:fill="CFF0FC"/>
          </w:tcPr>
          <w:p>
            <w:pPr>
              <w:jc w:val="right"/>
              <w:ind w:right="885"/>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194</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jc w:val="right"/>
              <w:ind w:right="24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24"/>
        </w:trPr>
        <w:tc>
          <w:tcPr>
            <w:tcW w:w="7880" w:type="dxa"/>
            <w:vAlign w:val="bottom"/>
          </w:tcPr>
          <w:p>
            <w:pPr>
              <w:ind w:left="260"/>
              <w:spacing w:after="0"/>
              <w:rPr>
                <w:sz w:val="20"/>
                <w:szCs w:val="20"/>
                <w:color w:val="auto"/>
              </w:rPr>
            </w:pPr>
            <w:r>
              <w:rPr>
                <w:rFonts w:ascii="Arial" w:cs="Arial" w:eastAsia="Arial" w:hAnsi="Arial"/>
                <w:sz w:val="15"/>
                <w:szCs w:val="15"/>
                <w:color w:val="auto"/>
              </w:rPr>
              <w:t>Reclassification of warrants to equity</w:t>
            </w:r>
          </w:p>
        </w:tc>
        <w:tc>
          <w:tcPr>
            <w:tcW w:w="1080" w:type="dxa"/>
            <w:vAlign w:val="bottom"/>
          </w:tcPr>
          <w:p>
            <w:pPr>
              <w:jc w:val="right"/>
              <w:ind w:right="885"/>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4,607</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52"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7"/>
          <w:szCs w:val="17"/>
          <w:b w:val="1"/>
          <w:bCs w:val="1"/>
          <w:color w:val="auto"/>
        </w:rPr>
        <w:t>ANAPTYSBIO,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216" w:lineRule="exact"/>
        <w:rPr>
          <w:sz w:val="20"/>
          <w:szCs w:val="20"/>
          <w:color w:val="auto"/>
        </w:rPr>
      </w:pPr>
    </w:p>
    <w:p>
      <w:pPr>
        <w:ind w:right="460" w:firstLine="458"/>
        <w:spacing w:after="0" w:line="257" w:lineRule="auto"/>
        <w:rPr>
          <w:sz w:val="20"/>
          <w:szCs w:val="20"/>
          <w:color w:val="auto"/>
        </w:rPr>
      </w:pPr>
      <w:r>
        <w:rPr>
          <w:rFonts w:ascii="Arial" w:cs="Arial" w:eastAsia="Arial" w:hAnsi="Arial"/>
          <w:sz w:val="17"/>
          <w:szCs w:val="17"/>
          <w:color w:val="auto"/>
        </w:rPr>
        <w:t>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in vitro, the natural process of antibody generation. We currently generate revenue from milestones achieved under our collaborative research and development arrangements.</w:t>
      </w:r>
    </w:p>
    <w:p>
      <w:pPr>
        <w:spacing w:after="0" w:line="180" w:lineRule="exact"/>
        <w:rPr>
          <w:sz w:val="20"/>
          <w:szCs w:val="20"/>
          <w:color w:val="auto"/>
        </w:rPr>
      </w:pPr>
    </w:p>
    <w:p>
      <w:pPr>
        <w:ind w:right="20" w:firstLine="458"/>
        <w:spacing w:after="0" w:line="270" w:lineRule="auto"/>
        <w:rPr>
          <w:sz w:val="20"/>
          <w:szCs w:val="20"/>
          <w:color w:val="auto"/>
        </w:rPr>
      </w:pPr>
      <w:r>
        <w:rPr>
          <w:rFonts w:ascii="Arial" w:cs="Arial" w:eastAsia="Arial" w:hAnsi="Arial"/>
          <w:sz w:val="16"/>
          <w:szCs w:val="16"/>
          <w:color w:val="auto"/>
        </w:rPr>
        <w:t>Since our inception, we have devoted our primary effort to raising capital and research and development activities, and at June 30, 2018 have an accumulated deficit of $113.7 million. Through June 30, 2018, our financial support has been provided primarily from the sale of our common and preferred stock, as well as through funds received under our collaborative research and development agreements, proceeds from our Term Loans as discussed in Note 5 below, and the issuance of convertible debt.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Management believes its currently available resources will provide sufficient funds to enable the Company to meet its operating plans for at least the next twelve months. The accompanying consolidated financial statements do not include any adjustments that might be necessary if we are unable to continue as a going concern.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Public Offerings and Related Transactions</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10" w:lineRule="exact"/>
        <w:rPr>
          <w:sz w:val="20"/>
          <w:szCs w:val="20"/>
          <w:color w:val="auto"/>
        </w:rPr>
      </w:pPr>
    </w:p>
    <w:p>
      <w:pPr>
        <w:ind w:right="260" w:firstLine="420"/>
        <w:spacing w:after="0" w:line="274" w:lineRule="auto"/>
        <w:rPr>
          <w:sz w:val="20"/>
          <w:szCs w:val="20"/>
          <w:color w:val="auto"/>
        </w:rPr>
      </w:pPr>
      <w:r>
        <w:rPr>
          <w:rFonts w:ascii="Arial" w:cs="Arial" w:eastAsia="Arial" w:hAnsi="Arial"/>
          <w:sz w:val="17"/>
          <w:szCs w:val="17"/>
          <w:color w:val="auto"/>
        </w:rPr>
        <w:t>On January 31, 2017, we completed an initial public offering, or IPO, selling 5,750,000 shares of common stock at $15.00 per share. Proceeds from our initial public offering net of underwriting discounts and commissions were $80.2 million.</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each of the following occurred in connection with the completion of the IPO on January 31, 2017:</w:t>
      </w:r>
    </w:p>
    <w:p>
      <w:pPr>
        <w:spacing w:after="0" w:line="110" w:lineRule="exact"/>
        <w:rPr>
          <w:sz w:val="20"/>
          <w:szCs w:val="20"/>
          <w:color w:val="auto"/>
        </w:rPr>
      </w:pPr>
    </w:p>
    <w:p>
      <w:pPr>
        <w:ind w:left="840" w:hanging="457"/>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conversion of all outstanding shares of convertible preferred stock into 11,520,698 shares of common stock; and</w:t>
      </w:r>
    </w:p>
    <w:p>
      <w:pPr>
        <w:spacing w:after="0" w:line="109" w:lineRule="exact"/>
        <w:rPr>
          <w:rFonts w:ascii="Arial" w:cs="Arial" w:eastAsia="Arial" w:hAnsi="Arial"/>
          <w:sz w:val="17"/>
          <w:szCs w:val="17"/>
          <w:color w:val="auto"/>
        </w:rPr>
      </w:pPr>
    </w:p>
    <w:p>
      <w:pPr>
        <w:ind w:left="820" w:right="280" w:hanging="411"/>
        <w:spacing w:after="0" w:line="274" w:lineRule="auto"/>
        <w:tabs>
          <w:tab w:leader="none" w:pos="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conversion of warrants to purchase 377,195 shares of convertible preferred stock into warrants to purchase 377,195 shares of common stock and the resultant reclassification of the warrant liability to additional paid-in capital.</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110" w:lineRule="exact"/>
        <w:rPr>
          <w:sz w:val="20"/>
          <w:szCs w:val="20"/>
          <w:color w:val="auto"/>
        </w:rPr>
      </w:pPr>
    </w:p>
    <w:p>
      <w:pPr>
        <w:ind w:right="440" w:firstLine="420"/>
        <w:spacing w:after="0" w:line="342" w:lineRule="auto"/>
        <w:rPr>
          <w:sz w:val="20"/>
          <w:szCs w:val="20"/>
          <w:color w:val="auto"/>
        </w:rPr>
      </w:pPr>
      <w:r>
        <w:rPr>
          <w:rFonts w:ascii="Arial" w:cs="Arial" w:eastAsia="Arial" w:hAnsi="Arial"/>
          <w:sz w:val="15"/>
          <w:szCs w:val="15"/>
          <w:color w:val="auto"/>
        </w:rPr>
        <w:t>On January 13, 2017, we amended and restated our certificate of incorporation to effect a one for seven reverse stock split of every outstanding share of our preferred and common stock. The financial statements and accompanying footnotes have been retroactively restated to reflect the reverse stock split.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Follow-on Public Offering</w:t>
      </w:r>
    </w:p>
    <w:p>
      <w:pPr>
        <w:spacing w:after="0" w:line="212" w:lineRule="exact"/>
        <w:rPr>
          <w:sz w:val="20"/>
          <w:szCs w:val="20"/>
          <w:color w:val="auto"/>
        </w:rPr>
      </w:pPr>
    </w:p>
    <w:p>
      <w:pPr>
        <w:ind w:firstLine="458"/>
        <w:spacing w:after="0" w:line="279" w:lineRule="auto"/>
        <w:rPr>
          <w:sz w:val="20"/>
          <w:szCs w:val="20"/>
          <w:color w:val="auto"/>
        </w:rPr>
      </w:pPr>
      <w:r>
        <w:rPr>
          <w:rFonts w:ascii="Arial" w:cs="Arial" w:eastAsia="Arial" w:hAnsi="Arial"/>
          <w:sz w:val="16"/>
          <w:szCs w:val="16"/>
          <w:color w:val="auto"/>
        </w:rPr>
        <w:t>On October 17, 2017, we completed an underwritten public offering selling 3,000,000 shares of common stock. All shares were offered by us at a price to the public of $68.50 per share. The aggregate net proceeds received by us from the offering were $194.7 million, net of underwriting discounts and commissions. As part of the underwritten public offering, on November 14, 2017, the underwriters exercised an additional 271,380 shares of common stock at a discounted price to the public of $68.50 per share for aggregate net proceeds of $17.6 million, net of underwriting discounts and commissions.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52" w:right="239" w:bottom="1440" w:gutter="0" w:footer="0" w:header="0"/>
        </w:sectPr>
      </w:pPr>
    </w:p>
    <w:bookmarkStart w:id="6" w:name="page7"/>
    <w:bookmarkEnd w:id="6"/>
    <w:p>
      <w:pPr>
        <w:ind w:left="240" w:right="8060" w:hanging="238"/>
        <w:spacing w:after="0" w:line="377" w:lineRule="auto"/>
        <w:tabs>
          <w:tab w:leader="none" w:pos="18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right="60" w:firstLine="420"/>
        <w:spacing w:after="0" w:line="272"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or the SEC. Certain information and note disclosures normally included in annual financial statements prepared in accordance with U.S. generally accepted accounting principles, or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three and six months ended June 30, 2018 are not necessarily indicative of the results that may be expected for the year ending December 31, 2018. The financial statements should be read in conjunction with our audited financial statements for the year ended December 31, 2017, included in our Annual Form 10-K.</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Basis of Consolidation</w:t>
      </w:r>
    </w:p>
    <w:p>
      <w:pPr>
        <w:spacing w:after="0" w:line="110" w:lineRule="exact"/>
        <w:rPr>
          <w:sz w:val="20"/>
          <w:szCs w:val="20"/>
          <w:color w:val="auto"/>
        </w:rPr>
      </w:pPr>
    </w:p>
    <w:p>
      <w:pPr>
        <w:ind w:right="200" w:firstLine="420"/>
        <w:spacing w:after="0" w:line="306" w:lineRule="auto"/>
        <w:rPr>
          <w:sz w:val="20"/>
          <w:szCs w:val="20"/>
          <w:color w:val="auto"/>
        </w:rPr>
      </w:pPr>
      <w:r>
        <w:rPr>
          <w:rFonts w:ascii="Arial" w:cs="Arial" w:eastAsia="Arial" w:hAnsi="Arial"/>
          <w:sz w:val="16"/>
          <w:szCs w:val="16"/>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0" w:lineRule="exact"/>
        <w:rPr>
          <w:sz w:val="20"/>
          <w:szCs w:val="20"/>
          <w:color w:val="auto"/>
        </w:rPr>
      </w:pPr>
    </w:p>
    <w:p>
      <w:pPr>
        <w:ind w:right="80" w:firstLine="420"/>
        <w:spacing w:after="0" w:line="275"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0" w:lineRule="exact"/>
        <w:rPr>
          <w:sz w:val="20"/>
          <w:szCs w:val="20"/>
          <w:color w:val="auto"/>
        </w:rPr>
      </w:pPr>
    </w:p>
    <w:p>
      <w:pPr>
        <w:ind w:right="220" w:firstLine="458"/>
        <w:spacing w:after="0" w:line="261" w:lineRule="auto"/>
        <w:rPr>
          <w:sz w:val="20"/>
          <w:szCs w:val="20"/>
          <w:color w:val="auto"/>
        </w:rPr>
      </w:pPr>
      <w:r>
        <w:rPr>
          <w:rFonts w:ascii="Arial" w:cs="Arial" w:eastAsia="Arial" w:hAnsi="Arial"/>
          <w:sz w:val="17"/>
          <w:szCs w:val="17"/>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176" w:lineRule="exact"/>
        <w:rPr>
          <w:sz w:val="20"/>
          <w:szCs w:val="20"/>
          <w:color w:val="auto"/>
        </w:rPr>
      </w:pPr>
    </w:p>
    <w:p>
      <w:pPr>
        <w:ind w:right="100" w:firstLine="458"/>
        <w:spacing w:after="0" w:line="254" w:lineRule="auto"/>
        <w:rPr>
          <w:sz w:val="20"/>
          <w:szCs w:val="20"/>
          <w:color w:val="auto"/>
        </w:rPr>
      </w:pPr>
      <w:r>
        <w:rPr>
          <w:rFonts w:ascii="Arial" w:cs="Arial" w:eastAsia="Arial" w:hAnsi="Arial"/>
          <w:sz w:val="17"/>
          <w:szCs w:val="17"/>
          <w:i w:val="1"/>
          <w:iCs w:val="1"/>
          <w:color w:val="auto"/>
        </w:rPr>
        <w:t xml:space="preserve">Performance Obligations. </w:t>
      </w:r>
      <w:r>
        <w:rPr>
          <w:rFonts w:ascii="Arial" w:cs="Arial" w:eastAsia="Arial" w:hAnsi="Arial"/>
          <w:sz w:val="17"/>
          <w:szCs w:val="17"/>
          <w:color w:val="auto"/>
        </w:rPr>
        <w:t>We evaluate deliverables on a contract by contract basis to determine whether each deliverable represents a good or service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performance obligations may include the following:</w:t>
      </w:r>
    </w:p>
    <w:p>
      <w:pPr>
        <w:spacing w:after="0" w:line="212" w:lineRule="exact"/>
        <w:rPr>
          <w:sz w:val="20"/>
          <w:szCs w:val="20"/>
          <w:color w:val="auto"/>
        </w:rPr>
      </w:pPr>
    </w:p>
    <w:p>
      <w:pPr>
        <w:ind w:left="620" w:right="80" w:hanging="300"/>
        <w:spacing w:after="0" w:line="279"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60" w:lineRule="exact"/>
        <w:rPr>
          <w:rFonts w:ascii="Arial" w:cs="Arial" w:eastAsia="Arial" w:hAnsi="Arial"/>
          <w:sz w:val="16"/>
          <w:szCs w:val="16"/>
          <w:color w:val="auto"/>
        </w:rPr>
      </w:pPr>
    </w:p>
    <w:p>
      <w:pPr>
        <w:ind w:left="620" w:hanging="300"/>
        <w:spacing w:after="0" w:line="279"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657" w:right="239" w:bottom="1440" w:gutter="0" w:footer="0" w:header="0"/>
        </w:sectPr>
      </w:pPr>
    </w:p>
    <w:bookmarkStart w:id="7" w:name="page8"/>
    <w:bookmarkEnd w:id="7"/>
    <w:p>
      <w:pPr>
        <w:ind w:left="620" w:right="240" w:hanging="300"/>
        <w:spacing w:after="0" w:line="261"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Steering Committee Meetings. The performance obligations under our collaboration and license agreements may also include our participation in a steering committees, which allows us to direct the progression of our discovery programs. As these steering committees would not occur or benefit the customer without the use of our licenses, these are not considered distinct.</w:t>
      </w:r>
    </w:p>
    <w:p>
      <w:pPr>
        <w:spacing w:after="0" w:line="176" w:lineRule="exact"/>
        <w:rPr>
          <w:sz w:val="20"/>
          <w:szCs w:val="20"/>
          <w:color w:val="auto"/>
        </w:rPr>
      </w:pPr>
    </w:p>
    <w:p>
      <w:pPr>
        <w:ind w:right="60" w:firstLine="458"/>
        <w:spacing w:after="0" w:line="261" w:lineRule="auto"/>
        <w:rPr>
          <w:sz w:val="20"/>
          <w:szCs w:val="20"/>
          <w:color w:val="auto"/>
        </w:rPr>
      </w:pPr>
      <w:r>
        <w:rPr>
          <w:rFonts w:ascii="Arial" w:cs="Arial" w:eastAsia="Arial" w:hAnsi="Arial"/>
          <w:sz w:val="17"/>
          <w:szCs w:val="17"/>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176" w:lineRule="exact"/>
        <w:rPr>
          <w:sz w:val="20"/>
          <w:szCs w:val="20"/>
          <w:color w:val="auto"/>
        </w:rPr>
      </w:pPr>
    </w:p>
    <w:p>
      <w:pPr>
        <w:ind w:right="20" w:firstLine="458"/>
        <w:spacing w:after="0" w:line="275"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 for upfront</w:t>
      </w:r>
      <w:r>
        <w:rPr>
          <w:rFonts w:ascii="Arial" w:cs="Arial" w:eastAsia="Arial" w:hAnsi="Arial"/>
          <w:sz w:val="16"/>
          <w:szCs w:val="16"/>
          <w:i w:val="1"/>
          <w:iCs w:val="1"/>
          <w:color w:val="auto"/>
        </w:rPr>
        <w:t xml:space="preserve"> </w:t>
      </w:r>
      <w:r>
        <w:rPr>
          <w:rFonts w:ascii="Arial" w:cs="Arial" w:eastAsia="Arial" w:hAnsi="Arial"/>
          <w:sz w:val="16"/>
          <w:szCs w:val="16"/>
          <w:color w:val="auto"/>
        </w:rPr>
        <w:t>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Net Loss Per Common Share</w:t>
      </w:r>
    </w:p>
    <w:p>
      <w:pPr>
        <w:spacing w:after="0" w:line="110" w:lineRule="exact"/>
        <w:rPr>
          <w:sz w:val="20"/>
          <w:szCs w:val="20"/>
          <w:color w:val="auto"/>
        </w:rPr>
      </w:pPr>
    </w:p>
    <w:p>
      <w:pPr>
        <w:ind w:right="40" w:firstLine="458"/>
        <w:spacing w:after="0" w:line="257" w:lineRule="auto"/>
        <w:rPr>
          <w:sz w:val="20"/>
          <w:szCs w:val="20"/>
          <w:color w:val="auto"/>
        </w:rPr>
      </w:pPr>
      <w:r>
        <w:rPr>
          <w:rFonts w:ascii="Arial" w:cs="Arial" w:eastAsia="Arial" w:hAnsi="Arial"/>
          <w:sz w:val="17"/>
          <w:szCs w:val="17"/>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Diluted net loss per share includes any dilutive effect from outstanding stock options and warrants using the treasury stock method. For each period presented, there is no difference in the number of shares used to calculate basic and diluted net loss per share.</w:t>
      </w:r>
    </w:p>
    <w:p>
      <w:pPr>
        <w:spacing w:after="0" w:line="180" w:lineRule="exact"/>
        <w:rPr>
          <w:sz w:val="20"/>
          <w:szCs w:val="20"/>
          <w:color w:val="auto"/>
        </w:rPr>
      </w:pPr>
    </w:p>
    <w:p>
      <w:pPr>
        <w:ind w:right="140" w:firstLine="420"/>
        <w:spacing w:after="0" w:line="274" w:lineRule="auto"/>
        <w:rPr>
          <w:sz w:val="20"/>
          <w:szCs w:val="20"/>
          <w:color w:val="auto"/>
        </w:rPr>
      </w:pPr>
      <w:r>
        <w:rPr>
          <w:rFonts w:ascii="Arial" w:cs="Arial" w:eastAsia="Arial" w:hAnsi="Arial"/>
          <w:sz w:val="17"/>
          <w:szCs w:val="17"/>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3"/>
          </w:tcPr>
          <w:p>
            <w:pPr>
              <w:jc w:val="center"/>
              <w:ind w:left="884"/>
              <w:spacing w:after="0"/>
              <w:rPr>
                <w:sz w:val="20"/>
                <w:szCs w:val="20"/>
                <w:color w:val="auto"/>
              </w:rPr>
            </w:pPr>
            <w:r>
              <w:rPr>
                <w:rFonts w:ascii="Arial" w:cs="Arial" w:eastAsia="Arial" w:hAnsi="Arial"/>
                <w:sz w:val="14"/>
                <w:szCs w:val="14"/>
                <w:b w:val="1"/>
                <w:bCs w:val="1"/>
                <w:color w:val="auto"/>
                <w:w w:val="87"/>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bottom w:val="single" w:sz="8" w:color="auto"/>
            </w:tcBorders>
            <w:gridSpan w:val="3"/>
          </w:tcPr>
          <w:p>
            <w:pPr>
              <w:jc w:val="center"/>
              <w:ind w:left="864"/>
              <w:spacing w:after="0"/>
              <w:rPr>
                <w:sz w:val="20"/>
                <w:szCs w:val="20"/>
                <w:color w:val="auto"/>
              </w:rPr>
            </w:pPr>
            <w:r>
              <w:rPr>
                <w:rFonts w:ascii="Arial" w:cs="Arial" w:eastAsia="Arial" w:hAnsi="Arial"/>
                <w:sz w:val="14"/>
                <w:szCs w:val="14"/>
                <w:b w:val="1"/>
                <w:bCs w:val="1"/>
                <w:color w:val="auto"/>
                <w:w w:val="85"/>
              </w:rPr>
              <w:t>June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4"/>
                <w:szCs w:val="14"/>
                <w:color w:val="auto"/>
              </w:rPr>
            </w:pPr>
          </w:p>
        </w:tc>
        <w:tc>
          <w:tcPr>
            <w:tcW w:w="148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2"/>
        </w:trPr>
        <w:tc>
          <w:tcPr>
            <w:tcW w:w="5160" w:type="dxa"/>
            <w:vAlign w:val="bottom"/>
            <w:tcBorders>
              <w:bottom w:val="single" w:sz="8" w:color="CCEEFF"/>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2,542</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1,910</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2,572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1,952</w:t>
            </w:r>
          </w:p>
        </w:tc>
        <w:tc>
          <w:tcPr>
            <w:tcW w:w="0" w:type="dxa"/>
            <w:vAlign w:val="bottom"/>
          </w:tcPr>
          <w:p>
            <w:pPr>
              <w:spacing w:after="0"/>
              <w:rPr>
                <w:sz w:val="1"/>
                <w:szCs w:val="1"/>
                <w:color w:val="auto"/>
              </w:rPr>
            </w:pPr>
          </w:p>
        </w:tc>
      </w:tr>
      <w:tr>
        <w:trPr>
          <w:trHeight w:val="228"/>
        </w:trPr>
        <w:tc>
          <w:tcPr>
            <w:tcW w:w="5160" w:type="dxa"/>
            <w:vAlign w:val="bottom"/>
          </w:tcPr>
          <w:p>
            <w:pPr>
              <w:ind w:left="20"/>
              <w:spacing w:after="0"/>
              <w:rPr>
                <w:sz w:val="20"/>
                <w:szCs w:val="20"/>
                <w:color w:val="auto"/>
              </w:rPr>
            </w:pPr>
            <w:r>
              <w:rPr>
                <w:rFonts w:ascii="Arial" w:cs="Arial" w:eastAsia="Arial" w:hAnsi="Arial"/>
                <w:sz w:val="17"/>
                <w:szCs w:val="17"/>
                <w:color w:val="auto"/>
              </w:rPr>
              <w:t>Warrants to purchase common stock</w:t>
            </w:r>
          </w:p>
        </w:tc>
        <w:tc>
          <w:tcPr>
            <w:tcW w:w="900" w:type="dxa"/>
            <w:vAlign w:val="bottom"/>
          </w:tcPr>
          <w:p>
            <w:pPr>
              <w:spacing w:after="0"/>
              <w:rPr>
                <w:sz w:val="19"/>
                <w:szCs w:val="19"/>
                <w:color w:val="auto"/>
              </w:rPr>
            </w:pPr>
          </w:p>
        </w:tc>
        <w:tc>
          <w:tcPr>
            <w:tcW w:w="1300" w:type="dxa"/>
            <w:vAlign w:val="bottom"/>
            <w:gridSpan w:val="3"/>
          </w:tcPr>
          <w:p>
            <w:pPr>
              <w:jc w:val="right"/>
              <w:ind w:right="84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198</w:t>
            </w:r>
          </w:p>
        </w:tc>
        <w:tc>
          <w:tcPr>
            <w:tcW w:w="120" w:type="dxa"/>
            <w:vAlign w:val="bottom"/>
          </w:tcPr>
          <w:p>
            <w:pPr>
              <w:spacing w:after="0"/>
              <w:rPr>
                <w:sz w:val="19"/>
                <w:szCs w:val="19"/>
                <w:color w:val="auto"/>
              </w:rPr>
            </w:pPr>
          </w:p>
        </w:tc>
        <w:tc>
          <w:tcPr>
            <w:tcW w:w="1480" w:type="dxa"/>
            <w:vAlign w:val="bottom"/>
          </w:tcPr>
          <w:p>
            <w:pPr>
              <w:jc w:val="right"/>
              <w:ind w:right="24"/>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6"/>
        </w:trPr>
        <w:tc>
          <w:tcPr>
            <w:tcW w:w="5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Total</w:t>
            </w:r>
          </w:p>
        </w:tc>
        <w:tc>
          <w:tcPr>
            <w:tcW w:w="9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7"/>
                <w:szCs w:val="17"/>
                <w:color w:val="auto"/>
              </w:rPr>
              <w:t>2,542</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7"/>
                <w:szCs w:val="17"/>
                <w:color w:val="auto"/>
              </w:rPr>
              <w:t>2,108</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7"/>
                <w:szCs w:val="17"/>
                <w:color w:val="auto"/>
              </w:rPr>
              <w:t>2,576</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7"/>
                <w:szCs w:val="17"/>
                <w:color w:val="auto"/>
              </w:rPr>
              <w:t>2,217</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Accounting Pronouncements Recently Adopted</w:t>
      </w:r>
    </w:p>
    <w:p>
      <w:pPr>
        <w:spacing w:after="0" w:line="110" w:lineRule="exact"/>
        <w:rPr>
          <w:sz w:val="20"/>
          <w:szCs w:val="20"/>
          <w:color w:val="auto"/>
        </w:rPr>
      </w:pPr>
    </w:p>
    <w:p>
      <w:pPr>
        <w:ind w:firstLine="420"/>
        <w:spacing w:after="0" w:line="287" w:lineRule="auto"/>
        <w:rPr>
          <w:sz w:val="20"/>
          <w:szCs w:val="20"/>
          <w:color w:val="auto"/>
        </w:rPr>
      </w:pPr>
      <w:r>
        <w:rPr>
          <w:rFonts w:ascii="Arial" w:cs="Arial" w:eastAsia="Arial" w:hAnsi="Arial"/>
          <w:sz w:val="15"/>
          <w:szCs w:val="15"/>
          <w:color w:val="auto"/>
        </w:rPr>
        <w:t xml:space="preserve">In May 2014, the FASB issued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which outlines a single comprehensive model for entities to use in accounting for revenue from contracts with customers and 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Entities have the option of using either a full retrospective or a modified retrospective approach for the adoption of the new standard. We assessed all potential impacts of the standard, and the most significant impacts relate to our accounting for variable consideration including revenues related to contingent “milestone” based payments and our disclosures required under the new standard as it relates to our two ongoing collaboration agreements, TESARO and Celgene. Application of the new standard requires that variable consideration be recognized to the extent that it is probable that a significant reversal in the amount of revenue will not occur when the uncertainty associated with the variable consideration is subsequently resolved. Accordingly, we may be required to recognize milestone payments earlier in the period in which we determine a significant reversal will not occur, rather than when the milestone is achieved. However, we have reviewed the TESARO and Celgene agreements and have determined that given the nature of potential milestones owed to us under these agreements, and the inherent risk involved in developing drugs, and have determined that these potential milestones were not recognizable as of the standard adoption date. Additionally, while we currently disaggregate our revenue disclosures by collaborative agreement, additional discussion surrounding significant estimates made by management was required in our disclosure and included in Note 4 below. We adopted this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58" w:right="239" w:bottom="1440" w:gutter="0" w:footer="0" w:header="0"/>
        </w:sectPr>
      </w:pPr>
    </w:p>
    <w:bookmarkStart w:id="8" w:name="page9"/>
    <w:bookmarkEnd w:id="8"/>
    <w:p>
      <w:pPr>
        <w:ind w:right="20"/>
        <w:spacing w:after="0" w:line="274" w:lineRule="auto"/>
        <w:rPr>
          <w:sz w:val="20"/>
          <w:szCs w:val="20"/>
          <w:color w:val="auto"/>
        </w:rPr>
      </w:pPr>
      <w:r>
        <w:rPr>
          <w:rFonts w:ascii="Arial" w:cs="Arial" w:eastAsia="Arial" w:hAnsi="Arial"/>
          <w:sz w:val="17"/>
          <w:szCs w:val="17"/>
          <w:color w:val="auto"/>
        </w:rPr>
        <w:t>standard using the modified retrospective approach for our annual reporting period beginning January 1, 2018, and did not record any adjustments upon adoption of this standard.</w:t>
      </w:r>
    </w:p>
    <w:p>
      <w:pPr>
        <w:spacing w:after="0" w:line="164" w:lineRule="exact"/>
        <w:rPr>
          <w:sz w:val="20"/>
          <w:szCs w:val="20"/>
          <w:color w:val="auto"/>
        </w:rPr>
      </w:pPr>
    </w:p>
    <w:p>
      <w:pPr>
        <w:ind w:right="80" w:firstLine="420"/>
        <w:spacing w:after="0" w:line="272"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Liabilities</w:t>
      </w:r>
      <w:r>
        <w:rPr>
          <w:rFonts w:ascii="Arial" w:cs="Arial" w:eastAsia="Arial" w:hAnsi="Arial"/>
          <w:sz w:val="16"/>
          <w:szCs w:val="16"/>
          <w:color w:val="auto"/>
        </w:rPr>
        <w:t>, which intends to enhance the reporting model for financial instruments by providing users of financial instruments with more decision-useful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adopted this standard as of January 1, 2018 and there was no material impact on our consolidated financial statements. We did not record any adjustments upon adoption of this standard and have consistently applied our accounting policies to all periods presented in the consolidated financial statements.</w:t>
      </w:r>
    </w:p>
    <w:p>
      <w:pPr>
        <w:spacing w:after="0" w:line="169" w:lineRule="exact"/>
        <w:rPr>
          <w:sz w:val="20"/>
          <w:szCs w:val="20"/>
          <w:color w:val="auto"/>
        </w:rPr>
      </w:pPr>
    </w:p>
    <w:p>
      <w:pPr>
        <w:ind w:right="20" w:firstLine="420"/>
        <w:spacing w:after="0" w:line="255"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which provides further guidance as to what constitutes a modification to the terms of shared based compensation, in order to create consistency in practice amongst all entities. ASU 2017-09 becomes effective for annual reporting periods beginning after December 15, 2017, including interim periods thereafter; early adoption is permitted, including adoption in an interim period. We adopted this standard as of January 1, 2018, and the impact was not material on our consolidated financial statements. We did not record any adjustments upon adoption of this standard.</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12" w:lineRule="exact"/>
        <w:rPr>
          <w:sz w:val="20"/>
          <w:szCs w:val="20"/>
          <w:color w:val="auto"/>
        </w:rPr>
      </w:pPr>
    </w:p>
    <w:p>
      <w:pPr>
        <w:ind w:right="120" w:firstLine="420"/>
        <w:spacing w:after="0" w:line="27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continuing to analyze recently executed contracts for embedded leases and historical contracts that will remain in effect for 2019, including our outstanding lease agreements. While we continue to evaluate the guidance to determine how we will be affected, the primary effect will be to require recording right-of-use assets and corresponding lease obligations for current operating leases. We expect that the adoption of this guidance will have a material impact on our consolidated balance sheets, but not on the consolidated statements of income or cash flows.</w:t>
      </w:r>
    </w:p>
    <w:p>
      <w:pPr>
        <w:spacing w:after="0" w:line="267" w:lineRule="exact"/>
        <w:rPr>
          <w:sz w:val="20"/>
          <w:szCs w:val="20"/>
          <w:color w:val="auto"/>
        </w:rPr>
      </w:pPr>
    </w:p>
    <w:p>
      <w:pPr>
        <w:ind w:left="240" w:right="7300" w:hanging="238"/>
        <w:spacing w:after="0" w:line="377" w:lineRule="auto"/>
        <w:tabs>
          <w:tab w:leader="none" w:pos="181"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Accounts and Supplemental Disclosures </w:t>
      </w:r>
      <w:r>
        <w:rPr>
          <w:rFonts w:ascii="Arial" w:cs="Arial" w:eastAsia="Arial" w:hAnsi="Arial"/>
          <w:sz w:val="17"/>
          <w:szCs w:val="17"/>
          <w:b w:val="1"/>
          <w:bCs w:val="1"/>
          <w:i w:val="1"/>
          <w:iCs w:val="1"/>
          <w:color w:val="auto"/>
        </w:rPr>
        <w:t>Property and Equipment</w:t>
      </w:r>
    </w:p>
    <w:p>
      <w:pPr>
        <w:ind w:left="42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consist of the following:</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2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33"/>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Laboratory equipment</w:t>
            </w:r>
          </w:p>
        </w:tc>
        <w:tc>
          <w:tcPr>
            <w:tcW w:w="3660" w:type="dxa"/>
            <w:vAlign w:val="bottom"/>
            <w:tcBorders>
              <w:bottom w:val="single" w:sz="8" w:color="CFF0FC"/>
            </w:tcBorders>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7"/>
                <w:szCs w:val="17"/>
                <w:color w:val="auto"/>
              </w:rPr>
              <w:t>4,110</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7"/>
                <w:szCs w:val="17"/>
                <w:color w:val="auto"/>
              </w:rPr>
              <w:t>3,687</w:t>
            </w:r>
          </w:p>
        </w:tc>
        <w:tc>
          <w:tcPr>
            <w:tcW w:w="0" w:type="dxa"/>
            <w:vAlign w:val="bottom"/>
          </w:tcPr>
          <w:p>
            <w:pPr>
              <w:spacing w:after="0"/>
              <w:rPr>
                <w:sz w:val="1"/>
                <w:szCs w:val="1"/>
                <w:color w:val="auto"/>
              </w:rPr>
            </w:pPr>
          </w:p>
        </w:tc>
      </w:tr>
      <w:tr>
        <w:trPr>
          <w:trHeight w:val="228"/>
        </w:trPr>
        <w:tc>
          <w:tcPr>
            <w:tcW w:w="4720" w:type="dxa"/>
            <w:vAlign w:val="bottom"/>
          </w:tcPr>
          <w:p>
            <w:pPr>
              <w:ind w:left="20"/>
              <w:spacing w:after="0"/>
              <w:rPr>
                <w:sz w:val="20"/>
                <w:szCs w:val="20"/>
                <w:color w:val="auto"/>
              </w:rPr>
            </w:pPr>
            <w:r>
              <w:rPr>
                <w:rFonts w:ascii="Arial" w:cs="Arial" w:eastAsia="Arial" w:hAnsi="Arial"/>
                <w:sz w:val="17"/>
                <w:szCs w:val="17"/>
                <w:color w:val="auto"/>
              </w:rPr>
              <w:t>Office furniture and equipment</w:t>
            </w:r>
          </w:p>
        </w:tc>
        <w:tc>
          <w:tcPr>
            <w:tcW w:w="3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657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8"/>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Leasehold improvements</w:t>
            </w:r>
          </w:p>
        </w:tc>
        <w:tc>
          <w:tcPr>
            <w:tcW w:w="34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7"/>
                <w:szCs w:val="17"/>
                <w:color w:val="auto"/>
              </w:rPr>
              <w:t>392</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21"/>
        </w:trPr>
        <w:tc>
          <w:tcPr>
            <w:tcW w:w="4720" w:type="dxa"/>
            <w:vAlign w:val="bottom"/>
          </w:tcPr>
          <w:p>
            <w:pPr>
              <w:ind w:left="260"/>
              <w:spacing w:after="0"/>
              <w:rPr>
                <w:sz w:val="20"/>
                <w:szCs w:val="20"/>
                <w:color w:val="auto"/>
              </w:rPr>
            </w:pPr>
            <w:r>
              <w:rPr>
                <w:rFonts w:ascii="Arial" w:cs="Arial" w:eastAsia="Arial" w:hAnsi="Arial"/>
                <w:sz w:val="17"/>
                <w:szCs w:val="17"/>
                <w:color w:val="auto"/>
              </w:rPr>
              <w:t>Property and equipment, gross</w:t>
            </w:r>
          </w:p>
        </w:tc>
        <w:tc>
          <w:tcPr>
            <w:tcW w:w="34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5,159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4,643</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4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(4,073)</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(3,978)</w:t>
            </w:r>
          </w:p>
        </w:tc>
        <w:tc>
          <w:tcPr>
            <w:tcW w:w="0" w:type="dxa"/>
            <w:vAlign w:val="bottom"/>
          </w:tcPr>
          <w:p>
            <w:pPr>
              <w:spacing w:after="0"/>
              <w:rPr>
                <w:sz w:val="1"/>
                <w:szCs w:val="1"/>
                <w:color w:val="auto"/>
              </w:rPr>
            </w:pPr>
          </w:p>
        </w:tc>
      </w:tr>
      <w:tr>
        <w:trPr>
          <w:trHeight w:val="221"/>
        </w:trPr>
        <w:tc>
          <w:tcPr>
            <w:tcW w:w="4720" w:type="dxa"/>
            <w:vAlign w:val="bottom"/>
          </w:tcPr>
          <w:p>
            <w:pPr>
              <w:ind w:left="260"/>
              <w:spacing w:after="0"/>
              <w:rPr>
                <w:sz w:val="20"/>
                <w:szCs w:val="20"/>
                <w:color w:val="auto"/>
              </w:rPr>
            </w:pPr>
            <w:r>
              <w:rPr>
                <w:rFonts w:ascii="Arial" w:cs="Arial" w:eastAsia="Arial" w:hAnsi="Arial"/>
                <w:sz w:val="17"/>
                <w:szCs w:val="17"/>
                <w:color w:val="auto"/>
              </w:rPr>
              <w:t>Total property and equipment, net</w:t>
            </w:r>
          </w:p>
        </w:tc>
        <w:tc>
          <w:tcPr>
            <w:tcW w:w="3400" w:type="dxa"/>
            <w:vAlign w:val="bottom"/>
          </w:tcPr>
          <w:p>
            <w:pPr>
              <w:spacing w:after="0"/>
              <w:rPr>
                <w:sz w:val="19"/>
                <w:szCs w:val="19"/>
                <w:color w:val="auto"/>
              </w:rPr>
            </w:pP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1,086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665</w:t>
            </w:r>
          </w:p>
        </w:tc>
        <w:tc>
          <w:tcPr>
            <w:tcW w:w="0" w:type="dxa"/>
            <w:vAlign w:val="bottom"/>
          </w:tcPr>
          <w:p>
            <w:pPr>
              <w:spacing w:after="0"/>
              <w:rPr>
                <w:sz w:val="1"/>
                <w:szCs w:val="1"/>
                <w:color w:val="auto"/>
              </w:rPr>
            </w:pPr>
          </w:p>
        </w:tc>
      </w:tr>
      <w:tr>
        <w:trPr>
          <w:trHeight w:val="26"/>
        </w:trPr>
        <w:tc>
          <w:tcPr>
            <w:tcW w:w="4720" w:type="dxa"/>
            <w:vAlign w:val="bottom"/>
            <w:vMerge w:val="restart"/>
          </w:tcPr>
          <w:p>
            <w:pPr>
              <w:ind w:left="240"/>
              <w:spacing w:after="0"/>
              <w:rPr>
                <w:sz w:val="20"/>
                <w:szCs w:val="20"/>
                <w:color w:val="auto"/>
              </w:rPr>
            </w:pPr>
            <w:r>
              <w:rPr>
                <w:rFonts w:ascii="Arial" w:cs="Arial" w:eastAsia="Arial" w:hAnsi="Arial"/>
                <w:sz w:val="17"/>
                <w:szCs w:val="17"/>
                <w:b w:val="1"/>
                <w:bCs w:val="1"/>
                <w:i w:val="1"/>
                <w:iCs w:val="1"/>
                <w:color w:val="auto"/>
              </w:rPr>
              <w:t>Accrued Expenses</w:t>
            </w:r>
          </w:p>
        </w:tc>
        <w:tc>
          <w:tcPr>
            <w:tcW w:w="3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20" w:type="dxa"/>
            <w:vAlign w:val="bottom"/>
            <w:vMerge w:val="continu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4720" w:type="dxa"/>
            <w:vAlign w:val="bottom"/>
            <w:vMerge w:val="continue"/>
          </w:tcPr>
          <w:p>
            <w:pPr>
              <w:spacing w:after="0"/>
              <w:rPr>
                <w:sz w:val="24"/>
                <w:szCs w:val="24"/>
                <w:color w:val="auto"/>
              </w:rPr>
            </w:pPr>
          </w:p>
        </w:tc>
        <w:tc>
          <w:tcPr>
            <w:tcW w:w="3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720" w:type="dxa"/>
            <w:vAlign w:val="bottom"/>
          </w:tcPr>
          <w:p>
            <w:pPr>
              <w:ind w:left="460"/>
              <w:spacing w:after="0"/>
              <w:rPr>
                <w:sz w:val="20"/>
                <w:szCs w:val="20"/>
                <w:color w:val="auto"/>
              </w:rPr>
            </w:pPr>
            <w:r>
              <w:rPr>
                <w:rFonts w:ascii="Arial" w:cs="Arial" w:eastAsia="Arial" w:hAnsi="Arial"/>
                <w:sz w:val="17"/>
                <w:szCs w:val="17"/>
                <w:color w:val="auto"/>
              </w:rPr>
              <w:t>Accrued expenses consist of the following:</w:t>
            </w:r>
          </w:p>
        </w:tc>
        <w:tc>
          <w:tcPr>
            <w:tcW w:w="3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72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33"/>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Accrued compensation and related expenses</w:t>
            </w:r>
          </w:p>
        </w:tc>
        <w:tc>
          <w:tcPr>
            <w:tcW w:w="3660" w:type="dxa"/>
            <w:vAlign w:val="bottom"/>
            <w:tcBorders>
              <w:bottom w:val="single" w:sz="8" w:color="CFF0FC"/>
            </w:tcBorders>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7"/>
                <w:szCs w:val="17"/>
                <w:color w:val="auto"/>
              </w:rPr>
              <w:t>1,602</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7"/>
                <w:szCs w:val="17"/>
                <w:color w:val="auto"/>
              </w:rPr>
              <w:t>1,588</w:t>
            </w:r>
          </w:p>
        </w:tc>
        <w:tc>
          <w:tcPr>
            <w:tcW w:w="0" w:type="dxa"/>
            <w:vAlign w:val="bottom"/>
          </w:tcPr>
          <w:p>
            <w:pPr>
              <w:spacing w:after="0"/>
              <w:rPr>
                <w:sz w:val="1"/>
                <w:szCs w:val="1"/>
                <w:color w:val="auto"/>
              </w:rPr>
            </w:pPr>
          </w:p>
        </w:tc>
      </w:tr>
      <w:tr>
        <w:trPr>
          <w:trHeight w:val="228"/>
        </w:trPr>
        <w:tc>
          <w:tcPr>
            <w:tcW w:w="4720" w:type="dxa"/>
            <w:vAlign w:val="bottom"/>
          </w:tcPr>
          <w:p>
            <w:pPr>
              <w:ind w:left="20"/>
              <w:spacing w:after="0"/>
              <w:rPr>
                <w:sz w:val="20"/>
                <w:szCs w:val="20"/>
                <w:color w:val="auto"/>
              </w:rPr>
            </w:pPr>
            <w:r>
              <w:rPr>
                <w:rFonts w:ascii="Arial" w:cs="Arial" w:eastAsia="Arial" w:hAnsi="Arial"/>
                <w:sz w:val="17"/>
                <w:szCs w:val="17"/>
                <w:color w:val="auto"/>
              </w:rPr>
              <w:t>Accrued research and contract manufacturing expenses</w:t>
            </w:r>
          </w:p>
        </w:tc>
        <w:tc>
          <w:tcPr>
            <w:tcW w:w="3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2,921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8"/>
              <w:spacing w:after="0"/>
              <w:rPr>
                <w:sz w:val="20"/>
                <w:szCs w:val="20"/>
                <w:color w:val="auto"/>
              </w:rPr>
            </w:pPr>
            <w:r>
              <w:rPr>
                <w:rFonts w:ascii="Arial" w:cs="Arial" w:eastAsia="Arial" w:hAnsi="Arial"/>
                <w:sz w:val="17"/>
                <w:szCs w:val="17"/>
                <w:color w:val="auto"/>
              </w:rPr>
              <w:t>2,961</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Other</w:t>
            </w:r>
          </w:p>
        </w:tc>
        <w:tc>
          <w:tcPr>
            <w:tcW w:w="34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7"/>
                <w:szCs w:val="17"/>
                <w:color w:val="auto"/>
              </w:rPr>
              <w:t>314</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21"/>
        </w:trPr>
        <w:tc>
          <w:tcPr>
            <w:tcW w:w="4720" w:type="dxa"/>
            <w:vAlign w:val="bottom"/>
          </w:tcPr>
          <w:p>
            <w:pPr>
              <w:ind w:left="260"/>
              <w:spacing w:after="0"/>
              <w:rPr>
                <w:sz w:val="20"/>
                <w:szCs w:val="20"/>
                <w:color w:val="auto"/>
              </w:rPr>
            </w:pPr>
            <w:r>
              <w:rPr>
                <w:rFonts w:ascii="Arial" w:cs="Arial" w:eastAsia="Arial" w:hAnsi="Arial"/>
                <w:sz w:val="17"/>
                <w:szCs w:val="17"/>
                <w:color w:val="auto"/>
              </w:rPr>
              <w:t>Total accrued expenses</w:t>
            </w:r>
          </w:p>
        </w:tc>
        <w:tc>
          <w:tcPr>
            <w:tcW w:w="3400" w:type="dxa"/>
            <w:vAlign w:val="bottom"/>
          </w:tcPr>
          <w:p>
            <w:pPr>
              <w:spacing w:after="0"/>
              <w:rPr>
                <w:sz w:val="19"/>
                <w:szCs w:val="19"/>
                <w:color w:val="auto"/>
              </w:rPr>
            </w:pP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4,837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4,875</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3400" w:type="dxa"/>
            <w:vAlign w:val="bottom"/>
            <w:vMerge w:val="restart"/>
          </w:tcPr>
          <w:p>
            <w:pPr>
              <w:jc w:val="right"/>
              <w:ind w:right="2275"/>
              <w:spacing w:after="0"/>
              <w:rPr>
                <w:sz w:val="20"/>
                <w:szCs w:val="20"/>
                <w:color w:val="auto"/>
              </w:rPr>
            </w:pPr>
            <w:r>
              <w:rPr>
                <w:rFonts w:ascii="Arial" w:cs="Arial" w:eastAsia="Arial" w:hAnsi="Arial"/>
                <w:sz w:val="17"/>
                <w:szCs w:val="17"/>
                <w:color w:val="auto"/>
              </w:rPr>
              <w:t>7</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7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8" w:right="239" w:bottom="1440" w:gutter="0" w:footer="0" w:header="0"/>
        </w:sectPr>
      </w:pPr>
    </w:p>
    <w:bookmarkStart w:id="9" w:name="page10"/>
    <w:bookmarkEnd w:id="9"/>
    <w:p>
      <w:pPr>
        <w:ind w:left="240" w:right="7480" w:hanging="238"/>
        <w:spacing w:after="0" w:line="398" w:lineRule="auto"/>
        <w:tabs>
          <w:tab w:leader="none" w:pos="181"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Collaborative Research and Development Agreements TESARO Collaboration</w:t>
      </w:r>
    </w:p>
    <w:p>
      <w:pPr>
        <w:spacing w:after="0" w:line="64" w:lineRule="exact"/>
        <w:rPr>
          <w:sz w:val="20"/>
          <w:szCs w:val="20"/>
          <w:color w:val="auto"/>
        </w:rPr>
      </w:pPr>
    </w:p>
    <w:p>
      <w:pPr>
        <w:ind w:right="20" w:firstLine="420"/>
        <w:spacing w:after="0" w:line="295" w:lineRule="auto"/>
        <w:rPr>
          <w:sz w:val="20"/>
          <w:szCs w:val="20"/>
          <w:color w:val="auto"/>
        </w:rPr>
      </w:pPr>
      <w:r>
        <w:rPr>
          <w:rFonts w:ascii="Arial" w:cs="Arial" w:eastAsia="Arial" w:hAnsi="Arial"/>
          <w:sz w:val="15"/>
          <w:szCs w:val="15"/>
          <w:color w:val="auto"/>
        </w:rPr>
        <w:t>In March 2014, we entered into a Collaboration and Exclusive License Agreement, or the TESARO Agreement, with TESARO, Inc. and TESARO Development, Inc., or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Amendment No. 1 to the Agreement to add an antibody discovery program against an undisclosed fourth target for an upfront license fee of $2.0 million.</w:t>
      </w:r>
    </w:p>
    <w:p>
      <w:pPr>
        <w:spacing w:after="0" w:line="153" w:lineRule="exact"/>
        <w:rPr>
          <w:sz w:val="20"/>
          <w:szCs w:val="20"/>
          <w:color w:val="auto"/>
        </w:rPr>
      </w:pPr>
    </w:p>
    <w:p>
      <w:pPr>
        <w:ind w:right="40" w:firstLine="420"/>
        <w:spacing w:after="0" w:line="270"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preclinical and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agreement will terminate, with respect to each specific developed product, upon the latter of the 12th anniversary of the first commercial sale of the product or the expiration of the last to expire of any patent. Prior to the adoption of ASC Topic 606,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were recognized was extended through December 31, 2016, and have been recognized in full.</w:t>
      </w:r>
    </w:p>
    <w:p>
      <w:pPr>
        <w:spacing w:after="0" w:line="169" w:lineRule="exact"/>
        <w:rPr>
          <w:sz w:val="20"/>
          <w:szCs w:val="20"/>
          <w:color w:val="auto"/>
        </w:rPr>
      </w:pPr>
    </w:p>
    <w:p>
      <w:pPr>
        <w:ind w:firstLine="458"/>
        <w:spacing w:after="0" w:line="253" w:lineRule="auto"/>
        <w:rPr>
          <w:sz w:val="20"/>
          <w:szCs w:val="20"/>
          <w:color w:val="auto"/>
        </w:rPr>
      </w:pPr>
      <w:r>
        <w:rPr>
          <w:rFonts w:ascii="Arial" w:cs="Arial" w:eastAsia="Arial" w:hAnsi="Arial"/>
          <w:sz w:val="17"/>
          <w:szCs w:val="17"/>
          <w:color w:val="auto"/>
        </w:rPr>
        <w:t>We assessed this arrangement in accordance with ASC Topic 606 and concluded that the contract counterparty, TESARO, is a customer. We identified the following material promises under the TESARO Agreement: (1) the licenses under certain patent rights relating to six discovery programs (four targets) and transfer of certain development and regulatory information, (2) R&amp;D services and (3) Joint Steering Committee meetings. We considered the research and discovery capabilities of TESARO for these specific programs, TESARO’s inability to sub-license,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285" w:lineRule="exact"/>
        <w:rPr>
          <w:sz w:val="20"/>
          <w:szCs w:val="20"/>
          <w:color w:val="auto"/>
        </w:rPr>
      </w:pPr>
    </w:p>
    <w:p>
      <w:pPr>
        <w:ind w:right="60" w:firstLine="458"/>
        <w:spacing w:after="0" w:line="272" w:lineRule="auto"/>
        <w:rPr>
          <w:sz w:val="20"/>
          <w:szCs w:val="20"/>
          <w:color w:val="auto"/>
        </w:rPr>
      </w:pPr>
      <w:r>
        <w:rPr>
          <w:rFonts w:ascii="Arial" w:cs="Arial" w:eastAsia="Arial" w:hAnsi="Arial"/>
          <w:sz w:val="16"/>
          <w:szCs w:val="16"/>
          <w:color w:val="auto"/>
        </w:rPr>
        <w:t>As of June 30, 2018, the transaction price includes the upfront payment, research reimbursement revenue,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the licensees’ efforts. Any consideration related to sales-based milestones, including royalties, will be recognized when the related sales occur as they were determined to relate predominantly to the IP license granted to TESARO and therefore have also been excluded from the transaction price. We will re-evaluate the variable transaction price in each reporting period and as uncertain events are resolved or other changes in circumstances occur.</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Milestones achieved through June 30, 2018 under the TESARO Agreement are as follow:</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66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0"/>
              </w:rPr>
              <w:t>Anti-PD-1</w:t>
            </w:r>
          </w:p>
        </w:tc>
        <w:tc>
          <w:tcPr>
            <w:tcW w:w="24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9"/>
              </w:rPr>
              <w:t>Anti-TIM-3</w:t>
            </w: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Anti-LAG-3</w:t>
            </w:r>
          </w:p>
        </w:tc>
      </w:tr>
      <w:tr>
        <w:trPr>
          <w:trHeight w:val="180"/>
        </w:trPr>
        <w:tc>
          <w:tcPr>
            <w:tcW w:w="43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w w:val="95"/>
              </w:rPr>
              <w:t>(TSR042)</w:t>
            </w: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772"/>
              <w:spacing w:after="0"/>
              <w:rPr>
                <w:sz w:val="20"/>
                <w:szCs w:val="20"/>
                <w:color w:val="auto"/>
              </w:rPr>
            </w:pPr>
            <w:r>
              <w:rPr>
                <w:rFonts w:ascii="Arial" w:cs="Arial" w:eastAsia="Arial" w:hAnsi="Arial"/>
                <w:sz w:val="14"/>
                <w:szCs w:val="14"/>
                <w:b w:val="1"/>
                <w:bCs w:val="1"/>
                <w:color w:val="auto"/>
                <w:w w:val="92"/>
              </w:rPr>
              <w:t>(TSR022)</w:t>
            </w: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52"/>
              <w:spacing w:after="0"/>
              <w:rPr>
                <w:sz w:val="20"/>
                <w:szCs w:val="20"/>
                <w:color w:val="auto"/>
              </w:rPr>
            </w:pPr>
            <w:r>
              <w:rPr>
                <w:rFonts w:ascii="Arial" w:cs="Arial" w:eastAsia="Arial" w:hAnsi="Arial"/>
                <w:sz w:val="14"/>
                <w:szCs w:val="14"/>
                <w:b w:val="1"/>
                <w:bCs w:val="1"/>
                <w:color w:val="auto"/>
                <w:w w:val="92"/>
              </w:rPr>
              <w:t>(TSR033)</w:t>
            </w:r>
          </w:p>
        </w:tc>
      </w:tr>
      <w:tr>
        <w:trPr>
          <w:trHeight w:val="234"/>
        </w:trPr>
        <w:tc>
          <w:tcPr>
            <w:tcW w:w="4360" w:type="dxa"/>
            <w:vAlign w:val="bottom"/>
          </w:tcPr>
          <w:p>
            <w:pPr>
              <w:ind w:left="1700"/>
              <w:spacing w:after="0"/>
              <w:rPr>
                <w:sz w:val="20"/>
                <w:szCs w:val="20"/>
                <w:color w:val="auto"/>
              </w:rPr>
            </w:pPr>
            <w:r>
              <w:rPr>
                <w:rFonts w:ascii="Arial" w:cs="Arial" w:eastAsia="Arial" w:hAnsi="Arial"/>
                <w:sz w:val="14"/>
                <w:szCs w:val="14"/>
                <w:b w:val="1"/>
                <w:bCs w:val="1"/>
                <w:color w:val="auto"/>
              </w:rPr>
              <w:t>Milestone Event</w:t>
            </w:r>
          </w:p>
        </w:tc>
        <w:tc>
          <w:tcPr>
            <w:tcW w:w="820" w:type="dxa"/>
            <w:vAlign w:val="bottom"/>
          </w:tcPr>
          <w:p>
            <w:pPr>
              <w:jc w:val="center"/>
              <w:ind w:left="232"/>
              <w:spacing w:after="0"/>
              <w:rPr>
                <w:sz w:val="20"/>
                <w:szCs w:val="20"/>
                <w:color w:val="auto"/>
              </w:rPr>
            </w:pPr>
            <w:r>
              <w:rPr>
                <w:rFonts w:ascii="Arial" w:cs="Arial" w:eastAsia="Arial" w:hAnsi="Arial"/>
                <w:sz w:val="14"/>
                <w:szCs w:val="14"/>
                <w:b w:val="1"/>
                <w:bCs w:val="1"/>
                <w:color w:val="auto"/>
                <w:w w:val="90"/>
              </w:rPr>
              <w:t>Amount</w:t>
            </w:r>
          </w:p>
        </w:tc>
        <w:tc>
          <w:tcPr>
            <w:tcW w:w="158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2"/>
              </w:rPr>
              <w:t>Quarter Earned</w:t>
            </w:r>
          </w:p>
        </w:tc>
        <w:tc>
          <w:tcPr>
            <w:tcW w:w="840" w:type="dxa"/>
            <w:vAlign w:val="bottom"/>
          </w:tcPr>
          <w:p>
            <w:pPr>
              <w:jc w:val="center"/>
              <w:ind w:left="232"/>
              <w:spacing w:after="0"/>
              <w:rPr>
                <w:sz w:val="20"/>
                <w:szCs w:val="20"/>
                <w:color w:val="auto"/>
              </w:rPr>
            </w:pPr>
            <w:r>
              <w:rPr>
                <w:rFonts w:ascii="Arial" w:cs="Arial" w:eastAsia="Arial" w:hAnsi="Arial"/>
                <w:sz w:val="14"/>
                <w:szCs w:val="14"/>
                <w:b w:val="1"/>
                <w:bCs w:val="1"/>
                <w:color w:val="auto"/>
                <w:w w:val="86"/>
              </w:rPr>
              <w:t>Amount</w:t>
            </w:r>
          </w:p>
        </w:tc>
        <w:tc>
          <w:tcPr>
            <w:tcW w:w="156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2"/>
              </w:rPr>
              <w:t>Quarter Earned</w:t>
            </w:r>
          </w:p>
        </w:tc>
        <w:tc>
          <w:tcPr>
            <w:tcW w:w="840" w:type="dxa"/>
            <w:vAlign w:val="bottom"/>
          </w:tcPr>
          <w:p>
            <w:pPr>
              <w:ind w:left="340"/>
              <w:spacing w:after="0"/>
              <w:rPr>
                <w:sz w:val="20"/>
                <w:szCs w:val="20"/>
                <w:color w:val="auto"/>
              </w:rPr>
            </w:pPr>
            <w:r>
              <w:rPr>
                <w:rFonts w:ascii="Arial" w:cs="Arial" w:eastAsia="Arial" w:hAnsi="Arial"/>
                <w:sz w:val="14"/>
                <w:szCs w:val="14"/>
                <w:b w:val="1"/>
                <w:bCs w:val="1"/>
                <w:color w:val="auto"/>
                <w:w w:val="90"/>
              </w:rPr>
              <w:t>Amount</w:t>
            </w:r>
          </w:p>
        </w:tc>
        <w:tc>
          <w:tcPr>
            <w:tcW w:w="1420" w:type="dxa"/>
            <w:vAlign w:val="bottom"/>
          </w:tcPr>
          <w:p>
            <w:pPr>
              <w:ind w:left="400"/>
              <w:spacing w:after="0"/>
              <w:rPr>
                <w:sz w:val="20"/>
                <w:szCs w:val="20"/>
                <w:color w:val="auto"/>
              </w:rPr>
            </w:pPr>
            <w:r>
              <w:rPr>
                <w:rFonts w:ascii="Arial" w:cs="Arial" w:eastAsia="Arial" w:hAnsi="Arial"/>
                <w:sz w:val="14"/>
                <w:szCs w:val="14"/>
                <w:b w:val="1"/>
                <w:bCs w:val="1"/>
                <w:color w:val="auto"/>
                <w:w w:val="98"/>
              </w:rPr>
              <w:t>Quarter Earned</w:t>
            </w:r>
          </w:p>
        </w:tc>
      </w:tr>
      <w:tr>
        <w:trPr>
          <w:trHeight w:val="400"/>
        </w:trPr>
        <w:tc>
          <w:tcPr>
            <w:tcW w:w="4360" w:type="dxa"/>
            <w:vAlign w:val="bottom"/>
            <w:shd w:val="clear" w:color="auto" w:fill="CFF0FC"/>
          </w:tcPr>
          <w:p>
            <w:pPr>
              <w:ind w:left="20"/>
              <w:spacing w:after="0"/>
              <w:rPr>
                <w:sz w:val="20"/>
                <w:szCs w:val="20"/>
                <w:color w:val="auto"/>
              </w:rPr>
            </w:pPr>
            <w:r>
              <w:rPr>
                <w:rFonts w:ascii="Arial" w:cs="Arial" w:eastAsia="Arial" w:hAnsi="Arial"/>
                <w:sz w:val="14"/>
                <w:szCs w:val="14"/>
                <w:color w:val="auto"/>
                <w:w w:val="95"/>
              </w:rPr>
              <w:t xml:space="preserve">Initiated </w:t>
            </w:r>
            <w:r>
              <w:rPr>
                <w:rFonts w:ascii="Arial" w:cs="Arial" w:eastAsia="Arial" w:hAnsi="Arial"/>
                <w:sz w:val="14"/>
                <w:szCs w:val="14"/>
                <w:i w:val="1"/>
                <w:iCs w:val="1"/>
                <w:color w:val="auto"/>
                <w:w w:val="95"/>
              </w:rPr>
              <w:t>in vivo</w:t>
            </w:r>
            <w:r>
              <w:rPr>
                <w:rFonts w:ascii="Arial" w:cs="Arial" w:eastAsia="Arial" w:hAnsi="Arial"/>
                <w:sz w:val="14"/>
                <w:szCs w:val="14"/>
                <w:color w:val="auto"/>
                <w:w w:val="95"/>
              </w:rPr>
              <w:t xml:space="preserve"> toxicology studies using good laboratory practices (GLPs)</w:t>
            </w:r>
          </w:p>
        </w:tc>
        <w:tc>
          <w:tcPr>
            <w:tcW w:w="820" w:type="dxa"/>
            <w:vAlign w:val="bottom"/>
            <w:shd w:val="clear" w:color="auto" w:fill="CFF0FC"/>
          </w:tcPr>
          <w:p>
            <w:pPr>
              <w:jc w:val="center"/>
              <w:ind w:left="232"/>
              <w:spacing w:after="0"/>
              <w:rPr>
                <w:sz w:val="20"/>
                <w:szCs w:val="20"/>
                <w:color w:val="auto"/>
              </w:rPr>
            </w:pPr>
            <w:r>
              <w:rPr>
                <w:rFonts w:ascii="Arial" w:cs="Arial" w:eastAsia="Arial" w:hAnsi="Arial"/>
                <w:sz w:val="14"/>
                <w:szCs w:val="14"/>
                <w:color w:val="auto"/>
                <w:w w:val="92"/>
              </w:rPr>
              <w:t>$1.0M</w:t>
            </w:r>
          </w:p>
        </w:tc>
        <w:tc>
          <w:tcPr>
            <w:tcW w:w="158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91"/>
              </w:rPr>
              <w:t>Q2'15</w:t>
            </w:r>
          </w:p>
        </w:tc>
        <w:tc>
          <w:tcPr>
            <w:tcW w:w="840" w:type="dxa"/>
            <w:vAlign w:val="bottom"/>
            <w:shd w:val="clear" w:color="auto" w:fill="CFF0FC"/>
          </w:tcPr>
          <w:p>
            <w:pPr>
              <w:jc w:val="center"/>
              <w:ind w:left="232"/>
              <w:spacing w:after="0"/>
              <w:rPr>
                <w:sz w:val="20"/>
                <w:szCs w:val="20"/>
                <w:color w:val="auto"/>
              </w:rPr>
            </w:pPr>
            <w:r>
              <w:rPr>
                <w:rFonts w:ascii="Arial" w:cs="Arial" w:eastAsia="Arial" w:hAnsi="Arial"/>
                <w:sz w:val="14"/>
                <w:szCs w:val="14"/>
                <w:color w:val="auto"/>
                <w:w w:val="87"/>
              </w:rPr>
              <w:t>$1.0M</w:t>
            </w:r>
          </w:p>
        </w:tc>
        <w:tc>
          <w:tcPr>
            <w:tcW w:w="156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Q4'15</w:t>
            </w:r>
          </w:p>
        </w:tc>
        <w:tc>
          <w:tcPr>
            <w:tcW w:w="840" w:type="dxa"/>
            <w:vAlign w:val="bottom"/>
            <w:shd w:val="clear" w:color="auto" w:fill="CFF0FC"/>
          </w:tcPr>
          <w:p>
            <w:pPr>
              <w:jc w:val="center"/>
              <w:ind w:left="212"/>
              <w:spacing w:after="0"/>
              <w:rPr>
                <w:sz w:val="20"/>
                <w:szCs w:val="20"/>
                <w:color w:val="auto"/>
              </w:rPr>
            </w:pPr>
            <w:r>
              <w:rPr>
                <w:rFonts w:ascii="Arial" w:cs="Arial" w:eastAsia="Arial" w:hAnsi="Arial"/>
                <w:sz w:val="14"/>
                <w:szCs w:val="14"/>
                <w:color w:val="auto"/>
                <w:w w:val="92"/>
              </w:rPr>
              <w:t>$1.0M</w:t>
            </w:r>
          </w:p>
        </w:tc>
        <w:tc>
          <w:tcPr>
            <w:tcW w:w="1420" w:type="dxa"/>
            <w:vAlign w:val="bottom"/>
            <w:shd w:val="clear" w:color="auto" w:fill="CFF0FC"/>
          </w:tcPr>
          <w:p>
            <w:pPr>
              <w:jc w:val="center"/>
              <w:ind w:left="232"/>
              <w:spacing w:after="0"/>
              <w:rPr>
                <w:sz w:val="20"/>
                <w:szCs w:val="20"/>
                <w:color w:val="auto"/>
              </w:rPr>
            </w:pPr>
            <w:r>
              <w:rPr>
                <w:rFonts w:ascii="Arial" w:cs="Arial" w:eastAsia="Arial" w:hAnsi="Arial"/>
                <w:sz w:val="14"/>
                <w:szCs w:val="14"/>
                <w:color w:val="auto"/>
                <w:w w:val="86"/>
              </w:rPr>
              <w:t>Q3'16</w:t>
            </w:r>
          </w:p>
        </w:tc>
      </w:tr>
      <w:tr>
        <w:trPr>
          <w:trHeight w:val="249"/>
        </w:trPr>
        <w:tc>
          <w:tcPr>
            <w:tcW w:w="4360" w:type="dxa"/>
            <w:vAlign w:val="bottom"/>
          </w:tcPr>
          <w:p>
            <w:pPr>
              <w:ind w:left="20"/>
              <w:spacing w:after="0"/>
              <w:rPr>
                <w:sz w:val="20"/>
                <w:szCs w:val="20"/>
                <w:color w:val="auto"/>
              </w:rPr>
            </w:pPr>
            <w:r>
              <w:rPr>
                <w:rFonts w:ascii="Arial" w:cs="Arial" w:eastAsia="Arial" w:hAnsi="Arial"/>
                <w:sz w:val="14"/>
                <w:szCs w:val="14"/>
                <w:color w:val="auto"/>
              </w:rPr>
              <w:t>IND clearance from the FDA</w:t>
            </w:r>
          </w:p>
        </w:tc>
        <w:tc>
          <w:tcPr>
            <w:tcW w:w="820" w:type="dxa"/>
            <w:vAlign w:val="bottom"/>
          </w:tcPr>
          <w:p>
            <w:pPr>
              <w:jc w:val="center"/>
              <w:ind w:left="232"/>
              <w:spacing w:after="0"/>
              <w:rPr>
                <w:sz w:val="20"/>
                <w:szCs w:val="20"/>
                <w:color w:val="auto"/>
              </w:rPr>
            </w:pPr>
            <w:r>
              <w:rPr>
                <w:rFonts w:ascii="Arial" w:cs="Arial" w:eastAsia="Arial" w:hAnsi="Arial"/>
                <w:sz w:val="14"/>
                <w:szCs w:val="14"/>
                <w:color w:val="auto"/>
                <w:w w:val="92"/>
              </w:rPr>
              <w:t>$4.0M</w:t>
            </w:r>
          </w:p>
        </w:tc>
        <w:tc>
          <w:tcPr>
            <w:tcW w:w="1580" w:type="dxa"/>
            <w:vAlign w:val="bottom"/>
            <w:gridSpan w:val="2"/>
          </w:tcPr>
          <w:p>
            <w:pPr>
              <w:jc w:val="center"/>
              <w:ind w:left="132"/>
              <w:spacing w:after="0"/>
              <w:rPr>
                <w:sz w:val="20"/>
                <w:szCs w:val="20"/>
                <w:color w:val="auto"/>
              </w:rPr>
            </w:pPr>
            <w:r>
              <w:rPr>
                <w:rFonts w:ascii="Arial" w:cs="Arial" w:eastAsia="Arial" w:hAnsi="Arial"/>
                <w:sz w:val="14"/>
                <w:szCs w:val="14"/>
                <w:color w:val="auto"/>
                <w:w w:val="91"/>
              </w:rPr>
              <w:t>Q1'16</w:t>
            </w:r>
          </w:p>
        </w:tc>
        <w:tc>
          <w:tcPr>
            <w:tcW w:w="840" w:type="dxa"/>
            <w:vAlign w:val="bottom"/>
          </w:tcPr>
          <w:p>
            <w:pPr>
              <w:jc w:val="center"/>
              <w:ind w:left="232"/>
              <w:spacing w:after="0"/>
              <w:rPr>
                <w:sz w:val="20"/>
                <w:szCs w:val="20"/>
                <w:color w:val="auto"/>
              </w:rPr>
            </w:pPr>
            <w:r>
              <w:rPr>
                <w:rFonts w:ascii="Arial" w:cs="Arial" w:eastAsia="Arial" w:hAnsi="Arial"/>
                <w:sz w:val="14"/>
                <w:szCs w:val="14"/>
                <w:color w:val="auto"/>
                <w:w w:val="87"/>
              </w:rPr>
              <w:t>$4.0M</w:t>
            </w:r>
          </w:p>
        </w:tc>
        <w:tc>
          <w:tcPr>
            <w:tcW w:w="1560" w:type="dxa"/>
            <w:vAlign w:val="bottom"/>
            <w:gridSpan w:val="2"/>
          </w:tcPr>
          <w:p>
            <w:pPr>
              <w:jc w:val="center"/>
              <w:ind w:left="132"/>
              <w:spacing w:after="0"/>
              <w:rPr>
                <w:sz w:val="20"/>
                <w:szCs w:val="20"/>
                <w:color w:val="auto"/>
              </w:rPr>
            </w:pPr>
            <w:r>
              <w:rPr>
                <w:rFonts w:ascii="Arial" w:cs="Arial" w:eastAsia="Arial" w:hAnsi="Arial"/>
                <w:sz w:val="14"/>
                <w:szCs w:val="14"/>
                <w:color w:val="auto"/>
                <w:w w:val="86"/>
              </w:rPr>
              <w:t>Q2'16</w:t>
            </w:r>
          </w:p>
        </w:tc>
        <w:tc>
          <w:tcPr>
            <w:tcW w:w="840" w:type="dxa"/>
            <w:vAlign w:val="bottom"/>
          </w:tcPr>
          <w:p>
            <w:pPr>
              <w:jc w:val="center"/>
              <w:ind w:left="212"/>
              <w:spacing w:after="0"/>
              <w:rPr>
                <w:sz w:val="20"/>
                <w:szCs w:val="20"/>
                <w:color w:val="auto"/>
              </w:rPr>
            </w:pPr>
            <w:r>
              <w:rPr>
                <w:rFonts w:ascii="Arial" w:cs="Arial" w:eastAsia="Arial" w:hAnsi="Arial"/>
                <w:sz w:val="14"/>
                <w:szCs w:val="14"/>
                <w:color w:val="auto"/>
                <w:w w:val="92"/>
              </w:rPr>
              <w:t>$4.0M</w:t>
            </w:r>
          </w:p>
        </w:tc>
        <w:tc>
          <w:tcPr>
            <w:tcW w:w="1420" w:type="dxa"/>
            <w:vAlign w:val="bottom"/>
          </w:tcPr>
          <w:p>
            <w:pPr>
              <w:jc w:val="center"/>
              <w:ind w:left="232"/>
              <w:spacing w:after="0"/>
              <w:rPr>
                <w:sz w:val="20"/>
                <w:szCs w:val="20"/>
                <w:color w:val="auto"/>
              </w:rPr>
            </w:pPr>
            <w:r>
              <w:rPr>
                <w:rFonts w:ascii="Arial" w:cs="Arial" w:eastAsia="Arial" w:hAnsi="Arial"/>
                <w:sz w:val="14"/>
                <w:szCs w:val="14"/>
                <w:color w:val="auto"/>
                <w:w w:val="86"/>
              </w:rPr>
              <w:t>Q2'17</w:t>
            </w:r>
          </w:p>
        </w:tc>
      </w:tr>
      <w:tr>
        <w:trPr>
          <w:trHeight w:val="260"/>
        </w:trPr>
        <w:tc>
          <w:tcPr>
            <w:tcW w:w="4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Phase 2 clinical trial initiation</w:t>
            </w:r>
          </w:p>
        </w:tc>
        <w:tc>
          <w:tcPr>
            <w:tcW w:w="820" w:type="dxa"/>
            <w:vAlign w:val="bottom"/>
            <w:shd w:val="clear" w:color="auto" w:fill="CFF0FC"/>
          </w:tcPr>
          <w:p>
            <w:pPr>
              <w:jc w:val="center"/>
              <w:ind w:left="232"/>
              <w:spacing w:after="0"/>
              <w:rPr>
                <w:sz w:val="20"/>
                <w:szCs w:val="20"/>
                <w:color w:val="auto"/>
              </w:rPr>
            </w:pPr>
            <w:r>
              <w:rPr>
                <w:rFonts w:ascii="Arial" w:cs="Arial" w:eastAsia="Arial" w:hAnsi="Arial"/>
                <w:sz w:val="14"/>
                <w:szCs w:val="14"/>
                <w:color w:val="auto"/>
                <w:w w:val="92"/>
              </w:rPr>
              <w:t>$3.0M</w:t>
            </w:r>
          </w:p>
        </w:tc>
        <w:tc>
          <w:tcPr>
            <w:tcW w:w="158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91"/>
              </w:rPr>
              <w:t>Q2'17</w:t>
            </w:r>
          </w:p>
        </w:tc>
        <w:tc>
          <w:tcPr>
            <w:tcW w:w="840" w:type="dxa"/>
            <w:vAlign w:val="bottom"/>
            <w:shd w:val="clear" w:color="auto" w:fill="CFF0FC"/>
          </w:tcPr>
          <w:p>
            <w:pPr>
              <w:jc w:val="center"/>
              <w:ind w:left="232"/>
              <w:spacing w:after="0"/>
              <w:rPr>
                <w:sz w:val="20"/>
                <w:szCs w:val="20"/>
                <w:color w:val="auto"/>
              </w:rPr>
            </w:pPr>
            <w:r>
              <w:rPr>
                <w:rFonts w:ascii="Arial" w:cs="Arial" w:eastAsia="Arial" w:hAnsi="Arial"/>
                <w:sz w:val="14"/>
                <w:szCs w:val="14"/>
                <w:color w:val="auto"/>
                <w:w w:val="87"/>
              </w:rPr>
              <w:t>$3.0M</w:t>
            </w:r>
          </w:p>
        </w:tc>
        <w:tc>
          <w:tcPr>
            <w:tcW w:w="1560" w:type="dxa"/>
            <w:vAlign w:val="bottom"/>
            <w:gridSpan w:val="2"/>
            <w:shd w:val="clear" w:color="auto" w:fill="CFF0FC"/>
          </w:tcPr>
          <w:p>
            <w:pPr>
              <w:jc w:val="center"/>
              <w:ind w:left="132"/>
              <w:spacing w:after="0"/>
              <w:rPr>
                <w:sz w:val="20"/>
                <w:szCs w:val="20"/>
                <w:color w:val="auto"/>
              </w:rPr>
            </w:pPr>
            <w:r>
              <w:rPr>
                <w:rFonts w:ascii="Arial" w:cs="Arial" w:eastAsia="Arial" w:hAnsi="Arial"/>
                <w:sz w:val="14"/>
                <w:szCs w:val="14"/>
                <w:color w:val="auto"/>
                <w:w w:val="86"/>
              </w:rPr>
              <w:t>Q4'17</w:t>
            </w:r>
          </w:p>
        </w:tc>
        <w:tc>
          <w:tcPr>
            <w:tcW w:w="840" w:type="dxa"/>
            <w:vAlign w:val="bottom"/>
            <w:shd w:val="clear" w:color="auto" w:fill="CFF0FC"/>
          </w:tcPr>
          <w:p>
            <w:pPr>
              <w:jc w:val="center"/>
              <w:ind w:left="232"/>
              <w:spacing w:after="0"/>
              <w:rPr>
                <w:sz w:val="20"/>
                <w:szCs w:val="20"/>
                <w:color w:val="auto"/>
              </w:rPr>
            </w:pPr>
            <w:r>
              <w:rPr>
                <w:rFonts w:ascii="Arial" w:cs="Arial" w:eastAsia="Arial" w:hAnsi="Arial"/>
                <w:sz w:val="14"/>
                <w:szCs w:val="14"/>
                <w:color w:val="auto"/>
                <w:w w:val="99"/>
              </w:rPr>
              <w:t>—</w:t>
            </w:r>
          </w:p>
        </w:tc>
        <w:tc>
          <w:tcPr>
            <w:tcW w:w="1420" w:type="dxa"/>
            <w:vAlign w:val="bottom"/>
            <w:shd w:val="clear" w:color="auto" w:fill="CFF0FC"/>
          </w:tcPr>
          <w:p>
            <w:pPr>
              <w:jc w:val="center"/>
              <w:ind w:left="232"/>
              <w:spacing w:after="0"/>
              <w:rPr>
                <w:sz w:val="20"/>
                <w:szCs w:val="20"/>
                <w:color w:val="auto"/>
              </w:rPr>
            </w:pPr>
            <w:r>
              <w:rPr>
                <w:rFonts w:ascii="Arial" w:cs="Arial" w:eastAsia="Arial" w:hAnsi="Arial"/>
                <w:sz w:val="14"/>
                <w:szCs w:val="14"/>
                <w:color w:val="auto"/>
                <w:w w:val="85"/>
              </w:rPr>
              <w:t>—</w:t>
            </w:r>
          </w:p>
        </w:tc>
      </w:tr>
    </w:tbl>
    <w:p>
      <w:pPr>
        <w:spacing w:after="0" w:line="191" w:lineRule="exact"/>
        <w:rPr>
          <w:sz w:val="20"/>
          <w:szCs w:val="20"/>
          <w:color w:val="auto"/>
        </w:rPr>
      </w:pPr>
    </w:p>
    <w:p>
      <w:pPr>
        <w:ind w:right="80" w:firstLine="420"/>
        <w:spacing w:after="0" w:line="306" w:lineRule="auto"/>
        <w:rPr>
          <w:sz w:val="20"/>
          <w:szCs w:val="20"/>
          <w:color w:val="auto"/>
        </w:rPr>
      </w:pPr>
      <w:r>
        <w:rPr>
          <w:rFonts w:ascii="Arial" w:cs="Arial" w:eastAsia="Arial" w:hAnsi="Arial"/>
          <w:sz w:val="16"/>
          <w:szCs w:val="16"/>
          <w:color w:val="auto"/>
        </w:rPr>
        <w:t>Milestones achieved during the discovery period were recognized as revenue pro-rata through December 31, 2016. Milestones achieved subsequent to December 31, 2016 were recognized as revenue in the period earned. Cash is generally received within 30 days of milestone achievement.</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Revenue from future contingent milestone payments will be recognized when it is more likely than not that the revenue will not be reversed in future periods.</w:t>
      </w:r>
    </w:p>
    <w:p>
      <w:pPr>
        <w:spacing w:after="0" w:line="235" w:lineRule="exact"/>
        <w:rPr>
          <w:sz w:val="20"/>
          <w:szCs w:val="20"/>
          <w:color w:val="auto"/>
        </w:rPr>
      </w:pPr>
    </w:p>
    <w:p>
      <w:pPr>
        <w:ind w:right="40" w:firstLine="420"/>
        <w:spacing w:after="0" w:line="274" w:lineRule="auto"/>
        <w:rPr>
          <w:sz w:val="20"/>
          <w:szCs w:val="20"/>
          <w:color w:val="auto"/>
        </w:rPr>
      </w:pPr>
      <w:r>
        <w:rPr>
          <w:rFonts w:ascii="Arial" w:cs="Arial" w:eastAsia="Arial" w:hAnsi="Arial"/>
          <w:sz w:val="17"/>
          <w:szCs w:val="17"/>
          <w:color w:val="auto"/>
        </w:rPr>
        <w:t>We recognized $7.0 million in revenue under this agreement during the three and six months ended June 30, 2017 related to two milestones earned. There was no revenue recognized under this agreement during the three and six months ended June 30, 2018.</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Antibody Generation Agreement with Celgene Corporation</w:t>
      </w:r>
    </w:p>
    <w:p>
      <w:pPr>
        <w:spacing w:after="0" w:line="212" w:lineRule="exact"/>
        <w:rPr>
          <w:sz w:val="20"/>
          <w:szCs w:val="20"/>
          <w:color w:val="auto"/>
        </w:rPr>
      </w:pPr>
    </w:p>
    <w:p>
      <w:pPr>
        <w:ind w:right="160" w:firstLine="420"/>
        <w:spacing w:after="0" w:line="312" w:lineRule="auto"/>
        <w:rPr>
          <w:sz w:val="20"/>
          <w:szCs w:val="20"/>
          <w:color w:val="auto"/>
        </w:rPr>
      </w:pPr>
      <w:r>
        <w:rPr>
          <w:rFonts w:ascii="Arial" w:cs="Arial" w:eastAsia="Arial" w:hAnsi="Arial"/>
          <w:sz w:val="15"/>
          <w:szCs w:val="15"/>
          <w:color w:val="auto"/>
        </w:rPr>
        <w:t>In December 2011, we entered into a license and collaboration agreement with Celgene, or the Celgene Agreement,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2" w:lineRule="exact"/>
        <w:rPr>
          <w:sz w:val="20"/>
          <w:szCs w:val="20"/>
          <w:color w:val="auto"/>
        </w:rPr>
      </w:pPr>
    </w:p>
    <w:p>
      <w:pPr>
        <w:jc w:val="both"/>
        <w:ind w:right="140" w:firstLine="420"/>
        <w:spacing w:after="0" w:line="342" w:lineRule="auto"/>
        <w:rPr>
          <w:sz w:val="20"/>
          <w:szCs w:val="20"/>
          <w:color w:val="auto"/>
        </w:rPr>
      </w:pPr>
      <w:r>
        <w:rPr>
          <w:rFonts w:ascii="Arial" w:cs="Arial" w:eastAsia="Arial" w:hAnsi="Arial"/>
          <w:sz w:val="15"/>
          <w:szCs w:val="15"/>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119" w:lineRule="exact"/>
        <w:rPr>
          <w:sz w:val="20"/>
          <w:szCs w:val="20"/>
          <w:color w:val="auto"/>
        </w:rPr>
      </w:pPr>
    </w:p>
    <w:p>
      <w:pPr>
        <w:ind w:right="60" w:firstLine="420"/>
        <w:spacing w:after="0" w:line="271" w:lineRule="auto"/>
        <w:rPr>
          <w:sz w:val="20"/>
          <w:szCs w:val="20"/>
          <w:color w:val="auto"/>
        </w:rPr>
      </w:pPr>
      <w:r>
        <w:rPr>
          <w:rFonts w:ascii="Arial" w:cs="Arial" w:eastAsia="Arial" w:hAnsi="Arial"/>
          <w:sz w:val="16"/>
          <w:szCs w:val="16"/>
          <w:color w:val="auto"/>
        </w:rPr>
        <w:t>We assessed this arrangement in accordance with ASC Topic 606 and concluded that the contract counterparty, Celgene, is a customer. We identified the following material promises under the Celgene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Celgene, Celgene’s inability to sub-license the four targets,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the arrangement.</w:t>
      </w:r>
    </w:p>
    <w:p>
      <w:pPr>
        <w:spacing w:after="0" w:line="170" w:lineRule="exact"/>
        <w:rPr>
          <w:sz w:val="20"/>
          <w:szCs w:val="20"/>
          <w:color w:val="auto"/>
        </w:rPr>
      </w:pPr>
    </w:p>
    <w:p>
      <w:pPr>
        <w:ind w:right="60" w:firstLine="420"/>
        <w:spacing w:after="0" w:line="253" w:lineRule="auto"/>
        <w:rPr>
          <w:sz w:val="20"/>
          <w:szCs w:val="20"/>
          <w:color w:val="auto"/>
        </w:rPr>
      </w:pPr>
      <w:r>
        <w:rPr>
          <w:rFonts w:ascii="Arial" w:cs="Arial" w:eastAsia="Arial" w:hAnsi="Arial"/>
          <w:sz w:val="17"/>
          <w:szCs w:val="17"/>
          <w:color w:val="auto"/>
        </w:rPr>
        <w:t>As of June 30, 2018, the transaction price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the licensees’ efforts. Any consideration related to sales-based milestones, including royalties, will be recognized when the related sales occur as they were determined to relate predominantly to the IP license granted to Celgene and therefore have also been excluded from the transaction price. We will re-evaluate the transaction price in each reporting period and as uncertain events are resolved or other changes in circumstances occur.</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Milestones achieved through June 30, 2018 under the Celgene Agreement are as follows: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3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5060" w:type="dxa"/>
            <w:vAlign w:val="bottom"/>
            <w:gridSpan w:val="2"/>
          </w:tcPr>
          <w:p>
            <w:pPr>
              <w:jc w:val="center"/>
              <w:ind w:left="2692"/>
              <w:spacing w:after="0"/>
              <w:rPr>
                <w:sz w:val="20"/>
                <w:szCs w:val="20"/>
                <w:color w:val="auto"/>
              </w:rPr>
            </w:pPr>
            <w:r>
              <w:rPr>
                <w:rFonts w:ascii="Arial" w:cs="Arial" w:eastAsia="Arial" w:hAnsi="Arial"/>
                <w:sz w:val="14"/>
                <w:szCs w:val="14"/>
                <w:b w:val="1"/>
                <w:bCs w:val="1"/>
                <w:color w:val="auto"/>
                <w:w w:val="90"/>
              </w:rPr>
              <w:t>Anti-PD-1</w:t>
            </w:r>
          </w:p>
        </w:tc>
      </w:tr>
      <w:tr>
        <w:trPr>
          <w:trHeight w:val="180"/>
        </w:trPr>
        <w:tc>
          <w:tcPr>
            <w:tcW w:w="6360" w:type="dxa"/>
            <w:vAlign w:val="bottom"/>
            <w:tcBorders>
              <w:bottom w:val="single" w:sz="8" w:color="auto"/>
            </w:tcBorders>
          </w:tcPr>
          <w:p>
            <w:pPr>
              <w:spacing w:after="0"/>
              <w:rPr>
                <w:sz w:val="15"/>
                <w:szCs w:val="15"/>
                <w:color w:val="auto"/>
              </w:rPr>
            </w:pPr>
          </w:p>
        </w:tc>
        <w:tc>
          <w:tcPr>
            <w:tcW w:w="5060" w:type="dxa"/>
            <w:vAlign w:val="bottom"/>
            <w:tcBorders>
              <w:bottom w:val="single" w:sz="8" w:color="auto"/>
            </w:tcBorders>
            <w:gridSpan w:val="2"/>
          </w:tcPr>
          <w:p>
            <w:pPr>
              <w:jc w:val="center"/>
              <w:ind w:left="2732"/>
              <w:spacing w:after="0"/>
              <w:rPr>
                <w:sz w:val="20"/>
                <w:szCs w:val="20"/>
                <w:color w:val="auto"/>
              </w:rPr>
            </w:pPr>
            <w:r>
              <w:rPr>
                <w:rFonts w:ascii="Arial" w:cs="Arial" w:eastAsia="Arial" w:hAnsi="Arial"/>
                <w:sz w:val="14"/>
                <w:szCs w:val="14"/>
                <w:b w:val="1"/>
                <w:bCs w:val="1"/>
                <w:color w:val="auto"/>
                <w:w w:val="90"/>
              </w:rPr>
              <w:t>(CC-90006)</w:t>
            </w:r>
          </w:p>
        </w:tc>
      </w:tr>
      <w:tr>
        <w:trPr>
          <w:trHeight w:val="184"/>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Milestone Event</w:t>
            </w:r>
          </w:p>
        </w:tc>
        <w:tc>
          <w:tcPr>
            <w:tcW w:w="3880" w:type="dxa"/>
            <w:vAlign w:val="bottom"/>
          </w:tcPr>
          <w:p>
            <w:pPr>
              <w:jc w:val="center"/>
              <w:ind w:left="2892"/>
              <w:spacing w:after="0"/>
              <w:rPr>
                <w:sz w:val="20"/>
                <w:szCs w:val="20"/>
                <w:color w:val="auto"/>
              </w:rPr>
            </w:pPr>
            <w:r>
              <w:rPr>
                <w:rFonts w:ascii="Arial" w:cs="Arial" w:eastAsia="Arial" w:hAnsi="Arial"/>
                <w:sz w:val="14"/>
                <w:szCs w:val="14"/>
                <w:b w:val="1"/>
                <w:bCs w:val="1"/>
                <w:color w:val="auto"/>
                <w:w w:val="90"/>
              </w:rPr>
              <w:t>Amount</w:t>
            </w:r>
          </w:p>
        </w:tc>
        <w:tc>
          <w:tcPr>
            <w:tcW w:w="1180" w:type="dxa"/>
            <w:vAlign w:val="bottom"/>
          </w:tcPr>
          <w:p>
            <w:pPr>
              <w:jc w:val="center"/>
              <w:ind w:left="92"/>
              <w:spacing w:after="0"/>
              <w:rPr>
                <w:sz w:val="20"/>
                <w:szCs w:val="20"/>
                <w:color w:val="auto"/>
              </w:rPr>
            </w:pPr>
            <w:r>
              <w:rPr>
                <w:rFonts w:ascii="Arial" w:cs="Arial" w:eastAsia="Arial" w:hAnsi="Arial"/>
                <w:sz w:val="14"/>
                <w:szCs w:val="14"/>
                <w:b w:val="1"/>
                <w:bCs w:val="1"/>
                <w:color w:val="auto"/>
                <w:w w:val="92"/>
              </w:rPr>
              <w:t>Quarter Earned</w:t>
            </w:r>
          </w:p>
        </w:tc>
      </w:tr>
      <w:tr>
        <w:trPr>
          <w:trHeight w:val="400"/>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Completion of first in vivo toxicology studies using GLPs</w:t>
            </w:r>
          </w:p>
        </w:tc>
        <w:tc>
          <w:tcPr>
            <w:tcW w:w="3880" w:type="dxa"/>
            <w:vAlign w:val="bottom"/>
            <w:shd w:val="clear" w:color="auto" w:fill="CFF0FC"/>
          </w:tcPr>
          <w:p>
            <w:pPr>
              <w:jc w:val="center"/>
              <w:ind w:left="2892"/>
              <w:spacing w:after="0"/>
              <w:rPr>
                <w:sz w:val="20"/>
                <w:szCs w:val="20"/>
                <w:color w:val="auto"/>
              </w:rPr>
            </w:pPr>
            <w:r>
              <w:rPr>
                <w:rFonts w:ascii="Arial" w:cs="Arial" w:eastAsia="Arial" w:hAnsi="Arial"/>
                <w:sz w:val="14"/>
                <w:szCs w:val="14"/>
                <w:color w:val="auto"/>
                <w:w w:val="92"/>
              </w:rPr>
              <w:t>$0.5M</w:t>
            </w:r>
          </w:p>
        </w:tc>
        <w:tc>
          <w:tcPr>
            <w:tcW w:w="1180" w:type="dxa"/>
            <w:vAlign w:val="bottom"/>
            <w:shd w:val="clear" w:color="auto" w:fill="CFF0FC"/>
          </w:tcPr>
          <w:p>
            <w:pPr>
              <w:jc w:val="center"/>
              <w:ind w:left="112"/>
              <w:spacing w:after="0"/>
              <w:rPr>
                <w:sz w:val="20"/>
                <w:szCs w:val="20"/>
                <w:color w:val="auto"/>
              </w:rPr>
            </w:pPr>
            <w:r>
              <w:rPr>
                <w:rFonts w:ascii="Arial" w:cs="Arial" w:eastAsia="Arial" w:hAnsi="Arial"/>
                <w:sz w:val="14"/>
                <w:szCs w:val="14"/>
                <w:color w:val="auto"/>
                <w:w w:val="86"/>
              </w:rPr>
              <w:t>Q2'16</w:t>
            </w:r>
          </w:p>
        </w:tc>
      </w:tr>
      <w:tr>
        <w:trPr>
          <w:trHeight w:val="180"/>
        </w:trPr>
        <w:tc>
          <w:tcPr>
            <w:tcW w:w="6360" w:type="dxa"/>
            <w:vAlign w:val="bottom"/>
          </w:tcPr>
          <w:p>
            <w:pPr>
              <w:ind w:left="20"/>
              <w:spacing w:after="0"/>
              <w:rPr>
                <w:sz w:val="20"/>
                <w:szCs w:val="20"/>
                <w:color w:val="auto"/>
              </w:rPr>
            </w:pPr>
            <w:r>
              <w:rPr>
                <w:rFonts w:ascii="Arial" w:cs="Arial" w:eastAsia="Arial" w:hAnsi="Arial"/>
                <w:sz w:val="14"/>
                <w:szCs w:val="14"/>
                <w:color w:val="auto"/>
              </w:rPr>
              <w:t>Phase 1 clinical trial initiation</w:t>
            </w:r>
          </w:p>
        </w:tc>
        <w:tc>
          <w:tcPr>
            <w:tcW w:w="3880" w:type="dxa"/>
            <w:vAlign w:val="bottom"/>
          </w:tcPr>
          <w:p>
            <w:pPr>
              <w:jc w:val="center"/>
              <w:ind w:left="2892"/>
              <w:spacing w:after="0"/>
              <w:rPr>
                <w:sz w:val="20"/>
                <w:szCs w:val="20"/>
                <w:color w:val="auto"/>
              </w:rPr>
            </w:pPr>
            <w:r>
              <w:rPr>
                <w:rFonts w:ascii="Arial" w:cs="Arial" w:eastAsia="Arial" w:hAnsi="Arial"/>
                <w:sz w:val="14"/>
                <w:szCs w:val="14"/>
                <w:color w:val="auto"/>
                <w:w w:val="92"/>
              </w:rPr>
              <w:t>$1.0M</w:t>
            </w:r>
          </w:p>
        </w:tc>
        <w:tc>
          <w:tcPr>
            <w:tcW w:w="1180" w:type="dxa"/>
            <w:vAlign w:val="bottom"/>
          </w:tcPr>
          <w:p>
            <w:pPr>
              <w:jc w:val="center"/>
              <w:ind w:left="112"/>
              <w:spacing w:after="0"/>
              <w:rPr>
                <w:sz w:val="20"/>
                <w:szCs w:val="20"/>
                <w:color w:val="auto"/>
              </w:rPr>
            </w:pPr>
            <w:r>
              <w:rPr>
                <w:rFonts w:ascii="Arial" w:cs="Arial" w:eastAsia="Arial" w:hAnsi="Arial"/>
                <w:sz w:val="14"/>
                <w:szCs w:val="14"/>
                <w:color w:val="auto"/>
                <w:w w:val="86"/>
              </w:rPr>
              <w:t>Q4'16</w:t>
            </w:r>
          </w:p>
        </w:tc>
      </w:tr>
    </w:tbl>
    <w:p>
      <w:pPr>
        <w:spacing w:after="0" w:line="2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Revenue from future contingent milestone payments will be recognized when it is more likely than not that the revenue will not be reversed in future periods.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Cash is generally received within 30 days of milestone achievement.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was no revenue recognized under this agreement during the three and six months ended June 30, 2018 and 2017.</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Notes Payable</w:t>
      </w:r>
    </w:p>
    <w:p>
      <w:pPr>
        <w:spacing w:after="0" w:line="114" w:lineRule="exact"/>
        <w:rPr>
          <w:sz w:val="20"/>
          <w:szCs w:val="20"/>
          <w:color w:val="auto"/>
        </w:rPr>
      </w:pPr>
    </w:p>
    <w:p>
      <w:pPr>
        <w:ind w:right="160" w:firstLine="420"/>
        <w:spacing w:after="0" w:line="261" w:lineRule="auto"/>
        <w:rPr>
          <w:sz w:val="20"/>
          <w:szCs w:val="20"/>
          <w:color w:val="auto"/>
        </w:rPr>
      </w:pPr>
      <w:r>
        <w:rPr>
          <w:rFonts w:ascii="Arial" w:cs="Arial" w:eastAsia="Arial" w:hAnsi="Arial"/>
          <w:sz w:val="17"/>
          <w:szCs w:val="17"/>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with a fixed interest rate of 6.97%.</w:t>
      </w:r>
    </w:p>
    <w:p>
      <w:pPr>
        <w:spacing w:after="0" w:line="176" w:lineRule="exact"/>
        <w:rPr>
          <w:sz w:val="20"/>
          <w:szCs w:val="20"/>
          <w:color w:val="auto"/>
        </w:rPr>
      </w:pPr>
    </w:p>
    <w:p>
      <w:pPr>
        <w:ind w:right="40" w:firstLine="420"/>
        <w:spacing w:after="0" w:line="255"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41,208 shares of Series C Preferred Stock at an exercise price of $4.55 per share to the lenders.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83" w:lineRule="exact"/>
        <w:rPr>
          <w:sz w:val="20"/>
          <w:szCs w:val="20"/>
          <w:color w:val="auto"/>
        </w:rPr>
      </w:pPr>
    </w:p>
    <w:p>
      <w:pPr>
        <w:ind w:right="60" w:firstLine="420"/>
        <w:spacing w:after="0" w:line="293" w:lineRule="auto"/>
        <w:rPr>
          <w:sz w:val="20"/>
          <w:szCs w:val="20"/>
          <w:color w:val="auto"/>
        </w:rPr>
      </w:pPr>
      <w:r>
        <w:rPr>
          <w:rFonts w:ascii="Arial" w:cs="Arial" w:eastAsia="Arial" w:hAnsi="Arial"/>
          <w:sz w:val="15"/>
          <w:szCs w:val="15"/>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In December 2016, we further amended the Loan Agreement to (i) allow for the Term B Loans and Term C Loans to be drawn on December 30, 2016, (ii) delay principal repayments of all Term Loans until February 1, 2018 and (iii) amend the interest rate for each Term Loan. The Term B Loans and the Term C Loans were drawn on December 30, 2016, and Term A, B and C Loans are now collectively referred to as the Term Loans. Principal repayments began in February 2018, and as of June 30, 2018, there are 19 monthly principal and interest payments remaining on the Term Loans, with final maturity in January 2020. The Term Loans bear interest equal to the greater of 3-month U.S. LIBOR plus 6.37% or 7.3%. The interest rate was 8.69% as of June 30, 2018.</w:t>
      </w:r>
    </w:p>
    <w:p>
      <w:pPr>
        <w:spacing w:after="0" w:line="154" w:lineRule="exact"/>
        <w:rPr>
          <w:sz w:val="20"/>
          <w:szCs w:val="20"/>
          <w:color w:val="auto"/>
        </w:rPr>
      </w:pPr>
    </w:p>
    <w:p>
      <w:pPr>
        <w:ind w:firstLine="420"/>
        <w:spacing w:after="0" w:line="272" w:lineRule="auto"/>
        <w:rPr>
          <w:sz w:val="20"/>
          <w:szCs w:val="20"/>
          <w:color w:val="auto"/>
        </w:rPr>
      </w:pPr>
      <w:r>
        <w:rPr>
          <w:rFonts w:ascii="Arial" w:cs="Arial" w:eastAsia="Arial" w:hAnsi="Arial"/>
          <w:sz w:val="16"/>
          <w:szCs w:val="16"/>
          <w:color w:val="auto"/>
        </w:rPr>
        <w:t>In connection with the issuance of the Term B &amp; C Loans, we issued detachable, fully vested warrants to purchase an aggregate of 82,416 shares of Series C Preferred Stock at an exercise price of $4.55 per share to the lenders. The grant-date fair value of the warrants of $0.9 million was recorded as a liability, with a reduction to the carrying value of the Term B &amp; C Loans, and which is recognized as additional interest expense over the remaining term of the Loans. The initial fair value of the warrants was determined using the Black-Scholes option pricing model with the following assumptions: a stock price volatility of 79.2%, an expected life equal to the contractual term of the warrants of ten years and a risk-free interest rate of 2.45%. As discussed in Note 1 above, all of the outstanding warrants to purchase shares of preferred stock automatically converted into warrants to purchase shares of common stock in connection with the IPO and were accounted for as equity from the conversion date forward. All warrants related to Term Loans were exercised during the year ended December 31, 2017.</w:t>
      </w:r>
    </w:p>
    <w:p>
      <w:pPr>
        <w:spacing w:after="0" w:line="169" w:lineRule="exact"/>
        <w:rPr>
          <w:sz w:val="20"/>
          <w:szCs w:val="20"/>
          <w:color w:val="auto"/>
        </w:rPr>
      </w:pPr>
    </w:p>
    <w:p>
      <w:pPr>
        <w:jc w:val="both"/>
        <w:ind w:right="120" w:firstLine="420"/>
        <w:spacing w:after="0" w:line="312" w:lineRule="auto"/>
        <w:rPr>
          <w:sz w:val="20"/>
          <w:szCs w:val="20"/>
          <w:color w:val="auto"/>
        </w:rPr>
      </w:pPr>
      <w:r>
        <w:rPr>
          <w:rFonts w:ascii="Arial" w:cs="Arial" w:eastAsia="Arial" w:hAnsi="Arial"/>
          <w:sz w:val="15"/>
          <w:szCs w:val="15"/>
          <w:color w:val="auto"/>
        </w:rPr>
        <w:t>The costs incurred to issue the Term Loans were deferred and are included in the discount to the carrying value of the Term Loans in the accompanying balance sheet. The Term Loans also include a final payment fee of $0.8 million due at the earlier of prepayment or the maturity date of the Term Loans. The deferred costs and the final payment fee are being amortized to interest expense over the expected term of the Term A Loans using the effective interest method.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556" w:right="239" w:bottom="1440" w:gutter="0" w:footer="0" w:header="0"/>
        </w:sectPr>
      </w:pPr>
    </w:p>
    <w:bookmarkStart w:id="12" w:name="page13"/>
    <w:bookmarkEnd w:id="12"/>
    <w:p>
      <w:pPr>
        <w:jc w:val="both"/>
        <w:ind w:right="120" w:firstLine="420"/>
        <w:spacing w:after="0" w:line="285" w:lineRule="auto"/>
        <w:rPr>
          <w:sz w:val="20"/>
          <w:szCs w:val="20"/>
          <w:color w:val="auto"/>
        </w:rPr>
      </w:pPr>
      <w:r>
        <w:rPr>
          <w:rFonts w:ascii="Arial" w:cs="Arial" w:eastAsia="Arial" w:hAnsi="Arial"/>
          <w:sz w:val="16"/>
          <w:szCs w:val="16"/>
          <w:color w:val="auto"/>
        </w:rPr>
        <w:t>As of June 30, 2018, the carrying amount of the Term Loans was $11.6 million, which is net of unamortized discounts of $0.3 million and of which $7.5 million is classified as current liabilities as of June 30, 2018. The effective interest rate on the Term Loans at June 30, 2018 was 13.08%. As of June 30, 2018, future principal maturities of the Term Loans were $3.8 million, $7.5 million and $0.6 million in 2018, 2019 and 2020, respectively.</w:t>
      </w:r>
    </w:p>
    <w:p>
      <w:pPr>
        <w:spacing w:after="0" w:line="159" w:lineRule="exact"/>
        <w:rPr>
          <w:sz w:val="20"/>
          <w:szCs w:val="20"/>
          <w:color w:val="auto"/>
        </w:rPr>
      </w:pPr>
    </w:p>
    <w:p>
      <w:pPr>
        <w:ind w:right="60" w:firstLine="420"/>
        <w:spacing w:after="0" w:line="274" w:lineRule="auto"/>
        <w:rPr>
          <w:sz w:val="20"/>
          <w:szCs w:val="20"/>
          <w:color w:val="auto"/>
        </w:rPr>
      </w:pPr>
      <w:r>
        <w:rPr>
          <w:rFonts w:ascii="Arial" w:cs="Arial" w:eastAsia="Arial" w:hAnsi="Arial"/>
          <w:sz w:val="17"/>
          <w:szCs w:val="17"/>
          <w:color w:val="auto"/>
        </w:rPr>
        <w:t>The Term Loans are secured by a first priority interest in most of our assets, excluding intellectual property. As of June 30, 2018, we were in compliance with the covenants contained in the Loan Agreement.</w:t>
      </w:r>
    </w:p>
    <w:p>
      <w:pPr>
        <w:spacing w:after="0" w:line="262" w:lineRule="exact"/>
        <w:rPr>
          <w:sz w:val="20"/>
          <w:szCs w:val="20"/>
          <w:color w:val="auto"/>
        </w:rPr>
      </w:pPr>
    </w:p>
    <w:p>
      <w:pPr>
        <w:ind w:left="240" w:right="6820" w:hanging="238"/>
        <w:spacing w:after="0" w:line="502" w:lineRule="auto"/>
        <w:tabs>
          <w:tab w:leader="none" w:pos="181"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Available for Sale Investments </w:t>
      </w:r>
      <w:r>
        <w:rPr>
          <w:rFonts w:ascii="Arial" w:cs="Arial" w:eastAsia="Arial" w:hAnsi="Arial"/>
          <w:sz w:val="17"/>
          <w:szCs w:val="17"/>
          <w:b w:val="1"/>
          <w:bCs w:val="1"/>
          <w:i w:val="1"/>
          <w:iCs w:val="1"/>
          <w:color w:val="auto"/>
        </w:rPr>
        <w:t>Fair Value Measurements</w:t>
      </w:r>
    </w:p>
    <w:p>
      <w:pPr>
        <w:jc w:val="both"/>
        <w:ind w:right="340" w:firstLine="458"/>
        <w:spacing w:after="0" w:line="261" w:lineRule="auto"/>
        <w:rPr>
          <w:sz w:val="20"/>
          <w:szCs w:val="20"/>
          <w:color w:val="auto"/>
        </w:rPr>
      </w:pPr>
      <w:r>
        <w:rPr>
          <w:rFonts w:ascii="Arial" w:cs="Arial" w:eastAsia="Arial" w:hAnsi="Arial"/>
          <w:sz w:val="17"/>
          <w:szCs w:val="17"/>
          <w:color w:val="auto"/>
        </w:rPr>
        <w:t>Our financial instruments consist principally of cash, cash equivalents, restricted cash, short-term and long-term investments, receivables, accounts payable, notes payable and, through January 31, 2017, preferred stock warrant liabilities. Certain of our financial assets and liabilities have been recorded at fair value in the consolidated balance sheet in accordance with the accounting standards for fair value measurements.</w:t>
      </w:r>
    </w:p>
    <w:p>
      <w:pPr>
        <w:spacing w:after="0" w:line="75" w:lineRule="exact"/>
        <w:rPr>
          <w:sz w:val="20"/>
          <w:szCs w:val="20"/>
          <w:color w:val="auto"/>
        </w:rPr>
      </w:pPr>
    </w:p>
    <w:p>
      <w:pPr>
        <w:jc w:val="both"/>
        <w:ind w:right="80" w:firstLine="458"/>
        <w:spacing w:after="0" w:line="285"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1 - Observable inputs that reflect quoted prices (unadjusted) for identical assets or liabilities in active markets.</w:t>
      </w:r>
    </w:p>
    <w:p>
      <w:pPr>
        <w:spacing w:after="0" w:line="110" w:lineRule="exact"/>
        <w:rPr>
          <w:sz w:val="20"/>
          <w:szCs w:val="20"/>
          <w:color w:val="auto"/>
        </w:rPr>
      </w:pPr>
    </w:p>
    <w:p>
      <w:pPr>
        <w:ind w:right="60" w:firstLine="458"/>
        <w:spacing w:after="0" w:line="261" w:lineRule="auto"/>
        <w:rPr>
          <w:sz w:val="20"/>
          <w:szCs w:val="20"/>
          <w:color w:val="auto"/>
        </w:rPr>
      </w:pPr>
      <w:r>
        <w:rPr>
          <w:rFonts w:ascii="Arial" w:cs="Arial" w:eastAsia="Arial" w:hAnsi="Arial"/>
          <w:sz w:val="17"/>
          <w:szCs w:val="17"/>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3 - Unobservable inputs that are supported by little or no market activities, therefore requiring an entity to develop its own assumptions.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Assets and Liabilities Measured at Fair Value on a Recurring Basis</w:t>
      </w:r>
    </w:p>
    <w:p>
      <w:pPr>
        <w:spacing w:after="0" w:line="110" w:lineRule="exact"/>
        <w:rPr>
          <w:sz w:val="20"/>
          <w:szCs w:val="20"/>
          <w:color w:val="auto"/>
        </w:rPr>
      </w:pPr>
    </w:p>
    <w:p>
      <w:pPr>
        <w:ind w:right="160" w:firstLine="420"/>
        <w:spacing w:after="0" w:line="274" w:lineRule="auto"/>
        <w:rPr>
          <w:sz w:val="20"/>
          <w:szCs w:val="20"/>
          <w:color w:val="auto"/>
        </w:rPr>
      </w:pPr>
      <w:r>
        <w:rPr>
          <w:rFonts w:ascii="Arial" w:cs="Arial" w:eastAsia="Arial" w:hAnsi="Arial"/>
          <w:sz w:val="17"/>
          <w:szCs w:val="17"/>
          <w:color w:val="auto"/>
        </w:rPr>
        <w:t>The following table summarizes our assets and liabilities that require fair value measurements on a recurring basis and their respective input levels based on the fair value hierarchy: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4"/>
              </w:rPr>
              <w:t>Fair Value Measurements at End of Period Using:</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w w:val="91"/>
              </w:rPr>
              <w:t>Quoted Market</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86"/>
              </w:rPr>
              <w:t>Significant</w:t>
            </w:r>
          </w:p>
        </w:tc>
        <w:tc>
          <w:tcPr>
            <w:tcW w:w="220" w:type="dxa"/>
            <w:vAlign w:val="bottom"/>
          </w:tcPr>
          <w:p>
            <w:pPr>
              <w:spacing w:after="0"/>
              <w:rPr>
                <w:sz w:val="13"/>
                <w:szCs w:val="13"/>
                <w:color w:val="auto"/>
              </w:rPr>
            </w:pPr>
          </w:p>
        </w:tc>
        <w:tc>
          <w:tcPr>
            <w:tcW w:w="1240" w:type="dxa"/>
            <w:vAlign w:val="bottom"/>
          </w:tcPr>
          <w:p>
            <w:pPr>
              <w:jc w:val="center"/>
              <w:ind w:right="120"/>
              <w:spacing w:after="0" w:line="156" w:lineRule="exact"/>
              <w:rPr>
                <w:sz w:val="20"/>
                <w:szCs w:val="20"/>
                <w:color w:val="auto"/>
              </w:rPr>
            </w:pPr>
            <w:r>
              <w:rPr>
                <w:rFonts w:ascii="Arial" w:cs="Arial" w:eastAsia="Arial" w:hAnsi="Arial"/>
                <w:sz w:val="14"/>
                <w:szCs w:val="14"/>
                <w:b w:val="1"/>
                <w:bCs w:val="1"/>
                <w:color w:val="auto"/>
                <w:w w:val="89"/>
              </w:rPr>
              <w:t>Significant</w:t>
            </w:r>
          </w:p>
        </w:tc>
      </w:tr>
      <w:tr>
        <w:trPr>
          <w:trHeight w:val="140"/>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6"/>
              </w:rPr>
              <w:t>Prices for</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90"/>
              </w:rPr>
              <w:t>Other Observable</w:t>
            </w:r>
          </w:p>
        </w:tc>
        <w:tc>
          <w:tcPr>
            <w:tcW w:w="220" w:type="dxa"/>
            <w:vAlign w:val="bottom"/>
          </w:tcPr>
          <w:p>
            <w:pPr>
              <w:spacing w:after="0"/>
              <w:rPr>
                <w:sz w:val="12"/>
                <w:szCs w:val="12"/>
                <w:color w:val="auto"/>
              </w:rPr>
            </w:pPr>
          </w:p>
        </w:tc>
        <w:tc>
          <w:tcPr>
            <w:tcW w:w="1240" w:type="dxa"/>
            <w:vAlign w:val="bottom"/>
          </w:tcPr>
          <w:p>
            <w:pPr>
              <w:jc w:val="center"/>
              <w:ind w:right="120"/>
              <w:spacing w:after="0" w:line="140" w:lineRule="exact"/>
              <w:rPr>
                <w:sz w:val="20"/>
                <w:szCs w:val="20"/>
                <w:color w:val="auto"/>
              </w:rPr>
            </w:pPr>
            <w:r>
              <w:rPr>
                <w:rFonts w:ascii="Arial" w:cs="Arial" w:eastAsia="Arial" w:hAnsi="Arial"/>
                <w:sz w:val="14"/>
                <w:szCs w:val="14"/>
                <w:b w:val="1"/>
                <w:bCs w:val="1"/>
                <w:color w:val="auto"/>
                <w:w w:val="86"/>
              </w:rPr>
              <w:t>Unobservable</w:t>
            </w:r>
          </w:p>
        </w:tc>
      </w:tr>
      <w:tr>
        <w:trPr>
          <w:trHeight w:val="140"/>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140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w w:val="84"/>
              </w:rPr>
              <w:t>Identical Assets</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240" w:type="dxa"/>
            <w:vAlign w:val="bottom"/>
          </w:tcPr>
          <w:p>
            <w:pPr>
              <w:jc w:val="center"/>
              <w:ind w:right="120"/>
              <w:spacing w:after="0" w:line="140" w:lineRule="exact"/>
              <w:rPr>
                <w:sz w:val="20"/>
                <w:szCs w:val="20"/>
                <w:color w:val="auto"/>
              </w:rPr>
            </w:pPr>
            <w:r>
              <w:rPr>
                <w:rFonts w:ascii="Arial" w:cs="Arial" w:eastAsia="Arial" w:hAnsi="Arial"/>
                <w:sz w:val="14"/>
                <w:szCs w:val="14"/>
                <w:b w:val="1"/>
                <w:bCs w:val="1"/>
                <w:color w:val="auto"/>
                <w:w w:val="85"/>
              </w:rPr>
              <w:t>Inputs</w:t>
            </w:r>
          </w:p>
        </w:tc>
      </w:tr>
      <w:tr>
        <w:trPr>
          <w:trHeight w:val="180"/>
        </w:trPr>
        <w:tc>
          <w:tcPr>
            <w:tcW w:w="51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(Level 1)</w:t>
            </w:r>
          </w:p>
        </w:tc>
        <w:tc>
          <w:tcPr>
            <w:tcW w:w="18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(Level 2)</w:t>
            </w:r>
          </w:p>
        </w:tc>
        <w:tc>
          <w:tcPr>
            <w:tcW w:w="220" w:type="dxa"/>
            <w:vAlign w:val="bottom"/>
          </w:tcPr>
          <w:p>
            <w:pPr>
              <w:spacing w:after="0"/>
              <w:rPr>
                <w:sz w:val="15"/>
                <w:szCs w:val="15"/>
                <w:color w:val="auto"/>
              </w:rPr>
            </w:pPr>
          </w:p>
        </w:tc>
        <w:tc>
          <w:tcPr>
            <w:tcW w:w="124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(Level 3)</w:t>
            </w:r>
          </w:p>
        </w:tc>
      </w:tr>
      <w:tr>
        <w:trPr>
          <w:trHeight w:val="233"/>
        </w:trPr>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1220" w:type="dxa"/>
            <w:vAlign w:val="bottom"/>
            <w:tcBorders>
              <w:top w:val="single" w:sz="8" w:color="CFF0FC"/>
              <w:bottom w:val="single" w:sz="8" w:color="auto"/>
            </w:tcBorders>
            <w:shd w:val="clear" w:color="auto" w:fill="CFF0FC"/>
          </w:tcPr>
          <w:p>
            <w:pPr>
              <w:spacing w:after="0" w:line="176" w:lineRule="exact"/>
              <w:rPr>
                <w:sz w:val="20"/>
                <w:szCs w:val="20"/>
                <w:color w:val="auto"/>
              </w:rPr>
            </w:pPr>
            <w:r>
              <w:rPr>
                <w:rFonts w:ascii="Arial" w:cs="Arial" w:eastAsia="Arial" w:hAnsi="Arial"/>
                <w:sz w:val="17"/>
                <w:szCs w:val="17"/>
                <w:b w:val="1"/>
                <w:bCs w:val="1"/>
                <w:color w:val="auto"/>
                <w:w w:val="90"/>
              </w:rPr>
              <w:t>At June 30, 2018</w:t>
            </w:r>
          </w:p>
        </w:tc>
        <w:tc>
          <w:tcPr>
            <w:tcW w:w="392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280" w:type="dxa"/>
            <w:vAlign w:val="bottom"/>
            <w:tcBorders>
              <w:top w:val="single" w:sz="8" w:color="auto"/>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CFF0FC"/>
            </w:tcBorders>
            <w:shd w:val="clear" w:color="auto" w:fill="CFF0FC"/>
          </w:tcPr>
          <w:p>
            <w:pPr>
              <w:spacing w:after="0"/>
              <w:rPr>
                <w:sz w:val="20"/>
                <w:szCs w:val="20"/>
                <w:color w:val="auto"/>
              </w:rPr>
            </w:pPr>
          </w:p>
        </w:tc>
      </w:tr>
      <w:tr>
        <w:trPr>
          <w:trHeight w:val="267"/>
        </w:trPr>
        <w:tc>
          <w:tcPr>
            <w:tcW w:w="5160" w:type="dxa"/>
            <w:vAlign w:val="bottom"/>
            <w:gridSpan w:val="4"/>
          </w:tcPr>
          <w:p>
            <w:pPr>
              <w:ind w:left="20"/>
              <w:spacing w:after="0"/>
              <w:rPr>
                <w:sz w:val="20"/>
                <w:szCs w:val="20"/>
                <w:color w:val="auto"/>
              </w:rPr>
            </w:pPr>
            <w:r>
              <w:rPr>
                <w:rFonts w:ascii="Arial" w:cs="Arial" w:eastAsia="Arial" w:hAnsi="Arial"/>
                <w:sz w:val="17"/>
                <w:szCs w:val="17"/>
                <w:color w:val="auto"/>
              </w:rPr>
              <w:t>Money market funds</w:t>
            </w:r>
            <w:r>
              <w:rPr>
                <w:rFonts w:ascii="Arial" w:cs="Arial" w:eastAsia="Arial" w:hAnsi="Arial"/>
                <w:sz w:val="23"/>
                <w:szCs w:val="23"/>
                <w:color w:val="auto"/>
                <w:vertAlign w:val="superscript"/>
              </w:rPr>
              <w:t>(1)</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46,756</w:t>
            </w:r>
          </w:p>
        </w:tc>
        <w:tc>
          <w:tcPr>
            <w:tcW w:w="100" w:type="dxa"/>
            <w:vAlign w:val="bottom"/>
          </w:tcPr>
          <w:p>
            <w:pPr>
              <w:spacing w:after="0"/>
              <w:rPr>
                <w:sz w:val="23"/>
                <w:szCs w:val="23"/>
                <w:color w:val="auto"/>
              </w:rPr>
            </w:pPr>
          </w:p>
        </w:tc>
        <w:tc>
          <w:tcPr>
            <w:tcW w:w="22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40"/>
              <w:spacing w:after="0"/>
              <w:rPr>
                <w:sz w:val="20"/>
                <w:szCs w:val="20"/>
                <w:color w:val="auto"/>
              </w:rPr>
            </w:pPr>
            <w:r>
              <w:rPr>
                <w:rFonts w:ascii="Arial" w:cs="Arial" w:eastAsia="Arial" w:hAnsi="Arial"/>
                <w:sz w:val="17"/>
                <w:szCs w:val="17"/>
                <w:color w:val="auto"/>
              </w:rPr>
              <w:t>46,756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r>
      <w:tr>
        <w:trPr>
          <w:trHeight w:val="267"/>
        </w:trPr>
        <w:tc>
          <w:tcPr>
            <w:tcW w:w="5160" w:type="dxa"/>
            <w:vAlign w:val="bottom"/>
            <w:gridSpan w:val="4"/>
            <w:shd w:val="clear" w:color="auto" w:fill="CFF0FC"/>
          </w:tcPr>
          <w:p>
            <w:pPr>
              <w:ind w:left="20"/>
              <w:spacing w:after="0"/>
              <w:rPr>
                <w:sz w:val="20"/>
                <w:szCs w:val="20"/>
                <w:color w:val="auto"/>
              </w:rPr>
            </w:pPr>
            <w:r>
              <w:rPr>
                <w:rFonts w:ascii="Arial" w:cs="Arial" w:eastAsia="Arial" w:hAnsi="Arial"/>
                <w:sz w:val="17"/>
                <w:szCs w:val="17"/>
                <w:color w:val="auto"/>
              </w:rPr>
              <w:t>Mutual funds</w:t>
            </w:r>
            <w:r>
              <w:rPr>
                <w:rFonts w:ascii="Arial" w:cs="Arial" w:eastAsia="Arial" w:hAnsi="Arial"/>
                <w:sz w:val="23"/>
                <w:szCs w:val="23"/>
                <w:color w:val="auto"/>
                <w:vertAlign w:val="superscript"/>
              </w:rPr>
              <w:t>(1)</w:t>
            </w:r>
          </w:p>
        </w:tc>
        <w:tc>
          <w:tcPr>
            <w:tcW w:w="28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5,078</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5,078</w:t>
            </w: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3"/>
                <w:szCs w:val="23"/>
                <w:color w:val="auto"/>
              </w:rPr>
            </w:pPr>
          </w:p>
        </w:tc>
        <w:tc>
          <w:tcPr>
            <w:tcW w:w="1240" w:type="dxa"/>
            <w:vAlign w:val="bottom"/>
            <w:shd w:val="clear" w:color="auto" w:fill="CFF0FC"/>
          </w:tcPr>
          <w:p>
            <w:pPr>
              <w:ind w:left="980"/>
              <w:spacing w:after="0"/>
              <w:rPr>
                <w:sz w:val="20"/>
                <w:szCs w:val="20"/>
                <w:color w:val="auto"/>
              </w:rPr>
            </w:pPr>
            <w:r>
              <w:rPr>
                <w:rFonts w:ascii="Arial" w:cs="Arial" w:eastAsia="Arial" w:hAnsi="Arial"/>
                <w:sz w:val="17"/>
                <w:szCs w:val="17"/>
                <w:color w:val="auto"/>
              </w:rPr>
              <w:t>—</w:t>
            </w:r>
          </w:p>
        </w:tc>
      </w:tr>
      <w:tr>
        <w:trPr>
          <w:trHeight w:val="267"/>
        </w:trPr>
        <w:tc>
          <w:tcPr>
            <w:tcW w:w="5160" w:type="dxa"/>
            <w:vAlign w:val="bottom"/>
            <w:gridSpan w:val="4"/>
          </w:tcPr>
          <w:p>
            <w:pPr>
              <w:ind w:left="20"/>
              <w:spacing w:after="0"/>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(2)</w:t>
            </w:r>
          </w:p>
        </w:tc>
        <w:tc>
          <w:tcPr>
            <w:tcW w:w="280" w:type="dxa"/>
            <w:vAlign w:val="bottom"/>
          </w:tcPr>
          <w:p>
            <w:pPr>
              <w:spacing w:after="0"/>
              <w:rPr>
                <w:sz w:val="23"/>
                <w:szCs w:val="23"/>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100,188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17"/>
                <w:szCs w:val="17"/>
                <w:color w:val="auto"/>
              </w:rPr>
              <w:t>100,188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r>
      <w:tr>
        <w:trPr>
          <w:trHeight w:val="267"/>
        </w:trPr>
        <w:tc>
          <w:tcPr>
            <w:tcW w:w="5160" w:type="dxa"/>
            <w:vAlign w:val="bottom"/>
            <w:gridSpan w:val="4"/>
            <w:shd w:val="clear" w:color="auto" w:fill="CFF0FC"/>
          </w:tcPr>
          <w:p>
            <w:pPr>
              <w:ind w:left="20"/>
              <w:spacing w:after="0"/>
              <w:rPr>
                <w:sz w:val="20"/>
                <w:szCs w:val="20"/>
                <w:color w:val="auto"/>
              </w:rPr>
            </w:pPr>
            <w:r>
              <w:rPr>
                <w:rFonts w:ascii="Arial" w:cs="Arial" w:eastAsia="Arial" w:hAnsi="Arial"/>
                <w:sz w:val="17"/>
                <w:szCs w:val="17"/>
                <w:color w:val="auto"/>
              </w:rPr>
              <w:t>Agency securities</w:t>
            </w:r>
            <w:r>
              <w:rPr>
                <w:rFonts w:ascii="Arial" w:cs="Arial" w:eastAsia="Arial" w:hAnsi="Arial"/>
                <w:sz w:val="23"/>
                <w:szCs w:val="23"/>
                <w:color w:val="auto"/>
                <w:vertAlign w:val="superscript"/>
              </w:rPr>
              <w:t>(2)</w:t>
            </w:r>
          </w:p>
        </w:tc>
        <w:tc>
          <w:tcPr>
            <w:tcW w:w="28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57,659</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23"/>
                <w:szCs w:val="23"/>
                <w:color w:val="auto"/>
              </w:rPr>
            </w:pPr>
          </w:p>
        </w:tc>
        <w:tc>
          <w:tcPr>
            <w:tcW w:w="130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57,659</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40" w:type="dxa"/>
            <w:vAlign w:val="bottom"/>
            <w:shd w:val="clear" w:color="auto" w:fill="CFF0FC"/>
          </w:tcPr>
          <w:p>
            <w:pPr>
              <w:ind w:left="980"/>
              <w:spacing w:after="0"/>
              <w:rPr>
                <w:sz w:val="20"/>
                <w:szCs w:val="20"/>
                <w:color w:val="auto"/>
              </w:rPr>
            </w:pPr>
            <w:r>
              <w:rPr>
                <w:rFonts w:ascii="Arial" w:cs="Arial" w:eastAsia="Arial" w:hAnsi="Arial"/>
                <w:sz w:val="17"/>
                <w:szCs w:val="17"/>
                <w:color w:val="auto"/>
              </w:rPr>
              <w:t>—</w:t>
            </w:r>
          </w:p>
        </w:tc>
      </w:tr>
      <w:tr>
        <w:trPr>
          <w:trHeight w:val="267"/>
        </w:trPr>
        <w:tc>
          <w:tcPr>
            <w:tcW w:w="5160" w:type="dxa"/>
            <w:vAlign w:val="bottom"/>
            <w:gridSpan w:val="4"/>
          </w:tcPr>
          <w:p>
            <w:pPr>
              <w:ind w:left="20"/>
              <w:spacing w:after="0"/>
              <w:rPr>
                <w:sz w:val="20"/>
                <w:szCs w:val="20"/>
                <w:color w:val="auto"/>
              </w:rPr>
            </w:pPr>
            <w:r>
              <w:rPr>
                <w:rFonts w:ascii="Arial" w:cs="Arial" w:eastAsia="Arial" w:hAnsi="Arial"/>
                <w:sz w:val="17"/>
                <w:szCs w:val="17"/>
                <w:color w:val="auto"/>
              </w:rPr>
              <w:t>Commercial and corporate obligations</w:t>
            </w:r>
            <w:r>
              <w:rPr>
                <w:rFonts w:ascii="Arial" w:cs="Arial" w:eastAsia="Arial" w:hAnsi="Arial"/>
                <w:sz w:val="23"/>
                <w:szCs w:val="23"/>
                <w:color w:val="auto"/>
                <w:vertAlign w:val="superscript"/>
              </w:rPr>
              <w:t>(1)(2)</w:t>
            </w:r>
          </w:p>
        </w:tc>
        <w:tc>
          <w:tcPr>
            <w:tcW w:w="280" w:type="dxa"/>
            <w:vAlign w:val="bottom"/>
          </w:tcPr>
          <w:p>
            <w:pPr>
              <w:spacing w:after="0"/>
              <w:rPr>
                <w:sz w:val="23"/>
                <w:szCs w:val="23"/>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88,229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88,229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r>
      <w:tr>
        <w:trPr>
          <w:trHeight w:val="234"/>
        </w:trPr>
        <w:tc>
          <w:tcPr>
            <w:tcW w:w="2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gridSpan w:val="2"/>
            <w:shd w:val="clear" w:color="auto" w:fill="CFF0FC"/>
          </w:tcPr>
          <w:p>
            <w:pPr>
              <w:spacing w:after="0" w:line="191" w:lineRule="exact"/>
              <w:rPr>
                <w:sz w:val="20"/>
                <w:szCs w:val="20"/>
                <w:color w:val="auto"/>
              </w:rPr>
            </w:pPr>
            <w:r>
              <w:rPr>
                <w:rFonts w:ascii="Arial" w:cs="Arial" w:eastAsia="Arial" w:hAnsi="Arial"/>
                <w:sz w:val="17"/>
                <w:szCs w:val="17"/>
                <w:b w:val="1"/>
                <w:bCs w:val="1"/>
                <w:color w:val="auto"/>
                <w:w w:val="89"/>
              </w:rPr>
              <w:t>At December 31, 2017</w:t>
            </w:r>
          </w:p>
        </w:tc>
        <w:tc>
          <w:tcPr>
            <w:tcW w:w="35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r>
      <w:tr>
        <w:trPr>
          <w:trHeight w:val="267"/>
        </w:trPr>
        <w:tc>
          <w:tcPr>
            <w:tcW w:w="5160" w:type="dxa"/>
            <w:vAlign w:val="bottom"/>
            <w:gridSpan w:val="4"/>
          </w:tcPr>
          <w:p>
            <w:pPr>
              <w:ind w:left="20"/>
              <w:spacing w:after="0"/>
              <w:rPr>
                <w:sz w:val="20"/>
                <w:szCs w:val="20"/>
                <w:color w:val="auto"/>
              </w:rPr>
            </w:pPr>
            <w:r>
              <w:rPr>
                <w:rFonts w:ascii="Arial" w:cs="Arial" w:eastAsia="Arial" w:hAnsi="Arial"/>
                <w:sz w:val="17"/>
                <w:szCs w:val="17"/>
                <w:color w:val="auto"/>
              </w:rPr>
              <w:t>Money market funds</w:t>
            </w:r>
            <w:r>
              <w:rPr>
                <w:rFonts w:ascii="Arial" w:cs="Arial" w:eastAsia="Arial" w:hAnsi="Arial"/>
                <w:sz w:val="23"/>
                <w:szCs w:val="23"/>
                <w:color w:val="auto"/>
                <w:vertAlign w:val="superscript"/>
              </w:rPr>
              <w:t>(1)</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41,318</w:t>
            </w:r>
          </w:p>
        </w:tc>
        <w:tc>
          <w:tcPr>
            <w:tcW w:w="100" w:type="dxa"/>
            <w:vAlign w:val="bottom"/>
          </w:tcPr>
          <w:p>
            <w:pPr>
              <w:spacing w:after="0"/>
              <w:rPr>
                <w:sz w:val="23"/>
                <w:szCs w:val="23"/>
                <w:color w:val="auto"/>
              </w:rPr>
            </w:pPr>
          </w:p>
        </w:tc>
        <w:tc>
          <w:tcPr>
            <w:tcW w:w="22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40"/>
              <w:spacing w:after="0"/>
              <w:rPr>
                <w:sz w:val="20"/>
                <w:szCs w:val="20"/>
                <w:color w:val="auto"/>
              </w:rPr>
            </w:pPr>
            <w:r>
              <w:rPr>
                <w:rFonts w:ascii="Arial" w:cs="Arial" w:eastAsia="Arial" w:hAnsi="Arial"/>
                <w:sz w:val="17"/>
                <w:szCs w:val="17"/>
                <w:color w:val="auto"/>
              </w:rPr>
              <w:t>41,318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r>
      <w:tr>
        <w:trPr>
          <w:trHeight w:val="267"/>
        </w:trPr>
        <w:tc>
          <w:tcPr>
            <w:tcW w:w="5160" w:type="dxa"/>
            <w:vAlign w:val="bottom"/>
            <w:gridSpan w:val="4"/>
            <w:shd w:val="clear" w:color="auto" w:fill="CFF0FC"/>
          </w:tcPr>
          <w:p>
            <w:pPr>
              <w:ind w:left="20"/>
              <w:spacing w:after="0"/>
              <w:rPr>
                <w:sz w:val="20"/>
                <w:szCs w:val="20"/>
                <w:color w:val="auto"/>
              </w:rPr>
            </w:pPr>
            <w:r>
              <w:rPr>
                <w:rFonts w:ascii="Arial" w:cs="Arial" w:eastAsia="Arial" w:hAnsi="Arial"/>
                <w:sz w:val="17"/>
                <w:szCs w:val="17"/>
                <w:color w:val="auto"/>
              </w:rPr>
              <w:t>Mutual funds</w:t>
            </w:r>
            <w:r>
              <w:rPr>
                <w:rFonts w:ascii="Arial" w:cs="Arial" w:eastAsia="Arial" w:hAnsi="Arial"/>
                <w:sz w:val="23"/>
                <w:szCs w:val="23"/>
                <w:color w:val="auto"/>
                <w:vertAlign w:val="superscript"/>
              </w:rPr>
              <w:t>(1)</w:t>
            </w:r>
          </w:p>
        </w:tc>
        <w:tc>
          <w:tcPr>
            <w:tcW w:w="28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28,817</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300" w:type="dxa"/>
            <w:vAlign w:val="bottom"/>
            <w:shd w:val="clear" w:color="auto" w:fill="CFF0FC"/>
          </w:tcPr>
          <w:p>
            <w:pPr>
              <w:jc w:val="right"/>
              <w:ind w:right="40"/>
              <w:spacing w:after="0"/>
              <w:rPr>
                <w:sz w:val="20"/>
                <w:szCs w:val="20"/>
                <w:color w:val="auto"/>
              </w:rPr>
            </w:pPr>
            <w:r>
              <w:rPr>
                <w:rFonts w:ascii="Arial" w:cs="Arial" w:eastAsia="Arial" w:hAnsi="Arial"/>
                <w:sz w:val="17"/>
                <w:szCs w:val="17"/>
                <w:color w:val="auto"/>
              </w:rPr>
              <w:t>28,817</w:t>
            </w: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3"/>
                <w:szCs w:val="23"/>
                <w:color w:val="auto"/>
              </w:rPr>
            </w:pPr>
          </w:p>
        </w:tc>
        <w:tc>
          <w:tcPr>
            <w:tcW w:w="1240" w:type="dxa"/>
            <w:vAlign w:val="bottom"/>
            <w:shd w:val="clear" w:color="auto" w:fill="CFF0FC"/>
          </w:tcPr>
          <w:p>
            <w:pPr>
              <w:ind w:left="980"/>
              <w:spacing w:after="0"/>
              <w:rPr>
                <w:sz w:val="20"/>
                <w:szCs w:val="20"/>
                <w:color w:val="auto"/>
              </w:rPr>
            </w:pPr>
            <w:r>
              <w:rPr>
                <w:rFonts w:ascii="Arial" w:cs="Arial" w:eastAsia="Arial" w:hAnsi="Arial"/>
                <w:sz w:val="17"/>
                <w:szCs w:val="17"/>
                <w:color w:val="auto"/>
              </w:rPr>
              <w:t>—</w:t>
            </w:r>
          </w:p>
        </w:tc>
      </w:tr>
      <w:tr>
        <w:trPr>
          <w:trHeight w:val="267"/>
        </w:trPr>
        <w:tc>
          <w:tcPr>
            <w:tcW w:w="5160" w:type="dxa"/>
            <w:vAlign w:val="bottom"/>
            <w:gridSpan w:val="4"/>
          </w:tcPr>
          <w:p>
            <w:pPr>
              <w:ind w:left="20"/>
              <w:spacing w:after="0"/>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(2)</w:t>
            </w:r>
          </w:p>
        </w:tc>
        <w:tc>
          <w:tcPr>
            <w:tcW w:w="280" w:type="dxa"/>
            <w:vAlign w:val="bottom"/>
          </w:tcPr>
          <w:p>
            <w:pPr>
              <w:spacing w:after="0"/>
              <w:rPr>
                <w:sz w:val="23"/>
                <w:szCs w:val="23"/>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79,397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17"/>
                <w:szCs w:val="17"/>
                <w:color w:val="auto"/>
              </w:rPr>
              <w:t>79,397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r>
      <w:tr>
        <w:trPr>
          <w:trHeight w:val="254"/>
        </w:trPr>
        <w:tc>
          <w:tcPr>
            <w:tcW w:w="20" w:type="dxa"/>
            <w:vAlign w:val="bottom"/>
            <w:shd w:val="clear" w:color="auto" w:fill="CFF0FC"/>
          </w:tcPr>
          <w:p>
            <w:pPr>
              <w:spacing w:after="0"/>
              <w:rPr>
                <w:sz w:val="22"/>
                <w:szCs w:val="22"/>
                <w:color w:val="auto"/>
              </w:rPr>
            </w:pPr>
          </w:p>
        </w:tc>
        <w:tc>
          <w:tcPr>
            <w:tcW w:w="5140" w:type="dxa"/>
            <w:vAlign w:val="bottom"/>
            <w:gridSpan w:val="3"/>
            <w:shd w:val="clear" w:color="auto" w:fill="CFF0FC"/>
          </w:tcPr>
          <w:p>
            <w:pPr>
              <w:ind w:left="20"/>
              <w:spacing w:after="0" w:line="254" w:lineRule="exact"/>
              <w:rPr>
                <w:sz w:val="20"/>
                <w:szCs w:val="20"/>
                <w:color w:val="auto"/>
              </w:rPr>
            </w:pPr>
            <w:r>
              <w:rPr>
                <w:rFonts w:ascii="Arial" w:cs="Arial" w:eastAsia="Arial" w:hAnsi="Arial"/>
                <w:sz w:val="17"/>
                <w:szCs w:val="17"/>
                <w:color w:val="auto"/>
              </w:rPr>
              <w:t>Agency securities</w:t>
            </w:r>
            <w:r>
              <w:rPr>
                <w:rFonts w:ascii="Arial" w:cs="Arial" w:eastAsia="Arial" w:hAnsi="Arial"/>
                <w:sz w:val="23"/>
                <w:szCs w:val="23"/>
                <w:color w:val="auto"/>
                <w:vertAlign w:val="superscript"/>
              </w:rPr>
              <w:t>(2)</w:t>
            </w: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59,948</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59,948</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ind w:left="980"/>
              <w:spacing w:after="0"/>
              <w:rPr>
                <w:sz w:val="20"/>
                <w:szCs w:val="20"/>
                <w:color w:val="auto"/>
              </w:rPr>
            </w:pPr>
            <w:r>
              <w:rPr>
                <w:rFonts w:ascii="Arial" w:cs="Arial" w:eastAsia="Arial" w:hAnsi="Arial"/>
                <w:sz w:val="17"/>
                <w:szCs w:val="17"/>
                <w:color w:val="auto"/>
              </w:rPr>
              <w:t>—</w:t>
            </w:r>
          </w:p>
        </w:tc>
      </w:tr>
      <w:tr>
        <w:trPr>
          <w:trHeight w:val="333"/>
        </w:trPr>
        <w:tc>
          <w:tcPr>
            <w:tcW w:w="5160" w:type="dxa"/>
            <w:vAlign w:val="bottom"/>
            <w:gridSpan w:val="4"/>
          </w:tcPr>
          <w:p>
            <w:pPr>
              <w:ind w:left="20"/>
              <w:spacing w:after="0"/>
              <w:rPr>
                <w:sz w:val="20"/>
                <w:szCs w:val="20"/>
                <w:color w:val="auto"/>
              </w:rPr>
            </w:pPr>
            <w:r>
              <w:rPr>
                <w:rFonts w:ascii="Arial" w:cs="Arial" w:eastAsia="Arial" w:hAnsi="Arial"/>
                <w:sz w:val="17"/>
                <w:szCs w:val="17"/>
                <w:color w:val="auto"/>
              </w:rPr>
              <w:t>Commercial and corporate obligations</w:t>
            </w:r>
            <w:r>
              <w:rPr>
                <w:rFonts w:ascii="Arial" w:cs="Arial" w:eastAsia="Arial" w:hAnsi="Arial"/>
                <w:sz w:val="23"/>
                <w:szCs w:val="23"/>
                <w:color w:val="auto"/>
                <w:vertAlign w:val="superscript"/>
              </w:rPr>
              <w:t>(2)</w:t>
            </w:r>
          </w:p>
        </w:tc>
        <w:tc>
          <w:tcPr>
            <w:tcW w:w="280" w:type="dxa"/>
            <w:vAlign w:val="bottom"/>
          </w:tcPr>
          <w:p>
            <w:pPr>
              <w:spacing w:after="0"/>
              <w:rPr>
                <w:sz w:val="24"/>
                <w:szCs w:val="24"/>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111,660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111,660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r>
      <w:tr>
        <w:trPr>
          <w:trHeight w:val="57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8"/>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560" w:right="239" w:bottom="1440" w:gutter="0" w:footer="0" w:header="0"/>
        </w:sectPr>
      </w:pPr>
    </w:p>
    <w:bookmarkStart w:id="13" w:name="page14"/>
    <w:bookmarkEnd w:id="13"/>
    <w:p>
      <w:pPr>
        <w:ind w:left="420" w:hanging="418"/>
        <w:spacing w:after="0"/>
        <w:tabs>
          <w:tab w:leader="none" w:pos="42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Included in cash and cash equivalents, and restricted cash in the accompanying consolidated balance sheets.</w:t>
      </w:r>
    </w:p>
    <w:p>
      <w:pPr>
        <w:spacing w:after="0" w:line="27" w:lineRule="exact"/>
        <w:rPr>
          <w:rFonts w:ascii="Arial" w:cs="Arial" w:eastAsia="Arial" w:hAnsi="Arial"/>
          <w:sz w:val="24"/>
          <w:szCs w:val="24"/>
          <w:color w:val="auto"/>
          <w:vertAlign w:val="superscript"/>
        </w:rPr>
      </w:pPr>
    </w:p>
    <w:p>
      <w:pPr>
        <w:ind w:left="420" w:hanging="418"/>
        <w:spacing w:after="0" w:line="182" w:lineRule="auto"/>
        <w:tabs>
          <w:tab w:leader="none" w:pos="420"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color w:val="auto"/>
        </w:rPr>
        <w:t>Included in short-term or long-term investments in the accompanying consolidated balance sheets depending on the respective maturity date.</w:t>
      </w:r>
    </w:p>
    <w:p>
      <w:pPr>
        <w:spacing w:after="0" w:line="192" w:lineRule="exact"/>
        <w:rPr>
          <w:rFonts w:ascii="Arial" w:cs="Arial" w:eastAsia="Arial" w:hAnsi="Arial"/>
          <w:sz w:val="23"/>
          <w:szCs w:val="23"/>
          <w:color w:val="auto"/>
          <w:vertAlign w:val="superscript"/>
        </w:rPr>
      </w:pPr>
    </w:p>
    <w:p>
      <w:pPr>
        <w:ind w:left="420"/>
        <w:spacing w:after="0"/>
        <w:rPr>
          <w:rFonts w:ascii="Arial" w:cs="Arial" w:eastAsia="Arial" w:hAnsi="Arial"/>
          <w:sz w:val="23"/>
          <w:szCs w:val="23"/>
          <w:color w:val="auto"/>
          <w:vertAlign w:val="superscript"/>
        </w:rPr>
      </w:pPr>
      <w:r>
        <w:rPr>
          <w:rFonts w:ascii="Arial" w:cs="Arial" w:eastAsia="Arial" w:hAnsi="Arial"/>
          <w:sz w:val="16"/>
          <w:szCs w:val="16"/>
          <w:color w:val="auto"/>
        </w:rPr>
        <w:t>The following methods and assumptions were used to estimate the fair value of our financial instruments for which it is practicable to estimate that value:</w:t>
      </w:r>
    </w:p>
    <w:p>
      <w:pPr>
        <w:spacing w:after="0" w:line="223" w:lineRule="exact"/>
        <w:rPr>
          <w:sz w:val="20"/>
          <w:szCs w:val="20"/>
          <w:color w:val="auto"/>
        </w:rPr>
      </w:pPr>
    </w:p>
    <w:p>
      <w:pPr>
        <w:ind w:right="260" w:firstLine="420"/>
        <w:spacing w:after="0" w:line="261"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For fair values determined by Level 1 inputs, which utilize quoted prices in active markets for identical assets, the level of judgment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5"/>
          <w:szCs w:val="15"/>
          <w:i w:val="1"/>
          <w:iCs w:val="1"/>
          <w:color w:val="auto"/>
        </w:rPr>
        <w:t xml:space="preserve">Warrant Liabilities. </w:t>
      </w:r>
      <w:r>
        <w:rPr>
          <w:rFonts w:ascii="Arial" w:cs="Arial" w:eastAsia="Arial" w:hAnsi="Arial"/>
          <w:sz w:val="15"/>
          <w:szCs w:val="15"/>
          <w:color w:val="auto"/>
        </w:rPr>
        <w:t>Our preferred stock warrants were accounted for as derivative liabilities and measured at fair value on a recurring basis through January 31,</w:t>
      </w:r>
    </w:p>
    <w:p>
      <w:pPr>
        <w:spacing w:after="0" w:line="43" w:lineRule="exact"/>
        <w:rPr>
          <w:sz w:val="20"/>
          <w:szCs w:val="20"/>
          <w:color w:val="auto"/>
        </w:rPr>
      </w:pPr>
    </w:p>
    <w:p>
      <w:pPr>
        <w:ind w:right="440"/>
        <w:spacing w:after="0" w:line="259" w:lineRule="auto"/>
        <w:rPr>
          <w:sz w:val="20"/>
          <w:szCs w:val="20"/>
          <w:color w:val="auto"/>
        </w:rPr>
      </w:pPr>
      <w:r>
        <w:rPr>
          <w:rFonts w:ascii="Arial" w:cs="Arial" w:eastAsia="Arial" w:hAnsi="Arial"/>
          <w:sz w:val="17"/>
          <w:szCs w:val="17"/>
          <w:color w:val="auto"/>
        </w:rPr>
        <w:t>2017 as they contained features that were either not afforded equity classification or embodied risks that were not clearly and closely related to host contracts. We estimated the fair value of these derivatives utilizing the Black-Scholes option-pricing model, which required Level 3 inputs.</w:t>
      </w:r>
    </w:p>
    <w:p>
      <w:pPr>
        <w:spacing w:after="0" w:line="177" w:lineRule="exact"/>
        <w:rPr>
          <w:sz w:val="20"/>
          <w:szCs w:val="20"/>
          <w:color w:val="auto"/>
        </w:rPr>
      </w:pPr>
    </w:p>
    <w:p>
      <w:pPr>
        <w:ind w:right="160" w:firstLine="458"/>
        <w:spacing w:after="0" w:line="312" w:lineRule="auto"/>
        <w:rPr>
          <w:sz w:val="20"/>
          <w:szCs w:val="20"/>
          <w:color w:val="auto"/>
        </w:rPr>
      </w:pPr>
      <w:r>
        <w:rPr>
          <w:rFonts w:ascii="Arial" w:cs="Arial" w:eastAsia="Arial" w:hAnsi="Arial"/>
          <w:sz w:val="15"/>
          <w:szCs w:val="15"/>
          <w:color w:val="auto"/>
        </w:rPr>
        <w:t>As discussed in Note 1 above, all of the outstanding warrants to purchase shares of preferred stock automatically converted into warrants to purchase shares of common stock in connection with the IPO and are accounted for as equity from the conversion date forward. Prior to the conversion, we estimated the fair value of convertible preferred stock warrants at the time of issuance and upon subsequent remeasurement using the Black-Scholes option-pricing model at each reporting date.</w:t>
      </w:r>
    </w:p>
    <w:p>
      <w:pPr>
        <w:spacing w:after="0" w:line="142" w:lineRule="exact"/>
        <w:rPr>
          <w:sz w:val="20"/>
          <w:szCs w:val="20"/>
          <w:color w:val="auto"/>
        </w:rPr>
      </w:pPr>
    </w:p>
    <w:p>
      <w:pPr>
        <w:jc w:val="both"/>
        <w:ind w:right="260" w:firstLine="420"/>
        <w:spacing w:after="0" w:line="261" w:lineRule="auto"/>
        <w:rPr>
          <w:sz w:val="20"/>
          <w:szCs w:val="20"/>
          <w:color w:val="auto"/>
        </w:rPr>
      </w:pPr>
      <w:r>
        <w:rPr>
          <w:rFonts w:ascii="Arial" w:cs="Arial" w:eastAsia="Arial" w:hAnsi="Arial"/>
          <w:sz w:val="17"/>
          <w:szCs w:val="17"/>
          <w:color w:val="auto"/>
        </w:rPr>
        <w:t>Estimating fair values of derivative financial instruments, including Level 3 instruments, requires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76" w:lineRule="exact"/>
        <w:rPr>
          <w:sz w:val="20"/>
          <w:szCs w:val="20"/>
          <w:color w:val="auto"/>
        </w:rPr>
      </w:pPr>
    </w:p>
    <w:p>
      <w:pPr>
        <w:ind w:right="40" w:firstLine="458"/>
        <w:spacing w:after="0" w:line="274" w:lineRule="auto"/>
        <w:rPr>
          <w:sz w:val="20"/>
          <w:szCs w:val="20"/>
          <w:color w:val="auto"/>
        </w:rPr>
      </w:pPr>
      <w:r>
        <w:rPr>
          <w:rFonts w:ascii="Arial" w:cs="Arial" w:eastAsia="Arial" w:hAnsi="Arial"/>
          <w:sz w:val="17"/>
          <w:szCs w:val="17"/>
          <w:color w:val="auto"/>
        </w:rPr>
        <w:t>The following weighted-average assumptions were utilized in estimating the value of the liabilities for Series C preferred stock warrants using the Black-Scholes option-pricing model as of January 31, 2017, the conversion date: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ind w:right="399"/>
              <w:spacing w:after="0"/>
              <w:rPr>
                <w:sz w:val="20"/>
                <w:szCs w:val="20"/>
                <w:color w:val="auto"/>
              </w:rPr>
            </w:pPr>
            <w:r>
              <w:rPr>
                <w:rFonts w:ascii="Arial" w:cs="Arial" w:eastAsia="Arial" w:hAnsi="Arial"/>
                <w:sz w:val="14"/>
                <w:szCs w:val="14"/>
                <w:b w:val="1"/>
                <w:bCs w:val="1"/>
                <w:color w:val="auto"/>
              </w:rPr>
              <w:t>January 31,</w:t>
            </w:r>
          </w:p>
        </w:tc>
      </w:tr>
      <w:tr>
        <w:trPr>
          <w:trHeight w:val="180"/>
        </w:trPr>
        <w:tc>
          <w:tcPr>
            <w:tcW w:w="97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2017</w:t>
            </w:r>
          </w:p>
        </w:tc>
      </w:tr>
      <w:tr>
        <w:trPr>
          <w:trHeight w:val="233"/>
        </w:trPr>
        <w:tc>
          <w:tcPr>
            <w:tcW w:w="9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Fair value of preferred stock</w:t>
            </w:r>
          </w:p>
        </w:tc>
        <w:tc>
          <w:tcPr>
            <w:tcW w:w="30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7"/>
                <w:szCs w:val="17"/>
                <w:color w:val="auto"/>
              </w:rPr>
              <w:t>16.95</w:t>
            </w:r>
          </w:p>
        </w:tc>
      </w:tr>
      <w:tr>
        <w:trPr>
          <w:trHeight w:val="228"/>
        </w:trPr>
        <w:tc>
          <w:tcPr>
            <w:tcW w:w="9780" w:type="dxa"/>
            <w:vAlign w:val="bottom"/>
          </w:tcPr>
          <w:p>
            <w:pPr>
              <w:ind w:left="20"/>
              <w:spacing w:after="0"/>
              <w:rPr>
                <w:sz w:val="20"/>
                <w:szCs w:val="20"/>
                <w:color w:val="auto"/>
              </w:rPr>
            </w:pPr>
            <w:r>
              <w:rPr>
                <w:rFonts w:ascii="Arial" w:cs="Arial" w:eastAsia="Arial" w:hAnsi="Arial"/>
                <w:sz w:val="17"/>
                <w:szCs w:val="17"/>
                <w:color w:val="auto"/>
              </w:rPr>
              <w:t>Exercise price</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99"/>
              <w:spacing w:after="0"/>
              <w:rPr>
                <w:sz w:val="20"/>
                <w:szCs w:val="20"/>
                <w:color w:val="auto"/>
              </w:rPr>
            </w:pPr>
            <w:r>
              <w:rPr>
                <w:rFonts w:ascii="Arial" w:cs="Arial" w:eastAsia="Arial" w:hAnsi="Arial"/>
                <w:sz w:val="17"/>
                <w:szCs w:val="17"/>
                <w:color w:val="auto"/>
              </w:rPr>
              <w:t>4.55</w:t>
            </w:r>
          </w:p>
        </w:tc>
      </w:tr>
      <w:tr>
        <w:trPr>
          <w:trHeight w:val="26"/>
        </w:trPr>
        <w:tc>
          <w:tcPr>
            <w:tcW w:w="9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4"/>
        </w:trPr>
        <w:tc>
          <w:tcPr>
            <w:tcW w:w="9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Risk-free interest rate</w:t>
            </w:r>
          </w:p>
        </w:tc>
        <w:tc>
          <w:tcPr>
            <w:tcW w:w="3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w:t>
            </w:r>
          </w:p>
        </w:tc>
      </w:tr>
      <w:tr>
        <w:trPr>
          <w:trHeight w:val="228"/>
        </w:trPr>
        <w:tc>
          <w:tcPr>
            <w:tcW w:w="9780" w:type="dxa"/>
            <w:vAlign w:val="bottom"/>
          </w:tcPr>
          <w:p>
            <w:pPr>
              <w:ind w:left="20"/>
              <w:spacing w:after="0"/>
              <w:rPr>
                <w:sz w:val="20"/>
                <w:szCs w:val="20"/>
                <w:color w:val="auto"/>
              </w:rPr>
            </w:pPr>
            <w:r>
              <w:rPr>
                <w:rFonts w:ascii="Arial" w:cs="Arial" w:eastAsia="Arial" w:hAnsi="Arial"/>
                <w:sz w:val="17"/>
                <w:szCs w:val="17"/>
                <w:color w:val="auto"/>
              </w:rPr>
              <w:t>Volatility</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88.8%</w:t>
            </w:r>
          </w:p>
        </w:tc>
      </w:tr>
      <w:tr>
        <w:trPr>
          <w:trHeight w:val="26"/>
        </w:trPr>
        <w:tc>
          <w:tcPr>
            <w:tcW w:w="9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4"/>
        </w:trPr>
        <w:tc>
          <w:tcPr>
            <w:tcW w:w="9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Dividend Yield</w:t>
            </w:r>
          </w:p>
        </w:tc>
        <w:tc>
          <w:tcPr>
            <w:tcW w:w="3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28"/>
        </w:trPr>
        <w:tc>
          <w:tcPr>
            <w:tcW w:w="9780" w:type="dxa"/>
            <w:vAlign w:val="bottom"/>
          </w:tcPr>
          <w:p>
            <w:pPr>
              <w:ind w:left="20"/>
              <w:spacing w:after="0"/>
              <w:rPr>
                <w:sz w:val="20"/>
                <w:szCs w:val="20"/>
                <w:color w:val="auto"/>
              </w:rPr>
            </w:pPr>
            <w:r>
              <w:rPr>
                <w:rFonts w:ascii="Arial" w:cs="Arial" w:eastAsia="Arial" w:hAnsi="Arial"/>
                <w:sz w:val="17"/>
                <w:szCs w:val="17"/>
                <w:color w:val="auto"/>
              </w:rPr>
              <w:t>Contractual term (in years)</w:t>
            </w:r>
          </w:p>
        </w:tc>
        <w:tc>
          <w:tcPr>
            <w:tcW w:w="300" w:type="dxa"/>
            <w:vAlign w:val="bottom"/>
          </w:tcPr>
          <w:p>
            <w:pPr>
              <w:spacing w:after="0"/>
              <w:rPr>
                <w:sz w:val="19"/>
                <w:szCs w:val="19"/>
                <w:color w:val="auto"/>
              </w:rPr>
            </w:pPr>
          </w:p>
        </w:tc>
        <w:tc>
          <w:tcPr>
            <w:tcW w:w="1340" w:type="dxa"/>
            <w:vAlign w:val="bottom"/>
          </w:tcPr>
          <w:p>
            <w:pPr>
              <w:jc w:val="right"/>
              <w:ind w:right="99"/>
              <w:spacing w:after="0"/>
              <w:rPr>
                <w:sz w:val="20"/>
                <w:szCs w:val="20"/>
                <w:color w:val="auto"/>
              </w:rPr>
            </w:pPr>
            <w:r>
              <w:rPr>
                <w:rFonts w:ascii="Arial" w:cs="Arial" w:eastAsia="Arial" w:hAnsi="Arial"/>
                <w:sz w:val="17"/>
                <w:szCs w:val="17"/>
                <w:color w:val="auto"/>
              </w:rPr>
              <w:t>3.8</w:t>
            </w:r>
          </w:p>
        </w:tc>
      </w:tr>
      <w:tr>
        <w:trPr>
          <w:trHeight w:val="26"/>
        </w:trPr>
        <w:tc>
          <w:tcPr>
            <w:tcW w:w="9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8"/>
        </w:trPr>
        <w:tc>
          <w:tcPr>
            <w:tcW w:w="9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Weighted-average measurement date fair value per share</w:t>
            </w: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ind w:right="99"/>
              <w:spacing w:after="0"/>
              <w:rPr>
                <w:sz w:val="20"/>
                <w:szCs w:val="20"/>
                <w:color w:val="auto"/>
              </w:rPr>
            </w:pPr>
            <w:r>
              <w:rPr>
                <w:rFonts w:ascii="Arial" w:cs="Arial" w:eastAsia="Arial" w:hAnsi="Arial"/>
                <w:sz w:val="17"/>
                <w:szCs w:val="17"/>
                <w:color w:val="auto"/>
              </w:rPr>
              <w:t>13.71</w:t>
            </w:r>
          </w:p>
        </w:tc>
      </w:tr>
      <w:tr>
        <w:trPr>
          <w:trHeight w:val="26"/>
        </w:trPr>
        <w:tc>
          <w:tcPr>
            <w:tcW w:w="97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summarizes the activity in liabilities measured at fair value on a recurring basis using significant unobservable inputs (Level 3 Inputs):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82"/>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84"/>
        </w:trPr>
        <w:tc>
          <w:tcPr>
            <w:tcW w:w="440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4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33"/>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Preferred Stock Warrant Liabilities:</w:t>
            </w:r>
          </w:p>
        </w:tc>
        <w:tc>
          <w:tcPr>
            <w:tcW w:w="54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56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(3,241)</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gains (losses) included in other expense</w:t>
            </w:r>
          </w:p>
        </w:tc>
        <w:tc>
          <w:tcPr>
            <w:tcW w:w="54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(1,366)</w:t>
            </w:r>
          </w:p>
        </w:tc>
        <w:tc>
          <w:tcPr>
            <w:tcW w:w="0" w:type="dxa"/>
            <w:vAlign w:val="bottom"/>
          </w:tcPr>
          <w:p>
            <w:pPr>
              <w:spacing w:after="0"/>
              <w:rPr>
                <w:sz w:val="1"/>
                <w:szCs w:val="1"/>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7"/>
                <w:szCs w:val="17"/>
                <w:color w:val="auto"/>
              </w:rPr>
              <w:t>Reclassification of warrant liabilities to equity</w:t>
            </w:r>
          </w:p>
        </w:tc>
        <w:tc>
          <w:tcPr>
            <w:tcW w:w="5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Arial" w:cs="Arial" w:eastAsia="Arial" w:hAnsi="Arial"/>
                <w:sz w:val="17"/>
                <w:szCs w:val="17"/>
                <w:color w:val="auto"/>
              </w:rPr>
              <w:t>4,607</w:t>
            </w:r>
          </w:p>
        </w:tc>
        <w:tc>
          <w:tcPr>
            <w:tcW w:w="0" w:type="dxa"/>
            <w:vAlign w:val="bottom"/>
          </w:tcPr>
          <w:p>
            <w:pPr>
              <w:spacing w:after="0"/>
              <w:rPr>
                <w:sz w:val="1"/>
                <w:szCs w:val="1"/>
                <w:color w:val="auto"/>
              </w:rPr>
            </w:pPr>
          </w:p>
        </w:tc>
      </w:tr>
      <w:tr>
        <w:trPr>
          <w:trHeight w:val="26"/>
        </w:trPr>
        <w:tc>
          <w:tcPr>
            <w:tcW w:w="4400" w:type="dxa"/>
            <w:vAlign w:val="bottom"/>
            <w:tcBorders>
              <w:bottom w:val="single" w:sz="8" w:color="CFF0FC"/>
            </w:tcBorders>
          </w:tcPr>
          <w:p>
            <w:pPr>
              <w:spacing w:after="0"/>
              <w:rPr>
                <w:sz w:val="2"/>
                <w:szCs w:val="2"/>
                <w:color w:val="auto"/>
              </w:rPr>
            </w:pPr>
          </w:p>
        </w:tc>
        <w:tc>
          <w:tcPr>
            <w:tcW w:w="544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Ending balance</w:t>
            </w:r>
          </w:p>
        </w:tc>
        <w:tc>
          <w:tcPr>
            <w:tcW w:w="5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5440" w:type="dxa"/>
            <w:vAlign w:val="bottom"/>
            <w:tcBorders>
              <w:top w:val="single" w:sz="8" w:color="CFF0FC"/>
              <w:bottom w:val="single" w:sz="8" w:color="CFF0FC"/>
            </w:tcBorders>
            <w:vMerge w:val="restart"/>
          </w:tcPr>
          <w:p>
            <w:pPr>
              <w:jc w:val="right"/>
              <w:ind w:right="3955"/>
              <w:spacing w:after="0"/>
              <w:rPr>
                <w:sz w:val="20"/>
                <w:szCs w:val="20"/>
                <w:color w:val="auto"/>
              </w:rPr>
            </w:pPr>
            <w:r>
              <w:rPr>
                <w:rFonts w:ascii="Arial" w:cs="Arial" w:eastAsia="Arial" w:hAnsi="Arial"/>
                <w:sz w:val="17"/>
                <w:szCs w:val="17"/>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40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1" w:right="239" w:bottom="1440" w:gutter="0" w:footer="0" w:header="0"/>
        </w:sectPr>
      </w:pPr>
    </w:p>
    <w:bookmarkStart w:id="14" w:name="page15"/>
    <w:bookmarkEnd w:id="14"/>
    <w:p>
      <w:pPr>
        <w:ind w:left="380"/>
        <w:spacing w:after="0"/>
        <w:rPr>
          <w:sz w:val="20"/>
          <w:szCs w:val="20"/>
          <w:color w:val="auto"/>
        </w:rPr>
      </w:pPr>
      <w:r>
        <w:rPr>
          <w:rFonts w:ascii="Arial" w:cs="Arial" w:eastAsia="Arial" w:hAnsi="Arial"/>
          <w:sz w:val="17"/>
          <w:szCs w:val="17"/>
          <w:b w:val="1"/>
          <w:bCs w:val="1"/>
          <w:i w:val="1"/>
          <w:iCs w:val="1"/>
          <w:color w:val="auto"/>
        </w:rPr>
        <w:t>Fair Value of Other Financial Instruments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 of our other financial instruments estimated as of June 30, 2018 and December 31, 2017 are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rPr>
              <w:t>June 30, 2018</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5"/>
                <w:szCs w:val="15"/>
                <w:color w:val="auto"/>
              </w:rPr>
            </w:pPr>
          </w:p>
        </w:tc>
      </w:tr>
      <w:tr>
        <w:trPr>
          <w:trHeight w:val="156"/>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w w:val="93"/>
              </w:rPr>
              <w:t>Carrying</w:t>
            </w:r>
          </w:p>
        </w:tc>
        <w:tc>
          <w:tcPr>
            <w:tcW w:w="480" w:type="dxa"/>
            <w:vAlign w:val="bottom"/>
          </w:tcPr>
          <w:p>
            <w:pPr>
              <w:spacing w:after="0"/>
              <w:rPr>
                <w:sz w:val="13"/>
                <w:szCs w:val="13"/>
                <w:color w:val="auto"/>
              </w:rPr>
            </w:pPr>
          </w:p>
        </w:tc>
        <w:tc>
          <w:tcPr>
            <w:tcW w:w="1140" w:type="dxa"/>
            <w:vAlign w:val="bottom"/>
            <w:gridSpan w:val="2"/>
          </w:tcPr>
          <w:p>
            <w:pPr>
              <w:jc w:val="center"/>
              <w:ind w:right="560"/>
              <w:spacing w:after="0" w:line="156"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Pr>
          <w:p>
            <w:pPr>
              <w:spacing w:after="0"/>
              <w:rPr>
                <w:sz w:val="13"/>
                <w:szCs w:val="13"/>
                <w:color w:val="auto"/>
              </w:rPr>
            </w:pPr>
          </w:p>
        </w:tc>
        <w:tc>
          <w:tcPr>
            <w:tcW w:w="920" w:type="dxa"/>
            <w:vAlign w:val="bottom"/>
          </w:tcPr>
          <w:p>
            <w:pPr>
              <w:jc w:val="center"/>
              <w:ind w:right="447"/>
              <w:spacing w:after="0" w:line="156" w:lineRule="exact"/>
              <w:rPr>
                <w:sz w:val="20"/>
                <w:szCs w:val="20"/>
                <w:color w:val="auto"/>
              </w:rPr>
            </w:pPr>
            <w:r>
              <w:rPr>
                <w:rFonts w:ascii="Arial" w:cs="Arial" w:eastAsia="Arial" w:hAnsi="Arial"/>
                <w:sz w:val="14"/>
                <w:szCs w:val="14"/>
                <w:b w:val="1"/>
                <w:bCs w:val="1"/>
                <w:color w:val="auto"/>
                <w:w w:val="93"/>
              </w:rPr>
              <w:t>Fair</w:t>
            </w:r>
          </w:p>
        </w:tc>
      </w:tr>
      <w:tr>
        <w:trPr>
          <w:trHeight w:val="180"/>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Amount</w:t>
            </w:r>
          </w:p>
        </w:tc>
        <w:tc>
          <w:tcPr>
            <w:tcW w:w="480" w:type="dxa"/>
            <w:vAlign w:val="bottom"/>
          </w:tcPr>
          <w:p>
            <w:pPr>
              <w:spacing w:after="0"/>
              <w:rPr>
                <w:sz w:val="15"/>
                <w:szCs w:val="15"/>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Amount</w:t>
            </w:r>
          </w:p>
        </w:tc>
        <w:tc>
          <w:tcPr>
            <w:tcW w:w="540" w:type="dxa"/>
            <w:vAlign w:val="bottom"/>
          </w:tcPr>
          <w:p>
            <w:pPr>
              <w:spacing w:after="0"/>
              <w:rPr>
                <w:sz w:val="15"/>
                <w:szCs w:val="15"/>
                <w:color w:val="auto"/>
              </w:rPr>
            </w:pPr>
          </w:p>
        </w:tc>
        <w:tc>
          <w:tcPr>
            <w:tcW w:w="920" w:type="dxa"/>
            <w:vAlign w:val="bottom"/>
          </w:tcPr>
          <w:p>
            <w:pPr>
              <w:jc w:val="center"/>
              <w:ind w:right="447"/>
              <w:spacing w:after="0"/>
              <w:rPr>
                <w:sz w:val="20"/>
                <w:szCs w:val="20"/>
                <w:color w:val="auto"/>
              </w:rPr>
            </w:pPr>
            <w:r>
              <w:rPr>
                <w:rFonts w:ascii="Arial" w:cs="Arial" w:eastAsia="Arial" w:hAnsi="Arial"/>
                <w:sz w:val="14"/>
                <w:szCs w:val="14"/>
                <w:b w:val="1"/>
                <w:bCs w:val="1"/>
                <w:color w:val="auto"/>
                <w:w w:val="85"/>
              </w:rPr>
              <w:t>Value</w:t>
            </w:r>
          </w:p>
        </w:tc>
      </w:tr>
      <w:tr>
        <w:trPr>
          <w:trHeight w:val="226"/>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Notes payable</w:t>
            </w:r>
          </w:p>
        </w:tc>
        <w:tc>
          <w:tcPr>
            <w:tcW w:w="300" w:type="dxa"/>
            <w:vAlign w:val="bottom"/>
            <w:tcBorders>
              <w:top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7"/>
                <w:szCs w:val="17"/>
                <w:color w:val="auto"/>
              </w:rPr>
              <w:t>11,620</w:t>
            </w: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7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7"/>
                <w:szCs w:val="17"/>
                <w:color w:val="auto"/>
              </w:rPr>
              <w:t>12,625</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7"/>
                <w:szCs w:val="17"/>
                <w:color w:val="auto"/>
              </w:rPr>
              <w:t>14,428</w:t>
            </w: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35"/>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7"/>
                <w:szCs w:val="17"/>
                <w:color w:val="auto"/>
              </w:rPr>
              <w:t>15,650</w:t>
            </w:r>
          </w:p>
        </w:tc>
      </w:tr>
      <w:tr>
        <w:trPr>
          <w:trHeight w:val="26"/>
        </w:trPr>
        <w:tc>
          <w:tcPr>
            <w:tcW w:w="51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r>
    </w:tbl>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methods and assumptions were used to estimate the fair value of our notes payable:</w:t>
      </w:r>
    </w:p>
    <w:p>
      <w:pPr>
        <w:spacing w:after="0" w:line="212" w:lineRule="exact"/>
        <w:rPr>
          <w:sz w:val="20"/>
          <w:szCs w:val="20"/>
          <w:color w:val="auto"/>
        </w:rPr>
      </w:pPr>
    </w:p>
    <w:p>
      <w:pPr>
        <w:jc w:val="both"/>
        <w:ind w:right="40" w:firstLine="420"/>
        <w:spacing w:after="0" w:line="257" w:lineRule="auto"/>
        <w:rPr>
          <w:sz w:val="20"/>
          <w:szCs w:val="20"/>
          <w:color w:val="auto"/>
        </w:rPr>
      </w:pPr>
      <w:r>
        <w:rPr>
          <w:rFonts w:ascii="Arial" w:cs="Arial" w:eastAsia="Arial" w:hAnsi="Arial"/>
          <w:sz w:val="17"/>
          <w:szCs w:val="17"/>
          <w:i w:val="1"/>
          <w:iCs w:val="1"/>
          <w:color w:val="auto"/>
        </w:rPr>
        <w:t>Notes Payable</w:t>
      </w:r>
      <w:r>
        <w:rPr>
          <w:rFonts w:ascii="Arial" w:cs="Arial" w:eastAsia="Arial" w:hAnsi="Arial"/>
          <w:sz w:val="17"/>
          <w:szCs w:val="17"/>
          <w:color w:val="auto"/>
        </w:rPr>
        <w:t>—We use the income approach to value the aforementioned debt instrument. We use a present value calculation to discount principal and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180" w:lineRule="exact"/>
        <w:rPr>
          <w:sz w:val="20"/>
          <w:szCs w:val="20"/>
          <w:color w:val="auto"/>
        </w:rPr>
      </w:pPr>
    </w:p>
    <w:p>
      <w:pPr>
        <w:ind w:right="280" w:firstLine="497"/>
        <w:spacing w:after="0" w:line="274" w:lineRule="auto"/>
        <w:rPr>
          <w:sz w:val="20"/>
          <w:szCs w:val="20"/>
          <w:color w:val="auto"/>
        </w:rPr>
      </w:pPr>
      <w:r>
        <w:rPr>
          <w:rFonts w:ascii="Arial" w:cs="Arial" w:eastAsia="Arial" w:hAnsi="Arial"/>
          <w:sz w:val="17"/>
          <w:szCs w:val="17"/>
          <w:color w:val="auto"/>
        </w:rPr>
        <w:t>The carrying amounts of certain of our financial instruments, including cash and cash equivalents, Australian tax incentive receivable, accounts payable, and accrued expenses approximate fair value due to their short-term nature.</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Available for Sale Investments</w:t>
      </w:r>
    </w:p>
    <w:p>
      <w:pPr>
        <w:spacing w:after="0" w:line="110" w:lineRule="exact"/>
        <w:rPr>
          <w:sz w:val="20"/>
          <w:szCs w:val="20"/>
          <w:color w:val="auto"/>
        </w:rPr>
      </w:pPr>
    </w:p>
    <w:p>
      <w:pPr>
        <w:ind w:right="20" w:firstLine="433"/>
        <w:spacing w:after="0" w:line="257" w:lineRule="auto"/>
        <w:rPr>
          <w:sz w:val="20"/>
          <w:szCs w:val="20"/>
          <w:color w:val="auto"/>
        </w:rPr>
      </w:pPr>
      <w:r>
        <w:rPr>
          <w:rFonts w:ascii="Arial" w:cs="Arial" w:eastAsia="Arial" w:hAnsi="Arial"/>
          <w:sz w:val="17"/>
          <w:szCs w:val="17"/>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June 30, 2018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4"/>
                <w:szCs w:val="14"/>
                <w:color w:val="auto"/>
              </w:rPr>
            </w:pP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180" w:type="dxa"/>
            <w:vAlign w:val="bottom"/>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180"/>
        </w:trPr>
        <w:tc>
          <w:tcPr>
            <w:tcW w:w="516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3"/>
              </w:rPr>
              <w:t>Unrealized Gains</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87"/>
              </w:rPr>
              <w:t>Unrealized Losses</w:t>
            </w:r>
          </w:p>
        </w:tc>
        <w:tc>
          <w:tcPr>
            <w:tcW w:w="10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Fair Value</w:t>
            </w:r>
          </w:p>
        </w:tc>
      </w:tr>
      <w:tr>
        <w:trPr>
          <w:trHeight w:val="253"/>
        </w:trPr>
        <w:tc>
          <w:tcPr>
            <w:tcW w:w="5160" w:type="dxa"/>
            <w:vAlign w:val="bottom"/>
            <w:shd w:val="clear" w:color="auto" w:fill="CFF0FC"/>
          </w:tcPr>
          <w:p>
            <w:pPr>
              <w:ind w:left="20"/>
              <w:spacing w:after="0" w:line="253" w:lineRule="exact"/>
              <w:rPr>
                <w:sz w:val="20"/>
                <w:szCs w:val="20"/>
                <w:color w:val="auto"/>
              </w:rPr>
            </w:pPr>
            <w:r>
              <w:rPr>
                <w:rFonts w:ascii="Arial" w:cs="Arial" w:eastAsia="Arial" w:hAnsi="Arial"/>
                <w:sz w:val="17"/>
                <w:szCs w:val="17"/>
                <w:color w:val="auto"/>
              </w:rPr>
              <w:t>Agency securities</w:t>
            </w:r>
            <w:r>
              <w:rPr>
                <w:rFonts w:ascii="Arial" w:cs="Arial" w:eastAsia="Arial" w:hAnsi="Arial"/>
                <w:sz w:val="23"/>
                <w:szCs w:val="23"/>
                <w:color w:val="auto"/>
                <w:vertAlign w:val="superscript"/>
              </w:rPr>
              <w:t>(1)</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57,902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57,658</w:t>
            </w:r>
          </w:p>
        </w:tc>
      </w:tr>
      <w:tr>
        <w:trPr>
          <w:trHeight w:val="254"/>
        </w:trPr>
        <w:tc>
          <w:tcPr>
            <w:tcW w:w="5160" w:type="dxa"/>
            <w:vAlign w:val="bottom"/>
          </w:tcPr>
          <w:p>
            <w:pPr>
              <w:ind w:left="20"/>
              <w:spacing w:after="0" w:line="254" w:lineRule="exact"/>
              <w:rPr>
                <w:sz w:val="20"/>
                <w:szCs w:val="20"/>
                <w:color w:val="auto"/>
              </w:rPr>
            </w:pPr>
            <w:r>
              <w:rPr>
                <w:rFonts w:ascii="Arial" w:cs="Arial" w:eastAsia="Arial" w:hAnsi="Arial"/>
                <w:sz w:val="17"/>
                <w:szCs w:val="17"/>
                <w:color w:val="auto"/>
              </w:rPr>
              <w:t>Commercial and corporate obligations</w:t>
            </w:r>
            <w:r>
              <w:rPr>
                <w:rFonts w:ascii="Arial" w:cs="Arial" w:eastAsia="Arial" w:hAnsi="Arial"/>
                <w:sz w:val="23"/>
                <w:szCs w:val="23"/>
                <w:color w:val="auto"/>
                <w:vertAlign w:val="superscript"/>
              </w:rPr>
              <w:t>(2)</w:t>
            </w:r>
          </w:p>
        </w:tc>
        <w:tc>
          <w:tcPr>
            <w:tcW w:w="280" w:type="dxa"/>
            <w:vAlign w:val="bottom"/>
          </w:tcPr>
          <w:p>
            <w:pPr>
              <w:spacing w:after="0"/>
              <w:rPr>
                <w:sz w:val="22"/>
                <w:szCs w:val="22"/>
                <w:color w:val="auto"/>
              </w:rPr>
            </w:pPr>
          </w:p>
        </w:tc>
        <w:tc>
          <w:tcPr>
            <w:tcW w:w="1220" w:type="dxa"/>
            <w:vAlign w:val="bottom"/>
          </w:tcPr>
          <w:p>
            <w:pPr>
              <w:jc w:val="right"/>
              <w:ind w:right="41"/>
              <w:spacing w:after="0"/>
              <w:rPr>
                <w:sz w:val="20"/>
                <w:szCs w:val="20"/>
                <w:color w:val="auto"/>
              </w:rPr>
            </w:pPr>
            <w:r>
              <w:rPr>
                <w:rFonts w:ascii="Arial" w:cs="Arial" w:eastAsia="Arial" w:hAnsi="Arial"/>
                <w:sz w:val="17"/>
                <w:szCs w:val="17"/>
                <w:color w:val="auto"/>
              </w:rPr>
              <w:t>88,488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Arial" w:cs="Arial" w:eastAsia="Arial" w:hAnsi="Arial"/>
                <w:sz w:val="17"/>
                <w:szCs w:val="17"/>
                <w:color w:val="auto"/>
              </w:rPr>
              <w:t>88,229</w:t>
            </w:r>
          </w:p>
        </w:tc>
      </w:tr>
      <w:tr>
        <w:trPr>
          <w:trHeight w:val="254"/>
        </w:trPr>
        <w:tc>
          <w:tcPr>
            <w:tcW w:w="5160" w:type="dxa"/>
            <w:vAlign w:val="bottom"/>
            <w:shd w:val="clear" w:color="auto" w:fill="CFF0FC"/>
          </w:tcPr>
          <w:p>
            <w:pPr>
              <w:ind w:left="20"/>
              <w:spacing w:after="0" w:line="254"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(3)</w:t>
            </w:r>
          </w:p>
        </w:tc>
        <w:tc>
          <w:tcPr>
            <w:tcW w:w="2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7"/>
                <w:szCs w:val="17"/>
                <w:color w:val="auto"/>
              </w:rPr>
              <w:t>100,362</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7"/>
                <w:szCs w:val="17"/>
                <w:color w:val="auto"/>
              </w:rPr>
              <w:t>100,188</w:t>
            </w:r>
          </w:p>
        </w:tc>
      </w:tr>
      <w:tr>
        <w:trPr>
          <w:trHeight w:val="221"/>
        </w:trPr>
        <w:tc>
          <w:tcPr>
            <w:tcW w:w="5160" w:type="dxa"/>
            <w:vAlign w:val="bottom"/>
          </w:tcPr>
          <w:p>
            <w:pPr>
              <w:ind w:left="240"/>
              <w:spacing w:after="0"/>
              <w:rPr>
                <w:sz w:val="20"/>
                <w:szCs w:val="20"/>
                <w:color w:val="auto"/>
              </w:rPr>
            </w:pPr>
            <w:r>
              <w:rPr>
                <w:rFonts w:ascii="Arial" w:cs="Arial" w:eastAsia="Arial" w:hAnsi="Arial"/>
                <w:sz w:val="17"/>
                <w:szCs w:val="17"/>
                <w:color w:val="auto"/>
              </w:rPr>
              <w:t>Total available-for-sale investments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41"/>
              <w:spacing w:after="0"/>
              <w:rPr>
                <w:sz w:val="20"/>
                <w:szCs w:val="20"/>
                <w:color w:val="auto"/>
              </w:rPr>
            </w:pPr>
            <w:r>
              <w:rPr>
                <w:rFonts w:ascii="Arial" w:cs="Arial" w:eastAsia="Arial" w:hAnsi="Arial"/>
                <w:sz w:val="17"/>
                <w:szCs w:val="17"/>
                <w:color w:val="auto"/>
              </w:rPr>
              <w:t>246,752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41"/>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(679)</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1"/>
              <w:spacing w:after="0"/>
              <w:rPr>
                <w:sz w:val="20"/>
                <w:szCs w:val="20"/>
                <w:color w:val="auto"/>
              </w:rPr>
            </w:pPr>
            <w:r>
              <w:rPr>
                <w:rFonts w:ascii="Arial" w:cs="Arial" w:eastAsia="Arial" w:hAnsi="Arial"/>
                <w:sz w:val="17"/>
                <w:szCs w:val="17"/>
                <w:color w:val="auto"/>
              </w:rPr>
              <w:t>246,075</w:t>
            </w:r>
          </w:p>
        </w:tc>
      </w:tr>
      <w:tr>
        <w:trPr>
          <w:trHeight w:val="26"/>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6261735</wp:posOffset>
            </wp:positionH>
            <wp:positionV relativeFrom="paragraph">
              <wp:posOffset>-685800</wp:posOffset>
            </wp:positionV>
            <wp:extent cx="647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770" cy="825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-685800</wp:posOffset>
            </wp:positionV>
            <wp:extent cx="723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90" cy="8255"/>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-685800</wp:posOffset>
            </wp:positionV>
            <wp:extent cx="723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90" cy="8255"/>
                    </a:xfrm>
                    <a:prstGeom prst="rect">
                      <a:avLst/>
                    </a:prstGeom>
                    <a:noFill/>
                  </pic:spPr>
                </pic:pic>
              </a:graphicData>
            </a:graphic>
          </wp:anchor>
        </w:drawing>
      </w:r>
    </w:p>
    <w:p>
      <w:pPr>
        <w:spacing w:after="0" w:line="69" w:lineRule="exact"/>
        <w:rPr>
          <w:sz w:val="20"/>
          <w:szCs w:val="20"/>
          <w:color w:val="auto"/>
        </w:rPr>
      </w:pPr>
    </w:p>
    <w:p>
      <w:pPr>
        <w:ind w:left="420" w:right="100" w:hanging="418"/>
        <w:spacing w:after="0" w:line="213" w:lineRule="auto"/>
        <w:tabs>
          <w:tab w:leader="none" w:pos="42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Of our outstanding agency securities, $43.8 million have maturity dates of less than one year and $13.9 million have a maturity date of between one to two years as of June 30, 2018.</w:t>
      </w:r>
    </w:p>
    <w:p>
      <w:pPr>
        <w:spacing w:after="0" w:line="14" w:lineRule="exact"/>
        <w:rPr>
          <w:rFonts w:ascii="Arial" w:cs="Arial" w:eastAsia="Arial" w:hAnsi="Arial"/>
          <w:sz w:val="24"/>
          <w:szCs w:val="24"/>
          <w:color w:val="auto"/>
          <w:vertAlign w:val="superscript"/>
        </w:rPr>
      </w:pPr>
    </w:p>
    <w:p>
      <w:pPr>
        <w:ind w:left="420" w:right="540" w:hanging="418"/>
        <w:spacing w:after="0" w:line="213" w:lineRule="auto"/>
        <w:tabs>
          <w:tab w:leader="none" w:pos="42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Of our outstanding commercial and corporate obligations, $82.3 million have maturity dates of less than one year and $5.9 million have a maturity date of between one to two years as of June 30, 2018.</w:t>
      </w:r>
    </w:p>
    <w:p>
      <w:pPr>
        <w:ind w:left="420" w:right="80" w:hanging="418"/>
        <w:spacing w:after="0" w:line="207" w:lineRule="auto"/>
        <w:tabs>
          <w:tab w:leader="none" w:pos="42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Of our outstanding U.S. Treasury securities $87.2 million have maturity dates of less than one year and $13.0 million have a maturity date of between one to two years as of June 30, 2018.</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Equity</w:t>
      </w:r>
    </w:p>
    <w:p>
      <w:pPr>
        <w:spacing w:after="0" w:line="3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Common and Preferred Stock</w:t>
      </w:r>
    </w:p>
    <w:p>
      <w:pPr>
        <w:spacing w:after="0" w:line="110" w:lineRule="exact"/>
        <w:rPr>
          <w:sz w:val="20"/>
          <w:szCs w:val="20"/>
          <w:color w:val="auto"/>
        </w:rPr>
      </w:pPr>
    </w:p>
    <w:p>
      <w:pPr>
        <w:jc w:val="both"/>
        <w:ind w:right="160" w:firstLine="420"/>
        <w:spacing w:after="0" w:line="302" w:lineRule="auto"/>
        <w:rPr>
          <w:sz w:val="20"/>
          <w:szCs w:val="20"/>
          <w:color w:val="auto"/>
        </w:rPr>
      </w:pPr>
      <w:r>
        <w:rPr>
          <w:rFonts w:ascii="Arial" w:cs="Arial" w:eastAsia="Arial" w:hAnsi="Arial"/>
          <w:sz w:val="15"/>
          <w:szCs w:val="15"/>
          <w:color w:val="auto"/>
        </w:rPr>
        <w:t>On January 13, 2017, we amended our Certificate of Incorporation to increase the number of authorized shares of common stock to 60,000,000 with a par value of $0.001 per share and decrease the number of authorized shares of preferred stock to 11,520,698 with a par value of $0.001 per share. Subsequently, on January 31, 2017, upon completion of our IPO, we amended our Certificate of Incorporation to increase the number of authorized shares of common stock to 500,000,000 with a par value of $0.001 and decrease the number of authorized shares of preferred stock to 10,000,000 with a par value of $0.001 per share.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661" w:right="239" w:bottom="1440" w:gutter="0" w:footer="0" w:header="0"/>
        </w:sectPr>
      </w:pPr>
    </w:p>
    <w:bookmarkStart w:id="15" w:name="page16"/>
    <w:bookmarkEnd w:id="15"/>
    <w:p>
      <w:pPr>
        <w:ind w:left="240"/>
        <w:spacing w:after="0"/>
        <w:rPr>
          <w:sz w:val="20"/>
          <w:szCs w:val="20"/>
          <w:color w:val="auto"/>
        </w:rPr>
      </w:pPr>
      <w:r>
        <w:rPr>
          <w:rFonts w:ascii="Arial" w:cs="Arial" w:eastAsia="Arial" w:hAnsi="Arial"/>
          <w:sz w:val="17"/>
          <w:szCs w:val="17"/>
          <w:b w:val="1"/>
          <w:bCs w:val="1"/>
          <w:i w:val="1"/>
          <w:iCs w:val="1"/>
          <w:color w:val="auto"/>
        </w:rPr>
        <w:t>Common Stock</w:t>
      </w:r>
    </w:p>
    <w:p>
      <w:pPr>
        <w:spacing w:after="0" w:line="110" w:lineRule="exact"/>
        <w:rPr>
          <w:sz w:val="20"/>
          <w:szCs w:val="20"/>
          <w:color w:val="auto"/>
        </w:rPr>
      </w:pPr>
    </w:p>
    <w:p>
      <w:pPr>
        <w:ind w:right="160" w:firstLine="420"/>
        <w:spacing w:after="0" w:line="274" w:lineRule="auto"/>
        <w:rPr>
          <w:sz w:val="20"/>
          <w:szCs w:val="20"/>
          <w:color w:val="auto"/>
        </w:rPr>
      </w:pPr>
      <w:r>
        <w:rPr>
          <w:rFonts w:ascii="Arial" w:cs="Arial" w:eastAsia="Arial" w:hAnsi="Arial"/>
          <w:sz w:val="17"/>
          <w:szCs w:val="17"/>
          <w:color w:val="auto"/>
        </w:rPr>
        <w:t>Of the 500,000,000 shares of common stock authorized, 24,028,504 shares were issued and outstanding as of June 30, 2018. Common stock reserved for future issuance upon the exercise, issuance or conversion of the respective equity instruments at June 30,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193040</wp:posOffset>
            </wp:positionV>
            <wp:extent cx="7238365" cy="161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8365" cy="161290"/>
                    </a:xfrm>
                    <a:prstGeom prst="rect">
                      <a:avLst/>
                    </a:prstGeom>
                    <a:noFill/>
                  </pic:spPr>
                </pic:pic>
              </a:graphicData>
            </a:graphic>
          </wp:anchor>
        </w:drawing>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7"/>
          <w:szCs w:val="17"/>
          <w:color w:val="auto"/>
        </w:rPr>
        <w:t>Issued and Outstanding: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20" w:type="dxa"/>
            <w:vAlign w:val="bottom"/>
          </w:tcPr>
          <w:p>
            <w:pPr>
              <w:ind w:left="260"/>
              <w:spacing w:after="0"/>
              <w:rPr>
                <w:sz w:val="20"/>
                <w:szCs w:val="20"/>
                <w:color w:val="auto"/>
              </w:rPr>
            </w:pPr>
            <w:r>
              <w:rPr>
                <w:rFonts w:ascii="Arial" w:cs="Arial" w:eastAsia="Arial" w:hAnsi="Arial"/>
                <w:sz w:val="17"/>
                <w:szCs w:val="17"/>
                <w:color w:val="auto"/>
              </w:rPr>
              <w:t>Stock options</w:t>
            </w: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2,455,234</w:t>
            </w:r>
          </w:p>
        </w:tc>
      </w:tr>
      <w:tr>
        <w:trPr>
          <w:trHeight w:val="26"/>
        </w:trPr>
        <w:tc>
          <w:tcPr>
            <w:tcW w:w="98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4"/>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Shares Reserved For:</w:t>
            </w:r>
          </w:p>
        </w:tc>
        <w:tc>
          <w:tcPr>
            <w:tcW w:w="1580" w:type="dxa"/>
            <w:vAlign w:val="bottom"/>
            <w:tcBorders>
              <w:bottom w:val="single" w:sz="8" w:color="CCEEFF"/>
            </w:tcBorders>
            <w:shd w:val="clear" w:color="auto" w:fill="CCEEFF"/>
          </w:tcPr>
          <w:p>
            <w:pPr>
              <w:spacing w:after="0"/>
              <w:rPr>
                <w:sz w:val="20"/>
                <w:szCs w:val="20"/>
                <w:color w:val="auto"/>
              </w:rPr>
            </w:pPr>
          </w:p>
        </w:tc>
      </w:tr>
      <w:tr>
        <w:trPr>
          <w:trHeight w:val="241"/>
        </w:trPr>
        <w:tc>
          <w:tcPr>
            <w:tcW w:w="9820" w:type="dxa"/>
            <w:vAlign w:val="bottom"/>
          </w:tcPr>
          <w:p>
            <w:pPr>
              <w:ind w:left="260"/>
              <w:spacing w:after="0"/>
              <w:rPr>
                <w:sz w:val="20"/>
                <w:szCs w:val="20"/>
                <w:color w:val="auto"/>
              </w:rPr>
            </w:pPr>
            <w:r>
              <w:rPr>
                <w:rFonts w:ascii="Arial" w:cs="Arial" w:eastAsia="Arial" w:hAnsi="Arial"/>
                <w:sz w:val="17"/>
                <w:szCs w:val="17"/>
                <w:color w:val="auto"/>
              </w:rPr>
              <w:t>2017 Equity Incentive Plan</w:t>
            </w: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2,081,558</w:t>
            </w:r>
          </w:p>
        </w:tc>
      </w:tr>
      <w:tr>
        <w:trPr>
          <w:trHeight w:val="26"/>
        </w:trPr>
        <w:tc>
          <w:tcPr>
            <w:tcW w:w="98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4"/>
        </w:trPr>
        <w:tc>
          <w:tcPr>
            <w:tcW w:w="9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Employee Stock Purchase Plan</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455,913</w:t>
            </w:r>
          </w:p>
        </w:tc>
      </w:tr>
      <w:tr>
        <w:trPr>
          <w:trHeight w:val="221"/>
        </w:trPr>
        <w:tc>
          <w:tcPr>
            <w:tcW w:w="9820" w:type="dxa"/>
            <w:vAlign w:val="bottom"/>
          </w:tcPr>
          <w:p>
            <w:pPr>
              <w:ind w:left="20"/>
              <w:spacing w:after="0"/>
              <w:rPr>
                <w:sz w:val="20"/>
                <w:szCs w:val="20"/>
                <w:color w:val="auto"/>
              </w:rPr>
            </w:pPr>
            <w:r>
              <w:rPr>
                <w:rFonts w:ascii="Arial" w:cs="Arial" w:eastAsia="Arial" w:hAnsi="Arial"/>
                <w:sz w:val="17"/>
                <w:szCs w:val="17"/>
                <w:color w:val="auto"/>
              </w:rPr>
              <w:t>Total</w:t>
            </w: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4,992,705</w:t>
            </w:r>
          </w:p>
        </w:tc>
      </w:tr>
      <w:tr>
        <w:trPr>
          <w:trHeight w:val="26"/>
        </w:trPr>
        <w:tc>
          <w:tcPr>
            <w:tcW w:w="98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Warrant Exercises</w:t>
      </w:r>
    </w:p>
    <w:p>
      <w:pPr>
        <w:spacing w:after="0" w:line="110" w:lineRule="exact"/>
        <w:rPr>
          <w:sz w:val="20"/>
          <w:szCs w:val="20"/>
          <w:color w:val="auto"/>
        </w:rPr>
      </w:pPr>
    </w:p>
    <w:p>
      <w:pPr>
        <w:jc w:val="both"/>
        <w:ind w:right="120" w:firstLine="420"/>
        <w:spacing w:after="0" w:line="261" w:lineRule="auto"/>
        <w:rPr>
          <w:sz w:val="20"/>
          <w:szCs w:val="20"/>
          <w:color w:val="auto"/>
        </w:rPr>
      </w:pPr>
      <w:r>
        <w:rPr>
          <w:rFonts w:ascii="Arial" w:cs="Arial" w:eastAsia="Arial" w:hAnsi="Arial"/>
          <w:sz w:val="17"/>
          <w:szCs w:val="17"/>
          <w:color w:val="auto"/>
        </w:rPr>
        <w:t>During the six months ended June 30, 2018, 16,770 shares of common stock were issued as a result of warrant exercises. During the six months ended June 30, 2017, warrants for the purchase of 296,669 shares of common stock were exercised, of which 179,047 were exercised by a net exercise method. As a result, we issued 250,448 shares of common stock, net. As of June 30, 2018, all warrants have been exercised.</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Equity Incentive Plans</w:t>
      </w:r>
    </w:p>
    <w:p>
      <w:pPr>
        <w:spacing w:after="0" w:line="3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2017 Equity Incentive Plan</w:t>
      </w:r>
    </w:p>
    <w:p>
      <w:pPr>
        <w:spacing w:after="0" w:line="110" w:lineRule="exact"/>
        <w:rPr>
          <w:sz w:val="20"/>
          <w:szCs w:val="20"/>
          <w:color w:val="auto"/>
        </w:rPr>
      </w:pPr>
    </w:p>
    <w:p>
      <w:pPr>
        <w:ind w:right="100" w:firstLine="420"/>
        <w:spacing w:after="0" w:line="253" w:lineRule="auto"/>
        <w:rPr>
          <w:sz w:val="20"/>
          <w:szCs w:val="20"/>
          <w:color w:val="auto"/>
        </w:rPr>
      </w:pPr>
      <w:r>
        <w:rPr>
          <w:rFonts w:ascii="Arial" w:cs="Arial" w:eastAsia="Arial" w:hAnsi="Arial"/>
          <w:sz w:val="17"/>
          <w:szCs w:val="17"/>
          <w:color w:val="auto"/>
        </w:rPr>
        <w:t>On January 12, 2017, our board of directors and stockholders approved and adopted the 2017 Equity Incentive Plan, or the 2017 Plan. The 2017 Plan became effective upon the execution and delivery of the underwriting agreement for our initial public offering on January 26, 2017, and replaced our existing 2006 Equity Incentive Plan, or the 2006 Plan. Under the 2017 Plan we may grant stock options, stock appreciation rights, restricted stock, restricted stock units and other awards to individuals who are then our employees, officers, directors or consultants. A total of 1,955,506 shares of common stock were initially reserved for issuance under the 2017 plan, including 308,343 that were rolled over from the 2006 Plan.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951,656 shares as of January 1, 2018.</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10" w:lineRule="exact"/>
        <w:rPr>
          <w:sz w:val="20"/>
          <w:szCs w:val="20"/>
          <w:color w:val="auto"/>
        </w:rPr>
      </w:pPr>
    </w:p>
    <w:p>
      <w:pPr>
        <w:ind w:right="60" w:firstLine="420"/>
        <w:spacing w:after="0" w:line="298" w:lineRule="auto"/>
        <w:rPr>
          <w:sz w:val="20"/>
          <w:szCs w:val="20"/>
          <w:color w:val="auto"/>
        </w:rPr>
      </w:pPr>
      <w:r>
        <w:rPr>
          <w:rFonts w:ascii="Arial" w:cs="Arial" w:eastAsia="Arial" w:hAnsi="Arial"/>
          <w:sz w:val="15"/>
          <w:szCs w:val="15"/>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A total of 218,000 shares of common stock were initially reserved for issuance under the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237,913 shares as of January 1, 2018.</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Stock Options</w:t>
      </w:r>
    </w:p>
    <w:p>
      <w:pPr>
        <w:spacing w:after="0" w:line="110" w:lineRule="exact"/>
        <w:rPr>
          <w:sz w:val="20"/>
          <w:szCs w:val="20"/>
          <w:color w:val="auto"/>
        </w:rPr>
      </w:pPr>
    </w:p>
    <w:p>
      <w:pPr>
        <w:ind w:right="320" w:firstLine="420"/>
        <w:spacing w:after="0" w:line="257" w:lineRule="auto"/>
        <w:rPr>
          <w:sz w:val="20"/>
          <w:szCs w:val="20"/>
          <w:color w:val="auto"/>
        </w:rPr>
      </w:pPr>
      <w:r>
        <w:rPr>
          <w:rFonts w:ascii="Arial" w:cs="Arial" w:eastAsia="Arial" w:hAnsi="Arial"/>
          <w:sz w:val="17"/>
          <w:szCs w:val="17"/>
          <w:color w:val="auto"/>
        </w:rPr>
        <w:t>Stock options granted to employees and non-employees generally vest over a four-year period while stock options granted to directors vest over a one year period. Additionally, new non-employee directors receive stock options that vest over a three-year period. Each have a maximum term of ten years from the date of grant, subject to earlier cancellation prior to vesting upon cessation of service to us. A summary of the activity related to stock option awards during the six months ended June 30, 2018 is as follows: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661"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Weighted-Average</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6"/>
              </w:rPr>
              <w:t>Weighted-Average</w:t>
            </w:r>
          </w:p>
        </w:tc>
        <w:tc>
          <w:tcPr>
            <w:tcW w:w="170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86"/>
              </w:rPr>
              <w:t>Remaining</w:t>
            </w:r>
          </w:p>
        </w:tc>
        <w:tc>
          <w:tcPr>
            <w:tcW w:w="300" w:type="dxa"/>
            <w:vAlign w:val="bottom"/>
          </w:tcPr>
          <w:p>
            <w:pPr>
              <w:spacing w:after="0"/>
              <w:rPr>
                <w:sz w:val="12"/>
                <w:szCs w:val="12"/>
                <w:color w:val="auto"/>
              </w:rPr>
            </w:pPr>
          </w:p>
        </w:tc>
        <w:tc>
          <w:tcPr>
            <w:tcW w:w="1280" w:type="dxa"/>
            <w:vAlign w:val="bottom"/>
          </w:tcPr>
          <w:p>
            <w:pPr>
              <w:jc w:val="center"/>
              <w:ind w:right="207"/>
              <w:spacing w:after="0" w:line="140"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0"/>
        </w:trPr>
        <w:tc>
          <w:tcPr>
            <w:tcW w:w="4700" w:type="dxa"/>
            <w:vAlign w:val="bottom"/>
          </w:tcPr>
          <w:p>
            <w:pPr>
              <w:spacing w:after="0"/>
              <w:rPr>
                <w:sz w:val="12"/>
                <w:szCs w:val="12"/>
                <w:color w:val="auto"/>
              </w:rPr>
            </w:pPr>
          </w:p>
        </w:tc>
        <w:tc>
          <w:tcPr>
            <w:tcW w:w="16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6"/>
              </w:rPr>
              <w:t>Exercise</w:t>
            </w:r>
          </w:p>
        </w:tc>
        <w:tc>
          <w:tcPr>
            <w:tcW w:w="170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89"/>
              </w:rPr>
              <w:t>Contractual</w:t>
            </w:r>
          </w:p>
        </w:tc>
        <w:tc>
          <w:tcPr>
            <w:tcW w:w="300" w:type="dxa"/>
            <w:vAlign w:val="bottom"/>
          </w:tcPr>
          <w:p>
            <w:pPr>
              <w:spacing w:after="0"/>
              <w:rPr>
                <w:sz w:val="12"/>
                <w:szCs w:val="12"/>
                <w:color w:val="auto"/>
              </w:rPr>
            </w:pPr>
          </w:p>
        </w:tc>
        <w:tc>
          <w:tcPr>
            <w:tcW w:w="1280" w:type="dxa"/>
            <w:vAlign w:val="bottom"/>
          </w:tcPr>
          <w:p>
            <w:pPr>
              <w:jc w:val="center"/>
              <w:ind w:right="187"/>
              <w:spacing w:after="0" w:line="140"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0"/>
        </w:trPr>
        <w:tc>
          <w:tcPr>
            <w:tcW w:w="4700" w:type="dxa"/>
            <w:vAlign w:val="bottom"/>
          </w:tcPr>
          <w:p>
            <w:pPr>
              <w:spacing w:after="0"/>
              <w:rPr>
                <w:sz w:val="12"/>
                <w:szCs w:val="12"/>
                <w:color w:val="auto"/>
              </w:rPr>
            </w:pPr>
          </w:p>
        </w:tc>
        <w:tc>
          <w:tcPr>
            <w:tcW w:w="16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5"/>
              </w:rPr>
              <w:t>Subject to</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90"/>
              </w:rPr>
              <w:t>Price per</w:t>
            </w:r>
          </w:p>
        </w:tc>
        <w:tc>
          <w:tcPr>
            <w:tcW w:w="170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87"/>
              </w:rPr>
              <w:t>Term</w:t>
            </w:r>
          </w:p>
        </w:tc>
        <w:tc>
          <w:tcPr>
            <w:tcW w:w="300" w:type="dxa"/>
            <w:vAlign w:val="bottom"/>
          </w:tcPr>
          <w:p>
            <w:pPr>
              <w:spacing w:after="0"/>
              <w:rPr>
                <w:sz w:val="12"/>
                <w:szCs w:val="12"/>
                <w:color w:val="auto"/>
              </w:rPr>
            </w:pPr>
          </w:p>
        </w:tc>
        <w:tc>
          <w:tcPr>
            <w:tcW w:w="1280" w:type="dxa"/>
            <w:vAlign w:val="bottom"/>
          </w:tcPr>
          <w:p>
            <w:pPr>
              <w:jc w:val="center"/>
              <w:ind w:right="207"/>
              <w:spacing w:after="0" w:line="140" w:lineRule="exact"/>
              <w:rPr>
                <w:sz w:val="20"/>
                <w:szCs w:val="20"/>
                <w:color w:val="auto"/>
              </w:rPr>
            </w:pPr>
            <w:r>
              <w:rPr>
                <w:rFonts w:ascii="Arial" w:cs="Arial" w:eastAsia="Arial" w:hAnsi="Arial"/>
                <w:sz w:val="14"/>
                <w:szCs w:val="14"/>
                <w:b w:val="1"/>
                <w:bCs w:val="1"/>
                <w:color w:val="auto"/>
                <w:w w:val="89"/>
              </w:rPr>
              <w:t>Value (in</w:t>
            </w:r>
          </w:p>
        </w:tc>
        <w:tc>
          <w:tcPr>
            <w:tcW w:w="0" w:type="dxa"/>
            <w:vAlign w:val="bottom"/>
          </w:tcPr>
          <w:p>
            <w:pPr>
              <w:spacing w:after="0"/>
              <w:rPr>
                <w:sz w:val="1"/>
                <w:szCs w:val="1"/>
                <w:color w:val="auto"/>
              </w:rPr>
            </w:pPr>
          </w:p>
        </w:tc>
      </w:tr>
      <w:tr>
        <w:trPr>
          <w:trHeight w:val="180"/>
        </w:trPr>
        <w:tc>
          <w:tcPr>
            <w:tcW w:w="4700" w:type="dxa"/>
            <w:vAlign w:val="bottom"/>
            <w:tcBorders>
              <w:bottom w:val="single" w:sz="8" w:color="CFF0FC"/>
            </w:tcBorders>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Borders>
              <w:bottom w:val="single" w:sz="8" w:color="CFF0FC"/>
            </w:tcBorders>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07"/>
              <w:spacing w:after="0"/>
              <w:rPr>
                <w:sz w:val="20"/>
                <w:szCs w:val="20"/>
                <w:color w:val="auto"/>
              </w:rPr>
            </w:pPr>
            <w:r>
              <w:rPr>
                <w:rFonts w:ascii="Arial" w:cs="Arial" w:eastAsia="Arial" w:hAnsi="Arial"/>
                <w:sz w:val="14"/>
                <w:szCs w:val="14"/>
                <w:b w:val="1"/>
                <w:bCs w:val="1"/>
                <w:color w:val="auto"/>
                <w:w w:val="84"/>
              </w:rPr>
              <w:t>thousands)</w:t>
            </w:r>
          </w:p>
        </w:tc>
        <w:tc>
          <w:tcPr>
            <w:tcW w:w="0" w:type="dxa"/>
            <w:vAlign w:val="bottom"/>
          </w:tcPr>
          <w:p>
            <w:pPr>
              <w:spacing w:after="0"/>
              <w:rPr>
                <w:sz w:val="1"/>
                <w:szCs w:val="1"/>
                <w:color w:val="auto"/>
              </w:rPr>
            </w:pPr>
          </w:p>
        </w:tc>
      </w:tr>
      <w:tr>
        <w:trPr>
          <w:trHeight w:val="233"/>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Outstanding at January 1, 2018</w:t>
            </w:r>
          </w:p>
        </w:tc>
        <w:tc>
          <w:tcPr>
            <w:tcW w:w="160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7"/>
                <w:szCs w:val="17"/>
                <w:color w:val="auto"/>
              </w:rPr>
              <w:t>2,425,903</w:t>
            </w:r>
          </w:p>
        </w:tc>
        <w:tc>
          <w:tcPr>
            <w:tcW w:w="3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7"/>
                <w:szCs w:val="17"/>
                <w:color w:val="auto"/>
              </w:rPr>
              <w:t>12.03</w:t>
            </w:r>
          </w:p>
        </w:tc>
        <w:tc>
          <w:tcPr>
            <w:tcW w:w="12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00" w:type="dxa"/>
            <w:vAlign w:val="bottom"/>
          </w:tcPr>
          <w:p>
            <w:pPr>
              <w:ind w:left="20"/>
              <w:spacing w:after="0"/>
              <w:rPr>
                <w:sz w:val="20"/>
                <w:szCs w:val="20"/>
                <w:color w:val="auto"/>
              </w:rPr>
            </w:pPr>
            <w:r>
              <w:rPr>
                <w:rFonts w:ascii="Arial" w:cs="Arial" w:eastAsia="Arial" w:hAnsi="Arial"/>
                <w:sz w:val="17"/>
                <w:szCs w:val="17"/>
                <w:color w:val="auto"/>
              </w:rPr>
              <w:t>Granted</w:t>
            </w:r>
          </w:p>
        </w:tc>
        <w:tc>
          <w:tcPr>
            <w:tcW w:w="1600" w:type="dxa"/>
            <w:vAlign w:val="bottom"/>
          </w:tcPr>
          <w:p>
            <w:pPr>
              <w:jc w:val="right"/>
              <w:ind w:right="41"/>
              <w:spacing w:after="0"/>
              <w:rPr>
                <w:sz w:val="20"/>
                <w:szCs w:val="20"/>
                <w:color w:val="auto"/>
              </w:rPr>
            </w:pPr>
            <w:r>
              <w:rPr>
                <w:rFonts w:ascii="Arial" w:cs="Arial" w:eastAsia="Arial" w:hAnsi="Arial"/>
                <w:sz w:val="17"/>
                <w:szCs w:val="17"/>
                <w:color w:val="auto"/>
              </w:rPr>
              <w:t>274,457</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22"/>
              <w:spacing w:after="0"/>
              <w:rPr>
                <w:sz w:val="20"/>
                <w:szCs w:val="20"/>
                <w:color w:val="auto"/>
              </w:rPr>
            </w:pPr>
            <w:r>
              <w:rPr>
                <w:rFonts w:ascii="Arial" w:cs="Arial" w:eastAsia="Arial" w:hAnsi="Arial"/>
                <w:sz w:val="17"/>
                <w:szCs w:val="17"/>
                <w:color w:val="auto"/>
              </w:rPr>
              <w:t>105.48</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Exercises</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(220,342)</w:t>
            </w:r>
          </w:p>
        </w:tc>
        <w:tc>
          <w:tcPr>
            <w:tcW w:w="3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7"/>
                <w:szCs w:val="17"/>
                <w:color w:val="auto"/>
              </w:rPr>
              <w:t>6.67</w:t>
            </w:r>
          </w:p>
        </w:tc>
        <w:tc>
          <w:tcPr>
            <w:tcW w:w="12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00" w:type="dxa"/>
            <w:vAlign w:val="bottom"/>
          </w:tcPr>
          <w:p>
            <w:pPr>
              <w:ind w:left="20"/>
              <w:spacing w:after="0"/>
              <w:rPr>
                <w:sz w:val="20"/>
                <w:szCs w:val="20"/>
                <w:color w:val="auto"/>
              </w:rPr>
            </w:pPr>
            <w:r>
              <w:rPr>
                <w:rFonts w:ascii="Arial" w:cs="Arial" w:eastAsia="Arial" w:hAnsi="Arial"/>
                <w:sz w:val="17"/>
                <w:szCs w:val="17"/>
                <w:color w:val="auto"/>
              </w:rPr>
              <w:t>Forfeitures and cancellations</w:t>
            </w:r>
          </w:p>
        </w:tc>
        <w:tc>
          <w:tcPr>
            <w:tcW w:w="1600" w:type="dxa"/>
            <w:vAlign w:val="bottom"/>
          </w:tcPr>
          <w:p>
            <w:pPr>
              <w:jc w:val="right"/>
              <w:spacing w:after="0"/>
              <w:rPr>
                <w:sz w:val="20"/>
                <w:szCs w:val="20"/>
                <w:color w:val="auto"/>
              </w:rPr>
            </w:pPr>
            <w:r>
              <w:rPr>
                <w:rFonts w:ascii="Arial" w:cs="Arial" w:eastAsia="Arial" w:hAnsi="Arial"/>
                <w:sz w:val="17"/>
                <w:szCs w:val="17"/>
                <w:color w:val="auto"/>
              </w:rPr>
              <w:t>(24,784)</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22"/>
              <w:spacing w:after="0"/>
              <w:rPr>
                <w:sz w:val="20"/>
                <w:szCs w:val="20"/>
                <w:color w:val="auto"/>
              </w:rPr>
            </w:pPr>
            <w:r>
              <w:rPr>
                <w:rFonts w:ascii="Arial" w:cs="Arial" w:eastAsia="Arial" w:hAnsi="Arial"/>
                <w:sz w:val="17"/>
                <w:szCs w:val="17"/>
                <w:color w:val="auto"/>
              </w:rPr>
              <w:t>57.47</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7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12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Outstanding at June 30, 2018</w:t>
            </w:r>
          </w:p>
        </w:tc>
        <w:tc>
          <w:tcPr>
            <w:tcW w:w="16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7"/>
                <w:szCs w:val="17"/>
                <w:color w:val="auto"/>
              </w:rPr>
              <w:t>2,455,234</w:t>
            </w:r>
          </w:p>
        </w:tc>
        <w:tc>
          <w:tcPr>
            <w:tcW w:w="3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7"/>
                <w:szCs w:val="17"/>
                <w:color w:val="auto"/>
              </w:rPr>
              <w:t>22.50</w:t>
            </w:r>
          </w:p>
        </w:tc>
        <w:tc>
          <w:tcPr>
            <w:tcW w:w="12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7.25</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FF0FC"/>
            </w:tcBorders>
            <w:shd w:val="clear" w:color="auto" w:fill="CFF0FC"/>
          </w:tcPr>
          <w:p>
            <w:pPr>
              <w:jc w:val="right"/>
              <w:ind w:right="27"/>
              <w:spacing w:after="0"/>
              <w:rPr>
                <w:sz w:val="20"/>
                <w:szCs w:val="20"/>
                <w:color w:val="auto"/>
              </w:rPr>
            </w:pPr>
            <w:r>
              <w:rPr>
                <w:rFonts w:ascii="Arial" w:cs="Arial" w:eastAsia="Arial" w:hAnsi="Arial"/>
                <w:sz w:val="17"/>
                <w:szCs w:val="17"/>
                <w:color w:val="auto"/>
              </w:rPr>
              <w:t>128,278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0"/>
              <w:spacing w:after="0"/>
              <w:rPr>
                <w:sz w:val="20"/>
                <w:szCs w:val="20"/>
                <w:color w:val="auto"/>
              </w:rPr>
            </w:pPr>
            <w:r>
              <w:rPr>
                <w:rFonts w:ascii="Arial" w:cs="Arial" w:eastAsia="Arial" w:hAnsi="Arial"/>
                <w:sz w:val="17"/>
                <w:szCs w:val="17"/>
                <w:color w:val="auto"/>
              </w:rPr>
              <w:t>Exercisable at June 30, 2018</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700" w:type="dxa"/>
            <w:vAlign w:val="bottom"/>
            <w:vMerge w:val="continue"/>
          </w:tcPr>
          <w:p>
            <w:pPr>
              <w:spacing w:after="0"/>
              <w:rPr>
                <w:sz w:val="20"/>
                <w:szCs w:val="20"/>
                <w:color w:val="auto"/>
              </w:rPr>
            </w:pP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1,400,654</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22"/>
              <w:spacing w:after="0"/>
              <w:rPr>
                <w:sz w:val="20"/>
                <w:szCs w:val="20"/>
                <w:color w:val="auto"/>
              </w:rPr>
            </w:pPr>
            <w:r>
              <w:rPr>
                <w:rFonts w:ascii="Arial" w:cs="Arial" w:eastAsia="Arial" w:hAnsi="Arial"/>
                <w:sz w:val="17"/>
                <w:szCs w:val="17"/>
                <w:color w:val="auto"/>
              </w:rPr>
              <w:t>8.63</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Pr>
          <w:p>
            <w:pPr>
              <w:spacing w:after="0"/>
              <w:rPr>
                <w:sz w:val="20"/>
                <w:szCs w:val="20"/>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7"/>
              <w:spacing w:after="0"/>
              <w:rPr>
                <w:sz w:val="20"/>
                <w:szCs w:val="20"/>
                <w:color w:val="auto"/>
              </w:rPr>
            </w:pPr>
            <w:r>
              <w:rPr>
                <w:rFonts w:ascii="Arial" w:cs="Arial" w:eastAsia="Arial" w:hAnsi="Arial"/>
                <w:sz w:val="17"/>
                <w:szCs w:val="17"/>
                <w:color w:val="auto"/>
              </w:rPr>
              <w:t>87,855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right="140" w:firstLine="420"/>
        <w:spacing w:after="0" w:line="274" w:lineRule="auto"/>
        <w:rPr>
          <w:sz w:val="20"/>
          <w:szCs w:val="20"/>
          <w:color w:val="auto"/>
        </w:rPr>
      </w:pPr>
      <w:r>
        <w:rPr>
          <w:rFonts w:ascii="Arial" w:cs="Arial" w:eastAsia="Arial" w:hAnsi="Arial"/>
          <w:sz w:val="17"/>
          <w:szCs w:val="17"/>
          <w:color w:val="auto"/>
        </w:rPr>
        <w:t>Total cash received from the exercise of stock options was approximately $1.5 million during the six months ended June 30, 2018. As a result of the adoption of ASU 2016-09 and the elimination of a forfeiture rate, all options outstanding are considered expected to fully vest.</w:t>
      </w:r>
    </w:p>
    <w:p>
      <w:pPr>
        <w:spacing w:after="0" w:line="164" w:lineRule="exact"/>
        <w:rPr>
          <w:sz w:val="20"/>
          <w:szCs w:val="20"/>
          <w:color w:val="auto"/>
        </w:rPr>
      </w:pPr>
    </w:p>
    <w:p>
      <w:pPr>
        <w:ind w:right="120" w:firstLine="420"/>
        <w:spacing w:after="0" w:line="261" w:lineRule="auto"/>
        <w:rPr>
          <w:sz w:val="20"/>
          <w:szCs w:val="20"/>
          <w:color w:val="auto"/>
        </w:rPr>
      </w:pPr>
      <w:r>
        <w:rPr>
          <w:rFonts w:ascii="Arial" w:cs="Arial" w:eastAsia="Arial" w:hAnsi="Arial"/>
          <w:sz w:val="17"/>
          <w:szCs w:val="17"/>
          <w:color w:val="auto"/>
        </w:rPr>
        <w:t>Certain stock option grants under the 2006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0" w:lineRule="exact"/>
        <w:rPr>
          <w:sz w:val="20"/>
          <w:szCs w:val="20"/>
          <w:color w:val="auto"/>
        </w:rPr>
      </w:pPr>
    </w:p>
    <w:p>
      <w:pPr>
        <w:ind w:right="40" w:firstLine="420"/>
        <w:spacing w:after="0" w:line="274" w:lineRule="auto"/>
        <w:rPr>
          <w:sz w:val="20"/>
          <w:szCs w:val="20"/>
          <w:color w:val="auto"/>
        </w:rPr>
      </w:pPr>
      <w:r>
        <w:rPr>
          <w:rFonts w:ascii="Arial" w:cs="Arial" w:eastAsia="Arial" w:hAnsi="Arial"/>
          <w:sz w:val="17"/>
          <w:szCs w:val="17"/>
          <w:color w:val="auto"/>
        </w:rPr>
        <w:t>The estimated fair values of stock option awards granted to employees were determined on the date of grant using the Black-Scholes option valuation model with the following weighted average assumptions:</w:t>
      </w:r>
    </w:p>
    <w:p>
      <w:pPr>
        <w:spacing w:after="0" w:line="98"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Six Months Ended</w:t>
      </w:r>
    </w:p>
    <w:p>
      <w:pPr>
        <w:jc w:val="center"/>
        <w:ind w:left="80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6985</wp:posOffset>
            </wp:positionV>
            <wp:extent cx="21653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6535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2017</w:t>
            </w:r>
          </w:p>
        </w:tc>
      </w:tr>
      <w:tr>
        <w:trPr>
          <w:trHeight w:val="233"/>
        </w:trPr>
        <w:tc>
          <w:tcPr>
            <w:tcW w:w="8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Risk-free interest rate</w:t>
            </w:r>
          </w:p>
        </w:tc>
        <w:tc>
          <w:tcPr>
            <w:tcW w:w="10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2.0%</w:t>
            </w:r>
          </w:p>
        </w:tc>
      </w:tr>
      <w:tr>
        <w:trPr>
          <w:trHeight w:val="228"/>
        </w:trPr>
        <w:tc>
          <w:tcPr>
            <w:tcW w:w="802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77.4%</w:t>
            </w:r>
          </w:p>
        </w:tc>
      </w:tr>
      <w:tr>
        <w:trPr>
          <w:trHeight w:val="26"/>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4"/>
        </w:trPr>
        <w:tc>
          <w:tcPr>
            <w:tcW w:w="8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Expected dividend yield</w:t>
            </w:r>
          </w:p>
        </w:tc>
        <w:tc>
          <w:tcPr>
            <w:tcW w:w="10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28"/>
        </w:trPr>
        <w:tc>
          <w:tcPr>
            <w:tcW w:w="802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1020" w:type="dxa"/>
            <w:vAlign w:val="bottom"/>
          </w:tcPr>
          <w:p>
            <w:pPr>
              <w:spacing w:after="0"/>
              <w:rPr>
                <w:sz w:val="19"/>
                <w:szCs w:val="19"/>
                <w:color w:val="auto"/>
              </w:rPr>
            </w:pPr>
          </w:p>
        </w:tc>
        <w:tc>
          <w:tcPr>
            <w:tcW w:w="640" w:type="dxa"/>
            <w:vAlign w:val="bottom"/>
          </w:tcPr>
          <w:p>
            <w:pPr>
              <w:jc w:val="right"/>
              <w:ind w:right="95"/>
              <w:spacing w:after="0"/>
              <w:rPr>
                <w:sz w:val="20"/>
                <w:szCs w:val="20"/>
                <w:color w:val="auto"/>
              </w:rPr>
            </w:pPr>
            <w:r>
              <w:rPr>
                <w:rFonts w:ascii="Arial" w:cs="Arial" w:eastAsia="Arial" w:hAnsi="Arial"/>
                <w:sz w:val="17"/>
                <w:szCs w:val="17"/>
                <w:color w:val="auto"/>
              </w:rPr>
              <w:t>6.25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98"/>
              <w:spacing w:after="0"/>
              <w:rPr>
                <w:sz w:val="20"/>
                <w:szCs w:val="20"/>
                <w:color w:val="auto"/>
              </w:rPr>
            </w:pPr>
            <w:r>
              <w:rPr>
                <w:rFonts w:ascii="Arial" w:cs="Arial" w:eastAsia="Arial" w:hAnsi="Arial"/>
                <w:sz w:val="17"/>
                <w:szCs w:val="17"/>
                <w:color w:val="auto"/>
              </w:rPr>
              <w:t>6.25</w:t>
            </w:r>
          </w:p>
        </w:tc>
      </w:tr>
      <w:tr>
        <w:trPr>
          <w:trHeight w:val="26"/>
        </w:trPr>
        <w:tc>
          <w:tcPr>
            <w:tcW w:w="8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8020" w:type="dxa"/>
            <w:vAlign w:val="bottom"/>
            <w:shd w:val="clear" w:color="auto" w:fill="CFF0FC"/>
          </w:tcPr>
          <w:p>
            <w:pPr>
              <w:ind w:left="20"/>
              <w:spacing w:after="0"/>
              <w:rPr>
                <w:sz w:val="20"/>
                <w:szCs w:val="20"/>
                <w:color w:val="auto"/>
              </w:rPr>
            </w:pPr>
            <w:r>
              <w:rPr>
                <w:rFonts w:ascii="Arial" w:cs="Arial" w:eastAsia="Arial" w:hAnsi="Arial"/>
                <w:sz w:val="17"/>
                <w:szCs w:val="17"/>
                <w:color w:val="auto"/>
              </w:rPr>
              <w:t>Weighted average grant date fair value per share</w:t>
            </w:r>
          </w:p>
        </w:tc>
        <w:tc>
          <w:tcPr>
            <w:tcW w:w="1020" w:type="dxa"/>
            <w:vAlign w:val="bottom"/>
            <w:shd w:val="clear" w:color="auto" w:fill="CFF0FC"/>
          </w:tcPr>
          <w:p>
            <w:pPr>
              <w:jc w:val="right"/>
              <w:ind w:right="84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67.05</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ind w:right="98"/>
              <w:spacing w:after="0"/>
              <w:rPr>
                <w:sz w:val="20"/>
                <w:szCs w:val="20"/>
                <w:color w:val="auto"/>
              </w:rPr>
            </w:pPr>
            <w:r>
              <w:rPr>
                <w:rFonts w:ascii="Arial" w:cs="Arial" w:eastAsia="Arial" w:hAnsi="Arial"/>
                <w:sz w:val="17"/>
                <w:szCs w:val="17"/>
                <w:color w:val="auto"/>
              </w:rPr>
              <w:t>15.12</w:t>
            </w:r>
          </w:p>
        </w:tc>
      </w:tr>
      <w:tr>
        <w:trPr>
          <w:trHeight w:val="26"/>
        </w:trPr>
        <w:tc>
          <w:tcPr>
            <w:tcW w:w="80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r>
    </w:tbl>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were 274,457 and 961,141 stock options granted during the six months ended June 30, 2018 and 2017, respectively.</w:t>
      </w:r>
    </w:p>
    <w:p>
      <w:pPr>
        <w:spacing w:after="0" w:line="161" w:lineRule="exact"/>
        <w:rPr>
          <w:sz w:val="20"/>
          <w:szCs w:val="20"/>
          <w:color w:val="auto"/>
        </w:rPr>
      </w:pPr>
    </w:p>
    <w:p>
      <w:pPr>
        <w:ind w:right="60" w:firstLine="420"/>
        <w:spacing w:after="0" w:line="253"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and director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our common stock and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696" w:right="239" w:bottom="1440" w:gutter="0" w:footer="0" w:header="0"/>
        </w:sectPr>
      </w:pPr>
    </w:p>
    <w:bookmarkStart w:id="17" w:name="page18"/>
    <w:bookmarkEnd w:id="17"/>
    <w:p>
      <w:pPr>
        <w:ind w:right="140" w:firstLine="420"/>
        <w:spacing w:after="0" w:line="274" w:lineRule="auto"/>
        <w:rPr>
          <w:sz w:val="20"/>
          <w:szCs w:val="20"/>
          <w:color w:val="auto"/>
        </w:rPr>
      </w:pPr>
      <w:r>
        <w:rPr>
          <w:rFonts w:ascii="Arial" w:cs="Arial" w:eastAsia="Arial" w:hAnsi="Arial"/>
          <w:sz w:val="17"/>
          <w:szCs w:val="17"/>
          <w:color w:val="auto"/>
        </w:rPr>
        <w:t>Total non-cash stock-based compensation expense for all stock awards that was recognized in the consolidated statements of operations and comprehensive loss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3"/>
          </w:tcPr>
          <w:p>
            <w:pPr>
              <w:ind w:left="640"/>
              <w:spacing w:after="0"/>
              <w:rPr>
                <w:sz w:val="20"/>
                <w:szCs w:val="20"/>
                <w:color w:val="auto"/>
              </w:rPr>
            </w:pPr>
            <w:r>
              <w:rPr>
                <w:rFonts w:ascii="Arial" w:cs="Arial" w:eastAsia="Arial" w:hAnsi="Arial"/>
                <w:sz w:val="14"/>
                <w:szCs w:val="14"/>
                <w:b w:val="1"/>
                <w:bCs w:val="1"/>
                <w:color w:val="auto"/>
                <w:w w:val="90"/>
              </w:rPr>
              <w:t>Six Months Ended</w:t>
            </w:r>
          </w:p>
        </w:tc>
        <w:tc>
          <w:tcPr>
            <w:tcW w:w="920" w:type="dxa"/>
            <w:vAlign w:val="bottom"/>
          </w:tcPr>
          <w:p>
            <w:pPr>
              <w:spacing w:after="0"/>
              <w:rPr>
                <w:sz w:val="14"/>
                <w:szCs w:val="14"/>
                <w:color w:val="auto"/>
              </w:rPr>
            </w:pPr>
          </w:p>
        </w:tc>
      </w:tr>
      <w:tr>
        <w:trPr>
          <w:trHeight w:val="180"/>
        </w:trPr>
        <w:tc>
          <w:tcPr>
            <w:tcW w:w="49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r>
      <w:tr>
        <w:trPr>
          <w:trHeight w:val="247"/>
        </w:trPr>
        <w:tc>
          <w:tcPr>
            <w:tcW w:w="492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33"/>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Research and development</w:t>
            </w:r>
          </w:p>
        </w:tc>
        <w:tc>
          <w:tcPr>
            <w:tcW w:w="400" w:type="dxa"/>
            <w:vAlign w:val="bottom"/>
            <w:tcBorders>
              <w:bottom w:val="single" w:sz="8" w:color="CFF0FC"/>
            </w:tcBorders>
            <w:shd w:val="clear" w:color="auto" w:fill="CFF0FC"/>
          </w:tcPr>
          <w:p>
            <w:pPr>
              <w:jc w:val="right"/>
              <w:ind w:right="19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7"/>
                <w:szCs w:val="17"/>
                <w:color w:val="auto"/>
              </w:rPr>
              <w:t>899</w:t>
            </w:r>
          </w:p>
        </w:tc>
        <w:tc>
          <w:tcPr>
            <w:tcW w:w="1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ind w:right="43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7"/>
                <w:szCs w:val="17"/>
                <w:color w:val="auto"/>
              </w:rPr>
              <w:t>499</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7"/>
                <w:szCs w:val="17"/>
                <w:color w:val="auto"/>
              </w:rPr>
              <w:t>1,655</w:t>
            </w:r>
          </w:p>
        </w:tc>
        <w:tc>
          <w:tcPr>
            <w:tcW w:w="1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jc w:val="right"/>
              <w:ind w:right="3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7"/>
                <w:szCs w:val="17"/>
                <w:color w:val="auto"/>
              </w:rPr>
              <w:t>799</w:t>
            </w:r>
          </w:p>
        </w:tc>
      </w:tr>
      <w:tr>
        <w:trPr>
          <w:trHeight w:val="228"/>
        </w:trPr>
        <w:tc>
          <w:tcPr>
            <w:tcW w:w="492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400" w:type="dxa"/>
            <w:vAlign w:val="bottom"/>
          </w:tcPr>
          <w:p>
            <w:pPr>
              <w:spacing w:after="0"/>
              <w:rPr>
                <w:sz w:val="19"/>
                <w:szCs w:val="19"/>
                <w:color w:val="auto"/>
              </w:rPr>
            </w:pPr>
          </w:p>
        </w:tc>
        <w:tc>
          <w:tcPr>
            <w:tcW w:w="1220" w:type="dxa"/>
            <w:vAlign w:val="bottom"/>
          </w:tcPr>
          <w:p>
            <w:pPr>
              <w:jc w:val="right"/>
              <w:ind w:right="44"/>
              <w:spacing w:after="0"/>
              <w:rPr>
                <w:sz w:val="20"/>
                <w:szCs w:val="20"/>
                <w:color w:val="auto"/>
              </w:rPr>
            </w:pPr>
            <w:r>
              <w:rPr>
                <w:rFonts w:ascii="Arial" w:cs="Arial" w:eastAsia="Arial" w:hAnsi="Arial"/>
                <w:sz w:val="17"/>
                <w:szCs w:val="17"/>
                <w:color w:val="auto"/>
              </w:rPr>
              <w:t>1,649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7"/>
                <w:szCs w:val="17"/>
                <w:color w:val="auto"/>
              </w:rPr>
              <w:t>939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ind w:left="640"/>
              <w:spacing w:after="0"/>
              <w:rPr>
                <w:sz w:val="20"/>
                <w:szCs w:val="20"/>
                <w:color w:val="auto"/>
              </w:rPr>
            </w:pPr>
            <w:r>
              <w:rPr>
                <w:rFonts w:ascii="Arial" w:cs="Arial" w:eastAsia="Arial" w:hAnsi="Arial"/>
                <w:sz w:val="17"/>
                <w:szCs w:val="17"/>
                <w:color w:val="auto"/>
              </w:rPr>
              <w:t>3,153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7"/>
                <w:szCs w:val="17"/>
                <w:color w:val="auto"/>
              </w:rPr>
              <w:t>1,505</w:t>
            </w:r>
          </w:p>
        </w:tc>
      </w:tr>
      <w:tr>
        <w:trPr>
          <w:trHeight w:val="26"/>
        </w:trPr>
        <w:tc>
          <w:tcPr>
            <w:tcW w:w="49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2"/>
        </w:trPr>
        <w:tc>
          <w:tcPr>
            <w:tcW w:w="4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Total</w:t>
            </w:r>
          </w:p>
        </w:tc>
        <w:tc>
          <w:tcPr>
            <w:tcW w:w="400" w:type="dxa"/>
            <w:vAlign w:val="bottom"/>
            <w:tcBorders>
              <w:bottom w:val="single" w:sz="8" w:color="CFF0FC"/>
            </w:tcBorders>
            <w:shd w:val="clear" w:color="auto" w:fill="CFF0FC"/>
          </w:tcPr>
          <w:p>
            <w:pPr>
              <w:jc w:val="right"/>
              <w:ind w:right="19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7"/>
                <w:szCs w:val="17"/>
                <w:color w:val="auto"/>
              </w:rPr>
              <w:t>2,548</w:t>
            </w:r>
          </w:p>
        </w:tc>
        <w:tc>
          <w:tcPr>
            <w:tcW w:w="1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ind w:right="43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7"/>
                <w:szCs w:val="17"/>
                <w:color w:val="auto"/>
              </w:rPr>
              <w:t>1,438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7"/>
                <w:szCs w:val="17"/>
                <w:color w:val="auto"/>
              </w:rPr>
              <w:t>4,808</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ind w:right="3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7"/>
                <w:szCs w:val="17"/>
                <w:color w:val="auto"/>
              </w:rPr>
              <w:t>2,304</w:t>
            </w: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60" w:firstLine="420"/>
        <w:spacing w:after="0" w:line="274" w:lineRule="auto"/>
        <w:rPr>
          <w:sz w:val="20"/>
          <w:szCs w:val="20"/>
          <w:color w:val="auto"/>
        </w:rPr>
      </w:pPr>
      <w:r>
        <w:rPr>
          <w:rFonts w:ascii="Arial" w:cs="Arial" w:eastAsia="Arial" w:hAnsi="Arial"/>
          <w:sz w:val="17"/>
          <w:szCs w:val="17"/>
          <w:color w:val="auto"/>
        </w:rPr>
        <w:t>At June 30, 2018, there was $27.6 million of unrecognized compensation cost related to unvested stock option awards, which is expected to be recognized over a remaining weighted average vesting period of 2.51 years.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Australia Research and Development Tax Incentive</w:t>
      </w:r>
    </w:p>
    <w:p>
      <w:pPr>
        <w:spacing w:after="0" w:line="114" w:lineRule="exact"/>
        <w:rPr>
          <w:sz w:val="20"/>
          <w:szCs w:val="20"/>
          <w:color w:val="auto"/>
        </w:rPr>
      </w:pPr>
    </w:p>
    <w:p>
      <w:pPr>
        <w:ind w:right="120" w:firstLine="420"/>
        <w:spacing w:after="0" w:line="253" w:lineRule="auto"/>
        <w:rPr>
          <w:sz w:val="20"/>
          <w:szCs w:val="20"/>
          <w:color w:val="auto"/>
        </w:rPr>
      </w:pPr>
      <w:r>
        <w:rPr>
          <w:rFonts w:ascii="Arial" w:cs="Arial" w:eastAsia="Arial" w:hAnsi="Arial"/>
          <w:sz w:val="17"/>
          <w:szCs w:val="17"/>
          <w:color w:val="auto"/>
        </w:rPr>
        <w:t>Our Australian subsidiary, which conducts core research and development activities on our behalf, is eligible to receive a 43.5% refundable tax incentive for qualified research and development activities during fiscal 2018 and fiscal 2017. For the three months ended June 30, 2018 and 2017, less than $0.1 million and $0.6 million, respectively, were recorded as a reduction to research and development expenses in the consolidated statements of operations and comprehensive loss. For the six months ended June 30, 2018 and 2017, less than $0.1 million and $1.2 million, respectively, were recorded as a reduction to research and development expenses in the consolidated statements of operations and comprehensive loss. As of June 30, 2018 our tax incentive receivable from the Australian government was $0.2 million. We received approximately $1.5 million in cash during the six months ended June 30, 2018 and no cash during the six months ended June 30, 2017 related to the tax incentive.</w:t>
      </w:r>
    </w:p>
    <w:p>
      <w:pPr>
        <w:spacing w:after="0" w:line="284" w:lineRule="exact"/>
        <w:rPr>
          <w:sz w:val="20"/>
          <w:szCs w:val="20"/>
          <w:color w:val="auto"/>
        </w:rPr>
      </w:pPr>
    </w:p>
    <w:p>
      <w:pPr>
        <w:ind w:left="260" w:right="8760" w:hanging="258"/>
        <w:spacing w:after="0" w:line="427" w:lineRule="auto"/>
        <w:tabs>
          <w:tab w:leader="none" w:pos="247"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Leases</w:t>
      </w:r>
    </w:p>
    <w:p>
      <w:pPr>
        <w:spacing w:after="0" w:line="1" w:lineRule="exact"/>
        <w:rPr>
          <w:sz w:val="20"/>
          <w:szCs w:val="20"/>
          <w:color w:val="auto"/>
        </w:rPr>
      </w:pPr>
    </w:p>
    <w:p>
      <w:pPr>
        <w:jc w:val="both"/>
        <w:ind w:right="180" w:firstLine="458"/>
        <w:spacing w:after="0" w:line="342" w:lineRule="auto"/>
        <w:rPr>
          <w:sz w:val="20"/>
          <w:szCs w:val="20"/>
          <w:color w:val="auto"/>
        </w:rPr>
      </w:pPr>
      <w:r>
        <w:rPr>
          <w:rFonts w:ascii="Arial" w:cs="Arial" w:eastAsia="Arial" w:hAnsi="Arial"/>
          <w:sz w:val="15"/>
          <w:szCs w:val="15"/>
          <w:color w:val="auto"/>
        </w:rPr>
        <w:t>In May 2018, we entered into a three year sub-lease agreement for an additional 18,000 square feet of office space. We also continue to lease our headquarters under a non-cancellable operating lease for which we early exercised our option to renew for an additional five-year period in fiscal 2015. Both leases expire in 2021.</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2018, the future minimum annual obligations under non-cancellable operating lease commitments are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 (in thousands)</w:t>
            </w:r>
          </w:p>
        </w:tc>
        <w:tc>
          <w:tcPr>
            <w:tcW w:w="4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2018</w:t>
            </w:r>
          </w:p>
        </w:tc>
        <w:tc>
          <w:tcPr>
            <w:tcW w:w="426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369</w:t>
            </w:r>
          </w:p>
        </w:tc>
      </w:tr>
      <w:tr>
        <w:trPr>
          <w:trHeight w:val="228"/>
        </w:trPr>
        <w:tc>
          <w:tcPr>
            <w:tcW w:w="6180" w:type="dxa"/>
            <w:vAlign w:val="bottom"/>
          </w:tcPr>
          <w:p>
            <w:pPr>
              <w:ind w:left="20"/>
              <w:spacing w:after="0"/>
              <w:rPr>
                <w:sz w:val="20"/>
                <w:szCs w:val="20"/>
                <w:color w:val="auto"/>
              </w:rPr>
            </w:pPr>
            <w:r>
              <w:rPr>
                <w:rFonts w:ascii="Arial" w:cs="Arial" w:eastAsia="Arial" w:hAnsi="Arial"/>
                <w:sz w:val="17"/>
                <w:szCs w:val="17"/>
                <w:color w:val="auto"/>
              </w:rPr>
              <w:t>2019</w:t>
            </w:r>
          </w:p>
        </w:tc>
        <w:tc>
          <w:tcPr>
            <w:tcW w:w="426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938</w:t>
            </w:r>
          </w:p>
        </w:tc>
      </w:tr>
      <w:tr>
        <w:trPr>
          <w:trHeight w:val="26"/>
        </w:trPr>
        <w:tc>
          <w:tcPr>
            <w:tcW w:w="61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4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968</w:t>
            </w:r>
          </w:p>
        </w:tc>
      </w:tr>
      <w:tr>
        <w:trPr>
          <w:trHeight w:val="228"/>
        </w:trPr>
        <w:tc>
          <w:tcPr>
            <w:tcW w:w="6180" w:type="dxa"/>
            <w:vAlign w:val="bottom"/>
          </w:tcPr>
          <w:p>
            <w:pPr>
              <w:ind w:left="20"/>
              <w:spacing w:after="0"/>
              <w:rPr>
                <w:sz w:val="20"/>
                <w:szCs w:val="20"/>
                <w:color w:val="auto"/>
              </w:rPr>
            </w:pPr>
            <w:r>
              <w:rPr>
                <w:rFonts w:ascii="Arial" w:cs="Arial" w:eastAsia="Arial" w:hAnsi="Arial"/>
                <w:sz w:val="17"/>
                <w:szCs w:val="17"/>
                <w:color w:val="auto"/>
              </w:rPr>
              <w:t>2021</w:t>
            </w:r>
          </w:p>
        </w:tc>
        <w:tc>
          <w:tcPr>
            <w:tcW w:w="426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726</w:t>
            </w:r>
          </w:p>
        </w:tc>
      </w:tr>
      <w:tr>
        <w:trPr>
          <w:trHeight w:val="26"/>
        </w:trPr>
        <w:tc>
          <w:tcPr>
            <w:tcW w:w="61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4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28"/>
        </w:trPr>
        <w:tc>
          <w:tcPr>
            <w:tcW w:w="618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426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6"/>
        </w:trPr>
        <w:tc>
          <w:tcPr>
            <w:tcW w:w="61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1"/>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minimum payments required</w:t>
            </w:r>
          </w:p>
        </w:tc>
        <w:tc>
          <w:tcPr>
            <w:tcW w:w="426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3,001</w:t>
            </w:r>
          </w:p>
        </w:tc>
      </w:tr>
      <w:tr>
        <w:trPr>
          <w:trHeight w:val="26"/>
        </w:trPr>
        <w:tc>
          <w:tcPr>
            <w:tcW w:w="618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Other Commitments and Contingencies</w:t>
      </w:r>
    </w:p>
    <w:p>
      <w:pPr>
        <w:spacing w:after="0" w:line="212" w:lineRule="exact"/>
        <w:rPr>
          <w:sz w:val="20"/>
          <w:szCs w:val="20"/>
          <w:color w:val="auto"/>
        </w:rPr>
      </w:pPr>
    </w:p>
    <w:p>
      <w:pPr>
        <w:jc w:val="both"/>
        <w:ind w:right="80" w:firstLine="458"/>
        <w:spacing w:after="0" w:line="312" w:lineRule="auto"/>
        <w:rPr>
          <w:sz w:val="20"/>
          <w:szCs w:val="20"/>
          <w:color w:val="auto"/>
        </w:rPr>
      </w:pPr>
      <w:r>
        <w:rPr>
          <w:rFonts w:ascii="Arial" w:cs="Arial" w:eastAsia="Arial" w:hAnsi="Arial"/>
          <w:sz w:val="15"/>
          <w:szCs w:val="15"/>
          <w:color w:val="auto"/>
        </w:rPr>
        <w:t>We have entered into agreements with certain vendors for the provision of services, including services related to commercial manufacturing, that we are unable to terminate for convenience under and thus avoid any and all future obligations to the related vendors. Under such agreements, we are contractually obligated to make certain minimum payments to the vendors, with the amounts to be based on the timing of the termination and the specific terms of the agreement.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560" w:right="239" w:bottom="1440" w:gutter="0" w:footer="0" w:header="0"/>
        </w:sectPr>
      </w:pPr>
    </w:p>
    <w:bookmarkStart w:id="18" w:name="page19"/>
    <w:bookmarkEnd w:id="18"/>
    <w:p>
      <w:pPr>
        <w:ind w:firstLine="458"/>
        <w:spacing w:after="0" w:line="257" w:lineRule="auto"/>
        <w:rPr>
          <w:sz w:val="20"/>
          <w:szCs w:val="20"/>
          <w:color w:val="auto"/>
        </w:rPr>
      </w:pPr>
      <w:r>
        <w:rPr>
          <w:rFonts w:ascii="Arial" w:cs="Arial" w:eastAsia="Arial" w:hAnsi="Arial"/>
          <w:sz w:val="17"/>
          <w:szCs w:val="17"/>
          <w:color w:val="auto"/>
        </w:rPr>
        <w:t>We also have certain obligations under licensing agreements with third parties that are contingent upon achieving various development, regulatory and commercial milestones. Pursuant to these license agreements, we are required to make milestone payments if certain development, regulatory and commercial sales milestones are achieved. Also, pursuant to the terms of each of these license agreements, when and if commercial sales of a product commence, we will pay royalties to our licensors on net sales of the respective products.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356" w:right="27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14" w:lineRule="exact"/>
        <w:rPr>
          <w:sz w:val="20"/>
          <w:szCs w:val="20"/>
          <w:color w:val="auto"/>
        </w:rPr>
      </w:pPr>
    </w:p>
    <w:p>
      <w:pPr>
        <w:ind w:firstLine="458"/>
        <w:spacing w:after="0" w:line="27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consolidated financial statements and related notes for the six months ended June 30, 2018, included in Part I, Item 1 of this report and with our audited consolidated financial statements and related notes thereto for the year ended December 31, 2017, included in the Company’s Form 10-K. This discussion and other parts of this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report.</w:t>
      </w:r>
    </w:p>
    <w:p>
      <w:pPr>
        <w:spacing w:after="0" w:line="169" w:lineRule="exact"/>
        <w:rPr>
          <w:sz w:val="20"/>
          <w:szCs w:val="20"/>
          <w:color w:val="auto"/>
        </w:rPr>
      </w:pPr>
    </w:p>
    <w:p>
      <w:pPr>
        <w:ind w:right="660" w:firstLine="458"/>
        <w:spacing w:after="0" w:line="274" w:lineRule="auto"/>
        <w:rPr>
          <w:sz w:val="20"/>
          <w:szCs w:val="20"/>
          <w:color w:val="auto"/>
        </w:rPr>
      </w:pPr>
      <w:r>
        <w:rPr>
          <w:rFonts w:ascii="Arial" w:cs="Arial" w:eastAsia="Arial" w:hAnsi="Arial"/>
          <w:sz w:val="17"/>
          <w:szCs w:val="17"/>
          <w:i w:val="1"/>
          <w:iCs w:val="1"/>
          <w:color w:val="auto"/>
        </w:rPr>
        <w:t>As used in this Quarterly Report on Form 10-Q, the terms “AnaptysBio,” “the Company,” “we,” “us,” and “our” refer to AnaptysBio, Inc. and, where appropriate, its consolidated subsidiary, unless the context indicates otherwise.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4" w:lineRule="exact"/>
        <w:rPr>
          <w:sz w:val="20"/>
          <w:szCs w:val="20"/>
          <w:color w:val="auto"/>
        </w:rPr>
      </w:pPr>
    </w:p>
    <w:p>
      <w:pPr>
        <w:ind w:right="280" w:firstLine="420"/>
        <w:spacing w:after="0" w:line="298" w:lineRule="auto"/>
        <w:rPr>
          <w:sz w:val="20"/>
          <w:szCs w:val="20"/>
          <w:color w:val="auto"/>
        </w:rPr>
      </w:pPr>
      <w:r>
        <w:rPr>
          <w:rFonts w:ascii="Arial" w:cs="Arial" w:eastAsia="Arial" w:hAnsi="Arial"/>
          <w:sz w:val="15"/>
          <w:szCs w:val="15"/>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5"/>
          <w:szCs w:val="15"/>
          <w:i w:val="1"/>
          <w:iCs w:val="1"/>
          <w:color w:val="auto"/>
        </w:rPr>
        <w:t>in vitro</w:t>
      </w:r>
      <w:r>
        <w:rPr>
          <w:rFonts w:ascii="Arial" w:cs="Arial" w:eastAsia="Arial" w:hAnsi="Arial"/>
          <w:sz w:val="15"/>
          <w:szCs w:val="15"/>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150" w:lineRule="exact"/>
        <w:rPr>
          <w:sz w:val="20"/>
          <w:szCs w:val="20"/>
          <w:color w:val="auto"/>
        </w:rPr>
      </w:pPr>
    </w:p>
    <w:p>
      <w:pPr>
        <w:ind w:right="80" w:firstLine="420"/>
        <w:spacing w:after="0" w:line="270" w:lineRule="auto"/>
        <w:rPr>
          <w:sz w:val="20"/>
          <w:szCs w:val="20"/>
          <w:color w:val="auto"/>
        </w:rPr>
      </w:pPr>
      <w:r>
        <w:rPr>
          <w:rFonts w:ascii="Arial" w:cs="Arial" w:eastAsia="Arial" w:hAnsi="Arial"/>
          <w:sz w:val="16"/>
          <w:szCs w:val="16"/>
          <w:color w:val="auto"/>
        </w:rPr>
        <w:t xml:space="preserve">Our most advanced wholly-owned antibody programs, etokimab and ANB019, neutralize therapeutic targets that are genetically associated with severe inflammatory disorders in humans. Etokimab is the nonproprietary name adopted by the United States Adopted Names Council, in consultation with the World Health Organization International Nonproprietary Names Expert Committee, for our anti-IL-33 antibody drug candidate previously referred to as ANB020. Etokimab inhibits the activity of the interleukin-33 cytokine, or IL-33, which we believe is broadly applicable to the treatment of atopic inflammatory disorders, such as moderate-to-severe adult atopic dermatitis, severe adult eosinophilic asthma, adult chronic rhinosinusitis with nasal polyps and potentially other allergic conditions. </w:t>
      </w:r>
      <w:r>
        <w:rPr>
          <w:rFonts w:ascii="Arial" w:cs="Arial" w:eastAsia="Arial" w:hAnsi="Arial"/>
          <w:sz w:val="16"/>
          <w:szCs w:val="16"/>
          <w:color w:val="231F20"/>
        </w:rPr>
        <w:t>We have</w:t>
      </w:r>
      <w:r>
        <w:rPr>
          <w:rFonts w:ascii="Arial" w:cs="Arial" w:eastAsia="Arial" w:hAnsi="Arial"/>
          <w:sz w:val="16"/>
          <w:szCs w:val="16"/>
          <w:color w:val="auto"/>
        </w:rPr>
        <w:t xml:space="preserve"> </w:t>
      </w:r>
      <w:r>
        <w:rPr>
          <w:rFonts w:ascii="Arial" w:cs="Arial" w:eastAsia="Arial" w:hAnsi="Arial"/>
          <w:sz w:val="16"/>
          <w:szCs w:val="16"/>
          <w:color w:val="231F20"/>
        </w:rPr>
        <w:t xml:space="preserve">completed a Phase 1 trial of etokimab in healthy volunteers in Australia, the results </w:t>
      </w:r>
      <w:r>
        <w:rPr>
          <w:rFonts w:ascii="Arial" w:cs="Arial" w:eastAsia="Arial" w:hAnsi="Arial"/>
          <w:sz w:val="16"/>
          <w:szCs w:val="16"/>
          <w:color w:val="000000"/>
        </w:rPr>
        <w:t>of which were presented at the 2017 American Academy of Dermatology, or AAD,</w:t>
      </w:r>
      <w:r>
        <w:rPr>
          <w:rFonts w:ascii="Arial" w:cs="Arial" w:eastAsia="Arial" w:hAnsi="Arial"/>
          <w:sz w:val="16"/>
          <w:szCs w:val="16"/>
          <w:color w:val="231F20"/>
        </w:rPr>
        <w:t xml:space="preserve"> </w:t>
      </w:r>
      <w:r>
        <w:rPr>
          <w:rFonts w:ascii="Arial" w:cs="Arial" w:eastAsia="Arial" w:hAnsi="Arial"/>
          <w:sz w:val="16"/>
          <w:szCs w:val="16"/>
          <w:color w:val="000000"/>
        </w:rPr>
        <w:t xml:space="preserve">Annual Meeting and the American Academy of Allergy, Asthma and Immunology, or AAAAI, 2017 Annual Meeting in March 2017. We believe the results of this Phase 1 trial demonstrate a favorable safety profile of etokimab, which was well-tolerated and for which no dose-limiting toxicities were observed, and favorable pharmacodynamic properties of etokimab, where a single dose was sufficient to suppress IL-33 function for approximately three months post-dosing as measured by an </w:t>
      </w:r>
      <w:r>
        <w:rPr>
          <w:rFonts w:ascii="Arial" w:cs="Arial" w:eastAsia="Arial" w:hAnsi="Arial"/>
          <w:sz w:val="16"/>
          <w:szCs w:val="16"/>
          <w:i w:val="1"/>
          <w:iCs w:val="1"/>
          <w:color w:val="000000"/>
        </w:rPr>
        <w:t>ex vivo</w:t>
      </w:r>
      <w:r>
        <w:rPr>
          <w:rFonts w:ascii="Arial" w:cs="Arial" w:eastAsia="Arial" w:hAnsi="Arial"/>
          <w:sz w:val="16"/>
          <w:szCs w:val="16"/>
          <w:color w:val="000000"/>
        </w:rPr>
        <w:t xml:space="preserve"> pharmacodynamic assay.</w:t>
      </w:r>
    </w:p>
    <w:p>
      <w:pPr>
        <w:spacing w:after="0" w:line="169" w:lineRule="exact"/>
        <w:rPr>
          <w:sz w:val="20"/>
          <w:szCs w:val="20"/>
          <w:color w:val="auto"/>
        </w:rPr>
      </w:pPr>
    </w:p>
    <w:p>
      <w:pPr>
        <w:ind w:right="60" w:firstLine="420"/>
        <w:spacing w:after="0" w:line="257" w:lineRule="auto"/>
        <w:rPr>
          <w:sz w:val="20"/>
          <w:szCs w:val="20"/>
          <w:color w:val="auto"/>
        </w:rPr>
      </w:pPr>
      <w:r>
        <w:rPr>
          <w:rFonts w:ascii="Arial" w:cs="Arial" w:eastAsia="Arial" w:hAnsi="Arial"/>
          <w:sz w:val="17"/>
          <w:szCs w:val="17"/>
          <w:color w:val="auto"/>
        </w:rPr>
        <w:t>We have subsequently completed a Phase 2a proof-of-concept trial of etokimab in 12 moderate-to-severe adult atopic dermatitis patients</w:t>
      </w:r>
      <w:r>
        <w:rPr>
          <w:rFonts w:ascii="Arial" w:cs="Arial" w:eastAsia="Arial" w:hAnsi="Arial"/>
          <w:sz w:val="17"/>
          <w:szCs w:val="17"/>
          <w:color w:val="231F20"/>
        </w:rPr>
        <w:t>, under an approved</w:t>
      </w:r>
      <w:r>
        <w:rPr>
          <w:rFonts w:ascii="Arial" w:cs="Arial" w:eastAsia="Arial" w:hAnsi="Arial"/>
          <w:sz w:val="17"/>
          <w:szCs w:val="17"/>
          <w:color w:val="auto"/>
        </w:rPr>
        <w:t xml:space="preserve"> </w:t>
      </w:r>
      <w:r>
        <w:rPr>
          <w:rFonts w:ascii="Arial" w:cs="Arial" w:eastAsia="Arial" w:hAnsi="Arial"/>
          <w:sz w:val="17"/>
          <w:szCs w:val="17"/>
          <w:color w:val="231F20"/>
        </w:rPr>
        <w:t xml:space="preserve">Clinical Trial Authorisation, or CTA, with the U.K. Medicines and Healthcare Products Regulatory Agency, or MHRA, announced top-line data from an interim analysis of this trial in October 2017 </w:t>
      </w:r>
      <w:r>
        <w:rPr>
          <w:rFonts w:ascii="Arial" w:cs="Arial" w:eastAsia="Arial" w:hAnsi="Arial"/>
          <w:sz w:val="17"/>
          <w:szCs w:val="17"/>
          <w:color w:val="000000"/>
        </w:rPr>
        <w:t>and presented data from this trial at the 2018 AAD Annual Meeting in February 2018</w:t>
      </w:r>
      <w:r>
        <w:rPr>
          <w:rFonts w:ascii="Arial" w:cs="Arial" w:eastAsia="Arial" w:hAnsi="Arial"/>
          <w:sz w:val="17"/>
          <w:szCs w:val="17"/>
          <w:color w:val="231F20"/>
        </w:rPr>
        <w:t xml:space="preserve"> and the 2018 European Academy of Allergy and Clinical Immunology, or EAACI, Congress in May 2018.</w:t>
      </w:r>
    </w:p>
    <w:p>
      <w:pPr>
        <w:spacing w:after="0" w:line="180" w:lineRule="exact"/>
        <w:rPr>
          <w:sz w:val="20"/>
          <w:szCs w:val="20"/>
          <w:color w:val="auto"/>
        </w:rPr>
      </w:pPr>
    </w:p>
    <w:p>
      <w:pPr>
        <w:ind w:right="20" w:firstLine="420"/>
        <w:spacing w:after="0" w:line="289" w:lineRule="auto"/>
        <w:rPr>
          <w:sz w:val="20"/>
          <w:szCs w:val="20"/>
          <w:color w:val="auto"/>
        </w:rPr>
      </w:pPr>
      <w:r>
        <w:rPr>
          <w:rFonts w:ascii="Arial" w:cs="Arial" w:eastAsia="Arial" w:hAnsi="Arial"/>
          <w:sz w:val="15"/>
          <w:szCs w:val="15"/>
          <w:color w:val="auto"/>
        </w:rPr>
        <w:t xml:space="preserve">This Phase 2a proof-of-concept trial enrolled 12 moderate-to-severe adult atopic dermatitis patients, who were initially administered a single intravenous dose of placebo within 14 days of enrollment, followed by a single intravenous 300mg dose of etokimab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Eczema Area Severity Index, or EASI, score, a tool used to measure the extent and severity of atopic dermatitis, at key time points following etokimab administration relative to their enrollment baseline. Additional efficacy endpoints measured during the trial included the 5-dimensional pruritus, or 5-D pruritus, scale which measures itchiness, the 5-point Investigator’s Global Assessment, or IGA, scale, Dermatology Life Quality Index, or DLQI, and the SCORing Atopic Dermatitis, or SCORAD, scale. The average baseline EASI score at enrollment amongst all 12 patients was 32. All 12 patients were inadequately controlled by topical corticosteroids and seven of these 12 patients were treated with systemic non-biologic anti-inflammatory therapy prior to the screening washout period of this trial, which exhibited an average EASI baseline score of 36 upon enrollment, while the remaining five of 12 enrolled patients that did not require systemic immuno-modulators pre-study and exhibited an average EASI baseline score of 27. Biomarkers included blood eosinophil levels, an </w:t>
      </w:r>
      <w:r>
        <w:rPr>
          <w:rFonts w:ascii="Arial" w:cs="Arial" w:eastAsia="Arial" w:hAnsi="Arial"/>
          <w:sz w:val="15"/>
          <w:szCs w:val="15"/>
          <w:i w:val="1"/>
          <w:iCs w:val="1"/>
          <w:color w:val="auto"/>
        </w:rPr>
        <w:t>ex vivo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352" w:right="239" w:bottom="1440" w:gutter="0" w:footer="0" w:header="0"/>
        </w:sectPr>
      </w:pPr>
    </w:p>
    <w:bookmarkStart w:id="20" w:name="page21"/>
    <w:bookmarkEnd w:id="20"/>
    <w:p>
      <w:pPr>
        <w:ind w:right="100"/>
        <w:spacing w:after="0" w:line="274" w:lineRule="auto"/>
        <w:rPr>
          <w:sz w:val="20"/>
          <w:szCs w:val="20"/>
          <w:color w:val="auto"/>
        </w:rPr>
      </w:pPr>
      <w:r>
        <w:rPr>
          <w:rFonts w:ascii="Arial" w:cs="Arial" w:eastAsia="Arial" w:hAnsi="Arial"/>
          <w:sz w:val="17"/>
          <w:szCs w:val="17"/>
          <w:color w:val="auto"/>
        </w:rPr>
        <w:t>pharmacodynamic assay measuring IL-33 mediated interferon-gamma release, granulocyte infiltration and cytokine levels in localized skin lesions measured five days after placebo administration and five days after etokimab administration.</w:t>
      </w:r>
    </w:p>
    <w:p>
      <w:pPr>
        <w:spacing w:after="0" w:line="164" w:lineRule="exact"/>
        <w:rPr>
          <w:sz w:val="20"/>
          <w:szCs w:val="20"/>
          <w:color w:val="auto"/>
        </w:rPr>
      </w:pPr>
    </w:p>
    <w:p>
      <w:pPr>
        <w:ind w:firstLine="420"/>
        <w:spacing w:after="0" w:line="286" w:lineRule="auto"/>
        <w:rPr>
          <w:sz w:val="20"/>
          <w:szCs w:val="20"/>
          <w:color w:val="auto"/>
        </w:rPr>
      </w:pPr>
      <w:r>
        <w:rPr>
          <w:rFonts w:ascii="Arial" w:cs="Arial" w:eastAsia="Arial" w:hAnsi="Arial"/>
          <w:sz w:val="15"/>
          <w:szCs w:val="15"/>
          <w:color w:val="auto"/>
        </w:rPr>
        <w:t>This Phase 2a atopic dermatitis trial demonstrated proof-of-concept for etokimab in moderate-to-severe adult atopic dermatitis and suggests that etokimab may provide meaningful differentiation in terms of patient convenience. The primary objective of this Phase 2a atopic dermatitis trial was to determine the percentage of patients achieving 50 percent improvement EASI score relative to enrollment baseline (EASI-50) by day 29 post-etokimab administration. Day 29 results exceeded the primary efficacy objective of the trial with 10 of 12 patients (83%) achieving EASI-50, of which four patients (33%) also achieved 75 percent improvement EASI score relative to enrollment baseline (EASI-75). Etokimab data showed that all 12 patients achieved at least EASI-50 on or before day 57 post-etokimab administration. Rapid clinical response was observed by day 15 post-etokimab administration with nine of 12 patients (75%) achieving EASI-50, of which three patients (25%) also achieved EASI score improvement of 75 percent relative to baseline (EASI-75). These results were sustained through day 140 following single dose administration of etokimab in five of 12 patients (42%) who achieved EASI-50, of which three patients (25%) also achieved EASI-75. Etokimab results were not limited by disease severity as etokimab showed similar resultsin the seven of 12 enrolled patients treated with systemic immuno-modulators pre-study. Other efficacy endpoints, including the IGA scale, the SCORAD scale, DLQI and the 5-D pruritus scale demonstrated rapid and sustained single dose etokimab results in a similar manner to the aforementioned EASI results. Biomarker data demonstrated that reduction of blood eosinophil was consistent with clinical efficacy measures in this Phase 2a trial, with a maximum reduction of 40 percent at day 29 post-etokimab administration relative to baseline, which is aligned with genotypic studies that associate lower eosinophil counts with human IL-33 loss-of-function mutations. In addition, clinical results in this Phase 2a trial were consistent with an ex vivo pharmacodynamic assay measuring IL-33 mediated interferon-gamma release, where 98 percent inhibition was observed within 72 hours following etokimab administration and 86 percent inhibition was sustained at day 57 post-etokimab administration, which is consistent with the pharmacodynamic activity observed using the same assay in a prior Phase 1 trial of etokimab in healthy volunteers. Additional biomarker assessment indicated reduction of granulocyte infiltration into localized skin lesions by an average of 30 percent amongst all patients at five days post-etokimab administration, and 60 percent among the 10 patients achieving EASI-50 at 29 days post-etokimab administration, while exploratory cytokine biomarker levels were below detection limit and therefore inconclusive. Etokimab was generally well-tolerated by all patients and no drug-related safety signals were observed. The most frequent adverse events reported were dizziness in 17 percent of patients post-placebo and headache in 25 percent of patients post-etokimab administration. A single serious adverse event of depression was reported on day 140 post-etokimab administration, which was consistent with the patient’s pre-trial history of depression and was deemed not drug-related.</w:t>
      </w:r>
    </w:p>
    <w:p>
      <w:pPr>
        <w:spacing w:after="0" w:line="162" w:lineRule="exact"/>
        <w:rPr>
          <w:sz w:val="20"/>
          <w:szCs w:val="20"/>
          <w:color w:val="auto"/>
        </w:rPr>
      </w:pPr>
    </w:p>
    <w:p>
      <w:pPr>
        <w:ind w:firstLine="458"/>
        <w:spacing w:after="0" w:line="254" w:lineRule="auto"/>
        <w:rPr>
          <w:sz w:val="20"/>
          <w:szCs w:val="20"/>
          <w:color w:val="auto"/>
        </w:rPr>
      </w:pPr>
      <w:r>
        <w:rPr>
          <w:rFonts w:ascii="Arial" w:cs="Arial" w:eastAsia="Arial" w:hAnsi="Arial"/>
          <w:sz w:val="17"/>
          <w:szCs w:val="17"/>
          <w:color w:val="auto"/>
        </w:rPr>
        <w:t>As further development in atopic dermatitis, we are enrolling a Phase 2b randomized, double-blinded, placebo-controlled, multi-dose study in 300 adults patients with moderate-to-severe atopic dermatitis, also referred to as the ATLAS trial, to assess different dose levels and dosing frequencies of subcutaneously-administered etokimab for a 16-week treatment period followed by an eight-week follow-up period, with data expected in the second half of 2019. Sixty patients are being randomized into each of five arms in the ATLAS trial where dosing will occur as follows: (i) initial 600mg loading dose followed by 300mg monthly doses of etokimab, (ii) initial 300mg loading dose followed by 150mg monthly doses of etokimab, (iii) initial 300mg loading dose followed by 150mg doses of etokimab every eight weeks, (iv) monthly 20mg doses of etokimab and (v) monthly doses of placebo.</w:t>
      </w:r>
    </w:p>
    <w:p>
      <w:pPr>
        <w:spacing w:after="0" w:line="184" w:lineRule="exact"/>
        <w:rPr>
          <w:sz w:val="20"/>
          <w:szCs w:val="20"/>
          <w:color w:val="auto"/>
        </w:rPr>
      </w:pPr>
    </w:p>
    <w:p>
      <w:pPr>
        <w:ind w:right="20" w:firstLine="458"/>
        <w:spacing w:after="0" w:line="254" w:lineRule="auto"/>
        <w:rPr>
          <w:sz w:val="20"/>
          <w:szCs w:val="20"/>
          <w:color w:val="auto"/>
        </w:rPr>
      </w:pPr>
      <w:r>
        <w:rPr>
          <w:rFonts w:ascii="Arial" w:cs="Arial" w:eastAsia="Arial" w:hAnsi="Arial"/>
          <w:sz w:val="17"/>
          <w:szCs w:val="17"/>
          <w:color w:val="auto"/>
        </w:rPr>
        <w:t>We are conducting, under a CTA with the MHRA in the United Kingdom and under an Investigational New Drug Application, or IND with the U.S. Food and Drug Administration, or FDA, a randomized, placebo-controlled Phase 2a trial of etokimab in approximately 24 severe adult eosinophilic asthma patients, where efficacy will be assessed using improvement in Forced Expiratory Volume in One Second, or FEV1, after administration of a single intravenous 300mg dose of etokimab or placebo, each in combination with inhaled corticosteroids and long-acting beta agonists as background therapy. In addition, reduction of blood eosinophil levels and fractional exhaled nitric oxide, or FeNO, will be assessed. This trial will also provide data regarding safety of etokimab in adult eosinophilic asthma patients. Top-line data are anticipated during the third quarter of 2018.</w:t>
      </w:r>
    </w:p>
    <w:p>
      <w:pPr>
        <w:spacing w:after="0" w:line="184" w:lineRule="exact"/>
        <w:rPr>
          <w:sz w:val="20"/>
          <w:szCs w:val="20"/>
          <w:color w:val="auto"/>
        </w:rPr>
      </w:pPr>
    </w:p>
    <w:p>
      <w:pPr>
        <w:ind w:right="80" w:firstLine="458"/>
        <w:spacing w:after="0" w:line="273" w:lineRule="auto"/>
        <w:rPr>
          <w:sz w:val="20"/>
          <w:szCs w:val="20"/>
          <w:color w:val="auto"/>
        </w:rPr>
      </w:pPr>
      <w:r>
        <w:rPr>
          <w:rFonts w:ascii="Arial" w:cs="Arial" w:eastAsia="Arial" w:hAnsi="Arial"/>
          <w:sz w:val="16"/>
          <w:szCs w:val="16"/>
          <w:color w:val="auto"/>
        </w:rPr>
        <w:t>We plan to initiate a randomized, placebo-controlled Phase 2 trial of etokimab in approximately 100 adult patients with chronic rhinosinusitis with nasal polyps, or CRSwNP, which is a debilitating atopic disorder associated with elevated IL-33 pathway signaling. We expect that patients in this trial, also known as the ECLIPSE trial, will be randomized between three cohorts, which include two different subcutaneous dosing frequencies of etokimab, or placebo, each in combination with mometasone furoate nasal spray as background therapy, for a treatment period of 16 weeks followed an eight-week follow-up period. We plan to initiate the ECLIPSE trial by the end of 2018, and anticipate top-line data to be available in the second half of 2019. CRSwNP affects approximately 1.3 million adults in the US and we estimate that 400,000 of these patients are inadequately controlled with standard-of-care.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560" w:right="259" w:bottom="1440" w:gutter="0" w:footer="0" w:header="0"/>
        </w:sectPr>
      </w:pPr>
    </w:p>
    <w:bookmarkStart w:id="21" w:name="page22"/>
    <w:bookmarkEnd w:id="21"/>
    <w:p>
      <w:pPr>
        <w:ind w:right="80" w:firstLine="458"/>
        <w:spacing w:after="0" w:line="257" w:lineRule="auto"/>
        <w:rPr>
          <w:sz w:val="20"/>
          <w:szCs w:val="20"/>
          <w:color w:val="auto"/>
        </w:rPr>
      </w:pPr>
      <w:r>
        <w:rPr>
          <w:rFonts w:ascii="Arial" w:cs="Arial" w:eastAsia="Arial" w:hAnsi="Arial"/>
          <w:sz w:val="17"/>
          <w:szCs w:val="17"/>
          <w:color w:val="auto"/>
        </w:rPr>
        <w:t>As a result of market assessment regarding the adoption of the peanut oral food challenge in future commercial usage of etokimab in peanut allergy patients, AnaptysBio has decided to deprioritize further company-sponsored clinical development of etokimab in moderate-to-severe baseline adult peanut allergy patients. We therefore do not intend to utilize our capital or clinical development resources to pursue a Phase 2b clinical trial of etokimab in peanut allergy, however we may pursue potential investigator-sponsored trials related to this indication.</w:t>
      </w:r>
    </w:p>
    <w:p>
      <w:pPr>
        <w:spacing w:after="0" w:line="180" w:lineRule="exact"/>
        <w:rPr>
          <w:sz w:val="20"/>
          <w:szCs w:val="20"/>
          <w:color w:val="auto"/>
        </w:rPr>
      </w:pPr>
    </w:p>
    <w:p>
      <w:pPr>
        <w:ind w:firstLine="420"/>
        <w:spacing w:after="0" w:line="268" w:lineRule="auto"/>
        <w:rPr>
          <w:sz w:val="20"/>
          <w:szCs w:val="20"/>
          <w:color w:val="auto"/>
        </w:rPr>
      </w:pPr>
      <w:r>
        <w:rPr>
          <w:rFonts w:ascii="Arial" w:cs="Arial" w:eastAsia="Arial" w:hAnsi="Arial"/>
          <w:sz w:val="16"/>
          <w:szCs w:val="16"/>
          <w:color w:val="auto"/>
        </w:rPr>
        <w:t xml:space="preserve">ANB019 inhibits the interleukin-36 receptor, or IL-36R, for the treatment of rare inflammatory diseases including generalized pustular psoriasis, or GPP, and palmoplantar pustulosis, or PPP, previously referred to as palmo-plantar pustular psoriasis. We have completed, under an approved Clinical Trial Notification, or CTN, a Phase 1 clinical trial in healthy volunteers for which we announced positive top-line results from an interim analysis of this trial and subsequently presented completed data from this trial at the 2018 EAACI Congress. In the double-blinded, placebo-controlled healthy volunteer Phase 1 trial, 36 subjects were administered a single subcutaneous or intravenous dose of ANB019 ranging between 10 mg and 750 mg, 18 subjects were administered multiple ascending doses of ANB019 intravenously ranging between 40 mg and 300 mg weekly for four consecutive weeks and 18 subjects were dosed with placebo. ANB019 was well-tolerated by all subjects and no dose-limiting toxicities were observed. The most frequent treatment-emergent adverse events observed in the single ascending dose cohorts were upper respiratory tract infections in 10 of 36 (28%) subjects dosed with ANB019 versus six of 12 (50%) subjects dosed with placebo, and headache in 10 of 36 (28%) subjects dosed with ANB019 versus three of 12 (25%) subjects dosed with placebo. In the multiple ascending dose cohorts, the most frequent treatment-emerging adverse events observed were headache in seven of 18 (39%) subjects dosed with ANB019 versus one of six (17%) subjects dosed with placebo. No serious adverse events were reported among any subjects in the trial.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half-life of ANB019 was approximately 28 days for both subcutaneous and intravenous routes of administration, with bioavailability of approximately 90 percent. A single dose of ANB019 at certain dose levels was able to completely suppress IL-36 cytokine function for 85 days, as measured by IL-36 cytokine-mediated release of IL-8 using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The favorable pharmacokinetics and pharmacodynamic properties of ANB019 and other results demonstrated by this Phase 1 trial support advancement of ANB019 into Phase 2 studies for GPP and PPP during 2018.</w:t>
      </w:r>
    </w:p>
    <w:p>
      <w:pPr>
        <w:spacing w:after="0" w:line="175" w:lineRule="exact"/>
        <w:rPr>
          <w:sz w:val="20"/>
          <w:szCs w:val="20"/>
          <w:color w:val="auto"/>
        </w:rPr>
      </w:pPr>
    </w:p>
    <w:p>
      <w:pPr>
        <w:ind w:right="40" w:firstLine="420"/>
        <w:spacing w:after="0" w:line="272" w:lineRule="auto"/>
        <w:rPr>
          <w:sz w:val="20"/>
          <w:szCs w:val="20"/>
          <w:color w:val="auto"/>
        </w:rPr>
      </w:pPr>
      <w:r>
        <w:rPr>
          <w:rFonts w:ascii="Arial" w:cs="Arial" w:eastAsia="Arial" w:hAnsi="Arial"/>
          <w:sz w:val="16"/>
          <w:szCs w:val="16"/>
          <w:color w:val="auto"/>
        </w:rPr>
        <w:t>We have received clearance of a CTA filing to the MHRA and have subsequently initiated a 10-patient open-label multi-dose Phase 2 trial of ANB019 in GPP patients, also referred to as the GALLOP trial, and intend to expand this trial to U.S. clinical sites upon receiving clearance of an IND submitted with the FDA, where top-line data is anticipated by early 2019. Patients in the GALLOP study are dosed with a 750mg intravenous loading dose of ANB019 upon enrollment, followed by 100mg subcutaneously-administered monthly doses of ANB019 for a treatment period of up to 16 weeks post enrollment and then monitored for a total of 8 weeks. We have filed an IND with the FDA which, when cleared, will support the initiation, in the United States, of a randomized, double-blind, placebo-controlled approximately 50-patient multi-dose trial of ANB019 in PPP, also referred to as the POPLAR trial. We intend to submit a CTA filing to the MHRA to permit expansion of the POPLAR trial in the United Kingdom, where top-line data is anticipated in the second half of 2019.</w:t>
      </w:r>
    </w:p>
    <w:p>
      <w:pPr>
        <w:spacing w:after="0" w:line="169" w:lineRule="exact"/>
        <w:rPr>
          <w:sz w:val="20"/>
          <w:szCs w:val="20"/>
          <w:color w:val="auto"/>
        </w:rPr>
      </w:pPr>
    </w:p>
    <w:p>
      <w:pPr>
        <w:jc w:val="both"/>
        <w:ind w:right="120" w:firstLine="458"/>
        <w:spacing w:after="0" w:line="285" w:lineRule="auto"/>
        <w:rPr>
          <w:sz w:val="20"/>
          <w:szCs w:val="20"/>
          <w:color w:val="auto"/>
        </w:rPr>
      </w:pPr>
      <w:r>
        <w:rPr>
          <w:rFonts w:ascii="Arial" w:cs="Arial" w:eastAsia="Arial" w:hAnsi="Arial"/>
          <w:sz w:val="16"/>
          <w:szCs w:val="16"/>
          <w:color w:val="auto"/>
        </w:rPr>
        <w:t>In addition to etokimab and ANB019, our wholly-owned pipeline includes novel anti-inflammatory checkpoint receptor modulator antibodies that we believe is applicable for treatment of certain autoimmune diseases where immune checkpoint receptors are insufficiently activated, and have demonstrated efficacy in an animal model of graft-versus-host disease, where we anticipate an IND for the first such antibody in the second half of 2019.</w:t>
      </w:r>
    </w:p>
    <w:p>
      <w:pPr>
        <w:spacing w:after="0" w:line="159" w:lineRule="exact"/>
        <w:rPr>
          <w:sz w:val="20"/>
          <w:szCs w:val="20"/>
          <w:color w:val="auto"/>
        </w:rPr>
      </w:pPr>
    </w:p>
    <w:p>
      <w:pPr>
        <w:ind w:right="160" w:firstLine="420"/>
        <w:spacing w:after="0" w:line="285" w:lineRule="auto"/>
        <w:rPr>
          <w:sz w:val="20"/>
          <w:szCs w:val="20"/>
          <w:color w:val="auto"/>
        </w:rPr>
      </w:pPr>
      <w:r>
        <w:rPr>
          <w:rFonts w:ascii="Arial" w:cs="Arial" w:eastAsia="Arial" w:hAnsi="Arial"/>
          <w:sz w:val="16"/>
          <w:szCs w:val="16"/>
          <w:color w:val="auto"/>
        </w:rPr>
        <w:t xml:space="preserve">In addition to our wholly-owned antibody programs, multiple AnaptysBio-developed antibody programs have been advanced to preclinical and clinical milestones under our collaborations. Our collaborations include an immuno-oncology-focused collaboration with </w:t>
      </w:r>
      <w:r>
        <w:rPr>
          <w:rFonts w:ascii="Arial" w:cs="Arial" w:eastAsia="Arial" w:hAnsi="Arial"/>
          <w:sz w:val="16"/>
          <w:szCs w:val="16"/>
          <w:color w:val="231F20"/>
        </w:rPr>
        <w:t>TESARO, Inc. and TESARO Development, Ltd., or</w:t>
      </w:r>
      <w:r>
        <w:rPr>
          <w:rFonts w:ascii="Arial" w:cs="Arial" w:eastAsia="Arial" w:hAnsi="Arial"/>
          <w:sz w:val="16"/>
          <w:szCs w:val="16"/>
          <w:color w:val="auto"/>
        </w:rPr>
        <w:t xml:space="preserve"> </w:t>
      </w:r>
      <w:r>
        <w:rPr>
          <w:rFonts w:ascii="Arial" w:cs="Arial" w:eastAsia="Arial" w:hAnsi="Arial"/>
          <w:sz w:val="16"/>
          <w:szCs w:val="16"/>
          <w:color w:val="231F20"/>
        </w:rPr>
        <w:t xml:space="preserve">collectively, TESARO </w:t>
      </w:r>
      <w:r>
        <w:rPr>
          <w:rFonts w:ascii="Arial" w:cs="Arial" w:eastAsia="Arial" w:hAnsi="Arial"/>
          <w:sz w:val="16"/>
          <w:szCs w:val="16"/>
          <w:color w:val="000000"/>
        </w:rPr>
        <w:t>and an inflammation-focused collaboration with Celgene Corporation, or Celgene, as discussed in Part I—Note 4 above.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560" w:right="239" w:bottom="1440" w:gutter="0" w:footer="0" w:header="0"/>
        </w:sectPr>
      </w:pPr>
    </w:p>
    <w:bookmarkStart w:id="22" w:name="page23"/>
    <w:bookmarkEnd w:id="22"/>
    <w:p>
      <w:pPr>
        <w:ind w:left="460"/>
        <w:spacing w:after="0"/>
        <w:rPr>
          <w:sz w:val="20"/>
          <w:szCs w:val="20"/>
          <w:color w:val="auto"/>
        </w:rPr>
      </w:pPr>
      <w:r>
        <w:rPr>
          <w:rFonts w:ascii="Arial" w:cs="Arial" w:eastAsia="Arial" w:hAnsi="Arial"/>
          <w:sz w:val="17"/>
          <w:szCs w:val="17"/>
          <w:color w:val="auto"/>
        </w:rPr>
        <w:t>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142240</wp:posOffset>
            </wp:positionV>
            <wp:extent cx="5525770" cy="3288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25770" cy="328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Offerings</w:t>
      </w:r>
    </w:p>
    <w:p>
      <w:pPr>
        <w:spacing w:after="0" w:line="135" w:lineRule="exact"/>
        <w:rPr>
          <w:sz w:val="20"/>
          <w:szCs w:val="20"/>
          <w:color w:val="auto"/>
        </w:rPr>
      </w:pPr>
    </w:p>
    <w:p>
      <w:pPr>
        <w:jc w:val="both"/>
        <w:ind w:right="180" w:firstLine="420"/>
        <w:spacing w:after="0" w:line="261" w:lineRule="auto"/>
        <w:rPr>
          <w:sz w:val="20"/>
          <w:szCs w:val="20"/>
          <w:color w:val="auto"/>
        </w:rPr>
      </w:pPr>
      <w:r>
        <w:rPr>
          <w:rFonts w:ascii="Arial" w:cs="Arial" w:eastAsia="Arial" w:hAnsi="Arial"/>
          <w:sz w:val="17"/>
          <w:szCs w:val="17"/>
          <w:color w:val="auto"/>
        </w:rPr>
        <w:t>On January 31, 2017, we completed an initial public offering, or IPO, selling 5,750,000 shares of common stock at $15.00 per share, which included 750,000 shares sold pursuant to the exercise of the underwriters' options to purchase additional shares. Proceeds from our initial public offering net of underwriting discounts and commissions were $80.2 million.</w:t>
      </w:r>
    </w:p>
    <w:p>
      <w:pPr>
        <w:spacing w:after="0" w:line="75" w:lineRule="exact"/>
        <w:rPr>
          <w:sz w:val="20"/>
          <w:szCs w:val="20"/>
          <w:color w:val="auto"/>
        </w:rPr>
      </w:pPr>
    </w:p>
    <w:p>
      <w:pPr>
        <w:ind w:right="100" w:firstLine="420"/>
        <w:spacing w:after="0" w:line="279" w:lineRule="auto"/>
        <w:rPr>
          <w:sz w:val="20"/>
          <w:szCs w:val="20"/>
          <w:color w:val="auto"/>
        </w:rPr>
      </w:pPr>
      <w:r>
        <w:rPr>
          <w:rFonts w:ascii="Arial" w:cs="Arial" w:eastAsia="Arial" w:hAnsi="Arial"/>
          <w:sz w:val="16"/>
          <w:szCs w:val="16"/>
          <w:color w:val="auto"/>
        </w:rPr>
        <w:t>On October 17, 2017, we completed an underwritten public offering of 3,000,000 shares of common stock. All shares were offered by us at a price to the public of $68.50 per share. The aggregate net proceeds received by us from the offering were $194.7 million, net of underwriting discounts and commissions. As part of the underwritten public offering, on November 14, 2017, the underwriters exercised an additional 271,380 shares of common stock at a price to the public of $68.50 per share for aggregate net proceeds of $17.6 million, net of underwriting discounts and commissions.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Operating Results</w:t>
      </w:r>
    </w:p>
    <w:p>
      <w:pPr>
        <w:spacing w:after="0" w:line="3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Collaboration Revenue</w:t>
      </w:r>
    </w:p>
    <w:p>
      <w:pPr>
        <w:spacing w:after="0" w:line="110"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We have not generated any revenue from product sales. Our revenue has been derived from amortization of upfront payments, research and development funding and milestone payments under collaboration and license agreements with our collaborators. From inception through June 30, 2018, we have received $76.6 million in non-dilutive funding from our collaborators.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110" w:lineRule="exact"/>
        <w:rPr>
          <w:sz w:val="20"/>
          <w:szCs w:val="20"/>
          <w:color w:val="auto"/>
        </w:rPr>
      </w:pPr>
    </w:p>
    <w:p>
      <w:pPr>
        <w:ind w:right="220" w:firstLine="420"/>
        <w:spacing w:after="0" w:line="274"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63" w:lineRule="exact"/>
        <w:rPr>
          <w:sz w:val="20"/>
          <w:szCs w:val="20"/>
          <w:color w:val="auto"/>
        </w:rPr>
      </w:pPr>
    </w:p>
    <w:p>
      <w:pPr>
        <w:ind w:left="820" w:right="700" w:hanging="411"/>
        <w:spacing w:after="0" w:line="306"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arrangements with third-parties, such as Contract Research Organizations, or CROs, consultants, members of our scientific and therapeutic advisory boards, and Contract Manufacturing Organizations, or CMOs;</w:t>
      </w:r>
    </w:p>
    <w:p>
      <w:pPr>
        <w:spacing w:after="0" w:line="39" w:lineRule="exact"/>
        <w:rPr>
          <w:rFonts w:ascii="Arial" w:cs="Arial" w:eastAsia="Arial" w:hAnsi="Arial"/>
          <w:sz w:val="16"/>
          <w:szCs w:val="16"/>
          <w:color w:val="auto"/>
        </w:rPr>
      </w:pPr>
    </w:p>
    <w:p>
      <w:pPr>
        <w:ind w:left="820" w:hanging="411"/>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travel and stock-based compensation;</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360"/>
          </w:cols>
          <w:pgMar w:left="240" w:top="560" w:right="299" w:bottom="1440" w:gutter="0" w:footer="0" w:header="0"/>
        </w:sectPr>
      </w:pPr>
    </w:p>
    <w:bookmarkStart w:id="23" w:name="page24"/>
    <w:bookmarkEnd w:id="23"/>
    <w:p>
      <w:pPr>
        <w:ind w:left="820" w:right="320" w:hanging="411"/>
        <w:spacing w:after="0" w:line="274"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7"/>
          <w:szCs w:val="17"/>
          <w:color w:val="auto"/>
        </w:rPr>
      </w:pPr>
    </w:p>
    <w:p>
      <w:pPr>
        <w:ind w:left="820" w:hanging="411"/>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License and sub-license fees.</w:t>
      </w:r>
    </w:p>
    <w:p>
      <w:pPr>
        <w:spacing w:after="0" w:line="212" w:lineRule="exact"/>
        <w:rPr>
          <w:sz w:val="20"/>
          <w:szCs w:val="20"/>
          <w:color w:val="auto"/>
        </w:rPr>
      </w:pPr>
    </w:p>
    <w:p>
      <w:pPr>
        <w:ind w:right="540" w:firstLine="420"/>
        <w:spacing w:after="0" w:line="274" w:lineRule="auto"/>
        <w:rPr>
          <w:sz w:val="20"/>
          <w:szCs w:val="20"/>
          <w:color w:val="auto"/>
        </w:rPr>
      </w:pPr>
      <w:r>
        <w:rPr>
          <w:rFonts w:ascii="Arial" w:cs="Arial" w:eastAsia="Arial" w:hAnsi="Arial"/>
          <w:sz w:val="17"/>
          <w:szCs w:val="17"/>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64" w:lineRule="exact"/>
        <w:rPr>
          <w:sz w:val="20"/>
          <w:szCs w:val="20"/>
          <w:color w:val="auto"/>
        </w:rPr>
      </w:pPr>
    </w:p>
    <w:p>
      <w:pPr>
        <w:ind w:firstLine="420"/>
        <w:spacing w:after="0" w:line="255" w:lineRule="auto"/>
        <w:rPr>
          <w:sz w:val="20"/>
          <w:szCs w:val="20"/>
          <w:color w:val="auto"/>
        </w:rPr>
      </w:pPr>
      <w:r>
        <w:rPr>
          <w:rFonts w:ascii="Arial" w:cs="Arial" w:eastAsia="Arial" w:hAnsi="Arial"/>
          <w:sz w:val="17"/>
          <w:szCs w:val="17"/>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w:t>
      </w:r>
    </w:p>
    <w:p>
      <w:pPr>
        <w:spacing w:after="0" w:line="183" w:lineRule="exact"/>
        <w:rPr>
          <w:sz w:val="20"/>
          <w:szCs w:val="20"/>
          <w:color w:val="auto"/>
        </w:rPr>
      </w:pPr>
    </w:p>
    <w:p>
      <w:pPr>
        <w:ind w:right="180" w:firstLine="420"/>
        <w:spacing w:after="0" w:line="257" w:lineRule="auto"/>
        <w:rPr>
          <w:sz w:val="20"/>
          <w:szCs w:val="20"/>
          <w:color w:val="auto"/>
        </w:rPr>
      </w:pPr>
      <w:r>
        <w:rPr>
          <w:rFonts w:ascii="Arial" w:cs="Arial" w:eastAsia="Arial" w:hAnsi="Arial"/>
          <w:sz w:val="17"/>
          <w:szCs w:val="17"/>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and pharmacology studies, drug product manufacturing and clinical trials.</w:t>
      </w:r>
    </w:p>
    <w:p>
      <w:pPr>
        <w:spacing w:after="0" w:line="180" w:lineRule="exact"/>
        <w:rPr>
          <w:sz w:val="20"/>
          <w:szCs w:val="20"/>
          <w:color w:val="auto"/>
        </w:rPr>
      </w:pPr>
    </w:p>
    <w:p>
      <w:pPr>
        <w:ind w:right="440" w:firstLine="420"/>
        <w:spacing w:after="0" w:line="279" w:lineRule="auto"/>
        <w:rPr>
          <w:sz w:val="20"/>
          <w:szCs w:val="20"/>
          <w:color w:val="auto"/>
        </w:rPr>
      </w:pPr>
      <w:r>
        <w:rPr>
          <w:rFonts w:ascii="Arial" w:cs="Arial" w:eastAsia="Arial" w:hAnsi="Arial"/>
          <w:sz w:val="16"/>
          <w:szCs w:val="16"/>
          <w:color w:val="auto"/>
        </w:rPr>
        <w:t xml:space="preserve">We have conducted initial clinical trials for etokimab and ANB019 in Australia to rapidly enter into first-in-human studies and benefit from research and development-related financial incentives related to the development of etokimab and ANB019. We </w:t>
      </w:r>
      <w:r>
        <w:rPr>
          <w:rFonts w:ascii="Arial" w:cs="Arial" w:eastAsia="Arial" w:hAnsi="Arial"/>
          <w:sz w:val="16"/>
          <w:szCs w:val="16"/>
          <w:color w:val="231F20"/>
        </w:rPr>
        <w:t>have completed a Phase 2a trial of etokimab in patients with</w:t>
      </w:r>
      <w:r>
        <w:rPr>
          <w:rFonts w:ascii="Arial" w:cs="Arial" w:eastAsia="Arial" w:hAnsi="Arial"/>
          <w:sz w:val="16"/>
          <w:szCs w:val="16"/>
          <w:color w:val="auto"/>
        </w:rPr>
        <w:t xml:space="preserve"> </w:t>
      </w:r>
      <w:r>
        <w:rPr>
          <w:rFonts w:ascii="Arial" w:cs="Arial" w:eastAsia="Arial" w:hAnsi="Arial"/>
          <w:sz w:val="16"/>
          <w:szCs w:val="16"/>
          <w:color w:val="231F20"/>
        </w:rPr>
        <w:t xml:space="preserve">moderate-to-severe adult atopic dermatitis and have completed enrollment in </w:t>
      </w:r>
      <w:r>
        <w:rPr>
          <w:rFonts w:ascii="Arial" w:cs="Arial" w:eastAsia="Arial" w:hAnsi="Arial"/>
          <w:sz w:val="16"/>
          <w:szCs w:val="16"/>
          <w:color w:val="000000"/>
        </w:rPr>
        <w:t>our</w:t>
      </w:r>
      <w:r>
        <w:rPr>
          <w:rFonts w:ascii="Arial" w:cs="Arial" w:eastAsia="Arial" w:hAnsi="Arial"/>
          <w:sz w:val="16"/>
          <w:szCs w:val="16"/>
          <w:color w:val="231F20"/>
        </w:rPr>
        <w:t xml:space="preserve"> Phase 2a trial of etokimab in patients with severe adult eosinophilic asthma. W</w:t>
      </w:r>
      <w:r>
        <w:rPr>
          <w:rFonts w:ascii="Arial" w:cs="Arial" w:eastAsia="Arial" w:hAnsi="Arial"/>
          <w:sz w:val="16"/>
          <w:szCs w:val="16"/>
          <w:color w:val="000000"/>
        </w:rPr>
        <w:t>e</w:t>
      </w:r>
      <w:r>
        <w:rPr>
          <w:rFonts w:ascii="Arial" w:cs="Arial" w:eastAsia="Arial" w:hAnsi="Arial"/>
          <w:sz w:val="16"/>
          <w:szCs w:val="16"/>
          <w:color w:val="231F20"/>
        </w:rPr>
        <w:t xml:space="preserve"> </w:t>
      </w:r>
      <w:r>
        <w:rPr>
          <w:rFonts w:ascii="Arial" w:cs="Arial" w:eastAsia="Arial" w:hAnsi="Arial"/>
          <w:sz w:val="16"/>
          <w:szCs w:val="16"/>
          <w:color w:val="000000"/>
        </w:rPr>
        <w:t>expect our research and development expenses to be higher for the foreseeable future as we advance our product candidates.</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110" w:lineRule="exact"/>
        <w:rPr>
          <w:sz w:val="20"/>
          <w:szCs w:val="20"/>
          <w:color w:val="auto"/>
        </w:rPr>
      </w:pPr>
    </w:p>
    <w:p>
      <w:pPr>
        <w:ind w:right="60" w:firstLine="420"/>
        <w:spacing w:after="0" w:line="261" w:lineRule="auto"/>
        <w:rPr>
          <w:sz w:val="20"/>
          <w:szCs w:val="20"/>
          <w:color w:val="auto"/>
        </w:rPr>
      </w:pPr>
      <w:r>
        <w:rPr>
          <w:rFonts w:ascii="Arial" w:cs="Arial" w:eastAsia="Arial" w:hAnsi="Arial"/>
          <w:sz w:val="17"/>
          <w:szCs w:val="17"/>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0" w:lineRule="exact"/>
        <w:rPr>
          <w:sz w:val="20"/>
          <w:szCs w:val="20"/>
          <w:color w:val="auto"/>
        </w:rPr>
      </w:pPr>
    </w:p>
    <w:p>
      <w:pPr>
        <w:ind w:right="680" w:firstLine="420"/>
        <w:spacing w:after="0" w:line="274" w:lineRule="auto"/>
        <w:rPr>
          <w:sz w:val="20"/>
          <w:szCs w:val="20"/>
          <w:color w:val="auto"/>
        </w:rPr>
      </w:pPr>
      <w:r>
        <w:rPr>
          <w:rFonts w:ascii="Arial" w:cs="Arial" w:eastAsia="Arial" w:hAnsi="Arial"/>
          <w:sz w:val="17"/>
          <w:szCs w:val="17"/>
          <w:color w:val="auto"/>
        </w:rPr>
        <w:t>Interest expense consists of floating interest payments and amortization of discounts on our outstanding notes payable relating to our Loan and Security Agreement with Oxford Finance LLC and Silicon Valley Bank, as amended, which we refer to as the Loan Agreement.</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Change in Fair Value of Liability for Preferred Stock Warrants</w:t>
      </w:r>
    </w:p>
    <w:p>
      <w:pPr>
        <w:spacing w:after="0" w:line="110"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Income and expense from the change in fair value of our liability for preferred stock warrants results from the valuation of our outstanding warrants to purchase shares of our preferred stock, which are valued at each period end. Upon the closing of our initial public offering on January 31, 2017, the warrants to purchase shares of preferred stock converted into warrants to purchase shares of common stock, the preferred stock warrant liabilities have been reclassified to additional paid-in capital and periodic fair value adjustments are no longer required.</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Interest Income</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Interest income consists primarily of interest earned on our short-term and long-term investments, and is recognized when earned.</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114" w:lineRule="exact"/>
        <w:rPr>
          <w:sz w:val="20"/>
          <w:szCs w:val="20"/>
          <w:color w:val="auto"/>
        </w:rPr>
      </w:pPr>
    </w:p>
    <w:p>
      <w:pPr>
        <w:ind w:firstLine="420"/>
        <w:spacing w:after="0" w:line="261"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U.S. GAAP. The preparation of these financial statements requires us to make judgments and estimates that affect the reported amounts of assets,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458" w:right="259" w:bottom="1440" w:gutter="0" w:footer="0" w:header="0"/>
        </w:sectPr>
      </w:pPr>
    </w:p>
    <w:bookmarkStart w:id="24" w:name="page25"/>
    <w:bookmarkEnd w:id="24"/>
    <w:p>
      <w:pPr>
        <w:jc w:val="both"/>
        <w:ind w:right="340"/>
        <w:spacing w:after="0" w:line="275" w:lineRule="auto"/>
        <w:rPr>
          <w:sz w:val="20"/>
          <w:szCs w:val="20"/>
          <w:color w:val="auto"/>
        </w:rPr>
      </w:pPr>
      <w:r>
        <w:rPr>
          <w:rFonts w:ascii="Arial" w:cs="Arial" w:eastAsia="Arial" w:hAnsi="Arial"/>
          <w:sz w:val="16"/>
          <w:szCs w:val="16"/>
          <w:color w:val="auto"/>
        </w:rPr>
        <w:t>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March 5, 2018, other than to revenue recognition upon adoption of ASC Topic 606, as discussed below.</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0" w:lineRule="exact"/>
        <w:rPr>
          <w:sz w:val="20"/>
          <w:szCs w:val="20"/>
          <w:color w:val="auto"/>
        </w:rPr>
      </w:pPr>
    </w:p>
    <w:p>
      <w:pPr>
        <w:jc w:val="both"/>
        <w:ind w:right="580" w:firstLine="458"/>
        <w:spacing w:after="0" w:line="261" w:lineRule="auto"/>
        <w:rPr>
          <w:sz w:val="20"/>
          <w:szCs w:val="20"/>
          <w:color w:val="auto"/>
        </w:rPr>
      </w:pPr>
      <w:r>
        <w:rPr>
          <w:rFonts w:ascii="Arial" w:cs="Arial" w:eastAsia="Arial" w:hAnsi="Arial"/>
          <w:sz w:val="17"/>
          <w:szCs w:val="17"/>
          <w:color w:val="auto"/>
        </w:rPr>
        <w:t>Revenue is recognized in accordance with revenue recognition accounting guidance, which utilizes five basic steps to determine whether revenue can be recognized and to what extent: (i) identify contract with customer; (ii) identify the performance obligation; (iii) determine the transaction price; (iv) allocate the transaction price; and (v) determine the recognition period.</w:t>
      </w:r>
    </w:p>
    <w:p>
      <w:pPr>
        <w:spacing w:after="0" w:line="176" w:lineRule="exact"/>
        <w:rPr>
          <w:sz w:val="20"/>
          <w:szCs w:val="20"/>
          <w:color w:val="auto"/>
        </w:rPr>
      </w:pPr>
    </w:p>
    <w:p>
      <w:pPr>
        <w:ind w:right="100" w:firstLine="458"/>
        <w:spacing w:after="0" w:line="254" w:lineRule="auto"/>
        <w:rPr>
          <w:sz w:val="20"/>
          <w:szCs w:val="20"/>
          <w:color w:val="auto"/>
        </w:rPr>
      </w:pPr>
      <w:r>
        <w:rPr>
          <w:rFonts w:ascii="Arial" w:cs="Arial" w:eastAsia="Arial" w:hAnsi="Arial"/>
          <w:sz w:val="17"/>
          <w:szCs w:val="17"/>
          <w:i w:val="1"/>
          <w:iCs w:val="1"/>
          <w:color w:val="auto"/>
        </w:rPr>
        <w:t xml:space="preserve">Performance Obligations. </w:t>
      </w:r>
      <w:r>
        <w:rPr>
          <w:rFonts w:ascii="Arial" w:cs="Arial" w:eastAsia="Arial" w:hAnsi="Arial"/>
          <w:sz w:val="17"/>
          <w:szCs w:val="17"/>
          <w:color w:val="auto"/>
        </w:rPr>
        <w:t>We evaluate deliverables on a contract by contract basis to determine whether each deliverable represents a good or service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performance obligations may include the following:</w:t>
      </w:r>
    </w:p>
    <w:p>
      <w:pPr>
        <w:spacing w:after="0" w:line="212" w:lineRule="exact"/>
        <w:rPr>
          <w:sz w:val="20"/>
          <w:szCs w:val="20"/>
          <w:color w:val="auto"/>
        </w:rPr>
      </w:pPr>
    </w:p>
    <w:p>
      <w:pPr>
        <w:ind w:left="620" w:right="80" w:hanging="300"/>
        <w:spacing w:after="0" w:line="279" w:lineRule="auto"/>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60" w:lineRule="exact"/>
        <w:rPr>
          <w:rFonts w:ascii="Arial" w:cs="Arial" w:eastAsia="Arial" w:hAnsi="Arial"/>
          <w:sz w:val="16"/>
          <w:szCs w:val="16"/>
          <w:color w:val="auto"/>
        </w:rPr>
      </w:pPr>
    </w:p>
    <w:p>
      <w:pPr>
        <w:ind w:left="620" w:hanging="300"/>
        <w:spacing w:after="0" w:line="279" w:lineRule="auto"/>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60" w:lineRule="exact"/>
        <w:rPr>
          <w:rFonts w:ascii="Arial" w:cs="Arial" w:eastAsia="Arial" w:hAnsi="Arial"/>
          <w:sz w:val="16"/>
          <w:szCs w:val="16"/>
          <w:color w:val="auto"/>
        </w:rPr>
      </w:pPr>
    </w:p>
    <w:p>
      <w:pPr>
        <w:ind w:left="620" w:right="240" w:hanging="300"/>
        <w:spacing w:after="0" w:line="261"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Steering Committee Meetings. The performance obligations under our collaboration and license agreements may also include our participation in a steering committees, which allows us to direct the progression of our discovery programs. As these steering committees would not occur or benefit the customer without the use of our licenses, these are not considered distinct.</w:t>
      </w:r>
    </w:p>
    <w:p>
      <w:pPr>
        <w:spacing w:after="0" w:line="176" w:lineRule="exact"/>
        <w:rPr>
          <w:sz w:val="20"/>
          <w:szCs w:val="20"/>
          <w:color w:val="auto"/>
        </w:rPr>
      </w:pPr>
    </w:p>
    <w:p>
      <w:pPr>
        <w:ind w:right="60" w:firstLine="458"/>
        <w:spacing w:after="0" w:line="261" w:lineRule="auto"/>
        <w:rPr>
          <w:sz w:val="20"/>
          <w:szCs w:val="20"/>
          <w:color w:val="auto"/>
        </w:rPr>
      </w:pPr>
      <w:r>
        <w:rPr>
          <w:rFonts w:ascii="Arial" w:cs="Arial" w:eastAsia="Arial" w:hAnsi="Arial"/>
          <w:sz w:val="17"/>
          <w:szCs w:val="17"/>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176" w:lineRule="exact"/>
        <w:rPr>
          <w:sz w:val="20"/>
          <w:szCs w:val="20"/>
          <w:color w:val="auto"/>
        </w:rPr>
      </w:pPr>
    </w:p>
    <w:p>
      <w:pPr>
        <w:ind w:right="20" w:firstLine="458"/>
        <w:spacing w:after="0" w:line="275"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 for upfront</w:t>
      </w:r>
      <w:r>
        <w:rPr>
          <w:rFonts w:ascii="Arial" w:cs="Arial" w:eastAsia="Arial" w:hAnsi="Arial"/>
          <w:sz w:val="16"/>
          <w:szCs w:val="16"/>
          <w:i w:val="1"/>
          <w:iCs w:val="1"/>
          <w:color w:val="auto"/>
        </w:rPr>
        <w:t xml:space="preserve"> </w:t>
      </w:r>
      <w:r>
        <w:rPr>
          <w:rFonts w:ascii="Arial" w:cs="Arial" w:eastAsia="Arial" w:hAnsi="Arial"/>
          <w:sz w:val="16"/>
          <w:szCs w:val="16"/>
          <w:color w:val="auto"/>
        </w:rPr>
        <w:t>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58"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Results of Operations - Comparison of the Three and Six Months Ended June 30, 2018 and 2017</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Collaboration Revenue</w:t>
      </w:r>
    </w:p>
    <w:p>
      <w:pPr>
        <w:spacing w:after="0" w:line="110" w:lineRule="exact"/>
        <w:rPr>
          <w:sz w:val="20"/>
          <w:szCs w:val="20"/>
          <w:color w:val="auto"/>
        </w:rPr>
      </w:pPr>
    </w:p>
    <w:p>
      <w:pPr>
        <w:ind w:right="60" w:firstLine="458"/>
        <w:spacing w:after="0" w:line="261" w:lineRule="auto"/>
        <w:rPr>
          <w:sz w:val="20"/>
          <w:szCs w:val="20"/>
          <w:color w:val="auto"/>
        </w:rPr>
      </w:pPr>
      <w:r>
        <w:rPr>
          <w:rFonts w:ascii="Arial" w:cs="Arial" w:eastAsia="Arial" w:hAnsi="Arial"/>
          <w:sz w:val="17"/>
          <w:szCs w:val="17"/>
          <w:color w:val="auto"/>
        </w:rPr>
        <w:t>We received no collaboration revenue for both the three and six months ended June 30, 2018 compared to $7.0 million for both the three and six months ended June 30, 2017. We expect that any collaboration revenue we generate will continue to fluctuate from period to period as a result of the timing and amount of milestones from our existing collaborations. A comparison of revenue by collaborator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8"/>
              </w:rPr>
              <w:t>Three Months Ended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Six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0"/>
        </w:trPr>
        <w:tc>
          <w:tcPr>
            <w:tcW w:w="44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449"/>
              <w:spacing w:after="0"/>
              <w:rPr>
                <w:sz w:val="20"/>
                <w:szCs w:val="20"/>
                <w:color w:val="auto"/>
              </w:rPr>
            </w:pPr>
            <w:r>
              <w:rPr>
                <w:rFonts w:ascii="Arial" w:cs="Arial" w:eastAsia="Arial" w:hAnsi="Arial"/>
                <w:sz w:val="14"/>
                <w:szCs w:val="14"/>
                <w:b w:val="1"/>
                <w:bCs w:val="1"/>
                <w:color w:val="auto"/>
                <w:w w:val="85"/>
              </w:rPr>
              <w:t>June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Increase</w:t>
            </w:r>
          </w:p>
        </w:tc>
      </w:tr>
      <w:tr>
        <w:trPr>
          <w:trHeight w:val="247"/>
        </w:trPr>
        <w:tc>
          <w:tcPr>
            <w:tcW w:w="446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4"/>
              </w:rPr>
              <w:t>(Decrease)</w:t>
            </w:r>
          </w:p>
        </w:tc>
        <w:tc>
          <w:tcPr>
            <w:tcW w:w="1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4"/>
              </w:rPr>
              <w:t>(Decrease)</w:t>
            </w:r>
          </w:p>
        </w:tc>
      </w:tr>
      <w:tr>
        <w:trPr>
          <w:trHeight w:val="240"/>
        </w:trPr>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TESARO-milestones</w:t>
            </w:r>
          </w:p>
        </w:tc>
        <w:tc>
          <w:tcPr>
            <w:tcW w:w="720" w:type="dxa"/>
            <w:vAlign w:val="bottom"/>
            <w:tcBorders>
              <w:bottom w:val="single" w:sz="8" w:color="CFF0FC"/>
            </w:tcBorders>
            <w:shd w:val="clear" w:color="auto" w:fill="CFF0FC"/>
          </w:tcPr>
          <w:p>
            <w:pPr>
              <w:jc w:val="right"/>
              <w:ind w:right="548"/>
              <w:spacing w:after="0"/>
              <w:rPr>
                <w:sz w:val="20"/>
                <w:szCs w:val="20"/>
                <w:color w:val="auto"/>
              </w:rPr>
            </w:pPr>
            <w:r>
              <w:rPr>
                <w:rFonts w:ascii="Arial" w:cs="Arial" w:eastAsia="Arial" w:hAnsi="Arial"/>
                <w:sz w:val="15"/>
                <w:szCs w:val="15"/>
                <w:color w:val="auto"/>
                <w:w w:val="95"/>
              </w:rPr>
              <w:t>$</w:t>
            </w:r>
          </w:p>
        </w:tc>
        <w:tc>
          <w:tcPr>
            <w:tcW w:w="3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280" w:type="dxa"/>
            <w:vAlign w:val="bottom"/>
            <w:tcBorders>
              <w:bottom w:val="single" w:sz="8" w:color="CFF0FC"/>
            </w:tcBorders>
            <w:shd w:val="clear" w:color="auto" w:fill="CFF0FC"/>
          </w:tcPr>
          <w:p>
            <w:pPr>
              <w:jc w:val="right"/>
              <w:ind w:right="10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15"/>
                <w:szCs w:val="15"/>
                <w:color w:val="auto"/>
              </w:rPr>
              <w:t>7,000</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(7,000)</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FF0FC"/>
            </w:tcBorders>
            <w:gridSpan w:val="2"/>
            <w:shd w:val="clear" w:color="auto" w:fill="CFF0FC"/>
          </w:tcPr>
          <w:p>
            <w:pPr>
              <w:ind w:left="5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FF0FC"/>
            </w:tcBorders>
            <w:shd w:val="clear" w:color="auto" w:fill="CFF0FC"/>
          </w:tcPr>
          <w:p>
            <w:pPr>
              <w:jc w:val="right"/>
              <w:ind w:right="12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15"/>
                <w:szCs w:val="15"/>
                <w:color w:val="auto"/>
              </w:rPr>
              <w:t>7,000</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(7,000)</w:t>
            </w:r>
          </w:p>
        </w:tc>
      </w:tr>
      <w:tr>
        <w:trPr>
          <w:trHeight w:val="204"/>
        </w:trPr>
        <w:tc>
          <w:tcPr>
            <w:tcW w:w="4460" w:type="dxa"/>
            <w:vAlign w:val="bottom"/>
          </w:tcPr>
          <w:p>
            <w:pPr>
              <w:ind w:left="260"/>
              <w:spacing w:after="0"/>
              <w:rPr>
                <w:sz w:val="20"/>
                <w:szCs w:val="20"/>
                <w:color w:val="auto"/>
              </w:rPr>
            </w:pPr>
            <w:r>
              <w:rPr>
                <w:rFonts w:ascii="Arial" w:cs="Arial" w:eastAsia="Arial" w:hAnsi="Arial"/>
                <w:sz w:val="15"/>
                <w:szCs w:val="15"/>
                <w:color w:val="auto"/>
              </w:rPr>
              <w:t>Total</w:t>
            </w:r>
          </w:p>
        </w:tc>
        <w:tc>
          <w:tcPr>
            <w:tcW w:w="720" w:type="dxa"/>
            <w:vAlign w:val="bottom"/>
            <w:tcBorders>
              <w:top w:val="single" w:sz="8" w:color="auto"/>
            </w:tcBorders>
          </w:tcPr>
          <w:p>
            <w:pPr>
              <w:jc w:val="right"/>
              <w:ind w:right="548"/>
              <w:spacing w:after="0"/>
              <w:rPr>
                <w:sz w:val="20"/>
                <w:szCs w:val="20"/>
                <w:color w:val="auto"/>
              </w:rPr>
            </w:pPr>
            <w:r>
              <w:rPr>
                <w:rFonts w:ascii="Arial" w:cs="Arial" w:eastAsia="Arial" w:hAnsi="Arial"/>
                <w:sz w:val="15"/>
                <w:szCs w:val="15"/>
                <w:color w:val="auto"/>
                <w:w w:val="95"/>
              </w:rPr>
              <w:t>$</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7,000</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(7,000)</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gridSpan w:val="2"/>
          </w:tcPr>
          <w:p>
            <w:pPr>
              <w:ind w:left="520"/>
              <w:spacing w:after="0"/>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7,000</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(7,000)</w:t>
            </w:r>
          </w:p>
        </w:tc>
      </w:tr>
      <w:tr>
        <w:trPr>
          <w:trHeight w:val="30"/>
        </w:trPr>
        <w:tc>
          <w:tcPr>
            <w:tcW w:w="44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0" w:lineRule="exact"/>
        <w:rPr>
          <w:sz w:val="20"/>
          <w:szCs w:val="20"/>
          <w:color w:val="auto"/>
        </w:rPr>
      </w:pPr>
    </w:p>
    <w:p>
      <w:pPr>
        <w:ind w:right="240" w:firstLine="420"/>
        <w:spacing w:after="0" w:line="285" w:lineRule="auto"/>
        <w:rPr>
          <w:sz w:val="20"/>
          <w:szCs w:val="20"/>
          <w:color w:val="auto"/>
        </w:rPr>
      </w:pPr>
      <w:r>
        <w:rPr>
          <w:rFonts w:ascii="Arial" w:cs="Arial" w:eastAsia="Arial" w:hAnsi="Arial"/>
          <w:sz w:val="16"/>
          <w:szCs w:val="16"/>
          <w:color w:val="auto"/>
        </w:rPr>
        <w:t>Research and development expenses were $10.6 million during the three months ended June 30, 2018 compared to $7.2 million during the three months ended June 30, 2017 for an increase of $3.4 million, primarily due to a $1.5 million increase in clinical expenses, a $1.2 million increase in salaries and related expenses including stock compensation expense and a $0.6 million decrease in Australian tax incentives recognized.</w:t>
      </w:r>
    </w:p>
    <w:p>
      <w:pPr>
        <w:spacing w:after="0" w:line="57" w:lineRule="exact"/>
        <w:rPr>
          <w:sz w:val="20"/>
          <w:szCs w:val="20"/>
          <w:color w:val="auto"/>
        </w:rPr>
      </w:pPr>
    </w:p>
    <w:p>
      <w:pPr>
        <w:ind w:right="80" w:firstLine="420"/>
        <w:spacing w:after="0" w:line="257" w:lineRule="auto"/>
        <w:rPr>
          <w:sz w:val="20"/>
          <w:szCs w:val="20"/>
          <w:color w:val="auto"/>
        </w:rPr>
      </w:pPr>
      <w:r>
        <w:rPr>
          <w:rFonts w:ascii="Arial" w:cs="Arial" w:eastAsia="Arial" w:hAnsi="Arial"/>
          <w:sz w:val="17"/>
          <w:szCs w:val="17"/>
          <w:color w:val="auto"/>
        </w:rPr>
        <w:t>Research and development expenses were $22.4 million during the six months ended June 30, 2018 compared to $15.1 million during the six months ended June 30, 2017 for an increase of $7.3 million, primarily due to a $1.4 million increase in outside services for preclinical and manufacturing expenses, a $2.7 million increase in clinical expenses, a $2.2 million increase in salaries and related expenses including stock compensation expense and a $1.1 million decrease in Australian tax incentives recognized.</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We expect our research and development expenses to increase as we further advance our development programs, including entering into additional clinical trials.</w:t>
      </w:r>
    </w:p>
    <w:p>
      <w:pPr>
        <w:spacing w:after="0" w:line="33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0" w:lineRule="exact"/>
        <w:rPr>
          <w:sz w:val="20"/>
          <w:szCs w:val="20"/>
          <w:color w:val="auto"/>
        </w:rPr>
      </w:pPr>
    </w:p>
    <w:p>
      <w:pPr>
        <w:ind w:right="200" w:firstLine="534"/>
        <w:spacing w:after="0" w:line="285" w:lineRule="auto"/>
        <w:rPr>
          <w:sz w:val="20"/>
          <w:szCs w:val="20"/>
          <w:color w:val="auto"/>
        </w:rPr>
      </w:pPr>
      <w:r>
        <w:rPr>
          <w:rFonts w:ascii="Arial" w:cs="Arial" w:eastAsia="Arial" w:hAnsi="Arial"/>
          <w:sz w:val="16"/>
          <w:szCs w:val="16"/>
          <w:color w:val="auto"/>
        </w:rPr>
        <w:t>General and administrative expenses were $3.8 million during the three months ended June 30, 2018 compared to $2.4 million during the three months ended June 30, 2017 for an increase of $1.4 million, primarily due to a $0.9 million increase in salaries and related expenses including stock compensation expense, a $0.3 million increase in professional fees, including consulting expenses and a $0.1 million increase in audit and tax fees.</w:t>
      </w:r>
    </w:p>
    <w:p>
      <w:pPr>
        <w:spacing w:after="0" w:line="57" w:lineRule="exact"/>
        <w:rPr>
          <w:sz w:val="20"/>
          <w:szCs w:val="20"/>
          <w:color w:val="auto"/>
        </w:rPr>
      </w:pPr>
    </w:p>
    <w:p>
      <w:pPr>
        <w:jc w:val="both"/>
        <w:ind w:right="100" w:firstLine="534"/>
        <w:spacing w:after="0" w:line="285" w:lineRule="auto"/>
        <w:rPr>
          <w:sz w:val="20"/>
          <w:szCs w:val="20"/>
          <w:color w:val="auto"/>
        </w:rPr>
      </w:pPr>
      <w:r>
        <w:rPr>
          <w:rFonts w:ascii="Arial" w:cs="Arial" w:eastAsia="Arial" w:hAnsi="Arial"/>
          <w:sz w:val="16"/>
          <w:szCs w:val="16"/>
          <w:color w:val="auto"/>
        </w:rPr>
        <w:t>General and administrative expenses were $7.8 million during the six months ended June 30, 2018 compared to $4.4 million during the six months ended June 30, 2017 for an increase of $3.4 million, primarily due to a $2.0 million increase in salaries and related expenses including stock compensation expense, a $0.3 million increase in legal expenses, a $0.5 million increase in consulting expenses and a $0.3 million increase in audit and tax fees.</w:t>
      </w:r>
    </w:p>
    <w:p>
      <w:pPr>
        <w:spacing w:after="0" w:line="159" w:lineRule="exact"/>
        <w:rPr>
          <w:sz w:val="20"/>
          <w:szCs w:val="20"/>
          <w:color w:val="auto"/>
        </w:rPr>
      </w:pPr>
    </w:p>
    <w:p>
      <w:pPr>
        <w:ind w:right="80" w:firstLine="420"/>
        <w:spacing w:after="0" w:line="257" w:lineRule="auto"/>
        <w:rPr>
          <w:sz w:val="20"/>
          <w:szCs w:val="20"/>
          <w:color w:val="auto"/>
        </w:rPr>
      </w:pPr>
      <w:r>
        <w:rPr>
          <w:rFonts w:ascii="Arial" w:cs="Arial" w:eastAsia="Arial" w:hAnsi="Arial"/>
          <w:sz w:val="17"/>
          <w:szCs w:val="17"/>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10" w:lineRule="exact"/>
        <w:rPr>
          <w:sz w:val="20"/>
          <w:szCs w:val="20"/>
          <w:color w:val="auto"/>
        </w:rPr>
      </w:pPr>
    </w:p>
    <w:p>
      <w:pPr>
        <w:ind w:right="140" w:firstLine="420"/>
        <w:spacing w:after="0" w:line="285" w:lineRule="auto"/>
        <w:rPr>
          <w:sz w:val="20"/>
          <w:szCs w:val="20"/>
          <w:color w:val="auto"/>
        </w:rPr>
      </w:pPr>
      <w:r>
        <w:rPr>
          <w:rFonts w:ascii="Arial" w:cs="Arial" w:eastAsia="Arial" w:hAnsi="Arial"/>
          <w:sz w:val="16"/>
          <w:szCs w:val="16"/>
          <w:color w:val="auto"/>
        </w:rPr>
        <w:t>Interest expense was $0.4 million and $0.9 million during the three and six months ended June 30, 2018, respectively, and represents effective interest of approximately 13.08% on an outstanding principal balance of $11.9 million. Interest expense was $0.4 million and $0.9 million during the three and six months ended June 30, 2017, respectively, and represented effective interest of 11.97% through June 30, 2017 on an outstanding principal balance of $15.0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657" w:right="239" w:bottom="1440" w:gutter="0" w:footer="0" w:header="0"/>
        </w:sectPr>
      </w:pPr>
    </w:p>
    <w:bookmarkStart w:id="26" w:name="page27"/>
    <w:bookmarkEnd w:id="26"/>
    <w:p>
      <w:pPr>
        <w:ind w:left="240"/>
        <w:spacing w:after="0"/>
        <w:rPr>
          <w:sz w:val="20"/>
          <w:szCs w:val="20"/>
          <w:color w:val="auto"/>
        </w:rPr>
      </w:pPr>
      <w:r>
        <w:rPr>
          <w:rFonts w:ascii="Arial" w:cs="Arial" w:eastAsia="Arial" w:hAnsi="Arial"/>
          <w:sz w:val="17"/>
          <w:szCs w:val="17"/>
          <w:b w:val="1"/>
          <w:bCs w:val="1"/>
          <w:i w:val="1"/>
          <w:iCs w:val="1"/>
          <w:color w:val="auto"/>
        </w:rPr>
        <w:t>Change in Fair Value of Liabilities for Preferred Stock Warrants</w:t>
      </w:r>
    </w:p>
    <w:p>
      <w:pPr>
        <w:spacing w:after="0" w:line="110" w:lineRule="exact"/>
        <w:rPr>
          <w:sz w:val="20"/>
          <w:szCs w:val="20"/>
          <w:color w:val="auto"/>
        </w:rPr>
      </w:pPr>
    </w:p>
    <w:p>
      <w:pPr>
        <w:ind w:right="200" w:firstLine="420"/>
        <w:spacing w:after="0" w:line="274" w:lineRule="auto"/>
        <w:rPr>
          <w:sz w:val="20"/>
          <w:szCs w:val="20"/>
          <w:color w:val="auto"/>
        </w:rPr>
      </w:pPr>
      <w:r>
        <w:rPr>
          <w:rFonts w:ascii="Arial" w:cs="Arial" w:eastAsia="Arial" w:hAnsi="Arial"/>
          <w:sz w:val="17"/>
          <w:szCs w:val="17"/>
          <w:color w:val="auto"/>
        </w:rPr>
        <w:t>As discussed in Item 1 — Note 1 above, all of the outstanding warrants to purchase shares of preferred stock automatically converted into warrants to purchase shares of common stock upon our IPO and were accounted for as equity from the conversion date forward.</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Interest Income</w:t>
      </w:r>
    </w:p>
    <w:p>
      <w:pPr>
        <w:spacing w:after="0" w:line="110" w:lineRule="exact"/>
        <w:rPr>
          <w:sz w:val="20"/>
          <w:szCs w:val="20"/>
          <w:color w:val="auto"/>
        </w:rPr>
      </w:pPr>
    </w:p>
    <w:p>
      <w:pPr>
        <w:ind w:firstLine="420"/>
        <w:spacing w:after="0" w:line="274" w:lineRule="auto"/>
        <w:rPr>
          <w:sz w:val="20"/>
          <w:szCs w:val="20"/>
          <w:color w:val="auto"/>
        </w:rPr>
      </w:pPr>
      <w:r>
        <w:rPr>
          <w:rFonts w:ascii="Arial" w:cs="Arial" w:eastAsia="Arial" w:hAnsi="Arial"/>
          <w:sz w:val="17"/>
          <w:szCs w:val="17"/>
          <w:color w:val="auto"/>
        </w:rPr>
        <w:t>Interest income was $1.3 million and $0.3 million during the three months ended June 30, 2018 and 2017, respectively and primarily related to our short-term and long-term investments, the balance of which increased as a result of the investment of IPO and follow-on proceeds throughout 2017.</w:t>
      </w:r>
    </w:p>
    <w:p>
      <w:pPr>
        <w:spacing w:after="0" w:line="63" w:lineRule="exact"/>
        <w:rPr>
          <w:sz w:val="20"/>
          <w:szCs w:val="20"/>
          <w:color w:val="auto"/>
        </w:rPr>
      </w:pPr>
    </w:p>
    <w:p>
      <w:pPr>
        <w:ind w:right="180" w:firstLine="420"/>
        <w:spacing w:after="0" w:line="342" w:lineRule="auto"/>
        <w:rPr>
          <w:sz w:val="20"/>
          <w:szCs w:val="20"/>
          <w:color w:val="auto"/>
        </w:rPr>
      </w:pPr>
      <w:r>
        <w:rPr>
          <w:rFonts w:ascii="Arial" w:cs="Arial" w:eastAsia="Arial" w:hAnsi="Arial"/>
          <w:sz w:val="15"/>
          <w:szCs w:val="15"/>
          <w:color w:val="auto"/>
        </w:rPr>
        <w:t>Interest income was $2.5 million and $0.4 million during the six months ended June 30, 2018 and 2017, respectively and primarily consisted of interest income from our short-term and long-term investments, the balance of which increased as a result of the investment of IPO and follow-on proceeds throughout 2017.</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10" w:lineRule="exact"/>
        <w:rPr>
          <w:sz w:val="20"/>
          <w:szCs w:val="20"/>
          <w:color w:val="auto"/>
        </w:rPr>
      </w:pPr>
    </w:p>
    <w:p>
      <w:pPr>
        <w:ind w:right="400" w:firstLine="458"/>
        <w:spacing w:after="0" w:line="274" w:lineRule="auto"/>
        <w:rPr>
          <w:sz w:val="20"/>
          <w:szCs w:val="20"/>
          <w:color w:val="auto"/>
        </w:rPr>
      </w:pPr>
      <w:r>
        <w:rPr>
          <w:rFonts w:ascii="Arial" w:cs="Arial" w:eastAsia="Arial" w:hAnsi="Arial"/>
          <w:sz w:val="17"/>
          <w:szCs w:val="17"/>
          <w:color w:val="auto"/>
        </w:rPr>
        <w:t>Other income (expense), net was less than $0.1 million during the three months ended June 30, 2018 and 2017, respectively and primarily related to foreign exchange transactions through our Australian subsidiary.</w:t>
      </w:r>
    </w:p>
    <w:p>
      <w:pPr>
        <w:spacing w:after="0" w:line="63" w:lineRule="exact"/>
        <w:rPr>
          <w:sz w:val="20"/>
          <w:szCs w:val="20"/>
          <w:color w:val="auto"/>
        </w:rPr>
      </w:pPr>
    </w:p>
    <w:p>
      <w:pPr>
        <w:ind w:right="640" w:firstLine="458"/>
        <w:spacing w:after="0" w:line="274" w:lineRule="auto"/>
        <w:rPr>
          <w:sz w:val="20"/>
          <w:szCs w:val="20"/>
          <w:color w:val="auto"/>
        </w:rPr>
      </w:pPr>
      <w:r>
        <w:rPr>
          <w:rFonts w:ascii="Arial" w:cs="Arial" w:eastAsia="Arial" w:hAnsi="Arial"/>
          <w:sz w:val="17"/>
          <w:szCs w:val="17"/>
          <w:color w:val="auto"/>
        </w:rPr>
        <w:t>Other income (expense), net was a loss of $0.1 million and a gain of $0.3 million during the six months ended June 30, 2018 and 2017, respectively and primarily related to foreign exchange transactions through our Australian subsidiary.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4" w:lineRule="exact"/>
        <w:rPr>
          <w:sz w:val="20"/>
          <w:szCs w:val="20"/>
          <w:color w:val="auto"/>
        </w:rPr>
      </w:pPr>
    </w:p>
    <w:p>
      <w:pPr>
        <w:ind w:right="140" w:firstLine="420"/>
        <w:spacing w:after="0" w:line="261" w:lineRule="auto"/>
        <w:rPr>
          <w:sz w:val="20"/>
          <w:szCs w:val="20"/>
          <w:color w:val="auto"/>
        </w:rPr>
      </w:pPr>
      <w:r>
        <w:rPr>
          <w:rFonts w:ascii="Arial" w:cs="Arial" w:eastAsia="Arial" w:hAnsi="Arial"/>
          <w:sz w:val="17"/>
          <w:szCs w:val="17"/>
          <w:color w:val="auto"/>
        </w:rPr>
        <w:t>From our inception through June 30, 2018, we have received an aggregate of $483.6 million to fund our operations which included $387.9 million from the sale of equity securities, $76.6 million from our collaboration agreements and $19.1 million from venture debt. As of June 30, 2018, we had $300.6 million in cash, cash equivalents and investments.</w:t>
      </w:r>
    </w:p>
    <w:p>
      <w:pPr>
        <w:spacing w:after="0" w:line="176" w:lineRule="exact"/>
        <w:rPr>
          <w:sz w:val="20"/>
          <w:szCs w:val="20"/>
          <w:color w:val="auto"/>
        </w:rPr>
      </w:pPr>
    </w:p>
    <w:p>
      <w:pPr>
        <w:ind w:firstLine="420"/>
        <w:spacing w:after="0" w:line="302" w:lineRule="auto"/>
        <w:rPr>
          <w:sz w:val="20"/>
          <w:szCs w:val="20"/>
          <w:color w:val="auto"/>
        </w:rPr>
      </w:pPr>
      <w:r>
        <w:rPr>
          <w:rFonts w:ascii="Arial" w:cs="Arial" w:eastAsia="Arial" w:hAnsi="Arial"/>
          <w:sz w:val="15"/>
          <w:szCs w:val="15"/>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rights to payments under our collaboration agreements are our only committed external source of funds.</w:t>
      </w:r>
    </w:p>
    <w:p>
      <w:pPr>
        <w:spacing w:after="0" w:line="150" w:lineRule="exact"/>
        <w:rPr>
          <w:sz w:val="20"/>
          <w:szCs w:val="20"/>
          <w:color w:val="auto"/>
        </w:rPr>
      </w:pPr>
    </w:p>
    <w:p>
      <w:pPr>
        <w:ind w:right="120" w:firstLine="420"/>
        <w:spacing w:after="0" w:line="261" w:lineRule="auto"/>
        <w:rPr>
          <w:sz w:val="20"/>
          <w:szCs w:val="20"/>
          <w:color w:val="auto"/>
        </w:rPr>
      </w:pPr>
      <w:r>
        <w:rPr>
          <w:rFonts w:ascii="Arial" w:cs="Arial" w:eastAsia="Arial" w:hAnsi="Arial"/>
          <w:sz w:val="17"/>
          <w:szCs w:val="17"/>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176" w:lineRule="exact"/>
        <w:rPr>
          <w:sz w:val="20"/>
          <w:szCs w:val="20"/>
          <w:color w:val="auto"/>
        </w:rPr>
      </w:pPr>
    </w:p>
    <w:p>
      <w:pPr>
        <w:jc w:val="both"/>
        <w:ind w:right="80" w:firstLine="420"/>
        <w:spacing w:after="0" w:line="261" w:lineRule="auto"/>
        <w:rPr>
          <w:sz w:val="20"/>
          <w:szCs w:val="20"/>
          <w:color w:val="auto"/>
        </w:rPr>
      </w:pPr>
      <w:r>
        <w:rPr>
          <w:rFonts w:ascii="Arial" w:cs="Arial" w:eastAsia="Arial" w:hAnsi="Arial"/>
          <w:sz w:val="17"/>
          <w:szCs w:val="17"/>
          <w:color w:val="auto"/>
        </w:rPr>
        <w:t>Under the Loan Agreement, we may borrow up to $15.0 million in three separate draws of $5.0 million each. In January 2016, we amended the Loan Agreement to combine Term B Loans and Term C Loans for a total of $10.0 million available for draw and delay the principal repayments for our Term A Loans from February 1, 2016 until February 1, 2017.</w:t>
      </w:r>
    </w:p>
    <w:p>
      <w:pPr>
        <w:spacing w:after="0" w:line="176" w:lineRule="exact"/>
        <w:rPr>
          <w:sz w:val="20"/>
          <w:szCs w:val="20"/>
          <w:color w:val="auto"/>
        </w:rPr>
      </w:pPr>
    </w:p>
    <w:p>
      <w:pPr>
        <w:ind w:right="80" w:firstLine="420"/>
        <w:spacing w:after="0" w:line="255" w:lineRule="auto"/>
        <w:rPr>
          <w:sz w:val="20"/>
          <w:szCs w:val="20"/>
          <w:color w:val="auto"/>
        </w:rPr>
      </w:pPr>
      <w:r>
        <w:rPr>
          <w:rFonts w:ascii="Arial" w:cs="Arial" w:eastAsia="Arial" w:hAnsi="Arial"/>
          <w:sz w:val="17"/>
          <w:szCs w:val="17"/>
          <w:color w:val="auto"/>
        </w:rPr>
        <w:t>In December 2016, we further amended the Loan Agreement to (i) allow for the Term B Loans and Term C Loans to be drawn on December 30, 2016, (ii) delay principal repayments of all Term Loans until February 1, 2018 and (iii) amend the interest rate for each Term Loan. The Term B Loans and the Term C Loans were drawn on December 30, 2016; principal repayments began in February 2018. As of June 30, 2018, there are 19 equal monthly principal and interest payments remaining on the Term Loans, with final maturity in January 2020. The Term Loans bear interest equal to the greater of 3-month U.S. LIBOR plus 6.37% or 7.3%. The interest rate was 8.69% as of June 30, 2018.</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Funding Requirements</w:t>
      </w:r>
    </w:p>
    <w:p>
      <w:pPr>
        <w:spacing w:after="0" w:line="114" w:lineRule="exact"/>
        <w:rPr>
          <w:sz w:val="20"/>
          <w:szCs w:val="20"/>
          <w:color w:val="auto"/>
        </w:rPr>
      </w:pPr>
    </w:p>
    <w:p>
      <w:pPr>
        <w:ind w:right="80" w:firstLine="420"/>
        <w:spacing w:after="0" w:line="285" w:lineRule="auto"/>
        <w:rPr>
          <w:sz w:val="20"/>
          <w:szCs w:val="20"/>
          <w:color w:val="auto"/>
        </w:rPr>
      </w:pPr>
      <w:r>
        <w:rPr>
          <w:rFonts w:ascii="Arial" w:cs="Arial" w:eastAsia="Arial" w:hAnsi="Arial"/>
          <w:sz w:val="16"/>
          <w:szCs w:val="16"/>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661" w:right="239" w:bottom="1440" w:gutter="0" w:footer="0" w:header="0"/>
        </w:sectPr>
      </w:pPr>
    </w:p>
    <w:bookmarkStart w:id="27" w:name="page28"/>
    <w:bookmarkEnd w:id="27"/>
    <w:p>
      <w:pPr>
        <w:ind w:right="20" w:firstLine="458"/>
        <w:spacing w:after="0" w:line="257" w:lineRule="auto"/>
        <w:rPr>
          <w:sz w:val="20"/>
          <w:szCs w:val="20"/>
          <w:color w:val="auto"/>
        </w:rPr>
      </w:pPr>
      <w:r>
        <w:rPr>
          <w:rFonts w:ascii="Arial" w:cs="Arial" w:eastAsia="Arial" w:hAnsi="Arial"/>
          <w:sz w:val="17"/>
          <w:szCs w:val="17"/>
          <w:color w:val="auto"/>
        </w:rPr>
        <w:t>As a publicly traded company, we incur significant legal, accounting and other expenses that were not required as a private company. In addition, the Sarbanes-Oxley Act of 2002, as well as rules adopted by the SEC and The Nasdaq Global Stock Market, requires public companies to implement specified corporate governance practices that were inapplicable to us as a private company. These rules and regulations have increased our legal and financial compliance costs, have made and will continue to make certain activities more time-consuming and costly.</w:t>
      </w:r>
    </w:p>
    <w:p>
      <w:pPr>
        <w:spacing w:after="0" w:line="180" w:lineRule="exact"/>
        <w:rPr>
          <w:sz w:val="20"/>
          <w:szCs w:val="20"/>
          <w:color w:val="auto"/>
        </w:rPr>
      </w:pPr>
    </w:p>
    <w:p>
      <w:pPr>
        <w:ind w:right="60" w:firstLine="420"/>
        <w:spacing w:after="0" w:line="257" w:lineRule="auto"/>
        <w:rPr>
          <w:sz w:val="20"/>
          <w:szCs w:val="20"/>
          <w:color w:val="auto"/>
        </w:rPr>
      </w:pPr>
      <w:r>
        <w:rPr>
          <w:rFonts w:ascii="Arial" w:cs="Arial" w:eastAsia="Arial" w:hAnsi="Arial"/>
          <w:sz w:val="17"/>
          <w:szCs w:val="17"/>
          <w:color w:val="auto"/>
        </w:rPr>
        <w:t>Cash, cash equivalents and investments totaled $300.6 million as of June 30, 2018, compared to $324.3 million as of December 31, 2017. We believe that our existing cash, cash equivalents and investments will fund our current operating plan through the end of 2019.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Cash Flows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cash flows for the six months ended June 30, 2018 and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Six Months Ended</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82"/>
        </w:trPr>
        <w:tc>
          <w:tcPr>
            <w:tcW w:w="7160" w:type="dxa"/>
            <w:vAlign w:val="bottom"/>
            <w:tcBorders>
              <w:bottom w:val="single" w:sz="8" w:color="CFF0FC"/>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FF0FC"/>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cash (used in) provided by:</w:t>
            </w:r>
          </w:p>
        </w:tc>
        <w:tc>
          <w:tcPr>
            <w:tcW w:w="3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160" w:type="dxa"/>
            <w:vAlign w:val="bottom"/>
          </w:tcPr>
          <w:p>
            <w:pPr>
              <w:ind w:left="20"/>
              <w:spacing w:after="0"/>
              <w:rPr>
                <w:sz w:val="20"/>
                <w:szCs w:val="20"/>
                <w:color w:val="auto"/>
              </w:rPr>
            </w:pPr>
            <w:r>
              <w:rPr>
                <w:rFonts w:ascii="Arial" w:cs="Arial" w:eastAsia="Arial" w:hAnsi="Arial"/>
                <w:sz w:val="17"/>
                <w:szCs w:val="17"/>
                <w:color w:val="auto"/>
              </w:rPr>
              <w:t>Operating activities</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(21,356)</w:t>
            </w:r>
          </w:p>
        </w:tc>
        <w:tc>
          <w:tcPr>
            <w:tcW w:w="12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(10,740)</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
              <w:spacing w:after="0"/>
              <w:rPr>
                <w:sz w:val="20"/>
                <w:szCs w:val="20"/>
                <w:color w:val="auto"/>
              </w:rPr>
            </w:pPr>
            <w:r>
              <w:rPr>
                <w:rFonts w:ascii="Arial" w:cs="Arial" w:eastAsia="Arial" w:hAnsi="Arial"/>
                <w:sz w:val="17"/>
                <w:szCs w:val="17"/>
                <w:color w:val="auto"/>
              </w:rPr>
              <w:t>10,616</w:t>
            </w:r>
          </w:p>
        </w:tc>
        <w:tc>
          <w:tcPr>
            <w:tcW w:w="0" w:type="dxa"/>
            <w:vAlign w:val="bottom"/>
          </w:tcPr>
          <w:p>
            <w:pPr>
              <w:spacing w:after="0"/>
              <w:rPr>
                <w:sz w:val="1"/>
                <w:szCs w:val="1"/>
                <w:color w:val="auto"/>
              </w:rPr>
            </w:pPr>
          </w:p>
        </w:tc>
      </w:tr>
      <w:tr>
        <w:trPr>
          <w:trHeight w:val="26"/>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Investing activities</w:t>
            </w:r>
          </w:p>
        </w:tc>
        <w:tc>
          <w:tcPr>
            <w:tcW w:w="3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(916)</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(89,506)</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(88,590)</w:t>
            </w:r>
          </w:p>
        </w:tc>
        <w:tc>
          <w:tcPr>
            <w:tcW w:w="0" w:type="dxa"/>
            <w:vAlign w:val="bottom"/>
          </w:tcPr>
          <w:p>
            <w:pPr>
              <w:spacing w:after="0"/>
              <w:rPr>
                <w:sz w:val="1"/>
                <w:szCs w:val="1"/>
                <w:color w:val="auto"/>
              </w:rPr>
            </w:pPr>
          </w:p>
        </w:tc>
      </w:tr>
      <w:tr>
        <w:trPr>
          <w:trHeight w:val="228"/>
        </w:trPr>
        <w:tc>
          <w:tcPr>
            <w:tcW w:w="7160" w:type="dxa"/>
            <w:vAlign w:val="bottom"/>
          </w:tcPr>
          <w:p>
            <w:pPr>
              <w:ind w:left="20"/>
              <w:spacing w:after="0"/>
              <w:rPr>
                <w:sz w:val="20"/>
                <w:szCs w:val="20"/>
                <w:color w:val="auto"/>
              </w:rPr>
            </w:pPr>
            <w:r>
              <w:rPr>
                <w:rFonts w:ascii="Arial" w:cs="Arial" w:eastAsia="Arial" w:hAnsi="Arial"/>
                <w:sz w:val="17"/>
                <w:szCs w:val="17"/>
                <w:color w:val="auto"/>
              </w:rPr>
              <w:t>Financing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7"/>
                <w:szCs w:val="17"/>
                <w:color w:val="auto"/>
              </w:rPr>
              <w:t>79,766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7"/>
                <w:szCs w:val="17"/>
                <w:color w:val="auto"/>
              </w:rPr>
              <w:t>81,626</w:t>
            </w:r>
          </w:p>
        </w:tc>
        <w:tc>
          <w:tcPr>
            <w:tcW w:w="0" w:type="dxa"/>
            <w:vAlign w:val="bottom"/>
          </w:tcPr>
          <w:p>
            <w:pPr>
              <w:spacing w:after="0"/>
              <w:rPr>
                <w:sz w:val="1"/>
                <w:szCs w:val="1"/>
                <w:color w:val="auto"/>
              </w:rPr>
            </w:pPr>
          </w:p>
        </w:tc>
      </w:tr>
      <w:tr>
        <w:trPr>
          <w:trHeight w:val="26"/>
        </w:trPr>
        <w:tc>
          <w:tcPr>
            <w:tcW w:w="71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71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20" w:type="dxa"/>
            <w:vAlign w:val="bottom"/>
            <w:tcBorders>
              <w:bottom w:val="single" w:sz="8" w:color="CFF0FC"/>
            </w:tcBorders>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(24,132)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(20,480)</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7"/>
                <w:szCs w:val="17"/>
                <w:color w:val="auto"/>
              </w:rPr>
              <w:t>3,652</w:t>
            </w: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Operating Activities</w:t>
      </w:r>
    </w:p>
    <w:p>
      <w:pPr>
        <w:spacing w:after="0" w:line="110" w:lineRule="exact"/>
        <w:rPr>
          <w:sz w:val="20"/>
          <w:szCs w:val="20"/>
          <w:color w:val="auto"/>
        </w:rPr>
      </w:pPr>
    </w:p>
    <w:p>
      <w:pPr>
        <w:jc w:val="both"/>
        <w:ind w:right="20" w:firstLine="420"/>
        <w:spacing w:after="0" w:line="279" w:lineRule="auto"/>
        <w:rPr>
          <w:sz w:val="20"/>
          <w:szCs w:val="20"/>
          <w:color w:val="auto"/>
        </w:rPr>
      </w:pPr>
      <w:r>
        <w:rPr>
          <w:rFonts w:ascii="Arial" w:cs="Arial" w:eastAsia="Arial" w:hAnsi="Arial"/>
          <w:sz w:val="16"/>
          <w:szCs w:val="16"/>
          <w:color w:val="auto"/>
        </w:rPr>
        <w:t>Net cash used in operating activities during the six months ended June 30, 2018 of $21.4 million was primarily due to our net loss of $28.7 million, adjusted for addbacks for non-cash expenses of $5.0 million which includes stock-based compensation and increases in working capital of $2.4 million. Net cash used in operating activities during the six months ended June 30, 2017 of $10.7 million was primarily due to our net loss of $14.1 million, adjusted for non-cash expenses of $4.1 million which includes stock-based compensation and warrant liability fair value adjustments and decreases in working capital of $0.7 million.</w:t>
      </w:r>
    </w:p>
    <w:p>
      <w:pPr>
        <w:spacing w:after="0" w:line="26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Investing Activities</w:t>
      </w:r>
    </w:p>
    <w:p>
      <w:pPr>
        <w:spacing w:after="0" w:line="110" w:lineRule="exact"/>
        <w:rPr>
          <w:sz w:val="20"/>
          <w:szCs w:val="20"/>
          <w:color w:val="auto"/>
        </w:rPr>
      </w:pPr>
    </w:p>
    <w:p>
      <w:pPr>
        <w:jc w:val="both"/>
        <w:ind w:firstLine="420"/>
        <w:spacing w:after="0" w:line="261" w:lineRule="auto"/>
        <w:rPr>
          <w:sz w:val="20"/>
          <w:szCs w:val="20"/>
          <w:color w:val="auto"/>
        </w:rPr>
      </w:pPr>
      <w:r>
        <w:rPr>
          <w:rFonts w:ascii="Arial" w:cs="Arial" w:eastAsia="Arial" w:hAnsi="Arial"/>
          <w:sz w:val="17"/>
          <w:szCs w:val="17"/>
          <w:color w:val="auto"/>
        </w:rPr>
        <w:t>Net cash used in investing activities during the six months ended June 30, 2018 primarily relates to the acquisition of our investments, which were acquired using the proceeds from matured investments as well as the purchase of property and equipment, while the cash used in investing activities during the six months ended June 30, 2017 was primarily due to the acquisition of investments.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Financing Activities</w:t>
      </w:r>
    </w:p>
    <w:p>
      <w:pPr>
        <w:spacing w:after="0" w:line="110" w:lineRule="exact"/>
        <w:rPr>
          <w:sz w:val="20"/>
          <w:szCs w:val="20"/>
          <w:color w:val="auto"/>
        </w:rPr>
      </w:pPr>
    </w:p>
    <w:p>
      <w:pPr>
        <w:ind w:right="160" w:firstLine="420"/>
        <w:spacing w:after="0" w:line="302" w:lineRule="auto"/>
        <w:rPr>
          <w:sz w:val="20"/>
          <w:szCs w:val="20"/>
          <w:color w:val="auto"/>
        </w:rPr>
      </w:pPr>
      <w:r>
        <w:rPr>
          <w:rFonts w:ascii="Arial" w:cs="Arial" w:eastAsia="Arial" w:hAnsi="Arial"/>
          <w:sz w:val="15"/>
          <w:szCs w:val="15"/>
          <w:color w:val="auto"/>
        </w:rPr>
        <w:t>The net cash used in financing activities during the six months ended June 30, 2018 of $1.9 million was primarily related to principal payments of $3.1 million made on our Term Loans offset by proceeds of $1.5 million from the issuance of common stock upon the exercise of stock options. Net cash provided by financing activities during the six months ended June 30, 2017 of $79.8 million was primarily related to net proceeds of $80.2 million from our IPO as well as proceeds of $1.0 million from the issuance of common stock as a result of option and warrant exercises, offset by $1.5 million in payments for offering costs.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14" w:lineRule="exact"/>
        <w:rPr>
          <w:sz w:val="20"/>
          <w:szCs w:val="20"/>
          <w:color w:val="auto"/>
        </w:rPr>
      </w:pPr>
    </w:p>
    <w:p>
      <w:pPr>
        <w:ind w:right="80" w:firstLine="458"/>
        <w:spacing w:after="0" w:line="306" w:lineRule="auto"/>
        <w:rPr>
          <w:sz w:val="20"/>
          <w:szCs w:val="20"/>
          <w:color w:val="auto"/>
        </w:rPr>
      </w:pPr>
      <w:r>
        <w:rPr>
          <w:rFonts w:ascii="Arial" w:cs="Arial" w:eastAsia="Arial" w:hAnsi="Arial"/>
          <w:sz w:val="16"/>
          <w:szCs w:val="16"/>
          <w:color w:val="auto"/>
        </w:rPr>
        <w:t>In May 2018, we entered into a three year sub-lease agreement for an additional 18,000 square feet of office space. We also lease our headquarters under a non-cancellable operating lease for which we exercised our option to renew for an additional five-year period in fiscal 2015. Both leases expire in 2021.</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80"/>
          </w:cols>
          <w:pgMar w:left="240" w:top="458" w:right="279" w:bottom="1440" w:gutter="0" w:footer="0" w:header="0"/>
        </w:sectPr>
      </w:pPr>
    </w:p>
    <w:bookmarkStart w:id="28" w:name="page29"/>
    <w:bookmarkEnd w:id="28"/>
    <w:p>
      <w:pPr>
        <w:ind w:firstLine="458"/>
        <w:spacing w:after="0" w:line="274" w:lineRule="auto"/>
        <w:rPr>
          <w:sz w:val="20"/>
          <w:szCs w:val="20"/>
          <w:color w:val="auto"/>
        </w:rPr>
      </w:pPr>
      <w:r>
        <w:rPr>
          <w:rFonts w:ascii="Arial" w:cs="Arial" w:eastAsia="Arial" w:hAnsi="Arial"/>
          <w:sz w:val="17"/>
          <w:szCs w:val="17"/>
          <w:color w:val="auto"/>
        </w:rPr>
        <w:t>At June 30, 2018, the future minimum annual obligations under non-cancellable operating lease commitments are $0.4 million, $0.9 million, $1.0 million, and $0.7 million for the remainder of fiscal years ending 2018, 2019, 2020, and 2021,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We did not have during the periods presented, and we do not currently have, any off-balance sheet arrangements, as defined in the rules and regulations of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SEC.</w:t>
      </w: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00"/>
          </w:cols>
          <w:pgMar w:left="240" w:top="560" w:right="45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6" w:lineRule="exact"/>
        <w:rPr>
          <w:sz w:val="20"/>
          <w:szCs w:val="20"/>
          <w:color w:val="auto"/>
        </w:rPr>
      </w:pPr>
    </w:p>
    <w:p>
      <w:pPr>
        <w:ind w:firstLine="458"/>
        <w:spacing w:after="0" w:line="306" w:lineRule="auto"/>
        <w:rPr>
          <w:sz w:val="20"/>
          <w:szCs w:val="20"/>
          <w:color w:val="auto"/>
        </w:rPr>
      </w:pPr>
      <w:r>
        <w:rPr>
          <w:rFonts w:ascii="Arial" w:cs="Arial" w:eastAsia="Arial" w:hAnsi="Arial"/>
          <w:sz w:val="16"/>
          <w:szCs w:val="16"/>
          <w:color w:val="auto"/>
        </w:rPr>
        <w:t>As of June 30, 2018, there have been no material changes surrounding our market risk, including interest rate risk, foreign currency exchange risk, and inflation risk, from the discussion provided in Item 7A. Quantitative and Qualitative Disclosures About Market Risk of our Fiscal 2017 Form 10-K.</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14" w:lineRule="exact"/>
        <w:rPr>
          <w:sz w:val="20"/>
          <w:szCs w:val="20"/>
          <w:color w:val="auto"/>
        </w:rPr>
      </w:pPr>
    </w:p>
    <w:p>
      <w:pPr>
        <w:ind w:right="40" w:firstLine="420"/>
        <w:spacing w:after="0" w:line="272"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in the reports we file or submit under the Securities Exchange Act of 1934, as amended, or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June 30, 2018,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169" w:lineRule="exact"/>
        <w:rPr>
          <w:sz w:val="20"/>
          <w:szCs w:val="20"/>
          <w:color w:val="auto"/>
        </w:rPr>
      </w:pPr>
    </w:p>
    <w:p>
      <w:pPr>
        <w:ind w:right="140" w:firstLine="420"/>
        <w:spacing w:after="0" w:line="274" w:lineRule="auto"/>
        <w:rPr>
          <w:sz w:val="20"/>
          <w:szCs w:val="20"/>
          <w:color w:val="auto"/>
        </w:rPr>
      </w:pPr>
      <w:r>
        <w:rPr>
          <w:rFonts w:ascii="Arial" w:cs="Arial" w:eastAsia="Arial" w:hAnsi="Arial"/>
          <w:sz w:val="17"/>
          <w:szCs w:val="17"/>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4" w:lineRule="exact"/>
        <w:rPr>
          <w:sz w:val="20"/>
          <w:szCs w:val="20"/>
          <w:color w:val="auto"/>
        </w:rPr>
      </w:pPr>
    </w:p>
    <w:p>
      <w:pPr>
        <w:jc w:val="both"/>
        <w:ind w:right="80" w:firstLine="420"/>
        <w:spacing w:after="0" w:line="261"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13a-15(f) and 15d-15(f) of the Exchange Act that occurred during the quarter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00"/>
          </w:cols>
          <w:pgMar w:left="240" w:top="352" w:right="35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14" w:lineRule="exact"/>
        <w:rPr>
          <w:sz w:val="20"/>
          <w:szCs w:val="20"/>
          <w:color w:val="auto"/>
        </w:rPr>
      </w:pPr>
    </w:p>
    <w:p>
      <w:pPr>
        <w:ind w:right="80" w:firstLine="458"/>
        <w:spacing w:after="0" w:line="285"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14" w:lineRule="exact"/>
        <w:rPr>
          <w:sz w:val="20"/>
          <w:szCs w:val="20"/>
          <w:color w:val="auto"/>
        </w:rPr>
      </w:pPr>
    </w:p>
    <w:p>
      <w:pPr>
        <w:ind w:right="20" w:firstLine="458"/>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report,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Discovery and Development of Our Product Candidates</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1" w:lineRule="exact"/>
        <w:rPr>
          <w:sz w:val="20"/>
          <w:szCs w:val="20"/>
          <w:color w:val="auto"/>
        </w:rPr>
      </w:pPr>
    </w:p>
    <w:p>
      <w:pPr>
        <w:ind w:right="200" w:firstLine="420"/>
        <w:spacing w:after="0" w:line="285" w:lineRule="auto"/>
        <w:rPr>
          <w:sz w:val="20"/>
          <w:szCs w:val="20"/>
          <w:color w:val="auto"/>
        </w:rPr>
      </w:pPr>
      <w:r>
        <w:rPr>
          <w:rFonts w:ascii="Arial" w:cs="Arial" w:eastAsia="Arial" w:hAnsi="Arial"/>
          <w:sz w:val="16"/>
          <w:szCs w:val="16"/>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59" w:lineRule="exact"/>
        <w:rPr>
          <w:sz w:val="20"/>
          <w:szCs w:val="20"/>
          <w:color w:val="auto"/>
        </w:rPr>
      </w:pPr>
    </w:p>
    <w:p>
      <w:pPr>
        <w:ind w:right="160" w:firstLine="420"/>
        <w:spacing w:after="0" w:line="254"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product candidates in later clinical trials may fail to demonstrate sufficient efficacy despite having progressed through initial clinical trials, even if certain analyses of primary or secondary endpoints in those early trials showed trends toward efficacy or, in some analyses, nominal statistical significance. In addition, the results of clinical trials in one set of patients or line of treatment may not be predictive of those obtained in another.</w:t>
      </w:r>
    </w:p>
    <w:p>
      <w:pPr>
        <w:spacing w:after="0" w:line="184" w:lineRule="exact"/>
        <w:rPr>
          <w:sz w:val="20"/>
          <w:szCs w:val="20"/>
          <w:color w:val="auto"/>
        </w:rPr>
      </w:pPr>
    </w:p>
    <w:p>
      <w:pPr>
        <w:ind w:right="560" w:firstLine="420"/>
        <w:spacing w:after="0" w:line="274" w:lineRule="auto"/>
        <w:rPr>
          <w:sz w:val="20"/>
          <w:szCs w:val="20"/>
          <w:color w:val="auto"/>
        </w:rPr>
      </w:pPr>
      <w:r>
        <w:rPr>
          <w:rFonts w:ascii="Arial" w:cs="Arial" w:eastAsia="Arial" w:hAnsi="Arial"/>
          <w:sz w:val="17"/>
          <w:szCs w:val="17"/>
          <w:color w:val="auto"/>
        </w:rPr>
        <w:t>The success of our current product candidates, and any other product candidates we may develop in the future, will depend on many factors, including the following:</w:t>
      </w:r>
    </w:p>
    <w:p>
      <w:pPr>
        <w:spacing w:after="0" w:line="63" w:lineRule="exact"/>
        <w:rPr>
          <w:sz w:val="20"/>
          <w:szCs w:val="20"/>
          <w:color w:val="auto"/>
        </w:rPr>
      </w:pPr>
    </w:p>
    <w:p>
      <w:pPr>
        <w:ind w:left="820" w:hanging="411"/>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regulatory permission to initiate clinical trials;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successful enrollment of patients in, and the completion of, our planned clinical trials;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receiving marketing approvals from applicable regulatory authorities;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third-party manufacturers;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enforcing and defending intellectual property rights and claims;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achieving desirable therapeutic properties for our product candidates’ intended indications;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launching commercial sales of our product candidates, if and when approved, whether alone or in collaboration with third parties;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352" w:right="239" w:bottom="1440" w:gutter="0" w:footer="0" w:header="0"/>
        </w:sectPr>
      </w:pPr>
    </w:p>
    <w:bookmarkStart w:id="31" w:name="page32"/>
    <w:bookmarkEnd w:id="31"/>
    <w:p>
      <w:pPr>
        <w:ind w:left="820" w:hanging="411"/>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acceptance of our product candidates, if and when approved, by patients, the medical community and third-party payors;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effectively competing with other therapies; and</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maintaining an acceptable safety profile of our product candidates through clinical trials and following regulatory approval.</w:t>
      </w:r>
    </w:p>
    <w:p>
      <w:pPr>
        <w:spacing w:after="0" w:line="212" w:lineRule="exact"/>
        <w:rPr>
          <w:sz w:val="20"/>
          <w:szCs w:val="20"/>
          <w:color w:val="auto"/>
        </w:rPr>
      </w:pPr>
    </w:p>
    <w:p>
      <w:pPr>
        <w:ind w:firstLine="420"/>
        <w:spacing w:after="0" w:line="274"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64" w:lineRule="exact"/>
        <w:rPr>
          <w:sz w:val="20"/>
          <w:szCs w:val="20"/>
          <w:color w:val="auto"/>
        </w:rPr>
      </w:pPr>
    </w:p>
    <w:p>
      <w:pPr>
        <w:ind w:right="20" w:firstLine="420"/>
        <w:spacing w:after="0" w:line="254" w:lineRule="auto"/>
        <w:rPr>
          <w:sz w:val="20"/>
          <w:szCs w:val="20"/>
          <w:color w:val="auto"/>
        </w:rPr>
      </w:pPr>
      <w:r>
        <w:rPr>
          <w:rFonts w:ascii="Arial" w:cs="Arial" w:eastAsia="Arial" w:hAnsi="Arial"/>
          <w:sz w:val="16"/>
          <w:szCs w:val="16"/>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70" w:lineRule="exact"/>
        <w:rPr>
          <w:sz w:val="20"/>
          <w:szCs w:val="20"/>
          <w:color w:val="auto"/>
        </w:rPr>
      </w:pPr>
    </w:p>
    <w:p>
      <w:pPr>
        <w:jc w:val="both"/>
        <w:ind w:right="320"/>
        <w:spacing w:after="0" w:line="248" w:lineRule="auto"/>
        <w:rPr>
          <w:sz w:val="20"/>
          <w:szCs w:val="20"/>
          <w:color w:val="auto"/>
        </w:rPr>
      </w:pPr>
      <w:r>
        <w:rPr>
          <w:rFonts w:ascii="Arial" w:cs="Arial" w:eastAsia="Arial" w:hAnsi="Arial"/>
          <w:sz w:val="17"/>
          <w:szCs w:val="17"/>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2" w:lineRule="exact"/>
        <w:rPr>
          <w:sz w:val="20"/>
          <w:szCs w:val="20"/>
          <w:color w:val="auto"/>
        </w:rPr>
      </w:pPr>
    </w:p>
    <w:p>
      <w:pPr>
        <w:ind w:right="60" w:firstLine="420"/>
        <w:spacing w:after="0"/>
        <w:rPr>
          <w:sz w:val="20"/>
          <w:szCs w:val="20"/>
          <w:color w:val="auto"/>
        </w:rPr>
      </w:pPr>
      <w:r>
        <w:rPr>
          <w:rFonts w:ascii="Arial" w:cs="Arial" w:eastAsia="Arial" w:hAnsi="Arial"/>
          <w:sz w:val="17"/>
          <w:szCs w:val="17"/>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0"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recently completed our Phase 1 clinical trial for etokimab in healthy humans, and initiated patient trials with etokimab are currently ongoing. We also have only recently completed a Phase 1 clinical trial with ANB019.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69" w:lineRule="exact"/>
        <w:rPr>
          <w:sz w:val="20"/>
          <w:szCs w:val="20"/>
          <w:color w:val="auto"/>
        </w:rPr>
      </w:pPr>
    </w:p>
    <w:p>
      <w:pPr>
        <w:ind w:firstLine="458"/>
        <w:spacing w:after="0" w:line="289" w:lineRule="auto"/>
        <w:rPr>
          <w:sz w:val="20"/>
          <w:szCs w:val="20"/>
          <w:color w:val="auto"/>
        </w:rPr>
      </w:pPr>
      <w:r>
        <w:rPr>
          <w:rFonts w:ascii="Arial" w:cs="Arial" w:eastAsia="Arial" w:hAnsi="Arial"/>
          <w:sz w:val="15"/>
          <w:szCs w:val="15"/>
          <w:color w:val="auto"/>
        </w:rPr>
        <w:t>In the single-ascending dose segment of our Phase 1 clinical trial of etokimab, the most common adverse events were upper respiratory tract infection and headache, and we observed one case of severe neutropenia in one individual, which was acute and not persistent, and was not determined to be drug-related. No adverse events were determined to be drug related. All safety information generated under the single-ascending dose segment of our Phase 1 clinical trial was included in the US IND and UK CTA submissions which were subsequently cleared by the FDA and MHRA, respectively. In our Phase 2a proof-of-concept trial for moderate-to-severe adult atopic dermatitis patients, one serious adverse event of severe depression was reported by a single patient on Day 140 post-etokimab, in a subject who had preexisting depression; this adverse event was not determined to be drug related. The most frequent treatment-emergent adverse events reported were mild dizziness in patients subsequent to placebo dosing, and mild headache in patients post-etokimab administration. Subjects in our ongoing and planned clinical trials may in the future suffer significant adverse events or other side effects not observed in our preclinical studies or in our Phase 1 or Phase 2a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58" w:right="239" w:bottom="1440" w:gutter="0" w:footer="0" w:header="0"/>
        </w:sectPr>
      </w:pPr>
    </w:p>
    <w:bookmarkStart w:id="32" w:name="page33"/>
    <w:bookmarkEnd w:id="32"/>
    <w:p>
      <w:pPr>
        <w:ind w:right="60"/>
        <w:spacing w:after="0" w:line="254" w:lineRule="auto"/>
        <w:rPr>
          <w:sz w:val="20"/>
          <w:szCs w:val="20"/>
          <w:color w:val="auto"/>
        </w:rPr>
      </w:pPr>
      <w:r>
        <w:rPr>
          <w:rFonts w:ascii="Arial" w:cs="Arial" w:eastAsia="Arial" w:hAnsi="Arial"/>
          <w:sz w:val="17"/>
          <w:szCs w:val="17"/>
          <w:color w:val="auto"/>
        </w:rPr>
        <w:t>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84" w:lineRule="exact"/>
        <w:rPr>
          <w:sz w:val="20"/>
          <w:szCs w:val="20"/>
          <w:color w:val="auto"/>
        </w:rPr>
      </w:pPr>
    </w:p>
    <w:p>
      <w:pPr>
        <w:ind w:right="20" w:firstLine="420"/>
        <w:spacing w:after="0" w:line="238"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79" w:lineRule="exact"/>
        <w:rPr>
          <w:sz w:val="20"/>
          <w:szCs w:val="20"/>
          <w:color w:val="auto"/>
        </w:rPr>
      </w:pPr>
    </w:p>
    <w:p>
      <w:pPr>
        <w:ind w:right="80" w:firstLine="420"/>
        <w:spacing w:after="0" w:line="257" w:lineRule="auto"/>
        <w:rPr>
          <w:sz w:val="20"/>
          <w:szCs w:val="20"/>
          <w:color w:val="auto"/>
        </w:rPr>
      </w:pPr>
      <w:r>
        <w:rPr>
          <w:rFonts w:ascii="Arial" w:cs="Arial" w:eastAsia="Arial" w:hAnsi="Arial"/>
          <w:sz w:val="17"/>
          <w:szCs w:val="17"/>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8" w:lineRule="exact"/>
        <w:rPr>
          <w:sz w:val="20"/>
          <w:szCs w:val="20"/>
          <w:color w:val="auto"/>
        </w:rPr>
      </w:pPr>
    </w:p>
    <w:p>
      <w:pPr>
        <w:ind w:right="580"/>
        <w:spacing w:after="0" w:line="311"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36" w:lineRule="exact"/>
        <w:rPr>
          <w:sz w:val="20"/>
          <w:szCs w:val="20"/>
          <w:color w:val="auto"/>
        </w:rPr>
      </w:pPr>
    </w:p>
    <w:p>
      <w:pPr>
        <w:ind w:right="60" w:firstLine="420"/>
        <w:spacing w:after="0" w:line="269" w:lineRule="auto"/>
        <w:rPr>
          <w:sz w:val="20"/>
          <w:szCs w:val="20"/>
          <w:color w:val="auto"/>
        </w:rPr>
      </w:pPr>
      <w:r>
        <w:rPr>
          <w:rFonts w:ascii="Arial" w:cs="Arial" w:eastAsia="Arial" w:hAnsi="Arial"/>
          <w:sz w:val="16"/>
          <w:szCs w:val="16"/>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etokimab in the United States and United Kingdom, respectively, and a CTN for ANB019 in Australia,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Therapeutic Goods Administration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74" w:lineRule="exact"/>
        <w:rPr>
          <w:sz w:val="20"/>
          <w:szCs w:val="20"/>
          <w:color w:val="auto"/>
        </w:rPr>
      </w:pPr>
    </w:p>
    <w:p>
      <w:pPr>
        <w:ind w:firstLine="420"/>
        <w:spacing w:after="0" w:line="269" w:lineRule="auto"/>
        <w:rPr>
          <w:sz w:val="20"/>
          <w:szCs w:val="20"/>
          <w:color w:val="auto"/>
        </w:rPr>
      </w:pPr>
      <w:r>
        <w:rPr>
          <w:rFonts w:ascii="Arial" w:cs="Arial" w:eastAsia="Arial" w:hAnsi="Arial"/>
          <w:sz w:val="16"/>
          <w:szCs w:val="16"/>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our CTN for etokimab in Australia, obtaining clearance for our IND for a Phase 2a clinical trial of etokimab in severe adult peanut allergy in the United States, obtaining written responses from the FDA regarding a pre-IND submission for a study of etokimab in moderate to severe atopic dermatitis, obtaining clearance for our CTA for two Phase 2a clinical trials of etokimab in both moderate-to-severe adult atopic dermatitis and adult eosinophilic asthma patients in the United Kingdom and obtaining clearance for our CTN for ANB019 in Australia,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we believe a small pivotal trial, potentially with approximately 100 patients, may be sufficient to demonstrate substantial evidence of efficacy of ANB019 in generalized pustular psoriasis, or GPP, patients. However, we have not yet discussed clinical trial design for this indication with the FDA, and the FDA may disagree with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560" w:right="239" w:bottom="1440" w:gutter="0" w:footer="0" w:header="0"/>
        </w:sectPr>
      </w:pPr>
    </w:p>
    <w:bookmarkStart w:id="33" w:name="page34"/>
    <w:bookmarkEnd w:id="33"/>
    <w:p>
      <w:pPr>
        <w:ind w:right="400"/>
        <w:spacing w:after="0" w:line="274" w:lineRule="auto"/>
        <w:rPr>
          <w:sz w:val="20"/>
          <w:szCs w:val="20"/>
          <w:color w:val="auto"/>
        </w:rPr>
      </w:pPr>
      <w:r>
        <w:rPr>
          <w:rFonts w:ascii="Arial" w:cs="Arial" w:eastAsia="Arial" w:hAnsi="Arial"/>
          <w:sz w:val="17"/>
          <w:szCs w:val="17"/>
          <w:color w:val="auto"/>
        </w:rPr>
        <w:t>proposed trial design, including the number of patients necessary to demonstrate efficacy and/or may require us to conduct more than one pivotal study in order to obtain approval of a BLA.</w:t>
      </w:r>
    </w:p>
    <w:p>
      <w:pPr>
        <w:spacing w:after="0" w:line="164" w:lineRule="exact"/>
        <w:rPr>
          <w:sz w:val="20"/>
          <w:szCs w:val="20"/>
          <w:color w:val="auto"/>
        </w:rPr>
      </w:pPr>
    </w:p>
    <w:p>
      <w:pPr>
        <w:jc w:val="both"/>
        <w:ind w:firstLine="420"/>
        <w:spacing w:after="0" w:line="261" w:lineRule="auto"/>
        <w:rPr>
          <w:sz w:val="20"/>
          <w:szCs w:val="20"/>
          <w:color w:val="auto"/>
        </w:rPr>
      </w:pPr>
      <w:r>
        <w:rPr>
          <w:rFonts w:ascii="Arial" w:cs="Arial" w:eastAsia="Arial" w:hAnsi="Arial"/>
          <w:sz w:val="17"/>
          <w:szCs w:val="17"/>
          <w:color w:val="auto"/>
        </w:rPr>
        <w:t>Preclinical studies and clinical trials are expensive, difficult to design and implement, can take many years to complete and are uncertain as to outcome. Products, on average, take 10 to 15 years to be developed from the time they are discovered to the time they are approved and available for treating patients. The start or end of a clinical trial is often delayed or halted for many reasons, including:</w:t>
      </w:r>
    </w:p>
    <w:p>
      <w:pPr>
        <w:spacing w:after="0" w:line="75" w:lineRule="exact"/>
        <w:rPr>
          <w:sz w:val="20"/>
          <w:szCs w:val="20"/>
          <w:color w:val="auto"/>
        </w:rPr>
      </w:pPr>
    </w:p>
    <w:p>
      <w:pPr>
        <w:ind w:left="820" w:hanging="411"/>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imposition of a clinical hold for safety reasons or following an inspection of clinical trial operations or site by the FDA or other regulatory authorities;</w:t>
      </w:r>
    </w:p>
    <w:p>
      <w:pPr>
        <w:spacing w:after="0" w:line="121" w:lineRule="exact"/>
        <w:rPr>
          <w:rFonts w:ascii="Arial" w:cs="Arial" w:eastAsia="Arial" w:hAnsi="Arial"/>
          <w:sz w:val="16"/>
          <w:szCs w:val="16"/>
          <w:color w:val="auto"/>
        </w:rPr>
      </w:pPr>
    </w:p>
    <w:p>
      <w:pPr>
        <w:ind w:left="820" w:hanging="411"/>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manufacturing challenges;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insufficient supply or quality of product candidates or other materials necessary to conduct clinical trials;</w:t>
      </w:r>
    </w:p>
    <w:p>
      <w:pPr>
        <w:spacing w:after="0" w:line="109" w:lineRule="exact"/>
        <w:rPr>
          <w:rFonts w:ascii="Arial" w:cs="Arial" w:eastAsia="Arial" w:hAnsi="Arial"/>
          <w:sz w:val="17"/>
          <w:szCs w:val="17"/>
          <w:color w:val="auto"/>
        </w:rPr>
      </w:pPr>
    </w:p>
    <w:p>
      <w:pPr>
        <w:ind w:left="820" w:right="440" w:hanging="411"/>
        <w:spacing w:after="0" w:line="342" w:lineRule="auto"/>
        <w:tabs>
          <w:tab w:leader="none" w:pos="8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17" w:lineRule="exact"/>
        <w:rPr>
          <w:rFonts w:ascii="Arial" w:cs="Arial" w:eastAsia="Arial" w:hAnsi="Arial"/>
          <w:sz w:val="15"/>
          <w:szCs w:val="15"/>
          <w:color w:val="auto"/>
        </w:rPr>
      </w:pPr>
    </w:p>
    <w:p>
      <w:pPr>
        <w:ind w:left="820" w:hanging="411"/>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clinical sites electing to terminate their participation in one of our clinical trials;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inability or unwillingness of patients or medical investigators to follow clinical trial protocols;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required clinical trial administrative actions;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slower than anticipated patient enrollment;</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changing standards of care;</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safety concerns;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availability or prevalence of use of a comparative drug or required prior therapy; or</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clinical outcomes or financial constraints.</w:t>
      </w:r>
    </w:p>
    <w:p>
      <w:pPr>
        <w:spacing w:after="0" w:line="212" w:lineRule="exact"/>
        <w:rPr>
          <w:sz w:val="20"/>
          <w:szCs w:val="20"/>
          <w:color w:val="auto"/>
        </w:rPr>
      </w:pPr>
    </w:p>
    <w:p>
      <w:pPr>
        <w:ind w:right="80" w:firstLine="420"/>
        <w:spacing w:after="0" w:line="272"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If we experience any of the issues described above, or other similar or related issues, we may:</w:t>
      </w:r>
    </w:p>
    <w:p>
      <w:pPr>
        <w:spacing w:after="0" w:line="110" w:lineRule="exact"/>
        <w:rPr>
          <w:sz w:val="20"/>
          <w:szCs w:val="20"/>
          <w:color w:val="auto"/>
        </w:rPr>
      </w:pPr>
    </w:p>
    <w:p>
      <w:pPr>
        <w:ind w:left="820" w:hanging="411"/>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product candidates;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 obtain marketing approval at all;</w:t>
      </w:r>
    </w:p>
    <w:p>
      <w:pPr>
        <w:spacing w:after="0" w:line="109" w:lineRule="exact"/>
        <w:rPr>
          <w:rFonts w:ascii="Arial" w:cs="Arial" w:eastAsia="Arial" w:hAnsi="Arial"/>
          <w:sz w:val="17"/>
          <w:szCs w:val="17"/>
          <w:color w:val="auto"/>
        </w:rPr>
      </w:pPr>
    </w:p>
    <w:p>
      <w:pPr>
        <w:ind w:left="820" w:right="260" w:hanging="411"/>
        <w:spacing w:after="0" w:line="274"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 marketing approval in some countries and not in others; obtain approval for indications or patient populations that are not as broad as intended or desired;</w:t>
      </w:r>
    </w:p>
    <w:p>
      <w:pPr>
        <w:spacing w:after="0" w:line="62" w:lineRule="exact"/>
        <w:rPr>
          <w:rFonts w:ascii="Arial" w:cs="Arial" w:eastAsia="Arial" w:hAnsi="Arial"/>
          <w:sz w:val="17"/>
          <w:szCs w:val="17"/>
          <w:color w:val="auto"/>
        </w:rPr>
      </w:pPr>
    </w:p>
    <w:p>
      <w:pPr>
        <w:ind w:left="820" w:hanging="411"/>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 including boxed warnings;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 subject to additional post-marketing testing requirements; or</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have the product removed from the market after obtaining marketing approval.</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560" w:right="25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color w:val="auto"/>
        </w:rPr>
        <w:t>We may not be successful in our efforts to use our technology platform to expand our pipeline of product candidates and develop marketable products.</w:t>
      </w:r>
    </w:p>
    <w:p>
      <w:pPr>
        <w:spacing w:after="0" w:line="124" w:lineRule="exact"/>
        <w:rPr>
          <w:sz w:val="20"/>
          <w:szCs w:val="20"/>
          <w:color w:val="auto"/>
        </w:rPr>
      </w:pPr>
    </w:p>
    <w:p>
      <w:pPr>
        <w:ind w:right="20" w:firstLine="420"/>
        <w:spacing w:after="0" w:line="272" w:lineRule="auto"/>
        <w:rPr>
          <w:sz w:val="20"/>
          <w:szCs w:val="20"/>
          <w:color w:val="auto"/>
        </w:rPr>
      </w:pPr>
      <w:r>
        <w:rPr>
          <w:rFonts w:ascii="Arial" w:cs="Arial" w:eastAsia="Arial" w:hAnsi="Arial"/>
          <w:sz w:val="15"/>
          <w:szCs w:val="15"/>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62" w:lineRule="exact"/>
        <w:rPr>
          <w:sz w:val="20"/>
          <w:szCs w:val="20"/>
          <w:color w:val="auto"/>
        </w:rPr>
      </w:pPr>
    </w:p>
    <w:p>
      <w:pPr>
        <w:ind w:right="120" w:firstLine="420"/>
        <w:spacing w:after="0" w:line="275" w:lineRule="auto"/>
        <w:rPr>
          <w:sz w:val="20"/>
          <w:szCs w:val="20"/>
          <w:color w:val="auto"/>
        </w:rPr>
      </w:pPr>
      <w:r>
        <w:rPr>
          <w:rFonts w:ascii="Arial" w:cs="Arial" w:eastAsia="Arial" w:hAnsi="Arial"/>
          <w:sz w:val="15"/>
          <w:szCs w:val="15"/>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54"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b w:val="1"/>
          <w:bCs w:val="1"/>
          <w:color w:val="auto"/>
        </w:rPr>
        <w:t>We have recently commenced clinical development of etokimab and ANB019, and have no other history of conducting clinical trials or commercializing biotechnology products, which may make it difficult to evaluate the prospects for our future viability.</w:t>
      </w:r>
    </w:p>
    <w:p>
      <w:pPr>
        <w:spacing w:after="0" w:line="59" w:lineRule="exact"/>
        <w:rPr>
          <w:sz w:val="20"/>
          <w:szCs w:val="20"/>
          <w:color w:val="auto"/>
        </w:rPr>
      </w:pPr>
    </w:p>
    <w:p>
      <w:pPr>
        <w:ind w:firstLine="420"/>
        <w:spacing w:after="0" w:line="275" w:lineRule="auto"/>
        <w:rPr>
          <w:sz w:val="20"/>
          <w:szCs w:val="20"/>
          <w:color w:val="auto"/>
        </w:rPr>
      </w:pPr>
      <w:r>
        <w:rPr>
          <w:rFonts w:ascii="Arial" w:cs="Arial" w:eastAsia="Arial" w:hAnsi="Arial"/>
          <w:sz w:val="15"/>
          <w:szCs w:val="15"/>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56" w:lineRule="exact"/>
        <w:rPr>
          <w:sz w:val="20"/>
          <w:szCs w:val="20"/>
          <w:color w:val="auto"/>
        </w:rPr>
      </w:pPr>
    </w:p>
    <w:p>
      <w:pPr>
        <w:ind w:right="220" w:firstLine="420"/>
        <w:spacing w:after="0" w:line="324" w:lineRule="auto"/>
        <w:rPr>
          <w:sz w:val="20"/>
          <w:szCs w:val="20"/>
          <w:color w:val="auto"/>
        </w:rPr>
      </w:pPr>
      <w:r>
        <w:rPr>
          <w:rFonts w:ascii="Arial" w:cs="Arial" w:eastAsia="Arial" w:hAnsi="Arial"/>
          <w:sz w:val="15"/>
          <w:szCs w:val="15"/>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18" w:lineRule="exact"/>
        <w:rPr>
          <w:sz w:val="20"/>
          <w:szCs w:val="20"/>
          <w:color w:val="auto"/>
        </w:rPr>
      </w:pPr>
    </w:p>
    <w:p>
      <w:pPr>
        <w:ind w:left="820" w:right="600" w:hanging="411"/>
        <w:spacing w:after="0" w:line="258"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3" w:lineRule="exact"/>
        <w:rPr>
          <w:rFonts w:ascii="Arial" w:cs="Arial" w:eastAsia="Arial" w:hAnsi="Arial"/>
          <w:sz w:val="17"/>
          <w:szCs w:val="17"/>
          <w:color w:val="auto"/>
        </w:rPr>
      </w:pPr>
    </w:p>
    <w:p>
      <w:pPr>
        <w:ind w:left="820" w:right="360" w:hanging="411"/>
        <w:spacing w:after="0" w:line="258"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3" w:lineRule="exact"/>
        <w:rPr>
          <w:rFonts w:ascii="Arial" w:cs="Arial" w:eastAsia="Arial" w:hAnsi="Arial"/>
          <w:sz w:val="17"/>
          <w:szCs w:val="17"/>
          <w:color w:val="auto"/>
        </w:rPr>
      </w:pPr>
    </w:p>
    <w:p>
      <w:pPr>
        <w:ind w:left="820" w:hanging="411"/>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conditions imposed by the FDA or foreign regulatory authorities regarding the number, scope or design of our clinical trials;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in enrolling research subjects in clinical trials;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high drop-out rates of research subjects;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inadequate supply or quality of clinical trial materials or other supplies necessary for the conduct of our clinical trials;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80"/>
          </w:cols>
          <w:pgMar w:left="240" w:top="657" w:right="279" w:bottom="1440" w:gutter="0" w:footer="0" w:header="0"/>
        </w:sectPr>
      </w:pPr>
    </w:p>
    <w:bookmarkStart w:id="35" w:name="page36"/>
    <w:bookmarkEnd w:id="35"/>
    <w:p>
      <w:pPr>
        <w:ind w:left="820" w:hanging="411"/>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greater than anticipated clinical trial costs;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poor effectiveness or unacceptable side effects of our product candidates during clinical trials;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unfavorable FDA or other regulatory agency inspection and review of a clinical trial site;</w:t>
      </w:r>
    </w:p>
    <w:p>
      <w:pPr>
        <w:spacing w:after="0" w:line="109" w:lineRule="exact"/>
        <w:rPr>
          <w:rFonts w:ascii="Arial" w:cs="Arial" w:eastAsia="Arial" w:hAnsi="Arial"/>
          <w:sz w:val="17"/>
          <w:szCs w:val="17"/>
          <w:color w:val="auto"/>
        </w:rPr>
      </w:pPr>
    </w:p>
    <w:p>
      <w:pPr>
        <w:ind w:left="820" w:right="340" w:hanging="411"/>
        <w:spacing w:after="0" w:line="274"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7"/>
          <w:szCs w:val="17"/>
          <w:color w:val="auto"/>
        </w:rPr>
      </w:pPr>
    </w:p>
    <w:p>
      <w:pPr>
        <w:ind w:left="820" w:right="500" w:hanging="411"/>
        <w:spacing w:after="0" w:line="274"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7"/>
          <w:szCs w:val="17"/>
          <w:color w:val="auto"/>
        </w:rPr>
      </w:pPr>
    </w:p>
    <w:p>
      <w:pPr>
        <w:ind w:left="820" w:right="300" w:hanging="411"/>
        <w:spacing w:after="0" w:line="274"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7"/>
          <w:szCs w:val="17"/>
          <w:color w:val="auto"/>
        </w:rPr>
      </w:pPr>
    </w:p>
    <w:p>
      <w:pPr>
        <w:ind w:left="820" w:hanging="411"/>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varying interpretations of data by the FDA and foreign regulatory authorities.</w:t>
      </w:r>
    </w:p>
    <w:p>
      <w:pPr>
        <w:spacing w:after="0" w:line="212" w:lineRule="exact"/>
        <w:rPr>
          <w:sz w:val="20"/>
          <w:szCs w:val="20"/>
          <w:color w:val="auto"/>
        </w:rPr>
      </w:pPr>
    </w:p>
    <w:p>
      <w:pPr>
        <w:ind w:right="160" w:firstLine="420"/>
        <w:spacing w:after="0" w:line="274"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64" w:lineRule="exact"/>
        <w:rPr>
          <w:sz w:val="20"/>
          <w:szCs w:val="20"/>
          <w:color w:val="auto"/>
        </w:rPr>
      </w:pPr>
    </w:p>
    <w:p>
      <w:pPr>
        <w:ind w:right="280" w:firstLine="420"/>
        <w:spacing w:after="0" w:line="342" w:lineRule="auto"/>
        <w:rPr>
          <w:sz w:val="20"/>
          <w:szCs w:val="20"/>
          <w:color w:val="auto"/>
        </w:rPr>
      </w:pPr>
      <w:r>
        <w:rPr>
          <w:rFonts w:ascii="Arial" w:cs="Arial" w:eastAsia="Arial" w:hAnsi="Arial"/>
          <w:sz w:val="15"/>
          <w:szCs w:val="15"/>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17" w:lineRule="exact"/>
        <w:rPr>
          <w:sz w:val="20"/>
          <w:szCs w:val="20"/>
          <w:color w:val="auto"/>
        </w:rPr>
      </w:pPr>
    </w:p>
    <w:p>
      <w:pPr>
        <w:ind w:right="660"/>
        <w:spacing w:after="0" w:line="278" w:lineRule="auto"/>
        <w:rPr>
          <w:sz w:val="20"/>
          <w:szCs w:val="20"/>
          <w:color w:val="auto"/>
        </w:rPr>
      </w:pPr>
      <w:r>
        <w:rPr>
          <w:rFonts w:ascii="Arial" w:cs="Arial" w:eastAsia="Arial" w:hAnsi="Arial"/>
          <w:sz w:val="17"/>
          <w:szCs w:val="17"/>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60" w:lineRule="exact"/>
        <w:rPr>
          <w:sz w:val="20"/>
          <w:szCs w:val="20"/>
          <w:color w:val="auto"/>
        </w:rPr>
      </w:pPr>
    </w:p>
    <w:p>
      <w:pPr>
        <w:ind w:right="60" w:firstLine="420"/>
        <w:spacing w:after="0" w:line="289" w:lineRule="auto"/>
        <w:rPr>
          <w:sz w:val="20"/>
          <w:szCs w:val="20"/>
          <w:color w:val="auto"/>
        </w:rPr>
      </w:pPr>
      <w:r>
        <w:rPr>
          <w:rFonts w:ascii="Arial" w:cs="Arial" w:eastAsia="Arial" w:hAnsi="Arial"/>
          <w:sz w:val="15"/>
          <w:szCs w:val="15"/>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56" w:lineRule="exact"/>
        <w:rPr>
          <w:sz w:val="20"/>
          <w:szCs w:val="20"/>
          <w:color w:val="auto"/>
        </w:rPr>
      </w:pPr>
    </w:p>
    <w:p>
      <w:pPr>
        <w:ind w:firstLine="420"/>
        <w:spacing w:after="0" w:line="268"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and reslizumab (Cinqair; Teva), both of which the FDA has approved for the add-on maintenance treatment in patients with severe eosinophilic asthma; antibodies such as benralizumab (FASENRA, AstraZeneca) that bind the IL-5 receptor; antibodies that bind to IL-13 such as lebrikizumab (Roche), tralokinumab (FASENRA, AstraZeneca) and anrukinzumab (Pfizer), which are in clinical testing; antibodies that bind the IL-4 receptor alpha chain, such as dupilumab (Regeneron, Sanofi) and AMG 317 (Amgen) each in clinical testing, ST2-binding antibodies including Roche’s RG6149, GSK’s GSK3772847 and Regeneron’s REGN3500 each in clinical development for asthma and related conditions, a recently announced IL-33 related program by AstraZeneca (MEDI3506) in a Phase 1 clinical trial indicated for chronic obstructive pulmonary disease and an anti-TSLP antibody called tezepelumab (AMG 157, MEDI9929) being developed by Amgen and AstraZeneca for asthma and atopic dermatitis. For atopic dermatitis, our competitors include dupilumab (Dupixent, Regeneron, Sanofi), which has been approved by the FDA, crisaborole (EUCRISA, Pfizer), which has recently been approved by the FDA, VTP-38543 (Vitae, acquired by Allergan), JAK inhibitors such as baricitinib, PF-04965842 and upadacitinib under development by Lilly/Incyte, Pfizer and Abbvie, respectively, a recently announced IL-33 related program by Pfizer (PF-06817024) in a Phase 1 clinical trial indicated for various indications and a recently announced IL-33 related program by Lilly in a Phase 1 clinical trial indicated for autoimmune disorders.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58" w:right="239" w:bottom="1440" w:gutter="0" w:footer="0" w:header="0"/>
        </w:sectPr>
      </w:pPr>
    </w:p>
    <w:bookmarkStart w:id="36" w:name="page37"/>
    <w:bookmarkEnd w:id="36"/>
    <w:p>
      <w:pPr>
        <w:ind w:right="440"/>
        <w:spacing w:after="0" w:line="274" w:lineRule="auto"/>
        <w:rPr>
          <w:sz w:val="20"/>
          <w:szCs w:val="20"/>
          <w:color w:val="auto"/>
        </w:rPr>
      </w:pPr>
      <w:r>
        <w:rPr>
          <w:rFonts w:ascii="Arial" w:cs="Arial" w:eastAsia="Arial" w:hAnsi="Arial"/>
          <w:sz w:val="17"/>
          <w:szCs w:val="17"/>
          <w:color w:val="auto"/>
        </w:rPr>
        <w:t>Novartis) which binds IL-1 beta, anakinra (Kineret; Swedish Orphan Biovitrum AB) a recombinant form the IL-1 receptor antagonist and BI-655130 (Boehringer Ingelheim).</w:t>
      </w:r>
    </w:p>
    <w:p>
      <w:pPr>
        <w:spacing w:after="0" w:line="164" w:lineRule="exact"/>
        <w:rPr>
          <w:sz w:val="20"/>
          <w:szCs w:val="20"/>
          <w:color w:val="auto"/>
        </w:rPr>
      </w:pPr>
    </w:p>
    <w:p>
      <w:pPr>
        <w:ind w:firstLine="420"/>
        <w:spacing w:after="0" w:line="253"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83" w:lineRule="exact"/>
        <w:rPr>
          <w:sz w:val="20"/>
          <w:szCs w:val="20"/>
          <w:color w:val="auto"/>
        </w:rPr>
      </w:pPr>
    </w:p>
    <w:p>
      <w:pPr>
        <w:ind w:right="120" w:firstLine="420"/>
        <w:spacing w:after="0" w:line="254"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4" w:lineRule="exact"/>
        <w:rPr>
          <w:sz w:val="20"/>
          <w:szCs w:val="20"/>
          <w:color w:val="auto"/>
        </w:rPr>
      </w:pPr>
    </w:p>
    <w:p>
      <w:pPr>
        <w:ind w:right="140" w:firstLine="420"/>
        <w:spacing w:after="0" w:line="27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69" w:lineRule="exact"/>
        <w:rPr>
          <w:sz w:val="20"/>
          <w:szCs w:val="20"/>
          <w:color w:val="auto"/>
        </w:rPr>
      </w:pPr>
    </w:p>
    <w:p>
      <w:pPr>
        <w:ind w:right="80" w:firstLine="420"/>
        <w:spacing w:after="0" w:line="298" w:lineRule="auto"/>
        <w:rPr>
          <w:sz w:val="20"/>
          <w:szCs w:val="20"/>
          <w:color w:val="auto"/>
        </w:rPr>
      </w:pPr>
      <w:r>
        <w:rPr>
          <w:rFonts w:ascii="Arial" w:cs="Arial" w:eastAsia="Arial" w:hAnsi="Arial"/>
          <w:sz w:val="15"/>
          <w:szCs w:val="15"/>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48"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b w:val="1"/>
          <w:bCs w:val="1"/>
          <w:color w:val="auto"/>
        </w:rPr>
        <w:t>Our product candidates may not achieve adequate market acceptance among physicians, patients, healthcare payors and others in the medical community necessary for commercial success.</w:t>
      </w:r>
    </w:p>
    <w:p>
      <w:pPr>
        <w:spacing w:after="0" w:line="60" w:lineRule="exact"/>
        <w:rPr>
          <w:sz w:val="20"/>
          <w:szCs w:val="20"/>
          <w:color w:val="auto"/>
        </w:rPr>
      </w:pPr>
    </w:p>
    <w:p>
      <w:pPr>
        <w:ind w:right="320" w:firstLine="420"/>
        <w:spacing w:after="0" w:line="342" w:lineRule="auto"/>
        <w:rPr>
          <w:sz w:val="20"/>
          <w:szCs w:val="20"/>
          <w:color w:val="auto"/>
        </w:rPr>
      </w:pPr>
      <w:r>
        <w:rPr>
          <w:rFonts w:ascii="Arial" w:cs="Arial" w:eastAsia="Arial" w:hAnsi="Arial"/>
          <w:sz w:val="15"/>
          <w:szCs w:val="15"/>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17" w:lineRule="exact"/>
        <w:rPr>
          <w:sz w:val="20"/>
          <w:szCs w:val="20"/>
          <w:color w:val="auto"/>
        </w:rPr>
      </w:pPr>
    </w:p>
    <w:p>
      <w:pPr>
        <w:ind w:left="820" w:hanging="411"/>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efficacy and safety profile as demonstrated in planned clinical trials;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market introduction of the product candidate as well as competitive products;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clinical indications for which the product candidate is approved;</w:t>
      </w:r>
    </w:p>
    <w:p>
      <w:pPr>
        <w:spacing w:after="0" w:line="109" w:lineRule="exact"/>
        <w:rPr>
          <w:rFonts w:ascii="Arial" w:cs="Arial" w:eastAsia="Arial" w:hAnsi="Arial"/>
          <w:sz w:val="17"/>
          <w:szCs w:val="17"/>
          <w:color w:val="auto"/>
        </w:rPr>
      </w:pPr>
    </w:p>
    <w:p>
      <w:pPr>
        <w:ind w:left="820" w:right="100" w:hanging="411"/>
        <w:spacing w:after="0" w:line="274" w:lineRule="auto"/>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62" w:lineRule="exact"/>
        <w:rPr>
          <w:rFonts w:ascii="Arial" w:cs="Arial" w:eastAsia="Arial" w:hAnsi="Arial"/>
          <w:sz w:val="17"/>
          <w:szCs w:val="17"/>
          <w:color w:val="auto"/>
        </w:rPr>
      </w:pPr>
    </w:p>
    <w:p>
      <w:pPr>
        <w:ind w:left="820" w:hanging="411"/>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acceptance of the product candidate as a safe and effective treatment by physicians, clinics and patients;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 including any similar generic treatments;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 of treatment in relation to alternative treatments;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58" w:right="239" w:bottom="1440" w:gutter="0" w:footer="0" w:header="0"/>
        </w:sectPr>
      </w:pPr>
    </w:p>
    <w:bookmarkStart w:id="37" w:name="page38"/>
    <w:bookmarkEnd w:id="37"/>
    <w:p>
      <w:pPr>
        <w:ind w:left="820" w:hanging="411"/>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availability of coverage and adequate reimbursement and pricing by third parties and government authorities;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frequency and severity of adverse events;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effectiveness of sales and marketing efforts; and</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unfavorable publicity relating to the product candidate.</w:t>
      </w:r>
    </w:p>
    <w:p>
      <w:pPr>
        <w:spacing w:after="0" w:line="377" w:lineRule="exact"/>
        <w:rPr>
          <w:sz w:val="20"/>
          <w:szCs w:val="20"/>
          <w:color w:val="auto"/>
        </w:rPr>
      </w:pPr>
    </w:p>
    <w:p>
      <w:pPr>
        <w:ind w:right="240" w:firstLine="420"/>
        <w:spacing w:after="0" w:line="274"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62" w:lineRule="exact"/>
        <w:rPr>
          <w:sz w:val="20"/>
          <w:szCs w:val="20"/>
          <w:color w:val="auto"/>
        </w:rPr>
      </w:pPr>
    </w:p>
    <w:p>
      <w:pPr>
        <w:ind w:right="700"/>
        <w:spacing w:after="0" w:line="311" w:lineRule="auto"/>
        <w:rPr>
          <w:sz w:val="20"/>
          <w:szCs w:val="20"/>
          <w:color w:val="auto"/>
        </w:rPr>
      </w:pPr>
      <w:r>
        <w:rPr>
          <w:rFonts w:ascii="Arial" w:cs="Arial" w:eastAsia="Arial" w:hAnsi="Arial"/>
          <w:sz w:val="16"/>
          <w:szCs w:val="16"/>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36" w:lineRule="exact"/>
        <w:rPr>
          <w:sz w:val="20"/>
          <w:szCs w:val="20"/>
          <w:color w:val="auto"/>
        </w:rPr>
      </w:pPr>
    </w:p>
    <w:p>
      <w:pPr>
        <w:ind w:right="120" w:firstLine="420"/>
        <w:spacing w:after="0" w:line="290" w:lineRule="auto"/>
        <w:rPr>
          <w:sz w:val="20"/>
          <w:szCs w:val="20"/>
          <w:color w:val="auto"/>
        </w:rPr>
      </w:pPr>
      <w:r>
        <w:rPr>
          <w:rFonts w:ascii="Arial" w:cs="Arial" w:eastAsia="Arial" w:hAnsi="Arial"/>
          <w:sz w:val="15"/>
          <w:szCs w:val="15"/>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If we or our partners, or any third party, are unable to successfully develop companion diagnostics for our product candidates, or experience delays in doing so:</w:t>
      </w:r>
    </w:p>
    <w:p>
      <w:pPr>
        <w:spacing w:after="0" w:line="133" w:lineRule="exact"/>
        <w:rPr>
          <w:sz w:val="20"/>
          <w:szCs w:val="20"/>
          <w:color w:val="auto"/>
        </w:rPr>
      </w:pPr>
    </w:p>
    <w:p>
      <w:pPr>
        <w:ind w:left="820" w:right="60" w:hanging="411"/>
        <w:spacing w:after="0" w:line="274" w:lineRule="auto"/>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development of our product candidates may be adversely affected if we are unable to appropriately select patients for enrollment in our planned clinical trials;</w:t>
      </w:r>
    </w:p>
    <w:p>
      <w:pPr>
        <w:spacing w:after="0" w:line="62" w:lineRule="exact"/>
        <w:rPr>
          <w:rFonts w:ascii="Arial" w:cs="Arial" w:eastAsia="Arial" w:hAnsi="Arial"/>
          <w:sz w:val="17"/>
          <w:szCs w:val="17"/>
          <w:color w:val="auto"/>
        </w:rPr>
      </w:pPr>
    </w:p>
    <w:p>
      <w:pPr>
        <w:ind w:left="820" w:hanging="411"/>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product candidates may not receive marketing approval if their safe and effective use depends on a companion diagnostic; and</w:t>
      </w:r>
    </w:p>
    <w:p>
      <w:pPr>
        <w:spacing w:after="0" w:line="109" w:lineRule="exact"/>
        <w:rPr>
          <w:rFonts w:ascii="Arial" w:cs="Arial" w:eastAsia="Arial" w:hAnsi="Arial"/>
          <w:sz w:val="17"/>
          <w:szCs w:val="17"/>
          <w:color w:val="auto"/>
        </w:rPr>
      </w:pPr>
    </w:p>
    <w:p>
      <w:pPr>
        <w:ind w:left="820" w:right="480" w:hanging="411"/>
        <w:spacing w:after="0" w:line="274" w:lineRule="auto"/>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64" w:lineRule="exact"/>
        <w:rPr>
          <w:sz w:val="20"/>
          <w:szCs w:val="20"/>
          <w:color w:val="auto"/>
        </w:rPr>
      </w:pPr>
    </w:p>
    <w:p>
      <w:pPr>
        <w:ind w:right="80" w:firstLine="420"/>
        <w:spacing w:after="0" w:line="285" w:lineRule="auto"/>
        <w:rPr>
          <w:sz w:val="20"/>
          <w:szCs w:val="20"/>
          <w:color w:val="auto"/>
        </w:rPr>
      </w:pPr>
      <w:r>
        <w:rPr>
          <w:rFonts w:ascii="Arial" w:cs="Arial" w:eastAsia="Arial" w:hAnsi="Arial"/>
          <w:sz w:val="16"/>
          <w:szCs w:val="16"/>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If any of these events were to occur, our business would be harmed, possibly materially.</w:t>
      </w:r>
    </w:p>
    <w:p>
      <w:pPr>
        <w:spacing w:after="0" w:line="309"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71" w:lineRule="exact"/>
        <w:rPr>
          <w:sz w:val="20"/>
          <w:szCs w:val="20"/>
          <w:color w:val="auto"/>
        </w:rPr>
      </w:pPr>
    </w:p>
    <w:p>
      <w:pPr>
        <w:ind w:right="20" w:firstLine="420"/>
        <w:spacing w:after="0" w:line="255" w:lineRule="auto"/>
        <w:rPr>
          <w:sz w:val="20"/>
          <w:szCs w:val="20"/>
          <w:color w:val="auto"/>
        </w:rPr>
      </w:pPr>
      <w:r>
        <w:rPr>
          <w:rFonts w:ascii="Arial" w:cs="Arial" w:eastAsia="Arial" w:hAnsi="Arial"/>
          <w:sz w:val="17"/>
          <w:szCs w:val="17"/>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58" w:right="239" w:bottom="1440" w:gutter="0" w:footer="0" w:header="0"/>
        </w:sectPr>
      </w:pPr>
    </w:p>
    <w:bookmarkStart w:id="38" w:name="page39"/>
    <w:bookmarkEnd w:id="38"/>
    <w:p>
      <w:pPr>
        <w:ind w:right="260"/>
        <w:spacing w:after="0" w:line="261" w:lineRule="auto"/>
        <w:rPr>
          <w:sz w:val="20"/>
          <w:szCs w:val="20"/>
          <w:color w:val="auto"/>
        </w:rPr>
      </w:pPr>
      <w:r>
        <w:rPr>
          <w:rFonts w:ascii="Arial" w:cs="Arial" w:eastAsia="Arial" w:hAnsi="Arial"/>
          <w:sz w:val="17"/>
          <w:szCs w:val="17"/>
          <w:color w:val="auto"/>
        </w:rPr>
        <w:t>which could delay clinical trials and adversely harm our business. Moreover, if the FDA determines that our manufacturer is not in compliance with FDA laws and regulations, including those governing current good manufacturing practices, or cGMPs, the FDA may deny BLA approval until the deficiencies are corrected or we replace the manufacturer in our BLA with a manufacturer that is in compliance.</w:t>
      </w:r>
    </w:p>
    <w:p>
      <w:pPr>
        <w:spacing w:after="0" w:line="176" w:lineRule="exact"/>
        <w:rPr>
          <w:sz w:val="20"/>
          <w:szCs w:val="20"/>
          <w:color w:val="auto"/>
        </w:rPr>
      </w:pPr>
    </w:p>
    <w:p>
      <w:pPr>
        <w:ind w:right="80" w:firstLine="420"/>
        <w:spacing w:after="0" w:line="253"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86" w:lineRule="exact"/>
        <w:rPr>
          <w:sz w:val="20"/>
          <w:szCs w:val="20"/>
          <w:color w:val="auto"/>
        </w:rPr>
      </w:pPr>
    </w:p>
    <w:p>
      <w:pPr>
        <w:ind w:right="100" w:firstLine="420"/>
        <w:spacing w:after="0" w:line="298" w:lineRule="auto"/>
        <w:rPr>
          <w:sz w:val="20"/>
          <w:szCs w:val="20"/>
          <w:color w:val="auto"/>
        </w:rPr>
      </w:pPr>
      <w:r>
        <w:rPr>
          <w:rFonts w:ascii="Arial" w:cs="Arial" w:eastAsia="Arial" w:hAnsi="Arial"/>
          <w:sz w:val="15"/>
          <w:szCs w:val="15"/>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color w:val="auto"/>
        </w:rPr>
        <w:t>Results from our initial Phase 2a clinical trials of etokimab may not be representative of the results we will experience in later Phase 2b and registration trials. If our later clinical trials are unsuccessful, etokimab may be delayed in development or fail entirely, which would have a material adverse impact on our business.</w:t>
      </w:r>
    </w:p>
    <w:p>
      <w:pPr>
        <w:spacing w:after="0" w:line="173" w:lineRule="exact"/>
        <w:rPr>
          <w:sz w:val="20"/>
          <w:szCs w:val="20"/>
          <w:color w:val="auto"/>
        </w:rPr>
      </w:pPr>
    </w:p>
    <w:p>
      <w:pPr>
        <w:ind w:right="40" w:firstLine="420"/>
        <w:spacing w:after="0" w:line="254" w:lineRule="auto"/>
        <w:rPr>
          <w:sz w:val="20"/>
          <w:szCs w:val="20"/>
          <w:color w:val="auto"/>
        </w:rPr>
      </w:pPr>
      <w:r>
        <w:rPr>
          <w:rFonts w:ascii="Arial" w:cs="Arial" w:eastAsia="Arial" w:hAnsi="Arial"/>
          <w:sz w:val="17"/>
          <w:szCs w:val="17"/>
          <w:color w:val="auto"/>
        </w:rPr>
        <w:t>We have elected to structure our initial phase 2a clinical trials in etokimab as investigational studies that enroll a relatively limited number of patients and are intended to allow us to better assess patient responses and potential efficacy results before designing and commencing phase 2b clinical trials. We believe the results we have observed in the initial phase 2a clinical trial of etokimab in atopic dermatitis suggest a reasonable basis for continuing development of etokimab in this indication through larger phase 2b clinical trials. However, our phase 2a trials involve relatively small patient populations, for example 12 patients in our phase 2a trial in atopic dermatitis and 24 patients in our phase 2a trial in severe adult eosinophilic asthma, and the results we have observed in these smaller patient populations may not be predictive of results we will experience in later studies.</w:t>
      </w:r>
    </w:p>
    <w:p>
      <w:pPr>
        <w:spacing w:after="0" w:line="184" w:lineRule="exact"/>
        <w:rPr>
          <w:sz w:val="20"/>
          <w:szCs w:val="20"/>
          <w:color w:val="auto"/>
        </w:rPr>
      </w:pPr>
    </w:p>
    <w:p>
      <w:pPr>
        <w:ind w:right="120" w:firstLine="420"/>
        <w:spacing w:after="0" w:line="279" w:lineRule="auto"/>
        <w:rPr>
          <w:sz w:val="20"/>
          <w:szCs w:val="20"/>
          <w:color w:val="auto"/>
        </w:rPr>
      </w:pPr>
      <w:r>
        <w:rPr>
          <w:rFonts w:ascii="Arial" w:cs="Arial" w:eastAsia="Arial" w:hAnsi="Arial"/>
          <w:sz w:val="16"/>
          <w:szCs w:val="16"/>
          <w:color w:val="auto"/>
        </w:rPr>
        <w:t>In addition, later studies may also include different design elements that could contribute to us experiencing different results than we have observed in our phase 2a trials. In addition, the initial results we have reported from our completed phase 2a clinical trials have included interim analyses and top-line results, which may not accurately predict the final results of the clinical trial or the results of future clinical trials, and we expect that initial results reported from our phase 2a trial in severe adult eosinophilic asthma may similarly include included interim analyses and top-line results.</w:t>
      </w:r>
    </w:p>
    <w:p>
      <w:pPr>
        <w:spacing w:after="0" w:line="162" w:lineRule="exact"/>
        <w:rPr>
          <w:sz w:val="20"/>
          <w:szCs w:val="20"/>
          <w:color w:val="auto"/>
        </w:rPr>
      </w:pPr>
    </w:p>
    <w:p>
      <w:pPr>
        <w:ind w:firstLine="420"/>
        <w:spacing w:after="0" w:line="274" w:lineRule="auto"/>
        <w:rPr>
          <w:sz w:val="20"/>
          <w:szCs w:val="20"/>
          <w:color w:val="auto"/>
        </w:rPr>
      </w:pPr>
      <w:r>
        <w:rPr>
          <w:rFonts w:ascii="Arial" w:cs="Arial" w:eastAsia="Arial" w:hAnsi="Arial"/>
          <w:sz w:val="17"/>
          <w:szCs w:val="17"/>
          <w:color w:val="auto"/>
        </w:rPr>
        <w:t>If our later clinical trials of etokimab are unsuccessful, whether for one of the reasons mentioned above or otherwise, etokimab may be delayed in development or fail entirely, which would have a material adverse impact on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Capital Needs</w:t>
      </w:r>
    </w:p>
    <w:p>
      <w:pPr>
        <w:spacing w:after="0" w:line="110" w:lineRule="exact"/>
        <w:rPr>
          <w:sz w:val="20"/>
          <w:szCs w:val="20"/>
          <w:color w:val="auto"/>
        </w:rPr>
      </w:pPr>
    </w:p>
    <w:p>
      <w:pPr>
        <w:ind w:right="620"/>
        <w:spacing w:after="0" w:line="278" w:lineRule="auto"/>
        <w:rPr>
          <w:sz w:val="20"/>
          <w:szCs w:val="20"/>
          <w:color w:val="auto"/>
        </w:rPr>
      </w:pPr>
      <w:r>
        <w:rPr>
          <w:rFonts w:ascii="Arial" w:cs="Arial" w:eastAsia="Arial" w:hAnsi="Arial"/>
          <w:sz w:val="17"/>
          <w:szCs w:val="17"/>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60" w:lineRule="exact"/>
        <w:rPr>
          <w:sz w:val="20"/>
          <w:szCs w:val="20"/>
          <w:color w:val="auto"/>
        </w:rPr>
      </w:pPr>
    </w:p>
    <w:p>
      <w:pPr>
        <w:jc w:val="both"/>
        <w:ind w:right="140" w:firstLine="420"/>
        <w:spacing w:after="0" w:line="302" w:lineRule="auto"/>
        <w:rPr>
          <w:sz w:val="20"/>
          <w:szCs w:val="20"/>
          <w:color w:val="auto"/>
        </w:rPr>
      </w:pPr>
      <w:r>
        <w:rPr>
          <w:rFonts w:ascii="Arial" w:cs="Arial" w:eastAsia="Arial" w:hAnsi="Arial"/>
          <w:sz w:val="15"/>
          <w:szCs w:val="15"/>
          <w:color w:val="auto"/>
        </w:rPr>
        <w:t>We are an early-stage biotechnology company with a limited operating history. We have no approved products. To date, our revenue has been primarily derived from our research collaboration and license agreements with third parties, including TESARO and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50" w:lineRule="exact"/>
        <w:rPr>
          <w:sz w:val="20"/>
          <w:szCs w:val="20"/>
          <w:color w:val="auto"/>
        </w:rPr>
      </w:pPr>
    </w:p>
    <w:p>
      <w:pPr>
        <w:ind w:right="260" w:firstLine="420"/>
        <w:spacing w:after="0" w:line="274" w:lineRule="auto"/>
        <w:rPr>
          <w:sz w:val="20"/>
          <w:szCs w:val="20"/>
          <w:color w:val="auto"/>
        </w:rPr>
      </w:pPr>
      <w:r>
        <w:rPr>
          <w:rFonts w:ascii="Arial" w:cs="Arial" w:eastAsia="Arial" w:hAnsi="Arial"/>
          <w:sz w:val="17"/>
          <w:szCs w:val="17"/>
          <w:color w:val="auto"/>
        </w:rPr>
        <w:t>Since our inception, we have incurred significant operating losses in every year except fiscal year 2014. We had no collaboration revenue and our net loss was $28.7 million for the six months ended June 30, 2018 and our net loss was $14.1</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58"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million for the six months ended June 30, 2017, with $7.0 million in collaboration revenue. As of June 30, 2018, we had an accumulated deficit of $113.7 million.</w:t>
      </w:r>
    </w:p>
    <w:p>
      <w:pPr>
        <w:spacing w:after="0" w:line="223" w:lineRule="exact"/>
        <w:rPr>
          <w:sz w:val="20"/>
          <w:szCs w:val="20"/>
          <w:color w:val="auto"/>
        </w:rPr>
      </w:pPr>
    </w:p>
    <w:p>
      <w:pPr>
        <w:ind w:right="80" w:firstLine="458"/>
        <w:spacing w:after="0" w:line="293" w:lineRule="auto"/>
        <w:rPr>
          <w:sz w:val="20"/>
          <w:szCs w:val="20"/>
          <w:color w:val="auto"/>
        </w:rPr>
      </w:pPr>
      <w:r>
        <w:rPr>
          <w:rFonts w:ascii="Arial" w:cs="Arial" w:eastAsia="Arial" w:hAnsi="Arial"/>
          <w:sz w:val="15"/>
          <w:szCs w:val="15"/>
          <w:color w:val="auto"/>
        </w:rPr>
        <w:t>We have financed our operations primarily through our initial public offering of common stock in January 2017, our follow-on public offering of common stock in October 2017, private placements of our preferred stock and the issuance of debt. We have devoted substantially all of our efforts to research and development. We have only recently initiated clinical development for two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53" w:lineRule="exact"/>
        <w:rPr>
          <w:sz w:val="20"/>
          <w:szCs w:val="20"/>
          <w:color w:val="auto"/>
        </w:rPr>
      </w:pPr>
    </w:p>
    <w:p>
      <w:pPr>
        <w:ind w:left="820" w:hanging="411"/>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continue our research and preclinical development of our product candidates;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identify additional product candidates;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maintain existing and enter into new collaboration agreements;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conduct additional preclinical studies and initiate clinical trials for our product candidates;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approvals for the product candidates we develop or developed under our collaboration arrangements;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21" w:lineRule="exact"/>
        <w:rPr>
          <w:rFonts w:ascii="Arial" w:cs="Arial" w:eastAsia="Arial" w:hAnsi="Arial"/>
          <w:sz w:val="16"/>
          <w:szCs w:val="16"/>
          <w:color w:val="auto"/>
        </w:rPr>
      </w:pPr>
    </w:p>
    <w:p>
      <w:pPr>
        <w:ind w:left="820" w:hanging="411"/>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hire additional executive, clinical, quality control and scientific personnel;</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establish and maintain supply and manufacturing relationships with third parties, and ensure adequate and legally compliant manufacturing of our products;</w:t>
      </w:r>
    </w:p>
    <w:p>
      <w:pPr>
        <w:spacing w:after="0" w:line="132" w:lineRule="exact"/>
        <w:rPr>
          <w:rFonts w:ascii="Arial" w:cs="Arial" w:eastAsia="Arial" w:hAnsi="Arial"/>
          <w:sz w:val="15"/>
          <w:szCs w:val="15"/>
          <w:color w:val="auto"/>
        </w:rPr>
      </w:pPr>
    </w:p>
    <w:p>
      <w:pPr>
        <w:ind w:left="820" w:hanging="411"/>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coverage and adequate product reimbursement from third-party payors, including government payors;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acquire or in-license other product candidates and technologies; and</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achieve market acceptance for our or our collaborators’ products, if any.</w:t>
      </w:r>
    </w:p>
    <w:p>
      <w:pPr>
        <w:spacing w:after="0" w:line="212" w:lineRule="exact"/>
        <w:rPr>
          <w:sz w:val="20"/>
          <w:szCs w:val="20"/>
          <w:color w:val="auto"/>
        </w:rPr>
      </w:pPr>
    </w:p>
    <w:p>
      <w:pPr>
        <w:ind w:right="80" w:firstLine="420"/>
        <w:spacing w:after="0" w:line="302" w:lineRule="auto"/>
        <w:rPr>
          <w:sz w:val="20"/>
          <w:szCs w:val="20"/>
          <w:color w:val="auto"/>
        </w:rPr>
      </w:pPr>
      <w:r>
        <w:rPr>
          <w:rFonts w:ascii="Arial" w:cs="Arial" w:eastAsia="Arial" w:hAnsi="Arial"/>
          <w:sz w:val="15"/>
          <w:szCs w:val="15"/>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etokimab, or any of our other product candidates, are approved for commercial sale, we anticipate incurring significant costs associated with the commercial launch of any product candidate.</w:t>
      </w:r>
    </w:p>
    <w:p>
      <w:pPr>
        <w:spacing w:after="0" w:line="150" w:lineRule="exact"/>
        <w:rPr>
          <w:sz w:val="20"/>
          <w:szCs w:val="20"/>
          <w:color w:val="auto"/>
        </w:rPr>
      </w:pPr>
    </w:p>
    <w:p>
      <w:pPr>
        <w:ind w:firstLine="420"/>
        <w:spacing w:after="0" w:line="271" w:lineRule="auto"/>
        <w:rPr>
          <w:sz w:val="20"/>
          <w:szCs w:val="20"/>
          <w:color w:val="auto"/>
        </w:rPr>
      </w:pPr>
      <w:r>
        <w:rPr>
          <w:rFonts w:ascii="Arial" w:cs="Arial" w:eastAsia="Arial" w:hAnsi="Arial"/>
          <w:sz w:val="16"/>
          <w:szCs w:val="16"/>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560" w:right="259" w:bottom="1440" w:gutter="0" w:footer="0" w:header="0"/>
        </w:sectPr>
      </w:pPr>
    </w:p>
    <w:bookmarkStart w:id="40" w:name="page41"/>
    <w:bookmarkEnd w:id="40"/>
    <w:p>
      <w:pPr>
        <w:ind w:right="100"/>
        <w:spacing w:after="0" w:line="278" w:lineRule="auto"/>
        <w:rPr>
          <w:sz w:val="20"/>
          <w:szCs w:val="20"/>
          <w:color w:val="auto"/>
        </w:rPr>
      </w:pPr>
      <w:r>
        <w:rPr>
          <w:rFonts w:ascii="Arial" w:cs="Arial" w:eastAsia="Arial" w:hAnsi="Arial"/>
          <w:sz w:val="17"/>
          <w:szCs w:val="17"/>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60" w:lineRule="exact"/>
        <w:rPr>
          <w:sz w:val="20"/>
          <w:szCs w:val="20"/>
          <w:color w:val="auto"/>
        </w:rPr>
      </w:pPr>
    </w:p>
    <w:p>
      <w:pPr>
        <w:ind w:right="120" w:firstLine="420"/>
        <w:spacing w:after="0" w:line="252" w:lineRule="auto"/>
        <w:rPr>
          <w:sz w:val="20"/>
          <w:szCs w:val="20"/>
          <w:color w:val="auto"/>
        </w:rPr>
      </w:pPr>
      <w:r>
        <w:rPr>
          <w:rFonts w:ascii="Arial" w:cs="Arial" w:eastAsia="Arial" w:hAnsi="Arial"/>
          <w:sz w:val="17"/>
          <w:szCs w:val="17"/>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through the end of 2019.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85" w:lineRule="exact"/>
        <w:rPr>
          <w:sz w:val="20"/>
          <w:szCs w:val="20"/>
          <w:color w:val="auto"/>
        </w:rPr>
      </w:pPr>
    </w:p>
    <w:p>
      <w:pPr>
        <w:ind w:right="80" w:firstLine="420"/>
        <w:spacing w:after="0" w:line="285"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7" w:lineRule="exact"/>
        <w:rPr>
          <w:sz w:val="20"/>
          <w:szCs w:val="20"/>
          <w:color w:val="auto"/>
        </w:rPr>
      </w:pPr>
    </w:p>
    <w:p>
      <w:pPr>
        <w:ind w:left="820" w:hanging="411"/>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our product candidates or cease operations altogether;</w:t>
      </w:r>
    </w:p>
    <w:p>
      <w:pPr>
        <w:spacing w:after="0" w:line="121" w:lineRule="exact"/>
        <w:rPr>
          <w:rFonts w:ascii="Arial" w:cs="Arial" w:eastAsia="Arial" w:hAnsi="Arial"/>
          <w:sz w:val="16"/>
          <w:szCs w:val="16"/>
          <w:color w:val="auto"/>
        </w:rPr>
      </w:pPr>
    </w:p>
    <w:p>
      <w:pPr>
        <w:ind w:left="820" w:right="320" w:hanging="411"/>
        <w:spacing w:after="0" w:line="274"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7"/>
          <w:szCs w:val="17"/>
          <w:color w:val="auto"/>
        </w:rPr>
      </w:pPr>
    </w:p>
    <w:p>
      <w:pPr>
        <w:ind w:left="820" w:right="940" w:hanging="411"/>
        <w:spacing w:after="0" w:line="274"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7"/>
          <w:szCs w:val="17"/>
          <w:color w:val="auto"/>
        </w:rPr>
      </w:pPr>
    </w:p>
    <w:p>
      <w:pPr>
        <w:ind w:left="820" w:hanging="411"/>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eliminate staff to conserve resources.</w:t>
      </w:r>
    </w:p>
    <w:p>
      <w:pPr>
        <w:spacing w:after="0" w:line="212" w:lineRule="exact"/>
        <w:rPr>
          <w:sz w:val="20"/>
          <w:szCs w:val="20"/>
          <w:color w:val="auto"/>
        </w:rPr>
      </w:pPr>
    </w:p>
    <w:p>
      <w:pPr>
        <w:ind w:right="240" w:firstLine="420"/>
        <w:spacing w:after="0" w:line="273" w:lineRule="auto"/>
        <w:rPr>
          <w:sz w:val="20"/>
          <w:szCs w:val="20"/>
          <w:color w:val="auto"/>
        </w:rPr>
      </w:pPr>
      <w:r>
        <w:rPr>
          <w:rFonts w:ascii="Arial" w:cs="Arial" w:eastAsia="Arial" w:hAnsi="Arial"/>
          <w:sz w:val="16"/>
          <w:szCs w:val="16"/>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67" w:lineRule="exact"/>
        <w:rPr>
          <w:sz w:val="20"/>
          <w:szCs w:val="20"/>
          <w:color w:val="auto"/>
        </w:rPr>
      </w:pPr>
    </w:p>
    <w:p>
      <w:pPr>
        <w:ind w:left="820" w:right="220" w:hanging="411"/>
        <w:spacing w:after="0" w:line="274" w:lineRule="auto"/>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7"/>
          <w:szCs w:val="17"/>
          <w:color w:val="auto"/>
        </w:rPr>
      </w:pPr>
    </w:p>
    <w:p>
      <w:pPr>
        <w:ind w:left="820" w:hanging="411"/>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09" w:lineRule="exact"/>
        <w:rPr>
          <w:rFonts w:ascii="Arial" w:cs="Arial" w:eastAsia="Arial" w:hAnsi="Arial"/>
          <w:sz w:val="17"/>
          <w:szCs w:val="17"/>
          <w:color w:val="auto"/>
        </w:rPr>
      </w:pPr>
    </w:p>
    <w:p>
      <w:pPr>
        <w:ind w:left="820" w:right="300" w:hanging="411"/>
        <w:spacing w:after="0" w:line="274" w:lineRule="auto"/>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62" w:lineRule="exact"/>
        <w:rPr>
          <w:rFonts w:ascii="Arial" w:cs="Arial" w:eastAsia="Arial" w:hAnsi="Arial"/>
          <w:sz w:val="17"/>
          <w:szCs w:val="17"/>
          <w:color w:val="auto"/>
        </w:rPr>
      </w:pPr>
    </w:p>
    <w:p>
      <w:pPr>
        <w:ind w:left="820" w:hanging="411"/>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maintain existing and enter into new collaboration agreements;</w:t>
      </w:r>
    </w:p>
    <w:p>
      <w:pPr>
        <w:spacing w:after="0" w:line="109" w:lineRule="exact"/>
        <w:rPr>
          <w:rFonts w:ascii="Arial" w:cs="Arial" w:eastAsia="Arial" w:hAnsi="Arial"/>
          <w:sz w:val="17"/>
          <w:szCs w:val="17"/>
          <w:color w:val="auto"/>
        </w:rPr>
      </w:pPr>
    </w:p>
    <w:p>
      <w:pPr>
        <w:ind w:left="820" w:hanging="411"/>
        <w:spacing w:after="0" w:line="261" w:lineRule="auto"/>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4" w:lineRule="exact"/>
        <w:rPr>
          <w:rFonts w:ascii="Arial" w:cs="Arial" w:eastAsia="Arial" w:hAnsi="Arial"/>
          <w:sz w:val="17"/>
          <w:szCs w:val="17"/>
          <w:color w:val="auto"/>
        </w:rPr>
      </w:pPr>
    </w:p>
    <w:p>
      <w:pPr>
        <w:ind w:left="820" w:hanging="411"/>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market acceptance of any approved product candidates;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657" w:right="239" w:bottom="1440" w:gutter="0" w:footer="0" w:header="0"/>
        </w:sectPr>
      </w:pPr>
    </w:p>
    <w:bookmarkStart w:id="41" w:name="page42"/>
    <w:bookmarkEnd w:id="41"/>
    <w:p>
      <w:pPr>
        <w:ind w:left="820" w:hanging="411"/>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costs of acquiring, licensing or investing in additional businesses, products, product candidates and technologies;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of recruiting and retaining key employees;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and timing of selecting, auditing and potentially validating a manufacturing site for commercial-scale manufacturing; and</w:t>
      </w:r>
    </w:p>
    <w:p>
      <w:pPr>
        <w:spacing w:after="0" w:line="109" w:lineRule="exact"/>
        <w:rPr>
          <w:rFonts w:ascii="Arial" w:cs="Arial" w:eastAsia="Arial" w:hAnsi="Arial"/>
          <w:sz w:val="17"/>
          <w:szCs w:val="17"/>
          <w:color w:val="auto"/>
        </w:rPr>
      </w:pPr>
    </w:p>
    <w:p>
      <w:pPr>
        <w:ind w:left="820" w:right="140" w:hanging="411"/>
        <w:spacing w:after="0" w:line="274" w:lineRule="auto"/>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330" w:lineRule="exact"/>
        <w:rPr>
          <w:sz w:val="20"/>
          <w:szCs w:val="20"/>
          <w:color w:val="auto"/>
        </w:rPr>
      </w:pPr>
    </w:p>
    <w:p>
      <w:pPr>
        <w:ind w:right="280" w:firstLine="420"/>
        <w:spacing w:after="0" w:line="274" w:lineRule="auto"/>
        <w:rPr>
          <w:sz w:val="20"/>
          <w:szCs w:val="20"/>
          <w:color w:val="auto"/>
        </w:rPr>
      </w:pPr>
      <w:r>
        <w:rPr>
          <w:rFonts w:ascii="Arial" w:cs="Arial" w:eastAsia="Arial" w:hAnsi="Arial"/>
          <w:sz w:val="17"/>
          <w:szCs w:val="17"/>
          <w:color w:val="auto"/>
        </w:rPr>
        <w:t>If we cannot expand our operations or otherwise capitalize on our business opportunities due to lack of capital, our business, financial condition and results of operations could be adversely affected.</w:t>
      </w:r>
    </w:p>
    <w:p>
      <w:pPr>
        <w:spacing w:after="0" w:line="262"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b w:val="1"/>
          <w:bCs w:val="1"/>
          <w:color w:val="auto"/>
        </w:rPr>
        <w:t>Raising additional capital may cause dilution to our existing stockholders, restrict our operations or require us to relinquish rights to our product candidates on unfavorable terms to us.</w:t>
      </w:r>
    </w:p>
    <w:p>
      <w:pPr>
        <w:spacing w:after="0" w:line="60" w:lineRule="exact"/>
        <w:rPr>
          <w:sz w:val="20"/>
          <w:szCs w:val="20"/>
          <w:color w:val="auto"/>
        </w:rPr>
      </w:pPr>
    </w:p>
    <w:p>
      <w:pPr>
        <w:ind w:firstLine="420"/>
        <w:spacing w:after="0" w:line="272" w:lineRule="auto"/>
        <w:rPr>
          <w:sz w:val="20"/>
          <w:szCs w:val="20"/>
          <w:color w:val="auto"/>
        </w:rPr>
      </w:pPr>
      <w:r>
        <w:rPr>
          <w:rFonts w:ascii="Arial" w:cs="Arial" w:eastAsia="Arial" w:hAnsi="Arial"/>
          <w:sz w:val="16"/>
          <w:szCs w:val="16"/>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67" w:lineRule="exact"/>
        <w:rPr>
          <w:sz w:val="20"/>
          <w:szCs w:val="20"/>
          <w:color w:val="auto"/>
        </w:rPr>
      </w:pPr>
    </w:p>
    <w:p>
      <w:pPr>
        <w:ind w:right="5620"/>
        <w:spacing w:after="0" w:line="427" w:lineRule="auto"/>
        <w:rPr>
          <w:sz w:val="20"/>
          <w:szCs w:val="20"/>
          <w:color w:val="auto"/>
        </w:rPr>
      </w:pPr>
      <w:r>
        <w:rPr>
          <w:rFonts w:ascii="Arial" w:cs="Arial" w:eastAsia="Arial" w:hAnsi="Arial"/>
          <w:sz w:val="15"/>
          <w:szCs w:val="15"/>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right="20" w:firstLine="420"/>
        <w:spacing w:after="0" w:line="271"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including our Chief Financial Officer, who joined us in January 2017, have worked together for only a relatively short period of time and it may be difficult to evaluate their effectiveness, on an individual or collective basis, and ability to address future challenges to our business.</w:t>
      </w:r>
    </w:p>
    <w:p>
      <w:pPr>
        <w:spacing w:after="0" w:line="170" w:lineRule="exact"/>
        <w:rPr>
          <w:sz w:val="20"/>
          <w:szCs w:val="20"/>
          <w:color w:val="auto"/>
        </w:rPr>
      </w:pPr>
    </w:p>
    <w:p>
      <w:pPr>
        <w:ind w:right="60" w:firstLine="420"/>
        <w:spacing w:after="0" w:line="279"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0" w:lineRule="exact"/>
        <w:rPr>
          <w:sz w:val="20"/>
          <w:szCs w:val="20"/>
          <w:color w:val="auto"/>
        </w:rPr>
      </w:pPr>
    </w:p>
    <w:p>
      <w:pPr>
        <w:jc w:val="both"/>
        <w:ind w:right="320"/>
        <w:spacing w:after="0" w:line="264" w:lineRule="auto"/>
        <w:rPr>
          <w:sz w:val="20"/>
          <w:szCs w:val="20"/>
          <w:color w:val="auto"/>
        </w:rPr>
      </w:pPr>
      <w:r>
        <w:rPr>
          <w:rFonts w:ascii="Arial" w:cs="Arial" w:eastAsia="Arial" w:hAnsi="Arial"/>
          <w:sz w:val="17"/>
          <w:szCs w:val="17"/>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1" w:lineRule="exact"/>
        <w:rPr>
          <w:sz w:val="20"/>
          <w:szCs w:val="20"/>
          <w:color w:val="auto"/>
        </w:rPr>
      </w:pPr>
    </w:p>
    <w:p>
      <w:pPr>
        <w:ind w:right="140" w:firstLine="420"/>
        <w:spacing w:after="0" w:line="295" w:lineRule="auto"/>
        <w:rPr>
          <w:sz w:val="20"/>
          <w:szCs w:val="20"/>
          <w:color w:val="auto"/>
        </w:rPr>
      </w:pPr>
      <w:r>
        <w:rPr>
          <w:rFonts w:ascii="Arial" w:cs="Arial" w:eastAsia="Arial" w:hAnsi="Arial"/>
          <w:sz w:val="15"/>
          <w:szCs w:val="15"/>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58" w:right="239" w:bottom="1440" w:gutter="0" w:footer="0" w:header="0"/>
        </w:sectPr>
      </w:pPr>
    </w:p>
    <w:bookmarkStart w:id="42" w:name="page43"/>
    <w:bookmarkEnd w:id="42"/>
    <w:p>
      <w:pPr>
        <w:ind w:right="80"/>
        <w:spacing w:after="0" w:line="273" w:lineRule="auto"/>
        <w:rPr>
          <w:sz w:val="20"/>
          <w:szCs w:val="20"/>
          <w:color w:val="auto"/>
        </w:rPr>
      </w:pPr>
      <w:r>
        <w:rPr>
          <w:rFonts w:ascii="Arial" w:cs="Arial" w:eastAsia="Arial" w:hAnsi="Arial"/>
          <w:sz w:val="16"/>
          <w:szCs w:val="16"/>
          <w:color w:val="auto"/>
        </w:rPr>
        <w:t>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67"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color w:val="auto"/>
        </w:rPr>
        <w:t>We expect to expand our development and regulatory capabilities, and as a result, we may encounter difficulties in managing our growth, which could disrupt our operations.</w:t>
      </w:r>
    </w:p>
    <w:p>
      <w:pPr>
        <w:spacing w:after="0" w:line="60" w:lineRule="exact"/>
        <w:rPr>
          <w:sz w:val="20"/>
          <w:szCs w:val="20"/>
          <w:color w:val="auto"/>
        </w:rPr>
      </w:pPr>
    </w:p>
    <w:p>
      <w:pPr>
        <w:ind w:right="360" w:firstLine="420"/>
        <w:spacing w:after="0" w:line="295" w:lineRule="auto"/>
        <w:rPr>
          <w:sz w:val="20"/>
          <w:szCs w:val="20"/>
          <w:color w:val="auto"/>
        </w:rPr>
      </w:pPr>
      <w:r>
        <w:rPr>
          <w:rFonts w:ascii="Arial" w:cs="Arial" w:eastAsia="Arial" w:hAnsi="Arial"/>
          <w:sz w:val="15"/>
          <w:szCs w:val="15"/>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51" w:lineRule="exact"/>
        <w:rPr>
          <w:sz w:val="20"/>
          <w:szCs w:val="20"/>
          <w:color w:val="auto"/>
        </w:rPr>
      </w:pPr>
    </w:p>
    <w:p>
      <w:pPr>
        <w:ind w:right="500"/>
        <w:spacing w:after="0" w:line="330" w:lineRule="auto"/>
        <w:rPr>
          <w:sz w:val="20"/>
          <w:szCs w:val="20"/>
          <w:color w:val="auto"/>
        </w:rPr>
      </w:pPr>
      <w:r>
        <w:rPr>
          <w:rFonts w:ascii="Arial" w:cs="Arial" w:eastAsia="Arial" w:hAnsi="Arial"/>
          <w:sz w:val="15"/>
          <w:szCs w:val="15"/>
          <w:b w:val="1"/>
          <w:b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13" w:lineRule="exact"/>
        <w:rPr>
          <w:sz w:val="20"/>
          <w:szCs w:val="20"/>
          <w:color w:val="auto"/>
        </w:rPr>
      </w:pPr>
    </w:p>
    <w:p>
      <w:pPr>
        <w:ind w:right="160" w:firstLine="420"/>
        <w:spacing w:after="0" w:line="259" w:lineRule="auto"/>
        <w:rPr>
          <w:sz w:val="20"/>
          <w:szCs w:val="20"/>
          <w:color w:val="auto"/>
        </w:rPr>
      </w:pPr>
      <w:r>
        <w:rPr>
          <w:rFonts w:ascii="Arial" w:cs="Arial" w:eastAsia="Arial" w:hAnsi="Arial"/>
          <w:sz w:val="16"/>
          <w:szCs w:val="16"/>
          <w:color w:val="auto"/>
        </w:rPr>
        <w:t>In March 2015, we formed a wholly-owned Australian subsidiary, AnaptysBio Pty Ltd, or AnaptysBio Pty, to develop and commercialize our ANB019 and etokimab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65" w:lineRule="exact"/>
        <w:rPr>
          <w:sz w:val="20"/>
          <w:szCs w:val="20"/>
          <w:color w:val="auto"/>
        </w:rPr>
      </w:pPr>
    </w:p>
    <w:p>
      <w:pPr>
        <w:ind w:right="20" w:firstLine="420"/>
        <w:spacing w:after="0"/>
        <w:rPr>
          <w:sz w:val="20"/>
          <w:szCs w:val="20"/>
          <w:color w:val="auto"/>
        </w:rPr>
      </w:pPr>
      <w:r>
        <w:rPr>
          <w:rFonts w:ascii="Arial" w:cs="Arial" w:eastAsia="Arial" w:hAnsi="Arial"/>
          <w:sz w:val="17"/>
          <w:szCs w:val="17"/>
          <w:color w:val="auto"/>
        </w:rPr>
        <w:t>In addition, current Australian tax regulations provide for a refundable research and development tax credit equal to 43.5% of qualified expenditures. In June 2018, we received notification from the Australian Taxation Office that a Compliance Check will be performed on our research and development submission for the 2016 tax year. If we are ineligible or unable to receive the research and development tax credit, required to repay all or a portion of the credit, lose our ability to operate AnaptysBio Pty in Australia, or if the Australian government significantly reduces or eliminates the tax credit, our business and results of operation would be adversely affected.</w:t>
      </w:r>
    </w:p>
    <w:p>
      <w:pPr>
        <w:spacing w:after="0" w:line="27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77" w:lineRule="exact"/>
        <w:rPr>
          <w:sz w:val="20"/>
          <w:szCs w:val="20"/>
          <w:color w:val="auto"/>
        </w:rPr>
      </w:pPr>
    </w:p>
    <w:p>
      <w:pPr>
        <w:ind w:right="120" w:firstLine="420"/>
        <w:spacing w:after="0" w:line="255" w:lineRule="auto"/>
        <w:rPr>
          <w:sz w:val="20"/>
          <w:szCs w:val="20"/>
          <w:color w:val="auto"/>
        </w:rPr>
      </w:pPr>
      <w:r>
        <w:rPr>
          <w:rFonts w:ascii="Arial" w:cs="Arial" w:eastAsia="Arial" w:hAnsi="Arial"/>
          <w:sz w:val="16"/>
          <w:szCs w:val="16"/>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71" w:lineRule="exact"/>
        <w:rPr>
          <w:sz w:val="20"/>
          <w:szCs w:val="20"/>
          <w:color w:val="auto"/>
        </w:rPr>
      </w:pPr>
    </w:p>
    <w:p>
      <w:pPr>
        <w:ind w:right="640" w:firstLine="420"/>
        <w:spacing w:after="0" w:line="258" w:lineRule="auto"/>
        <w:rPr>
          <w:sz w:val="20"/>
          <w:szCs w:val="20"/>
          <w:color w:val="auto"/>
        </w:rPr>
      </w:pPr>
      <w:r>
        <w:rPr>
          <w:rFonts w:ascii="Arial" w:cs="Arial" w:eastAsia="Arial" w:hAnsi="Arial"/>
          <w:sz w:val="17"/>
          <w:szCs w:val="17"/>
          <w:color w:val="auto"/>
        </w:rPr>
        <w:t>All of our therapeutic antibodies are manufactured by starting with cells which are stored in a cell bank. We have one master cell bank for each antibody manufactured in accordance with cGMP and multiple working cell banks and believe we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458" w:right="259" w:bottom="1440" w:gutter="0" w:footer="0" w:header="0"/>
        </w:sectPr>
      </w:pPr>
    </w:p>
    <w:bookmarkStart w:id="43" w:name="page44"/>
    <w:bookmarkEnd w:id="43"/>
    <w:p>
      <w:pPr>
        <w:ind w:right="800"/>
        <w:spacing w:after="0" w:line="258" w:lineRule="auto"/>
        <w:rPr>
          <w:sz w:val="20"/>
          <w:szCs w:val="20"/>
          <w:color w:val="auto"/>
        </w:rPr>
      </w:pPr>
      <w:r>
        <w:rPr>
          <w:rFonts w:ascii="Arial" w:cs="Arial" w:eastAsia="Arial" w:hAnsi="Arial"/>
          <w:sz w:val="17"/>
          <w:szCs w:val="17"/>
          <w:color w:val="auto"/>
        </w:rPr>
        <w:t>would have adequate backup should any cell bank be lost in a catastrophic event. However, it is possible that we could lose multiple cell banks and have our manufacturing severely impacted by the need to replace the cell banks.</w:t>
      </w:r>
    </w:p>
    <w:p>
      <w:pPr>
        <w:spacing w:after="0" w:line="165" w:lineRule="exact"/>
        <w:rPr>
          <w:sz w:val="20"/>
          <w:szCs w:val="20"/>
          <w:color w:val="auto"/>
        </w:rPr>
      </w:pPr>
    </w:p>
    <w:p>
      <w:pPr>
        <w:ind w:firstLine="420"/>
        <w:spacing w:after="0" w:line="271" w:lineRule="auto"/>
        <w:rPr>
          <w:sz w:val="20"/>
          <w:szCs w:val="20"/>
          <w:color w:val="auto"/>
        </w:rPr>
      </w:pPr>
      <w:r>
        <w:rPr>
          <w:rFonts w:ascii="Arial" w:cs="Arial" w:eastAsia="Arial" w:hAnsi="Arial"/>
          <w:sz w:val="15"/>
          <w:szCs w:val="15"/>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vulnerable to disruption, damage and financial obligation as a result of system failures.</w:t>
      </w:r>
    </w:p>
    <w:p>
      <w:pPr>
        <w:spacing w:after="0" w:line="101" w:lineRule="exact"/>
        <w:rPr>
          <w:sz w:val="20"/>
          <w:szCs w:val="20"/>
          <w:color w:val="auto"/>
        </w:rPr>
      </w:pPr>
    </w:p>
    <w:p>
      <w:pPr>
        <w:ind w:right="80" w:firstLine="420"/>
        <w:spacing w:after="0" w:line="254" w:lineRule="auto"/>
        <w:rPr>
          <w:sz w:val="20"/>
          <w:szCs w:val="20"/>
          <w:color w:val="auto"/>
        </w:rPr>
      </w:pPr>
      <w:r>
        <w:rPr>
          <w:rFonts w:ascii="Arial" w:cs="Arial" w:eastAsia="Arial" w:hAnsi="Arial"/>
          <w:sz w:val="16"/>
          <w:szCs w:val="16"/>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70"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b w:val="1"/>
          <w:bCs w:val="1"/>
          <w:color w:val="auto"/>
        </w:rPr>
        <w:t>Our operations are vulnerable to interruption by fire, earthquake, power loss, telecommunications failure, terrorist activity and other events beyond our control, which could harm our business.</w:t>
      </w:r>
    </w:p>
    <w:p>
      <w:pPr>
        <w:spacing w:after="0" w:line="59" w:lineRule="exact"/>
        <w:rPr>
          <w:sz w:val="20"/>
          <w:szCs w:val="20"/>
          <w:color w:val="auto"/>
        </w:rPr>
      </w:pPr>
    </w:p>
    <w:p>
      <w:pPr>
        <w:ind w:right="80" w:firstLine="420"/>
        <w:spacing w:after="0" w:line="277" w:lineRule="auto"/>
        <w:rPr>
          <w:sz w:val="20"/>
          <w:szCs w:val="20"/>
          <w:color w:val="auto"/>
        </w:rPr>
      </w:pPr>
      <w:r>
        <w:rPr>
          <w:rFonts w:ascii="Arial" w:cs="Arial" w:eastAsia="Arial" w:hAnsi="Arial"/>
          <w:sz w:val="15"/>
          <w:szCs w:val="15"/>
          <w:color w:val="auto"/>
        </w:rPr>
        <w:t>Our facilities are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existing collaborations, including those with TESARO and Celgene, are important to our business, and future collaborations may also be important to us.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maintain any of these collaborations, or if these collaborations are not successful, our business could be adversely affected.</w:t>
      </w:r>
    </w:p>
    <w:p>
      <w:pPr>
        <w:spacing w:after="0" w:line="95" w:lineRule="exact"/>
        <w:rPr>
          <w:sz w:val="20"/>
          <w:szCs w:val="20"/>
          <w:color w:val="auto"/>
        </w:rPr>
      </w:pPr>
    </w:p>
    <w:p>
      <w:pPr>
        <w:ind w:firstLine="420"/>
        <w:spacing w:after="0" w:line="255" w:lineRule="auto"/>
        <w:rPr>
          <w:sz w:val="20"/>
          <w:szCs w:val="20"/>
          <w:color w:val="auto"/>
        </w:rPr>
      </w:pPr>
      <w:r>
        <w:rPr>
          <w:rFonts w:ascii="Arial" w:cs="Arial" w:eastAsia="Arial" w:hAnsi="Arial"/>
          <w:sz w:val="16"/>
          <w:szCs w:val="16"/>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 generation and/or development collaborations with various collaborators, including TESARO and Celgene, under which we have generated therapeutic quality antibodies using our technology platform and conducted certain preclinical studies in collaboration. We are currently aware that TESARO and Celgene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560" w:right="239" w:bottom="1440" w:gutter="0" w:footer="0" w:header="0"/>
        </w:sectPr>
      </w:pPr>
    </w:p>
    <w:bookmarkStart w:id="44" w:name="page45"/>
    <w:bookmarkEnd w:id="44"/>
    <w:p>
      <w:pPr>
        <w:ind w:right="80" w:firstLine="420"/>
        <w:spacing w:after="0" w:line="274" w:lineRule="auto"/>
        <w:rPr>
          <w:sz w:val="20"/>
          <w:szCs w:val="20"/>
          <w:color w:val="auto"/>
        </w:rPr>
      </w:pPr>
      <w:r>
        <w:rPr>
          <w:rFonts w:ascii="Arial" w:cs="Arial" w:eastAsia="Arial" w:hAnsi="Arial"/>
          <w:sz w:val="15"/>
          <w:szCs w:val="15"/>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53" w:lineRule="exact"/>
        <w:rPr>
          <w:sz w:val="20"/>
          <w:szCs w:val="20"/>
          <w:color w:val="auto"/>
        </w:rPr>
      </w:pPr>
    </w:p>
    <w:p>
      <w:pPr>
        <w:ind w:right="780"/>
        <w:spacing w:after="0" w:line="278" w:lineRule="auto"/>
        <w:rPr>
          <w:sz w:val="20"/>
          <w:szCs w:val="20"/>
          <w:color w:val="auto"/>
        </w:rPr>
      </w:pPr>
      <w:r>
        <w:rPr>
          <w:rFonts w:ascii="Arial" w:cs="Arial" w:eastAsia="Arial" w:hAnsi="Arial"/>
          <w:sz w:val="17"/>
          <w:szCs w:val="17"/>
          <w:b w:val="1"/>
          <w:bCs w:val="1"/>
          <w:color w:val="auto"/>
        </w:rPr>
        <w:t>We may not succeed in establishing and maintaining additional development collaborations, which could adversely affect our ability to develop and commercialize product candidates.</w:t>
      </w:r>
    </w:p>
    <w:p>
      <w:pPr>
        <w:spacing w:after="0" w:line="60" w:lineRule="exact"/>
        <w:rPr>
          <w:sz w:val="20"/>
          <w:szCs w:val="20"/>
          <w:color w:val="auto"/>
        </w:rPr>
      </w:pPr>
    </w:p>
    <w:p>
      <w:pPr>
        <w:ind w:firstLine="420"/>
        <w:spacing w:after="0" w:line="270" w:lineRule="auto"/>
        <w:rPr>
          <w:sz w:val="20"/>
          <w:szCs w:val="20"/>
          <w:color w:val="auto"/>
        </w:rPr>
      </w:pPr>
      <w:r>
        <w:rPr>
          <w:rFonts w:ascii="Arial" w:cs="Arial" w:eastAsia="Arial" w:hAnsi="Arial"/>
          <w:sz w:val="16"/>
          <w:szCs w:val="16"/>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Moreover, if we fail to establish and maintain additional development collaborations related to our product candidates:</w:t>
      </w:r>
    </w:p>
    <w:p>
      <w:pPr>
        <w:spacing w:after="0" w:line="110" w:lineRule="exact"/>
        <w:rPr>
          <w:sz w:val="20"/>
          <w:szCs w:val="20"/>
          <w:color w:val="auto"/>
        </w:rPr>
      </w:pPr>
    </w:p>
    <w:p>
      <w:pPr>
        <w:ind w:left="820" w:hanging="411"/>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development of certain of our current or future product candidates may be terminated or delayed;</w:t>
      </w:r>
    </w:p>
    <w:p>
      <w:pPr>
        <w:spacing w:after="0" w:line="109" w:lineRule="exact"/>
        <w:rPr>
          <w:rFonts w:ascii="Arial" w:cs="Arial" w:eastAsia="Arial" w:hAnsi="Arial"/>
          <w:sz w:val="17"/>
          <w:szCs w:val="17"/>
          <w:color w:val="auto"/>
        </w:rPr>
      </w:pPr>
    </w:p>
    <w:p>
      <w:pPr>
        <w:ind w:left="820" w:right="180" w:hanging="411"/>
        <w:spacing w:after="0" w:line="274" w:lineRule="auto"/>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7"/>
          <w:szCs w:val="17"/>
          <w:color w:val="auto"/>
        </w:rPr>
      </w:pPr>
    </w:p>
    <w:p>
      <w:pPr>
        <w:ind w:left="820" w:right="200" w:hanging="411"/>
        <w:spacing w:after="0" w:line="274" w:lineRule="auto"/>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7"/>
          <w:szCs w:val="17"/>
          <w:color w:val="auto"/>
        </w:rPr>
      </w:pPr>
    </w:p>
    <w:p>
      <w:pPr>
        <w:ind w:left="820" w:hanging="411"/>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will bear all of the risk related to the development of any such product candidates.</w:t>
      </w:r>
    </w:p>
    <w:p>
      <w:pPr>
        <w:spacing w:after="0" w:line="309"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1" w:lineRule="exact"/>
        <w:rPr>
          <w:sz w:val="20"/>
          <w:szCs w:val="20"/>
          <w:color w:val="auto"/>
        </w:rPr>
      </w:pPr>
    </w:p>
    <w:p>
      <w:pPr>
        <w:ind w:right="40" w:firstLine="420"/>
        <w:spacing w:after="0" w:line="270" w:lineRule="auto"/>
        <w:rPr>
          <w:sz w:val="20"/>
          <w:szCs w:val="20"/>
          <w:color w:val="auto"/>
        </w:rPr>
      </w:pPr>
      <w:r>
        <w:rPr>
          <w:rFonts w:ascii="Arial" w:cs="Arial" w:eastAsia="Arial" w:hAnsi="Arial"/>
          <w:sz w:val="16"/>
          <w:szCs w:val="16"/>
          <w:color w:val="auto"/>
        </w:rPr>
        <w:t>We rely on third party clinical investigators, contract research organizations (for non-clinical and clinical activities) or CROs, contract manufacturing organizations, or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73" w:lineRule="exact"/>
        <w:rPr>
          <w:sz w:val="20"/>
          <w:szCs w:val="20"/>
          <w:color w:val="auto"/>
        </w:rPr>
      </w:pPr>
    </w:p>
    <w:p>
      <w:pPr>
        <w:ind w:right="220" w:firstLine="420"/>
        <w:spacing w:after="0" w:line="274"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560" w:right="259" w:bottom="1440" w:gutter="0" w:footer="0" w:header="0"/>
        </w:sectPr>
      </w:pPr>
    </w:p>
    <w:bookmarkStart w:id="45" w:name="page46"/>
    <w:bookmarkEnd w:id="45"/>
    <w:p>
      <w:pPr>
        <w:ind w:right="160"/>
        <w:spacing w:after="0" w:line="257" w:lineRule="auto"/>
        <w:rPr>
          <w:sz w:val="20"/>
          <w:szCs w:val="20"/>
          <w:color w:val="auto"/>
        </w:rPr>
      </w:pPr>
      <w:r>
        <w:rPr>
          <w:rFonts w:ascii="Arial" w:cs="Arial" w:eastAsia="Arial" w:hAnsi="Arial"/>
          <w:sz w:val="17"/>
          <w:szCs w:val="17"/>
          <w:color w:val="auto"/>
        </w:rPr>
        <w:t>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Regulatory Approval of Our Product Candidates and Other Legal Compliance Matters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14" w:lineRule="exact"/>
        <w:rPr>
          <w:sz w:val="20"/>
          <w:szCs w:val="20"/>
          <w:color w:val="auto"/>
        </w:rPr>
      </w:pPr>
    </w:p>
    <w:p>
      <w:pPr>
        <w:ind w:firstLine="420"/>
        <w:spacing w:after="0" w:line="268"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5" w:lineRule="exact"/>
        <w:rPr>
          <w:sz w:val="20"/>
          <w:szCs w:val="20"/>
          <w:color w:val="auto"/>
        </w:rPr>
      </w:pPr>
    </w:p>
    <w:p>
      <w:pPr>
        <w:ind w:left="820" w:hanging="411"/>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restrictions on the products, manufacturers or manufacturing process;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warning or untitled letters;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civil and criminal penalties;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injunctions;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suspension or withdrawal of regulatory approvals;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product seizures, detentions or import bans;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voluntary or mandatory product recalls and publicity requirements;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total or partial suspension of production;</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imposition of restrictions on operations, including costly new manufacturing requirements; and</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refusal to approve pending BLAs or supplements to approved BLAs.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12" w:lineRule="exact"/>
        <w:rPr>
          <w:sz w:val="20"/>
          <w:szCs w:val="20"/>
          <w:color w:val="auto"/>
        </w:rPr>
      </w:pPr>
    </w:p>
    <w:p>
      <w:pPr>
        <w:ind w:right="60" w:firstLine="420"/>
        <w:spacing w:after="0" w:line="255"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560" w:right="239" w:bottom="1440" w:gutter="0" w:footer="0" w:header="0"/>
        </w:sectPr>
      </w:pPr>
    </w:p>
    <w:bookmarkStart w:id="46" w:name="page47"/>
    <w:bookmarkEnd w:id="46"/>
    <w:p>
      <w:pPr>
        <w:ind w:right="140" w:firstLine="420"/>
        <w:spacing w:after="0" w:line="269"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failure to obtain regulatory approval in international jurisdictions would prevent us from marketing our product candidates outside the United States.</w:t>
      </w:r>
    </w:p>
    <w:p>
      <w:pPr>
        <w:spacing w:after="0" w:line="137" w:lineRule="exact"/>
        <w:rPr>
          <w:sz w:val="20"/>
          <w:szCs w:val="20"/>
          <w:color w:val="auto"/>
        </w:rPr>
      </w:pPr>
    </w:p>
    <w:p>
      <w:pPr>
        <w:ind w:right="240" w:firstLine="420"/>
        <w:spacing w:after="0" w:line="27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9" w:lineRule="exact"/>
        <w:rPr>
          <w:sz w:val="20"/>
          <w:szCs w:val="20"/>
          <w:color w:val="auto"/>
        </w:rPr>
      </w:pPr>
    </w:p>
    <w:p>
      <w:pPr>
        <w:ind w:right="120" w:firstLine="420"/>
        <w:spacing w:after="0" w:line="257" w:lineRule="auto"/>
        <w:rPr>
          <w:sz w:val="20"/>
          <w:szCs w:val="20"/>
          <w:color w:val="auto"/>
        </w:rPr>
      </w:pPr>
      <w:r>
        <w:rPr>
          <w:rFonts w:ascii="Arial" w:cs="Arial" w:eastAsia="Arial" w:hAnsi="Arial"/>
          <w:sz w:val="17"/>
          <w:szCs w:val="17"/>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78" w:lineRule="exact"/>
        <w:rPr>
          <w:sz w:val="20"/>
          <w:szCs w:val="20"/>
          <w:color w:val="auto"/>
        </w:rPr>
      </w:pPr>
    </w:p>
    <w:p>
      <w:pPr>
        <w:ind w:right="120"/>
        <w:spacing w:after="0" w:line="348" w:lineRule="auto"/>
        <w:rPr>
          <w:sz w:val="20"/>
          <w:szCs w:val="20"/>
          <w:color w:val="auto"/>
        </w:rPr>
      </w:pPr>
      <w:r>
        <w:rPr>
          <w:rFonts w:ascii="Arial" w:cs="Arial" w:eastAsia="Arial" w:hAnsi="Arial"/>
          <w:sz w:val="15"/>
          <w:szCs w:val="15"/>
          <w:b w:val="1"/>
          <w:bCs w:val="1"/>
          <w:color w:val="auto"/>
        </w:rPr>
        <w:t>We have conducted, or plan to conduct, our initial clinical trials for etokimab and ANB019 outside of the United States. However, the FDA and other foreign equivalents may not accept data from such trials, in which case our development plans will be delayed, which could materially harm our business.</w:t>
      </w:r>
    </w:p>
    <w:p>
      <w:pPr>
        <w:spacing w:after="0" w:line="13" w:lineRule="exact"/>
        <w:rPr>
          <w:sz w:val="20"/>
          <w:szCs w:val="20"/>
          <w:color w:val="auto"/>
        </w:rPr>
      </w:pPr>
    </w:p>
    <w:p>
      <w:pPr>
        <w:ind w:firstLine="420"/>
        <w:spacing w:after="0" w:line="272" w:lineRule="auto"/>
        <w:rPr>
          <w:sz w:val="20"/>
          <w:szCs w:val="20"/>
          <w:color w:val="auto"/>
        </w:rPr>
      </w:pPr>
      <w:r>
        <w:rPr>
          <w:rFonts w:ascii="Arial" w:cs="Arial" w:eastAsia="Arial" w:hAnsi="Arial"/>
          <w:sz w:val="16"/>
          <w:szCs w:val="16"/>
          <w:color w:val="auto"/>
        </w:rPr>
        <w:t>We have conducted our initial clinical trials for etokimab and ANB019 in Australia. We believe that clinical data generated in Australia will be accepted by the FDA and its foreign equivalents outside of Australia, and therefore may enable us to commence Phase 2 and possibly registration clinical trials in the United States or the United Kingdom following submission of an IND or CTA, without the need for us to repeat our Phase 1 trials in the United States or the United Kingdom. While we have received clearance from the FDA and MHRA to begin Phase 2 clinical trials for etokimab, and have received clearance from the MHRA to begin a Phase 2 clinical trial for ANB019, there can be no assurance the FDA or other foreign equivalents will accept data from the clinical trials we have conducted for ANB019. If the FDA, MHRA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69" w:lineRule="exact"/>
        <w:rPr>
          <w:sz w:val="20"/>
          <w:szCs w:val="20"/>
          <w:color w:val="auto"/>
        </w:rPr>
      </w:pPr>
    </w:p>
    <w:p>
      <w:pPr>
        <w:ind w:right="80" w:firstLine="420"/>
        <w:spacing w:after="0" w:line="254" w:lineRule="auto"/>
        <w:rPr>
          <w:sz w:val="20"/>
          <w:szCs w:val="20"/>
          <w:color w:val="auto"/>
        </w:rPr>
      </w:pPr>
      <w:r>
        <w:rPr>
          <w:rFonts w:ascii="Arial" w:cs="Arial" w:eastAsia="Arial" w:hAnsi="Arial"/>
          <w:sz w:val="17"/>
          <w:szCs w:val="17"/>
          <w:color w:val="auto"/>
        </w:rPr>
        <w:t>Although the FDA, MHRA and other foreign equivalents may accept data from clinical trials conducted entirely outside the United States and not under an IND,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only at sites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Conducting clinical trials outside the United States also exposes us to additional risks, including risks associated with the following:</w:t>
      </w:r>
    </w:p>
    <w:p>
      <w:pPr>
        <w:spacing w:after="0" w:line="110" w:lineRule="exact"/>
        <w:rPr>
          <w:sz w:val="20"/>
          <w:szCs w:val="20"/>
          <w:color w:val="auto"/>
        </w:rPr>
      </w:pPr>
    </w:p>
    <w:p>
      <w:pPr>
        <w:ind w:left="820" w:hanging="411"/>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additional foreign regulatory requirements;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560" w:right="239" w:bottom="1440" w:gutter="0" w:footer="0" w:header="0"/>
        </w:sectPr>
      </w:pPr>
    </w:p>
    <w:bookmarkStart w:id="47" w:name="page48"/>
    <w:bookmarkEnd w:id="47"/>
    <w:p>
      <w:pPr>
        <w:ind w:left="820" w:hanging="411"/>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foreign exchange fluctuations;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compliance with foreign manufacturing, customs, shipment and storage requirements;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cultural differences in medical practice and clinical research; and</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diminished protection of intellectual property in some countries.</w:t>
      </w:r>
    </w:p>
    <w:p>
      <w:pPr>
        <w:spacing w:after="0" w:line="212" w:lineRule="exact"/>
        <w:rPr>
          <w:sz w:val="20"/>
          <w:szCs w:val="20"/>
          <w:color w:val="auto"/>
        </w:rPr>
      </w:pPr>
    </w:p>
    <w:p>
      <w:pPr>
        <w:ind w:right="40" w:firstLine="420"/>
        <w:spacing w:after="0" w:line="257" w:lineRule="auto"/>
        <w:rPr>
          <w:sz w:val="20"/>
          <w:szCs w:val="20"/>
          <w:color w:val="auto"/>
        </w:rPr>
      </w:pPr>
      <w:r>
        <w:rPr>
          <w:rFonts w:ascii="Arial" w:cs="Arial" w:eastAsia="Arial" w:hAnsi="Arial"/>
          <w:sz w:val="17"/>
          <w:szCs w:val="17"/>
          <w:color w:val="auto"/>
        </w:rPr>
        <w:t>In addition, in June 2016, the United Kingdom held a referendum and voted in favor of leaving the European Union. This has created political and economic uncertainty, particularly in the United Kingdom and the European Union, and could cause disruptions to, and create uncertainty surrounding, our planned clinical trial in the United Kingdom, including affecting our relationships with our existing and prospective customers, partners and employees, and could have a material impact on the regulatory regime applicable to our planned clinical trial in the United Kingdom.</w:t>
      </w:r>
    </w:p>
    <w:p>
      <w:pPr>
        <w:spacing w:after="0" w:line="278"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60" w:lineRule="exact"/>
        <w:rPr>
          <w:sz w:val="20"/>
          <w:szCs w:val="20"/>
          <w:color w:val="auto"/>
        </w:rPr>
      </w:pPr>
    </w:p>
    <w:p>
      <w:pPr>
        <w:ind w:firstLine="420"/>
        <w:spacing w:after="0" w:line="269"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72" w:lineRule="exact"/>
        <w:rPr>
          <w:sz w:val="20"/>
          <w:szCs w:val="20"/>
          <w:color w:val="auto"/>
        </w:rPr>
      </w:pPr>
    </w:p>
    <w:p>
      <w:pPr>
        <w:ind w:right="20" w:firstLine="420"/>
        <w:spacing w:after="0" w:line="257"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80" w:lineRule="exact"/>
        <w:rPr>
          <w:sz w:val="20"/>
          <w:szCs w:val="20"/>
          <w:color w:val="auto"/>
        </w:rPr>
      </w:pPr>
    </w:p>
    <w:p>
      <w:pPr>
        <w:ind w:right="20" w:firstLine="420"/>
        <w:spacing w:after="0" w:line="298" w:lineRule="auto"/>
        <w:rPr>
          <w:sz w:val="20"/>
          <w:szCs w:val="20"/>
          <w:color w:val="auto"/>
        </w:rPr>
      </w:pPr>
      <w:r>
        <w:rPr>
          <w:rFonts w:ascii="Arial" w:cs="Arial" w:eastAsia="Arial" w:hAnsi="Arial"/>
          <w:sz w:val="15"/>
          <w:szCs w:val="15"/>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drugs we develop may become subject to unfavorable third-party reimbursement practices and pricing regulations.</w:t>
      </w:r>
    </w:p>
    <w:p>
      <w:pPr>
        <w:spacing w:after="0" w:line="114" w:lineRule="exact"/>
        <w:rPr>
          <w:sz w:val="20"/>
          <w:szCs w:val="20"/>
          <w:color w:val="auto"/>
        </w:rPr>
      </w:pPr>
    </w:p>
    <w:p>
      <w:pPr>
        <w:ind w:right="60" w:firstLine="420"/>
        <w:spacing w:after="0" w:line="293" w:lineRule="auto"/>
        <w:rPr>
          <w:sz w:val="20"/>
          <w:szCs w:val="20"/>
          <w:color w:val="auto"/>
        </w:rPr>
      </w:pPr>
      <w:r>
        <w:rPr>
          <w:rFonts w:ascii="Arial" w:cs="Arial" w:eastAsia="Arial" w:hAnsi="Arial"/>
          <w:sz w:val="15"/>
          <w:szCs w:val="15"/>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58" w:right="239" w:bottom="1440" w:gutter="0" w:footer="0" w:header="0"/>
        </w:sectPr>
      </w:pPr>
    </w:p>
    <w:bookmarkStart w:id="48" w:name="page49"/>
    <w:bookmarkEnd w:id="48"/>
    <w:p>
      <w:pPr>
        <w:ind w:right="200"/>
        <w:spacing w:after="0" w:line="274" w:lineRule="auto"/>
        <w:rPr>
          <w:sz w:val="20"/>
          <w:szCs w:val="20"/>
          <w:color w:val="auto"/>
        </w:rPr>
      </w:pPr>
      <w:r>
        <w:rPr>
          <w:rFonts w:ascii="Arial" w:cs="Arial" w:eastAsia="Arial" w:hAnsi="Arial"/>
          <w:sz w:val="17"/>
          <w:szCs w:val="17"/>
          <w:color w:val="auto"/>
        </w:rPr>
        <w:t>coverage and reimbursement are not available or reimbursement is available only to limited levels, we may not successfully commercialize any product candidate for which we obtain marketing approval.</w:t>
      </w:r>
    </w:p>
    <w:p>
      <w:pPr>
        <w:spacing w:after="0" w:line="164" w:lineRule="exact"/>
        <w:rPr>
          <w:sz w:val="20"/>
          <w:szCs w:val="20"/>
          <w:color w:val="auto"/>
        </w:rPr>
      </w:pPr>
    </w:p>
    <w:p>
      <w:pPr>
        <w:ind w:right="100" w:firstLine="420"/>
        <w:spacing w:after="0" w:line="272"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9" w:lineRule="exact"/>
        <w:rPr>
          <w:sz w:val="20"/>
          <w:szCs w:val="20"/>
          <w:color w:val="auto"/>
        </w:rPr>
      </w:pPr>
    </w:p>
    <w:p>
      <w:pPr>
        <w:ind w:right="60" w:firstLine="420"/>
        <w:spacing w:after="0" w:line="272" w:lineRule="auto"/>
        <w:rPr>
          <w:sz w:val="20"/>
          <w:szCs w:val="20"/>
          <w:color w:val="auto"/>
        </w:rPr>
      </w:pPr>
      <w:r>
        <w:rPr>
          <w:rFonts w:ascii="Arial" w:cs="Arial" w:eastAsia="Arial" w:hAnsi="Arial"/>
          <w:sz w:val="16"/>
          <w:szCs w:val="16"/>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69" w:lineRule="exact"/>
        <w:rPr>
          <w:sz w:val="20"/>
          <w:szCs w:val="20"/>
          <w:color w:val="auto"/>
        </w:rPr>
      </w:pPr>
    </w:p>
    <w:p>
      <w:pPr>
        <w:ind w:firstLine="420"/>
        <w:spacing w:after="0" w:line="290" w:lineRule="auto"/>
        <w:rPr>
          <w:sz w:val="20"/>
          <w:szCs w:val="20"/>
          <w:color w:val="auto"/>
        </w:rPr>
      </w:pPr>
      <w:r>
        <w:rPr>
          <w:rFonts w:ascii="Arial" w:cs="Arial" w:eastAsia="Arial" w:hAnsi="Arial"/>
          <w:sz w:val="15"/>
          <w:szCs w:val="15"/>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0" w:lineRule="exact"/>
        <w:rPr>
          <w:sz w:val="20"/>
          <w:szCs w:val="20"/>
          <w:color w:val="auto"/>
        </w:rPr>
      </w:pPr>
    </w:p>
    <w:p>
      <w:pPr>
        <w:ind w:right="60" w:firstLine="420"/>
        <w:spacing w:after="0" w:line="239"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81" w:lineRule="exact"/>
        <w:rPr>
          <w:sz w:val="20"/>
          <w:szCs w:val="20"/>
          <w:color w:val="auto"/>
        </w:rPr>
      </w:pPr>
    </w:p>
    <w:p>
      <w:pPr>
        <w:ind w:right="140" w:firstLine="420"/>
        <w:spacing w:after="0" w:line="242"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8" w:lineRule="exact"/>
        <w:rPr>
          <w:sz w:val="20"/>
          <w:szCs w:val="20"/>
          <w:color w:val="auto"/>
        </w:rPr>
      </w:pPr>
    </w:p>
    <w:p>
      <w:pPr>
        <w:ind w:right="20" w:firstLine="420"/>
        <w:spacing w:after="0" w:line="242" w:lineRule="auto"/>
        <w:rPr>
          <w:sz w:val="20"/>
          <w:szCs w:val="20"/>
          <w:color w:val="auto"/>
        </w:rPr>
      </w:pPr>
      <w:r>
        <w:rPr>
          <w:rFonts w:ascii="Arial" w:cs="Arial" w:eastAsia="Arial" w:hAnsi="Arial"/>
          <w:sz w:val="17"/>
          <w:szCs w:val="17"/>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78" w:lineRule="exact"/>
        <w:rPr>
          <w:sz w:val="20"/>
          <w:szCs w:val="20"/>
          <w:color w:val="auto"/>
        </w:rPr>
      </w:pPr>
    </w:p>
    <w:p>
      <w:pPr>
        <w:ind w:right="20" w:firstLine="420"/>
        <w:spacing w:after="0" w:line="242" w:lineRule="auto"/>
        <w:rPr>
          <w:sz w:val="20"/>
          <w:szCs w:val="20"/>
          <w:color w:val="auto"/>
        </w:rPr>
      </w:pPr>
      <w:r>
        <w:rPr>
          <w:rFonts w:ascii="Arial" w:cs="Arial" w:eastAsia="Arial" w:hAnsi="Arial"/>
          <w:sz w:val="17"/>
          <w:szCs w:val="17"/>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58"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we or our collaborators receive regulatory approval, less favorable coverage policies and reimbursement rates may be implemented in the future.</w:t>
      </w:r>
    </w:p>
    <w:p>
      <w:pPr>
        <w:spacing w:after="0" w:line="297"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b w:val="1"/>
          <w:bCs w:val="1"/>
          <w:color w:val="auto"/>
        </w:rPr>
        <w:t>Recently enacted legislation may increase the difficulty and cost for us to obtain marketing approval of and commercialize our product candidates and affect the prices we may obtain.</w:t>
      </w:r>
    </w:p>
    <w:p>
      <w:pPr>
        <w:spacing w:after="0" w:line="161" w:lineRule="exact"/>
        <w:rPr>
          <w:sz w:val="20"/>
          <w:szCs w:val="20"/>
          <w:color w:val="auto"/>
        </w:rPr>
      </w:pPr>
    </w:p>
    <w:p>
      <w:pPr>
        <w:ind w:right="100" w:firstLine="522"/>
        <w:spacing w:after="0" w:line="254" w:lineRule="auto"/>
        <w:rPr>
          <w:sz w:val="20"/>
          <w:szCs w:val="20"/>
          <w:color w:val="auto"/>
        </w:rPr>
      </w:pPr>
      <w:r>
        <w:rPr>
          <w:rFonts w:ascii="Arial" w:cs="Arial" w:eastAsia="Arial" w:hAnsi="Arial"/>
          <w:sz w:val="17"/>
          <w:szCs w:val="17"/>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elements of the ACA.</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face difficulties from changes to current regulations and future legislation.</w:t>
      </w:r>
    </w:p>
    <w:p>
      <w:pPr>
        <w:spacing w:after="0" w:line="114" w:lineRule="exact"/>
        <w:rPr>
          <w:sz w:val="20"/>
          <w:szCs w:val="20"/>
          <w:color w:val="auto"/>
        </w:rPr>
      </w:pPr>
    </w:p>
    <w:p>
      <w:pPr>
        <w:ind w:right="80" w:firstLine="420"/>
        <w:spacing w:after="0" w:line="302" w:lineRule="auto"/>
        <w:rPr>
          <w:sz w:val="20"/>
          <w:szCs w:val="20"/>
          <w:color w:val="auto"/>
        </w:rPr>
      </w:pPr>
      <w:r>
        <w:rPr>
          <w:rFonts w:ascii="Arial" w:cs="Arial" w:eastAsia="Arial" w:hAnsi="Arial"/>
          <w:sz w:val="15"/>
          <w:szCs w:val="15"/>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0" w:lineRule="exact"/>
        <w:rPr>
          <w:sz w:val="20"/>
          <w:szCs w:val="20"/>
          <w:color w:val="auto"/>
        </w:rPr>
      </w:pPr>
    </w:p>
    <w:p>
      <w:pPr>
        <w:ind w:right="20" w:firstLine="420"/>
        <w:spacing w:after="0" w:line="270" w:lineRule="auto"/>
        <w:rPr>
          <w:sz w:val="20"/>
          <w:szCs w:val="20"/>
          <w:color w:val="auto"/>
        </w:rPr>
      </w:pPr>
      <w:r>
        <w:rPr>
          <w:rFonts w:ascii="Arial" w:cs="Arial" w:eastAsia="Arial" w:hAnsi="Arial"/>
          <w:sz w:val="16"/>
          <w:szCs w:val="16"/>
          <w:color w:val="auto"/>
        </w:rPr>
        <w:t>More recently, President Trump has signed an executive order and made statements that suggest he plans to seek repeal of all or portions of the ACA. There is uncertainty with respect to which legislation, if any, will be enacted and the impact President Trump’s Administration may have, if any, and any changes likely will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2027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69" w:lineRule="exact"/>
        <w:rPr>
          <w:sz w:val="20"/>
          <w:szCs w:val="20"/>
          <w:color w:val="auto"/>
        </w:rPr>
      </w:pPr>
    </w:p>
    <w:p>
      <w:pPr>
        <w:ind w:firstLine="420"/>
        <w:spacing w:after="0" w:line="269" w:lineRule="auto"/>
        <w:rPr>
          <w:sz w:val="20"/>
          <w:szCs w:val="20"/>
          <w:color w:val="auto"/>
        </w:rPr>
      </w:pPr>
      <w:r>
        <w:rPr>
          <w:rFonts w:ascii="Arial" w:cs="Arial" w:eastAsia="Arial" w:hAnsi="Arial"/>
          <w:sz w:val="16"/>
          <w:szCs w:val="16"/>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74" w:lineRule="exact"/>
        <w:rPr>
          <w:sz w:val="20"/>
          <w:szCs w:val="20"/>
          <w:color w:val="auto"/>
        </w:rPr>
      </w:pPr>
    </w:p>
    <w:p>
      <w:pPr>
        <w:ind w:right="140" w:firstLine="420"/>
        <w:spacing w:after="0" w:line="257"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560" w:right="239" w:bottom="1440" w:gutter="0" w:footer="0" w:header="0"/>
        </w:sectPr>
      </w:pPr>
    </w:p>
    <w:bookmarkStart w:id="50" w:name="page51"/>
    <w:bookmarkEnd w:id="50"/>
    <w:p>
      <w:pPr>
        <w:ind w:right="180" w:firstLine="420"/>
        <w:spacing w:after="0" w:line="255"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81"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60" w:lineRule="exact"/>
        <w:rPr>
          <w:sz w:val="20"/>
          <w:szCs w:val="20"/>
          <w:color w:val="auto"/>
        </w:rPr>
      </w:pPr>
    </w:p>
    <w:p>
      <w:pPr>
        <w:ind w:firstLine="420"/>
        <w:spacing w:after="0" w:line="270"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63"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b w:val="1"/>
          <w:b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1" w:lineRule="exact"/>
        <w:rPr>
          <w:sz w:val="20"/>
          <w:szCs w:val="20"/>
          <w:color w:val="auto"/>
        </w:rPr>
      </w:pPr>
    </w:p>
    <w:p>
      <w:pPr>
        <w:ind w:right="20" w:firstLine="458"/>
        <w:spacing w:after="0" w:line="279"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60" w:lineRule="exact"/>
        <w:rPr>
          <w:sz w:val="20"/>
          <w:szCs w:val="20"/>
          <w:color w:val="auto"/>
        </w:rPr>
      </w:pPr>
    </w:p>
    <w:p>
      <w:pPr>
        <w:ind w:left="840" w:right="320" w:hanging="457"/>
        <w:spacing w:after="0" w:line="257" w:lineRule="auto"/>
        <w:tabs>
          <w:tab w:leader="none" w:pos="8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7"/>
          <w:szCs w:val="17"/>
          <w:color w:val="auto"/>
        </w:rPr>
      </w:pPr>
    </w:p>
    <w:p>
      <w:pPr>
        <w:ind w:left="820" w:right="260" w:hanging="411"/>
        <w:spacing w:after="0" w:line="257" w:lineRule="auto"/>
        <w:tabs>
          <w:tab w:leader="none" w:pos="8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7"/>
          <w:szCs w:val="17"/>
          <w:color w:val="auto"/>
        </w:rPr>
      </w:pPr>
    </w:p>
    <w:p>
      <w:pPr>
        <w:ind w:left="820" w:right="120" w:hanging="411"/>
        <w:spacing w:after="0" w:line="306" w:lineRule="auto"/>
        <w:tabs>
          <w:tab w:leader="none" w:pos="8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39" w:lineRule="exact"/>
        <w:rPr>
          <w:rFonts w:ascii="Arial" w:cs="Arial" w:eastAsia="Arial" w:hAnsi="Arial"/>
          <w:sz w:val="16"/>
          <w:szCs w:val="16"/>
          <w:color w:val="auto"/>
        </w:rPr>
      </w:pPr>
    </w:p>
    <w:p>
      <w:pPr>
        <w:ind w:left="820" w:right="200" w:hanging="411"/>
        <w:spacing w:after="0" w:line="261" w:lineRule="auto"/>
        <w:tabs>
          <w:tab w:leader="none" w:pos="8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4" w:lineRule="exact"/>
        <w:rPr>
          <w:rFonts w:ascii="Arial" w:cs="Arial" w:eastAsia="Arial" w:hAnsi="Arial"/>
          <w:sz w:val="17"/>
          <w:szCs w:val="17"/>
          <w:color w:val="auto"/>
        </w:rPr>
      </w:pPr>
    </w:p>
    <w:p>
      <w:pPr>
        <w:ind w:left="820" w:right="380" w:hanging="411"/>
        <w:spacing w:after="0" w:line="255" w:lineRule="auto"/>
        <w:tabs>
          <w:tab w:leader="none" w:pos="8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560" w:right="259" w:bottom="1440" w:gutter="0" w:footer="0" w:header="0"/>
        </w:sectPr>
      </w:pPr>
    </w:p>
    <w:bookmarkStart w:id="51" w:name="page52"/>
    <w:bookmarkEnd w:id="51"/>
    <w:p>
      <w:pPr>
        <w:ind w:left="820" w:right="420" w:hanging="411"/>
        <w:spacing w:after="0" w:line="306" w:lineRule="auto"/>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41" w:lineRule="exact"/>
        <w:rPr>
          <w:sz w:val="20"/>
          <w:szCs w:val="20"/>
          <w:color w:val="auto"/>
        </w:rPr>
      </w:pPr>
    </w:p>
    <w:p>
      <w:pPr>
        <w:ind w:right="240" w:firstLine="420"/>
        <w:spacing w:after="0" w:line="289" w:lineRule="auto"/>
        <w:rPr>
          <w:sz w:val="20"/>
          <w:szCs w:val="20"/>
          <w:color w:val="auto"/>
        </w:rPr>
      </w:pPr>
      <w:r>
        <w:rPr>
          <w:rFonts w:ascii="Arial" w:cs="Arial" w:eastAsia="Arial" w:hAnsi="Arial"/>
          <w:sz w:val="15"/>
          <w:szCs w:val="15"/>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For example,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And states such as California, Connecticut, Nevada, and Massachusetts require pharmaceutical companies to implement compliance programs and/or marketing codes. Other states are considering similar proposals. Compliance with these laws is difficult and time consuming, and companies that do not comply with these state laws face civil penalties. State and foreign laws also govern the privacy and security of health information in some circumstances, many of which differ from each other in significant ways and often are not preempted by HIPAA, thus complicating compliance efforts.</w:t>
      </w:r>
    </w:p>
    <w:p>
      <w:pPr>
        <w:spacing w:after="0" w:line="162" w:lineRule="exact"/>
        <w:rPr>
          <w:sz w:val="20"/>
          <w:szCs w:val="20"/>
          <w:color w:val="auto"/>
        </w:rPr>
      </w:pPr>
    </w:p>
    <w:p>
      <w:pPr>
        <w:ind w:firstLine="420"/>
        <w:spacing w:after="0" w:line="252"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84"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b w:val="1"/>
          <w:bCs w:val="1"/>
          <w:color w:val="auto"/>
        </w:rPr>
        <w:t>Our employees may engage in misconduct or other improper activities, including noncompliance with regulatory standards and requirements and insider trading.</w:t>
      </w:r>
    </w:p>
    <w:p>
      <w:pPr>
        <w:spacing w:after="0" w:line="60" w:lineRule="exact"/>
        <w:rPr>
          <w:sz w:val="20"/>
          <w:szCs w:val="20"/>
          <w:color w:val="auto"/>
        </w:rPr>
      </w:pPr>
    </w:p>
    <w:p>
      <w:pPr>
        <w:ind w:right="40" w:firstLine="420"/>
        <w:spacing w:after="0" w:line="289" w:lineRule="auto"/>
        <w:rPr>
          <w:sz w:val="20"/>
          <w:szCs w:val="20"/>
          <w:color w:val="auto"/>
        </w:rPr>
      </w:pPr>
      <w:r>
        <w:rPr>
          <w:rFonts w:ascii="Arial" w:cs="Arial" w:eastAsia="Arial" w:hAnsi="Arial"/>
          <w:sz w:val="15"/>
          <w:szCs w:val="15"/>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obtain or protect intellectual property rights, we may not be able to compete effectively in our market.</w:t>
      </w:r>
    </w:p>
    <w:p>
      <w:pPr>
        <w:spacing w:after="0" w:line="114" w:lineRule="exact"/>
        <w:rPr>
          <w:sz w:val="20"/>
          <w:szCs w:val="20"/>
          <w:color w:val="auto"/>
        </w:rPr>
      </w:pPr>
    </w:p>
    <w:p>
      <w:pPr>
        <w:ind w:firstLine="420"/>
        <w:spacing w:after="0" w:line="279"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458" w:right="239" w:bottom="1440" w:gutter="0" w:footer="0" w:header="0"/>
        </w:sectPr>
      </w:pPr>
    </w:p>
    <w:bookmarkStart w:id="52" w:name="page53"/>
    <w:bookmarkEnd w:id="52"/>
    <w:p>
      <w:pPr>
        <w:spacing w:after="0" w:line="270" w:lineRule="auto"/>
        <w:rPr>
          <w:sz w:val="20"/>
          <w:szCs w:val="20"/>
          <w:color w:val="auto"/>
        </w:rPr>
      </w:pPr>
      <w:r>
        <w:rPr>
          <w:rFonts w:ascii="Arial" w:cs="Arial" w:eastAsia="Arial" w:hAnsi="Arial"/>
          <w:sz w:val="16"/>
          <w:szCs w:val="16"/>
          <w:color w:val="auto"/>
        </w:rPr>
        <w:t>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73" w:lineRule="exact"/>
        <w:rPr>
          <w:sz w:val="20"/>
          <w:szCs w:val="20"/>
          <w:color w:val="auto"/>
        </w:rPr>
      </w:pPr>
    </w:p>
    <w:p>
      <w:pPr>
        <w:ind w:right="20" w:firstLine="420"/>
        <w:spacing w:after="0" w:line="270"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9" w:lineRule="exact"/>
        <w:rPr>
          <w:sz w:val="20"/>
          <w:szCs w:val="20"/>
          <w:color w:val="auto"/>
        </w:rPr>
      </w:pPr>
    </w:p>
    <w:p>
      <w:pPr>
        <w:ind w:right="80" w:firstLine="420"/>
        <w:spacing w:after="0" w:line="295" w:lineRule="auto"/>
        <w:rPr>
          <w:sz w:val="20"/>
          <w:szCs w:val="20"/>
          <w:color w:val="auto"/>
        </w:rPr>
      </w:pPr>
      <w:r>
        <w:rPr>
          <w:rFonts w:ascii="Arial" w:cs="Arial" w:eastAsia="Arial" w:hAnsi="Arial"/>
          <w:sz w:val="15"/>
          <w:szCs w:val="15"/>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53" w:lineRule="exact"/>
        <w:rPr>
          <w:sz w:val="20"/>
          <w:szCs w:val="20"/>
          <w:color w:val="auto"/>
        </w:rPr>
      </w:pPr>
    </w:p>
    <w:p>
      <w:pPr>
        <w:ind w:right="60" w:firstLine="420"/>
        <w:spacing w:after="0" w:line="270" w:lineRule="auto"/>
        <w:rPr>
          <w:sz w:val="20"/>
          <w:szCs w:val="20"/>
          <w:color w:val="auto"/>
        </w:rPr>
      </w:pPr>
      <w:r>
        <w:rPr>
          <w:rFonts w:ascii="Arial" w:cs="Arial" w:eastAsia="Arial" w:hAnsi="Arial"/>
          <w:sz w:val="16"/>
          <w:szCs w:val="16"/>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69" w:lineRule="exact"/>
        <w:rPr>
          <w:sz w:val="20"/>
          <w:szCs w:val="20"/>
          <w:color w:val="auto"/>
        </w:rPr>
      </w:pPr>
    </w:p>
    <w:p>
      <w:pPr>
        <w:ind w:right="40" w:firstLine="420"/>
        <w:spacing w:after="0" w:line="272"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58" w:right="239" w:bottom="1440" w:gutter="0" w:footer="0" w:header="0"/>
        </w:sectPr>
      </w:pPr>
    </w:p>
    <w:bookmarkStart w:id="53" w:name="page54"/>
    <w:bookmarkEnd w:id="53"/>
    <w:p>
      <w:pPr>
        <w:ind w:right="540"/>
        <w:spacing w:after="0" w:line="274" w:lineRule="auto"/>
        <w:rPr>
          <w:sz w:val="20"/>
          <w:szCs w:val="20"/>
          <w:color w:val="auto"/>
        </w:rPr>
      </w:pPr>
      <w:r>
        <w:rPr>
          <w:rFonts w:ascii="Arial" w:cs="Arial" w:eastAsia="Arial" w:hAnsi="Arial"/>
          <w:sz w:val="17"/>
          <w:szCs w:val="17"/>
          <w:color w:val="auto"/>
        </w:rPr>
        <w:t>occurs, our competitors may take advantage of our investment in development and clinical trials by referencing our clinical and preclinical data and launch their product earlier than might otherwise be the case.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protect our intellectual property rights throughout the world.</w:t>
      </w:r>
    </w:p>
    <w:p>
      <w:pPr>
        <w:spacing w:after="0" w:line="114" w:lineRule="exact"/>
        <w:rPr>
          <w:sz w:val="20"/>
          <w:szCs w:val="20"/>
          <w:color w:val="auto"/>
        </w:rPr>
      </w:pPr>
    </w:p>
    <w:p>
      <w:pPr>
        <w:ind w:right="20" w:firstLine="420"/>
        <w:spacing w:after="0" w:line="290" w:lineRule="auto"/>
        <w:rPr>
          <w:sz w:val="20"/>
          <w:szCs w:val="20"/>
          <w:color w:val="auto"/>
        </w:rPr>
      </w:pPr>
      <w:r>
        <w:rPr>
          <w:rFonts w:ascii="Arial" w:cs="Arial" w:eastAsia="Arial" w:hAnsi="Arial"/>
          <w:sz w:val="15"/>
          <w:szCs w:val="15"/>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60" w:lineRule="exact"/>
        <w:rPr>
          <w:sz w:val="20"/>
          <w:szCs w:val="20"/>
          <w:color w:val="auto"/>
        </w:rPr>
      </w:pPr>
    </w:p>
    <w:p>
      <w:pPr>
        <w:ind w:right="40" w:firstLine="420"/>
        <w:spacing w:after="0" w:line="25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14" w:lineRule="exact"/>
        <w:rPr>
          <w:sz w:val="20"/>
          <w:szCs w:val="20"/>
          <w:color w:val="auto"/>
        </w:rPr>
      </w:pPr>
    </w:p>
    <w:p>
      <w:pPr>
        <w:ind w:right="20" w:firstLine="420"/>
        <w:spacing w:after="0" w:line="261"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76" w:lineRule="exact"/>
        <w:rPr>
          <w:sz w:val="20"/>
          <w:szCs w:val="20"/>
          <w:color w:val="auto"/>
        </w:rPr>
      </w:pPr>
    </w:p>
    <w:p>
      <w:pPr>
        <w:ind w:right="20" w:firstLine="420"/>
        <w:spacing w:after="0" w:line="257"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80" w:lineRule="exact"/>
        <w:rPr>
          <w:sz w:val="20"/>
          <w:szCs w:val="20"/>
          <w:color w:val="auto"/>
        </w:rPr>
      </w:pPr>
    </w:p>
    <w:p>
      <w:pPr>
        <w:ind w:firstLine="420"/>
        <w:spacing w:after="0" w:line="255"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83" w:lineRule="exact"/>
        <w:rPr>
          <w:sz w:val="20"/>
          <w:szCs w:val="20"/>
          <w:color w:val="auto"/>
        </w:rPr>
      </w:pPr>
    </w:p>
    <w:p>
      <w:pPr>
        <w:ind w:right="80" w:firstLine="420"/>
        <w:spacing w:after="0" w:line="253"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00"/>
          </w:cols>
          <w:pgMar w:left="240" w:top="560" w:right="25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uncertainties and costs surrounding the prosecution of our patent applications and the enforcement or defense of our issued patents.</w:t>
      </w:r>
    </w:p>
    <w:p>
      <w:pPr>
        <w:spacing w:after="0" w:line="212" w:lineRule="exact"/>
        <w:rPr>
          <w:sz w:val="20"/>
          <w:szCs w:val="20"/>
          <w:color w:val="auto"/>
        </w:rPr>
      </w:pPr>
    </w:p>
    <w:p>
      <w:pPr>
        <w:ind w:right="20" w:firstLine="420"/>
        <w:spacing w:after="0" w:line="269" w:lineRule="auto"/>
        <w:rPr>
          <w:sz w:val="20"/>
          <w:szCs w:val="20"/>
          <w:color w:val="auto"/>
        </w:rPr>
      </w:pPr>
      <w:r>
        <w:rPr>
          <w:rFonts w:ascii="Arial" w:cs="Arial" w:eastAsia="Arial" w:hAnsi="Arial"/>
          <w:sz w:val="16"/>
          <w:szCs w:val="16"/>
          <w:color w:val="auto"/>
        </w:rPr>
        <w:t>The USPTO has developed new regulations and procedures to govern administration of the Leahy-Smith Act, and many of the substantive changes to patent law associated with the Leahy-Smith Act, and, in particular, the first to file provisions, only became effective in 2013.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 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168" w:lineRule="exact"/>
        <w:rPr>
          <w:sz w:val="20"/>
          <w:szCs w:val="20"/>
          <w:color w:val="auto"/>
        </w:rPr>
      </w:pPr>
    </w:p>
    <w:p>
      <w:pPr>
        <w:spacing w:after="0" w:line="348" w:lineRule="auto"/>
        <w:rPr>
          <w:sz w:val="20"/>
          <w:szCs w:val="20"/>
          <w:color w:val="auto"/>
        </w:rPr>
      </w:pPr>
      <w:r>
        <w:rPr>
          <w:rFonts w:ascii="Arial" w:cs="Arial" w:eastAsia="Arial" w:hAnsi="Arial"/>
          <w:sz w:val="15"/>
          <w:szCs w:val="15"/>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 w:lineRule="exact"/>
        <w:rPr>
          <w:sz w:val="20"/>
          <w:szCs w:val="20"/>
          <w:color w:val="auto"/>
        </w:rPr>
      </w:pPr>
    </w:p>
    <w:p>
      <w:pPr>
        <w:ind w:right="60" w:firstLine="420"/>
        <w:spacing w:after="0" w:line="271"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68" w:lineRule="exact"/>
        <w:rPr>
          <w:sz w:val="20"/>
          <w:szCs w:val="20"/>
          <w:color w:val="auto"/>
        </w:rPr>
      </w:pPr>
    </w:p>
    <w:p>
      <w:pPr>
        <w:ind w:right="440"/>
        <w:spacing w:after="0" w:line="278" w:lineRule="auto"/>
        <w:rPr>
          <w:sz w:val="20"/>
          <w:szCs w:val="20"/>
          <w:color w:val="auto"/>
        </w:rPr>
      </w:pPr>
      <w:r>
        <w:rPr>
          <w:rFonts w:ascii="Arial" w:cs="Arial" w:eastAsia="Arial" w:hAnsi="Arial"/>
          <w:sz w:val="17"/>
          <w:szCs w:val="17"/>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60" w:lineRule="exact"/>
        <w:rPr>
          <w:sz w:val="20"/>
          <w:szCs w:val="20"/>
          <w:color w:val="auto"/>
        </w:rPr>
      </w:pPr>
    </w:p>
    <w:p>
      <w:pPr>
        <w:ind w:right="60" w:firstLine="420"/>
        <w:spacing w:after="0" w:line="252"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560" w:right="239" w:bottom="1440" w:gutter="0" w:footer="0" w:header="0"/>
        </w:sectPr>
      </w:pPr>
    </w:p>
    <w:bookmarkStart w:id="55" w:name="page56"/>
    <w:bookmarkEnd w:id="55"/>
    <w:p>
      <w:pPr>
        <w:ind w:firstLine="420"/>
        <w:spacing w:after="0" w:line="291" w:lineRule="auto"/>
        <w:rPr>
          <w:sz w:val="20"/>
          <w:szCs w:val="20"/>
          <w:color w:val="auto"/>
        </w:rPr>
      </w:pPr>
      <w:r>
        <w:rPr>
          <w:rFonts w:ascii="Arial" w:cs="Arial" w:eastAsia="Arial" w:hAnsi="Arial"/>
          <w:sz w:val="15"/>
          <w:szCs w:val="15"/>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57"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b w:val="1"/>
          <w:bCs w:val="1"/>
          <w:color w:val="auto"/>
        </w:rPr>
        <w:t>We may become involved in lawsuits to protect or enforce our intellectual property, which could be expensive, time-consuming and unsuccessful and have an adverse effect on the success of our business.</w:t>
      </w:r>
    </w:p>
    <w:p>
      <w:pPr>
        <w:spacing w:after="0" w:line="60" w:lineRule="exact"/>
        <w:rPr>
          <w:sz w:val="20"/>
          <w:szCs w:val="20"/>
          <w:color w:val="auto"/>
        </w:rPr>
      </w:pPr>
    </w:p>
    <w:p>
      <w:pPr>
        <w:jc w:val="both"/>
        <w:ind w:right="60" w:firstLine="420"/>
        <w:spacing w:after="0" w:line="288" w:lineRule="auto"/>
        <w:rPr>
          <w:sz w:val="20"/>
          <w:szCs w:val="20"/>
          <w:color w:val="auto"/>
        </w:rPr>
      </w:pPr>
      <w:r>
        <w:rPr>
          <w:rFonts w:ascii="Arial" w:cs="Arial" w:eastAsia="Arial" w:hAnsi="Arial"/>
          <w:sz w:val="15"/>
          <w:szCs w:val="15"/>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w:t>
      </w:r>
    </w:p>
    <w:p>
      <w:pPr>
        <w:spacing w:after="0" w:line="1"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59" w:lineRule="exact"/>
        <w:rPr>
          <w:sz w:val="20"/>
          <w:szCs w:val="20"/>
          <w:color w:val="auto"/>
        </w:rPr>
      </w:pPr>
    </w:p>
    <w:p>
      <w:pPr>
        <w:ind w:right="80" w:firstLine="420"/>
        <w:spacing w:after="0" w:line="257" w:lineRule="auto"/>
        <w:rPr>
          <w:sz w:val="20"/>
          <w:szCs w:val="20"/>
          <w:color w:val="auto"/>
        </w:rPr>
      </w:pPr>
      <w:r>
        <w:rPr>
          <w:rFonts w:ascii="Arial" w:cs="Arial" w:eastAsia="Arial" w:hAnsi="Arial"/>
          <w:sz w:val="17"/>
          <w:szCs w:val="17"/>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0" w:lineRule="exact"/>
        <w:rPr>
          <w:sz w:val="20"/>
          <w:szCs w:val="20"/>
          <w:color w:val="auto"/>
        </w:rPr>
      </w:pPr>
    </w:p>
    <w:p>
      <w:pPr>
        <w:ind w:firstLine="420"/>
        <w:spacing w:after="0" w:line="270" w:lineRule="auto"/>
        <w:rPr>
          <w:sz w:val="20"/>
          <w:szCs w:val="20"/>
          <w:color w:val="auto"/>
        </w:rPr>
      </w:pPr>
      <w:r>
        <w:rPr>
          <w:rFonts w:ascii="Arial" w:cs="Arial" w:eastAsia="Arial" w:hAnsi="Arial"/>
          <w:sz w:val="16"/>
          <w:szCs w:val="16"/>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73"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00"/>
          </w:cols>
          <w:pgMar w:left="240" w:top="560" w:right="259" w:bottom="1440" w:gutter="0" w:footer="0" w:header="0"/>
        </w:sectPr>
      </w:pPr>
    </w:p>
    <w:bookmarkStart w:id="56" w:name="page57"/>
    <w:bookmarkEnd w:id="56"/>
    <w:p>
      <w:pPr>
        <w:ind w:right="340" w:firstLine="420"/>
        <w:spacing w:after="0" w:line="242"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76"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b w:val="1"/>
          <w:bCs w:val="1"/>
          <w:color w:val="auto"/>
        </w:rPr>
        <w:t>If we breach the license agreements related to our product candidates, we could lose the ability to continue the development and commercialization of our product candidates.</w:t>
      </w:r>
    </w:p>
    <w:p>
      <w:pPr>
        <w:spacing w:after="0" w:line="59" w:lineRule="exact"/>
        <w:rPr>
          <w:sz w:val="20"/>
          <w:szCs w:val="20"/>
          <w:color w:val="auto"/>
        </w:rPr>
      </w:pPr>
    </w:p>
    <w:p>
      <w:pPr>
        <w:ind w:firstLine="420"/>
        <w:spacing w:after="0" w:line="252"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Disputes may arise regarding intellectual property subject to a licensing agreement, including:</w:t>
      </w:r>
    </w:p>
    <w:p>
      <w:pPr>
        <w:spacing w:after="0" w:line="97" w:lineRule="exact"/>
        <w:rPr>
          <w:sz w:val="20"/>
          <w:szCs w:val="20"/>
          <w:color w:val="auto"/>
        </w:rPr>
      </w:pPr>
    </w:p>
    <w:p>
      <w:pPr>
        <w:ind w:left="820" w:hanging="411"/>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97" w:lineRule="exact"/>
        <w:rPr>
          <w:rFonts w:ascii="Arial" w:cs="Arial" w:eastAsia="Arial" w:hAnsi="Arial"/>
          <w:sz w:val="17"/>
          <w:szCs w:val="17"/>
          <w:color w:val="auto"/>
        </w:rPr>
      </w:pPr>
    </w:p>
    <w:p>
      <w:pPr>
        <w:ind w:left="820" w:hanging="411"/>
        <w:spacing w:after="0"/>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08" w:lineRule="exact"/>
        <w:rPr>
          <w:rFonts w:ascii="Arial" w:cs="Arial" w:eastAsia="Arial" w:hAnsi="Arial"/>
          <w:sz w:val="16"/>
          <w:szCs w:val="16"/>
          <w:color w:val="auto"/>
        </w:rPr>
      </w:pPr>
    </w:p>
    <w:p>
      <w:pPr>
        <w:ind w:left="820" w:hanging="411"/>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any collaboration relationships we might enter into in the future;</w:t>
      </w:r>
    </w:p>
    <w:p>
      <w:pPr>
        <w:spacing w:after="0" w:line="97" w:lineRule="exact"/>
        <w:rPr>
          <w:rFonts w:ascii="Arial" w:cs="Arial" w:eastAsia="Arial" w:hAnsi="Arial"/>
          <w:sz w:val="17"/>
          <w:szCs w:val="17"/>
          <w:color w:val="auto"/>
        </w:rPr>
      </w:pPr>
    </w:p>
    <w:p>
      <w:pPr>
        <w:ind w:left="820" w:hanging="411"/>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97" w:lineRule="exact"/>
        <w:rPr>
          <w:rFonts w:ascii="Arial" w:cs="Arial" w:eastAsia="Arial" w:hAnsi="Arial"/>
          <w:sz w:val="17"/>
          <w:szCs w:val="17"/>
          <w:color w:val="auto"/>
        </w:rPr>
      </w:pPr>
    </w:p>
    <w:p>
      <w:pPr>
        <w:ind w:left="820" w:right="260" w:hanging="411"/>
        <w:spacing w:after="0" w:line="258" w:lineRule="auto"/>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ownership of inventions and know-how resulting from the joint creation or use of intellectual property by our licensors and us and our collaborators; and</w:t>
      </w:r>
    </w:p>
    <w:p>
      <w:pPr>
        <w:spacing w:after="0" w:line="63" w:lineRule="exact"/>
        <w:rPr>
          <w:rFonts w:ascii="Arial" w:cs="Arial" w:eastAsia="Arial" w:hAnsi="Arial"/>
          <w:sz w:val="17"/>
          <w:szCs w:val="17"/>
          <w:color w:val="auto"/>
        </w:rPr>
      </w:pPr>
    </w:p>
    <w:p>
      <w:pPr>
        <w:ind w:left="820" w:hanging="411"/>
        <w:spacing w:after="0"/>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99" w:lineRule="exact"/>
        <w:rPr>
          <w:sz w:val="20"/>
          <w:szCs w:val="20"/>
          <w:color w:val="auto"/>
        </w:rPr>
      </w:pPr>
    </w:p>
    <w:p>
      <w:pPr>
        <w:ind w:right="180" w:firstLine="420"/>
        <w:spacing w:after="0" w:line="258"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63" w:lineRule="exact"/>
        <w:rPr>
          <w:sz w:val="20"/>
          <w:szCs w:val="20"/>
          <w:color w:val="auto"/>
        </w:rPr>
      </w:pPr>
    </w:p>
    <w:p>
      <w:pPr>
        <w:jc w:val="both"/>
        <w:ind w:right="120"/>
        <w:spacing w:after="0" w:line="248" w:lineRule="auto"/>
        <w:rPr>
          <w:sz w:val="20"/>
          <w:szCs w:val="20"/>
          <w:color w:val="auto"/>
        </w:rPr>
      </w:pPr>
      <w:r>
        <w:rPr>
          <w:rFonts w:ascii="Arial" w:cs="Arial" w:eastAsia="Arial" w:hAnsi="Arial"/>
          <w:sz w:val="17"/>
          <w:szCs w:val="17"/>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60" w:firstLine="420"/>
        <w:spacing w:after="0" w:line="259" w:lineRule="auto"/>
        <w:rPr>
          <w:sz w:val="20"/>
          <w:szCs w:val="20"/>
          <w:color w:val="auto"/>
        </w:rPr>
      </w:pPr>
      <w:r>
        <w:rPr>
          <w:rFonts w:ascii="Arial" w:cs="Arial" w:eastAsia="Arial" w:hAnsi="Arial"/>
          <w:sz w:val="16"/>
          <w:szCs w:val="16"/>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65" w:lineRule="exact"/>
        <w:rPr>
          <w:sz w:val="20"/>
          <w:szCs w:val="20"/>
          <w:color w:val="auto"/>
        </w:rPr>
      </w:pPr>
    </w:p>
    <w:p>
      <w:pPr>
        <w:ind w:right="200" w:firstLine="420"/>
        <w:spacing w:after="0" w:line="275"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560" w:right="239" w:bottom="1440" w:gutter="0" w:footer="0" w:header="0"/>
        </w:sectPr>
      </w:pPr>
    </w:p>
    <w:bookmarkStart w:id="57" w:name="page58"/>
    <w:bookmarkEnd w:id="57"/>
    <w:p>
      <w:pPr>
        <w:ind w:right="80"/>
        <w:spacing w:after="0" w:line="257" w:lineRule="auto"/>
        <w:rPr>
          <w:sz w:val="20"/>
          <w:szCs w:val="20"/>
          <w:color w:val="auto"/>
        </w:rPr>
      </w:pPr>
      <w:r>
        <w:rPr>
          <w:rFonts w:ascii="Arial" w:cs="Arial" w:eastAsia="Arial" w:hAnsi="Arial"/>
          <w:sz w:val="17"/>
          <w:szCs w:val="17"/>
          <w:color w:val="auto"/>
        </w:rPr>
        <w:t>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78"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60" w:lineRule="exact"/>
        <w:rPr>
          <w:sz w:val="20"/>
          <w:szCs w:val="20"/>
          <w:color w:val="auto"/>
        </w:rPr>
      </w:pPr>
    </w:p>
    <w:p>
      <w:pPr>
        <w:ind w:right="260" w:firstLine="420"/>
        <w:spacing w:after="0" w:line="275"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67" w:lineRule="exact"/>
        <w:rPr>
          <w:sz w:val="20"/>
          <w:szCs w:val="20"/>
          <w:color w:val="auto"/>
        </w:rPr>
      </w:pPr>
    </w:p>
    <w:p>
      <w:pPr>
        <w:ind w:right="20" w:firstLine="420"/>
        <w:spacing w:after="0" w:line="255"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and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inability to protect our confidential information and trade secrets would harm our business and competitive position.</w:t>
      </w:r>
    </w:p>
    <w:p>
      <w:pPr>
        <w:spacing w:after="0" w:line="114" w:lineRule="exact"/>
        <w:rPr>
          <w:sz w:val="20"/>
          <w:szCs w:val="20"/>
          <w:color w:val="auto"/>
        </w:rPr>
      </w:pPr>
    </w:p>
    <w:p>
      <w:pPr>
        <w:ind w:right="60" w:firstLine="420"/>
        <w:spacing w:after="0" w:line="289" w:lineRule="auto"/>
        <w:rPr>
          <w:sz w:val="20"/>
          <w:szCs w:val="20"/>
          <w:color w:val="auto"/>
        </w:rPr>
      </w:pPr>
      <w:r>
        <w:rPr>
          <w:rFonts w:ascii="Arial" w:cs="Arial" w:eastAsia="Arial" w:hAnsi="Arial"/>
          <w:sz w:val="15"/>
          <w:szCs w:val="15"/>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60"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b w:val="1"/>
          <w:bCs w:val="1"/>
          <w:color w:val="auto"/>
        </w:rPr>
        <w:t>If we do not obtain protection under the Hatch-Waxman Amendments and similar foreign legislation for extending the term of patents covering each of our product candidates, our business may be harmed.</w:t>
      </w:r>
    </w:p>
    <w:p>
      <w:pPr>
        <w:spacing w:after="0" w:line="60" w:lineRule="exact"/>
        <w:rPr>
          <w:sz w:val="20"/>
          <w:szCs w:val="20"/>
          <w:color w:val="auto"/>
        </w:rPr>
      </w:pPr>
    </w:p>
    <w:p>
      <w:pPr>
        <w:ind w:firstLine="420"/>
        <w:spacing w:after="0" w:line="253"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560"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market price of our stock has been and may continue to be volatile, and you could lose all or part of your investment.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trading price of our common stock may be highly volatile and subject to wide fluctuations in response to various factors, some of which we cannot control.</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factors discussed in this “Risk Factors” section and elsewhere in this report, these factors include:</w:t>
      </w:r>
    </w:p>
    <w:p>
      <w:pPr>
        <w:spacing w:after="0" w:line="98" w:lineRule="exact"/>
        <w:rPr>
          <w:sz w:val="20"/>
          <w:szCs w:val="20"/>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success of competitive products;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actions with respect to our products or our competitors’ products;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our competitors;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21" w:lineRule="exact"/>
        <w:rPr>
          <w:rFonts w:ascii="Arial" w:cs="Arial" w:eastAsia="Arial" w:hAnsi="Arial"/>
          <w:sz w:val="16"/>
          <w:szCs w:val="16"/>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results of preclinical studies and clinical trials of our product candidates or those of our competitors;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developments with respect to our existing collaboration agreements and announcements of new collaboration agreements;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results of our efforts to in-license or acquire additional product candidates or products;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 or expectation of additional financing efforts;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sales of our common stock by us, our insiders or our other stockholders;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market conditions in the biotechnology sector; and</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212" w:lineRule="exact"/>
        <w:rPr>
          <w:sz w:val="20"/>
          <w:szCs w:val="20"/>
          <w:color w:val="auto"/>
        </w:rPr>
      </w:pPr>
    </w:p>
    <w:p>
      <w:pPr>
        <w:ind w:right="120" w:firstLine="420"/>
        <w:spacing w:after="0" w:line="302" w:lineRule="auto"/>
        <w:rPr>
          <w:sz w:val="20"/>
          <w:szCs w:val="20"/>
          <w:color w:val="auto"/>
        </w:rPr>
      </w:pPr>
      <w:r>
        <w:rPr>
          <w:rFonts w:ascii="Arial" w:cs="Arial" w:eastAsia="Arial" w:hAnsi="Arial"/>
          <w:sz w:val="15"/>
          <w:szCs w:val="15"/>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broad discretion in the use of the net proceeds from our public offerings and may not use them effectively.</w:t>
      </w:r>
    </w:p>
    <w:p>
      <w:pPr>
        <w:spacing w:after="0" w:line="114" w:lineRule="exact"/>
        <w:rPr>
          <w:sz w:val="20"/>
          <w:szCs w:val="20"/>
          <w:color w:val="auto"/>
        </w:rPr>
      </w:pPr>
    </w:p>
    <w:p>
      <w:pPr>
        <w:ind w:firstLine="420"/>
        <w:spacing w:after="0" w:line="257" w:lineRule="auto"/>
        <w:rPr>
          <w:sz w:val="20"/>
          <w:szCs w:val="20"/>
          <w:color w:val="auto"/>
        </w:rPr>
      </w:pPr>
      <w:r>
        <w:rPr>
          <w:rFonts w:ascii="Arial" w:cs="Arial" w:eastAsia="Arial" w:hAnsi="Arial"/>
          <w:sz w:val="17"/>
          <w:szCs w:val="17"/>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80"/>
          </w:cols>
          <w:pgMar w:left="240" w:top="657" w:right="37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We may be subject to securities litigation, which is expensive and could divert management attention.</w:t>
      </w:r>
    </w:p>
    <w:p>
      <w:pPr>
        <w:spacing w:after="0" w:line="114" w:lineRule="exact"/>
        <w:rPr>
          <w:sz w:val="20"/>
          <w:szCs w:val="20"/>
          <w:color w:val="auto"/>
        </w:rPr>
      </w:pPr>
    </w:p>
    <w:p>
      <w:pPr>
        <w:jc w:val="both"/>
        <w:ind w:right="240" w:firstLine="420"/>
        <w:spacing w:after="0" w:line="261"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b w:val="1"/>
          <w:bCs w:val="1"/>
          <w:color w:val="auto"/>
        </w:rPr>
        <w:t>We are an emerging growth company, and we cannot be certain if the reduced reporting requirements applicable to emerging growth companies will make our common stock less attractive to investors.</w:t>
      </w:r>
    </w:p>
    <w:p>
      <w:pPr>
        <w:spacing w:after="0" w:line="60" w:lineRule="exact"/>
        <w:rPr>
          <w:sz w:val="20"/>
          <w:szCs w:val="20"/>
          <w:color w:val="auto"/>
        </w:rPr>
      </w:pPr>
    </w:p>
    <w:p>
      <w:pPr>
        <w:ind w:firstLine="420"/>
        <w:spacing w:after="0" w:line="293" w:lineRule="auto"/>
        <w:rPr>
          <w:sz w:val="20"/>
          <w:szCs w:val="20"/>
          <w:color w:val="auto"/>
        </w:rPr>
      </w:pPr>
      <w:r>
        <w:rPr>
          <w:rFonts w:ascii="Arial" w:cs="Arial" w:eastAsia="Arial" w:hAnsi="Arial"/>
          <w:sz w:val="15"/>
          <w:szCs w:val="15"/>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54" w:lineRule="exact"/>
        <w:rPr>
          <w:sz w:val="20"/>
          <w:szCs w:val="20"/>
          <w:color w:val="auto"/>
        </w:rPr>
      </w:pPr>
    </w:p>
    <w:p>
      <w:pPr>
        <w:ind w:right="20" w:firstLine="420"/>
        <w:spacing w:after="0" w:line="255"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are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83" w:lineRule="exact"/>
        <w:rPr>
          <w:sz w:val="20"/>
          <w:szCs w:val="20"/>
          <w:color w:val="auto"/>
        </w:rPr>
      </w:pPr>
    </w:p>
    <w:p>
      <w:pPr>
        <w:jc w:val="both"/>
        <w:ind w:right="200" w:firstLine="420"/>
        <w:spacing w:after="0" w:line="257" w:lineRule="auto"/>
        <w:rPr>
          <w:sz w:val="20"/>
          <w:szCs w:val="20"/>
          <w:color w:val="auto"/>
        </w:rPr>
      </w:pPr>
      <w:r>
        <w:rPr>
          <w:rFonts w:ascii="Arial" w:cs="Arial" w:eastAsia="Arial" w:hAnsi="Arial"/>
          <w:sz w:val="17"/>
          <w:szCs w:val="17"/>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180" w:lineRule="exact"/>
        <w:rPr>
          <w:sz w:val="20"/>
          <w:szCs w:val="20"/>
          <w:color w:val="auto"/>
        </w:rPr>
      </w:pPr>
    </w:p>
    <w:p>
      <w:pPr>
        <w:ind w:right="660" w:firstLine="420"/>
        <w:spacing w:after="0" w:line="274" w:lineRule="auto"/>
        <w:rPr>
          <w:sz w:val="20"/>
          <w:szCs w:val="20"/>
          <w:color w:val="auto"/>
        </w:rPr>
      </w:pPr>
      <w:r>
        <w:rPr>
          <w:rFonts w:ascii="Arial" w:cs="Arial" w:eastAsia="Arial" w:hAnsi="Arial"/>
          <w:sz w:val="17"/>
          <w:szCs w:val="17"/>
          <w:color w:val="auto"/>
        </w:rPr>
        <w:t>We will not be an emerging growth company in fiscal year 2018, and will need to comply with the auditor attestation requirements of Section 404 of the Sarbanes-Oxley Act.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incur increased costs and devote substantial management time as a result of operating as a public company.</w:t>
      </w:r>
    </w:p>
    <w:p>
      <w:pPr>
        <w:spacing w:after="0" w:line="216" w:lineRule="exact"/>
        <w:rPr>
          <w:sz w:val="20"/>
          <w:szCs w:val="20"/>
          <w:color w:val="auto"/>
        </w:rPr>
      </w:pPr>
    </w:p>
    <w:p>
      <w:pPr>
        <w:ind w:right="20" w:firstLine="420"/>
        <w:spacing w:after="0" w:line="270"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and these expenses have increased and will continue to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173" w:lineRule="exact"/>
        <w:rPr>
          <w:sz w:val="20"/>
          <w:szCs w:val="20"/>
          <w:color w:val="auto"/>
        </w:rPr>
      </w:pPr>
    </w:p>
    <w:p>
      <w:pPr>
        <w:ind w:right="80" w:firstLine="420"/>
        <w:spacing w:after="0" w:line="272" w:lineRule="auto"/>
        <w:rPr>
          <w:sz w:val="20"/>
          <w:szCs w:val="20"/>
          <w:color w:val="auto"/>
        </w:rPr>
      </w:pPr>
      <w:r>
        <w:rPr>
          <w:rFonts w:ascii="Arial" w:cs="Arial" w:eastAsia="Arial" w:hAnsi="Arial"/>
          <w:sz w:val="16"/>
          <w:szCs w:val="16"/>
          <w:color w:val="auto"/>
        </w:rPr>
        <w:t>In addition, as a public company we incur additional costs and obligations in order to comply with SEC rules that implement Section 404 of the Sarbanes-Oxley Act. Under these rules, beginning with our annual report for the year ending December 31, 2017, we were required to make a formal assessment of the effectiveness of our internal control over financial reporting, and as we have ceased to be an emerging growth company for fiscal 2018, we will be required to include an attestation report on internal control over financial reporting issued by our independent registered public accounting firm. To achieve compliance with Section 404 within the prescribed period, we engaged in a process to document and evaluate our internal control over financial reporting, which is both costly and challenging. In this regard, we have dedicated and will need to continue to dedicate internal resources, engage outside consultants and adopt a detailed work plan to assess and document the adequacy of our internal control over financial reporting, continue steps to improve control processes as appropriate,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657" w:right="239" w:bottom="1440" w:gutter="0" w:footer="0" w:header="0"/>
        </w:sectPr>
      </w:pPr>
    </w:p>
    <w:bookmarkStart w:id="60" w:name="page61"/>
    <w:bookmarkEnd w:id="60"/>
    <w:p>
      <w:pPr>
        <w:ind w:right="140"/>
        <w:spacing w:after="0" w:line="274" w:lineRule="auto"/>
        <w:rPr>
          <w:sz w:val="20"/>
          <w:szCs w:val="20"/>
          <w:color w:val="auto"/>
        </w:rPr>
      </w:pPr>
      <w:r>
        <w:rPr>
          <w:rFonts w:ascii="Arial" w:cs="Arial" w:eastAsia="Arial" w:hAnsi="Arial"/>
          <w:sz w:val="17"/>
          <w:szCs w:val="17"/>
          <w:color w:val="auto"/>
        </w:rPr>
        <w:t>validate through testing that controls are designed and operating effectively, and implement a continuous reporting and improvement process for internal control over financial reporting.</w:t>
      </w:r>
    </w:p>
    <w:p>
      <w:pPr>
        <w:spacing w:after="0" w:line="262" w:lineRule="exact"/>
        <w:rPr>
          <w:sz w:val="20"/>
          <w:szCs w:val="20"/>
          <w:color w:val="auto"/>
        </w:rPr>
      </w:pPr>
    </w:p>
    <w:p>
      <w:pPr>
        <w:ind w:right="580"/>
        <w:spacing w:after="0" w:line="278" w:lineRule="auto"/>
        <w:rPr>
          <w:sz w:val="20"/>
          <w:szCs w:val="20"/>
          <w:color w:val="auto"/>
        </w:rPr>
      </w:pPr>
      <w:r>
        <w:rPr>
          <w:rFonts w:ascii="Arial" w:cs="Arial" w:eastAsia="Arial" w:hAnsi="Arial"/>
          <w:sz w:val="17"/>
          <w:szCs w:val="17"/>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0" w:lineRule="exact"/>
        <w:rPr>
          <w:sz w:val="20"/>
          <w:szCs w:val="20"/>
          <w:color w:val="auto"/>
        </w:rPr>
      </w:pPr>
    </w:p>
    <w:p>
      <w:pPr>
        <w:ind w:firstLine="420"/>
        <w:spacing w:after="0" w:line="271"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disclosure controls and procedures may not prevent or detect all errors or acts of fraud.</w:t>
      </w:r>
    </w:p>
    <w:p>
      <w:pPr>
        <w:spacing w:after="0" w:line="114" w:lineRule="exact"/>
        <w:rPr>
          <w:sz w:val="20"/>
          <w:szCs w:val="20"/>
          <w:color w:val="auto"/>
        </w:rPr>
      </w:pPr>
    </w:p>
    <w:p>
      <w:pPr>
        <w:ind w:right="40" w:firstLine="420"/>
        <w:spacing w:after="0" w:line="255" w:lineRule="auto"/>
        <w:rPr>
          <w:sz w:val="20"/>
          <w:szCs w:val="20"/>
          <w:color w:val="auto"/>
        </w:rPr>
      </w:pPr>
      <w:r>
        <w:rPr>
          <w:rFonts w:ascii="Arial" w:cs="Arial" w:eastAsia="Arial" w:hAnsi="Arial"/>
          <w:sz w:val="17"/>
          <w:szCs w:val="17"/>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ind w:right="140" w:firstLine="420"/>
        <w:spacing w:after="0" w:line="312" w:lineRule="auto"/>
        <w:rPr>
          <w:sz w:val="20"/>
          <w:szCs w:val="20"/>
          <w:color w:val="auto"/>
        </w:rPr>
      </w:pPr>
      <w:r>
        <w:rPr>
          <w:rFonts w:ascii="Arial" w:cs="Arial" w:eastAsia="Arial" w:hAnsi="Arial"/>
          <w:sz w:val="15"/>
          <w:szCs w:val="15"/>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do not intend to pay dividends on our common stock so any returns will be limited to the value of our stock.</w:t>
      </w:r>
    </w:p>
    <w:p>
      <w:pPr>
        <w:spacing w:after="0" w:line="114" w:lineRule="exact"/>
        <w:rPr>
          <w:sz w:val="20"/>
          <w:szCs w:val="20"/>
          <w:color w:val="auto"/>
        </w:rPr>
      </w:pPr>
    </w:p>
    <w:p>
      <w:pPr>
        <w:jc w:val="both"/>
        <w:ind w:right="520" w:firstLine="420"/>
        <w:spacing w:after="0" w:line="261" w:lineRule="auto"/>
        <w:rPr>
          <w:sz w:val="20"/>
          <w:szCs w:val="20"/>
          <w:color w:val="auto"/>
        </w:rPr>
      </w:pPr>
      <w:r>
        <w:rPr>
          <w:rFonts w:ascii="Arial" w:cs="Arial" w:eastAsia="Arial" w:hAnsi="Arial"/>
          <w:sz w:val="17"/>
          <w:szCs w:val="17"/>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74"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60" w:lineRule="exact"/>
        <w:rPr>
          <w:sz w:val="20"/>
          <w:szCs w:val="20"/>
          <w:color w:val="auto"/>
        </w:rPr>
      </w:pPr>
    </w:p>
    <w:p>
      <w:pPr>
        <w:ind w:right="20" w:firstLine="420"/>
        <w:spacing w:after="0" w:line="261" w:lineRule="auto"/>
        <w:rPr>
          <w:sz w:val="20"/>
          <w:szCs w:val="20"/>
          <w:color w:val="auto"/>
        </w:rPr>
      </w:pPr>
      <w:r>
        <w:rPr>
          <w:rFonts w:ascii="Arial" w:cs="Arial" w:eastAsia="Arial" w:hAnsi="Arial"/>
          <w:sz w:val="17"/>
          <w:szCs w:val="17"/>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5" w:lineRule="exact"/>
        <w:rPr>
          <w:sz w:val="20"/>
          <w:szCs w:val="20"/>
          <w:color w:val="auto"/>
        </w:rPr>
      </w:pPr>
    </w:p>
    <w:p>
      <w:pPr>
        <w:ind w:left="820" w:hanging="411"/>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establish a classified board of directors so that not all members of our board are elected at one time;</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permit only the board of directors to establish the number of directors and fill vacancies on the board;</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provide that directors may only be removed “for cause” and only with the approval of two-thirds of our stockholders;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restated certificate of incorporation and restated bylaws;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authorize the issuance of “blank check” preferred stock that our board could use to implement a stockholder rights plan (also known as a “poison pill”);</w:t>
      </w:r>
    </w:p>
    <w:p>
      <w:pPr>
        <w:spacing w:after="0" w:line="132" w:lineRule="exact"/>
        <w:rPr>
          <w:rFonts w:ascii="Arial" w:cs="Arial" w:eastAsia="Arial" w:hAnsi="Arial"/>
          <w:sz w:val="15"/>
          <w:szCs w:val="15"/>
          <w:color w:val="auto"/>
        </w:rPr>
      </w:pPr>
    </w:p>
    <w:p>
      <w:pPr>
        <w:ind w:left="820" w:hanging="411"/>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eliminate the ability of our stockholders to call special meetings of stockholders;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360"/>
          </w:cols>
          <w:pgMar w:left="240" w:top="560" w:right="299" w:bottom="1440" w:gutter="0" w:footer="0" w:header="0"/>
        </w:sectPr>
      </w:pPr>
    </w:p>
    <w:bookmarkStart w:id="61" w:name="page62"/>
    <w:bookmarkEnd w:id="61"/>
    <w:p>
      <w:pPr>
        <w:ind w:left="820" w:hanging="411"/>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09" w:lineRule="exact"/>
        <w:rPr>
          <w:rFonts w:ascii="Arial" w:cs="Arial" w:eastAsia="Arial" w:hAnsi="Arial"/>
          <w:sz w:val="17"/>
          <w:szCs w:val="17"/>
          <w:color w:val="auto"/>
        </w:rPr>
      </w:pPr>
    </w:p>
    <w:p>
      <w:pPr>
        <w:ind w:left="820" w:hanging="411"/>
        <w:spacing w:after="0"/>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prohibit cumulative voting; and</w:t>
      </w:r>
    </w:p>
    <w:p>
      <w:pPr>
        <w:spacing w:after="0" w:line="109" w:lineRule="exact"/>
        <w:rPr>
          <w:rFonts w:ascii="Arial" w:cs="Arial" w:eastAsia="Arial" w:hAnsi="Arial"/>
          <w:sz w:val="17"/>
          <w:szCs w:val="17"/>
          <w:color w:val="auto"/>
        </w:rPr>
      </w:pPr>
    </w:p>
    <w:p>
      <w:pPr>
        <w:ind w:left="820" w:right="180" w:hanging="411"/>
        <w:spacing w:after="0" w:line="274" w:lineRule="auto"/>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or for proposing matters that can be acted upon by stockholders at annual stockholder meetings.</w:t>
      </w:r>
    </w:p>
    <w:p>
      <w:pPr>
        <w:spacing w:after="0" w:line="164" w:lineRule="exact"/>
        <w:rPr>
          <w:sz w:val="20"/>
          <w:szCs w:val="20"/>
          <w:color w:val="auto"/>
        </w:rPr>
      </w:pPr>
    </w:p>
    <w:p>
      <w:pPr>
        <w:ind w:right="240" w:firstLine="420"/>
        <w:spacing w:after="0" w:line="306"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3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60" w:lineRule="exact"/>
        <w:rPr>
          <w:sz w:val="20"/>
          <w:szCs w:val="20"/>
          <w:color w:val="auto"/>
        </w:rPr>
      </w:pPr>
    </w:p>
    <w:p>
      <w:pPr>
        <w:ind w:right="80" w:firstLine="420"/>
        <w:spacing w:after="0" w:line="302" w:lineRule="auto"/>
        <w:rPr>
          <w:sz w:val="20"/>
          <w:szCs w:val="20"/>
          <w:color w:val="auto"/>
        </w:rPr>
      </w:pPr>
      <w:r>
        <w:rPr>
          <w:rFonts w:ascii="Arial" w:cs="Arial" w:eastAsia="Arial" w:hAnsi="Arial"/>
          <w:sz w:val="15"/>
          <w:szCs w:val="15"/>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44"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71" w:lineRule="exact"/>
        <w:rPr>
          <w:sz w:val="20"/>
          <w:szCs w:val="20"/>
          <w:color w:val="auto"/>
        </w:rPr>
      </w:pPr>
    </w:p>
    <w:p>
      <w:pPr>
        <w:ind w:firstLine="420"/>
        <w:spacing w:after="0" w:line="289" w:lineRule="auto"/>
        <w:rPr>
          <w:sz w:val="20"/>
          <w:szCs w:val="20"/>
          <w:color w:val="auto"/>
        </w:rPr>
      </w:pPr>
      <w:r>
        <w:rPr>
          <w:rFonts w:ascii="Arial" w:cs="Arial" w:eastAsia="Arial" w:hAnsi="Arial"/>
          <w:sz w:val="15"/>
          <w:szCs w:val="15"/>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2016, noting no ownership changes during fiscal 2015 or fiscal 2016.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60" w:lineRule="exact"/>
        <w:rPr>
          <w:sz w:val="20"/>
          <w:szCs w:val="20"/>
          <w:color w:val="auto"/>
        </w:rPr>
      </w:pPr>
    </w:p>
    <w:p>
      <w:pPr>
        <w:ind w:right="80" w:firstLine="458"/>
        <w:spacing w:after="0" w:line="270" w:lineRule="auto"/>
        <w:rPr>
          <w:sz w:val="20"/>
          <w:szCs w:val="20"/>
          <w:color w:val="auto"/>
        </w:rPr>
      </w:pPr>
      <w:r>
        <w:rPr>
          <w:rFonts w:ascii="Arial" w:cs="Arial" w:eastAsia="Arial" w:hAnsi="Arial"/>
          <w:sz w:val="16"/>
          <w:szCs w:val="16"/>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 based compensation. We may be subject to these limitations as provided for under Section 162(m) of the Internal Revenue Code in the future. The Tax Reform Act also limits the amount taxpayers are able to deduct for federal net operating loss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2017, we have approximately $60.1 million of federal NOLs that were generated prior to 2018 which expire beginning December 31, 2028 through December 31, 2037, if not used to reduce income taxes payable in the future. Federal NOLs generated by us subsequent to 2017 may only offset 80% of taxable income.</w:t>
      </w:r>
    </w:p>
    <w:p>
      <w:pPr>
        <w:spacing w:after="0" w:line="67" w:lineRule="exact"/>
        <w:rPr>
          <w:sz w:val="20"/>
          <w:szCs w:val="20"/>
          <w:color w:val="auto"/>
        </w:rPr>
      </w:pPr>
    </w:p>
    <w:p>
      <w:pPr>
        <w:ind w:right="20" w:firstLine="458"/>
        <w:spacing w:after="0" w:line="273" w:lineRule="auto"/>
        <w:rPr>
          <w:sz w:val="20"/>
          <w:szCs w:val="20"/>
          <w:color w:val="auto"/>
        </w:rPr>
      </w:pPr>
      <w:r>
        <w:rPr>
          <w:rFonts w:ascii="Arial" w:cs="Arial" w:eastAsia="Arial" w:hAnsi="Arial"/>
          <w:sz w:val="16"/>
          <w:szCs w:val="16"/>
          <w:color w:val="auto"/>
        </w:rPr>
        <w:t>The SEC staff issued Staff Accounting Bulletin No. 118, or “SAB 118” to address the application of U.S. GAAP in situations when a registrant does not have the necessary information available, prepared or analyzed (including computations) in reasonable detail to complete the accounting for certain income tax effects of the Tax Reform Act. We have recognized provision tax impacts related to the revaluation of deferred tax assets and liabilities and included this amount in its consolidated financial statements for the year ended December 31, 2017. The ultimate impact may differ from these provision amounts, due to, among other things, additional analysis, changes in interpretations and assumptions we have made, additional regulatory guidance that may be issued, and actions we may take as a result of the Tax Reform Act. The accounting is expected to be complete when the 2017 U.S. corporate income tax return is filed in 2018.</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458"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114" w:lineRule="exact"/>
        <w:rPr>
          <w:sz w:val="20"/>
          <w:szCs w:val="20"/>
          <w:color w:val="auto"/>
        </w:rPr>
      </w:pPr>
    </w:p>
    <w:p>
      <w:pPr>
        <w:ind w:firstLine="420"/>
        <w:spacing w:after="0" w:line="279" w:lineRule="auto"/>
        <w:rPr>
          <w:sz w:val="20"/>
          <w:szCs w:val="20"/>
          <w:color w:val="auto"/>
        </w:rPr>
      </w:pPr>
      <w:r>
        <w:rPr>
          <w:rFonts w:ascii="Arial" w:cs="Arial" w:eastAsia="Arial" w:hAnsi="Arial"/>
          <w:sz w:val="16"/>
          <w:szCs w:val="16"/>
          <w:color w:val="auto"/>
        </w:rPr>
        <w:t>On January 25, 2017, our Registration Statement on Form S-1 (File No. 333-206849) relating to the IPO of our common stock was declared effective by the SEC. Pursuant to such Registration Statement, we sold an aggregate of 5,750,000 shares of our common stock at a price of $15.00 per share. Credit Suisse Securities (USA) LLC, Stifel, Nicolaus &amp; Company, Incorporated, JMP Securities LLC and Wedbush Securities Inc. acted as underwriters. On January 31, 2017, we closed the sale of such shares, resulting in aggregate cash proceeds to us of approximately $80.2 million, net of underwriting discounts and commissions.</w:t>
      </w:r>
    </w:p>
    <w:p>
      <w:pPr>
        <w:spacing w:after="0" w:line="162" w:lineRule="exact"/>
        <w:rPr>
          <w:sz w:val="20"/>
          <w:szCs w:val="20"/>
          <w:color w:val="auto"/>
        </w:rPr>
      </w:pPr>
    </w:p>
    <w:p>
      <w:pPr>
        <w:ind w:right="180" w:firstLine="420"/>
        <w:spacing w:after="0" w:line="274" w:lineRule="auto"/>
        <w:rPr>
          <w:sz w:val="20"/>
          <w:szCs w:val="20"/>
          <w:color w:val="auto"/>
        </w:rPr>
      </w:pPr>
      <w:r>
        <w:rPr>
          <w:rFonts w:ascii="Arial" w:cs="Arial" w:eastAsia="Arial" w:hAnsi="Arial"/>
          <w:sz w:val="17"/>
          <w:szCs w:val="17"/>
          <w:color w:val="auto"/>
        </w:rPr>
        <w:t>There has been no material change in the expected use of the net proceeds from our IPO, as described in our final prospectus filed with the SEC on January 26, 2017 pursuant to Rule 424(b) under the Securities Act of 1933, as amended.</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exhibits filed or furnished as part of this Quarterly Report on Form 10-Q are set forth on the Exhibit Index, below.</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00"/>
          </w:cols>
          <w:pgMar w:left="240" w:top="657" w:right="2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9"/>
        </w:trPr>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500" w:type="dxa"/>
            <w:vAlign w:val="bottom"/>
            <w:gridSpan w:val="4"/>
          </w:tcPr>
          <w:p>
            <w:pPr>
              <w:ind w:left="2240"/>
              <w:spacing w:after="0"/>
              <w:rPr>
                <w:sz w:val="20"/>
                <w:szCs w:val="20"/>
                <w:color w:val="auto"/>
              </w:rPr>
            </w:pPr>
            <w:r>
              <w:rPr>
                <w:rFonts w:ascii="Arial" w:cs="Arial" w:eastAsia="Arial" w:hAnsi="Arial"/>
                <w:sz w:val="17"/>
                <w:szCs w:val="17"/>
                <w:b w:val="1"/>
                <w:bCs w:val="1"/>
                <w:color w:val="auto"/>
              </w:rPr>
              <w:t>EXHIBIT INDEX</w:t>
            </w:r>
          </w:p>
        </w:tc>
      </w:tr>
      <w:tr>
        <w:trPr>
          <w:trHeight w:val="332"/>
        </w:trPr>
        <w:tc>
          <w:tcPr>
            <w:tcW w:w="1140" w:type="dxa"/>
            <w:vAlign w:val="bottom"/>
            <w:gridSpan w:val="8"/>
          </w:tcPr>
          <w:p>
            <w:pPr>
              <w:ind w:left="260"/>
              <w:spacing w:after="0"/>
              <w:rPr>
                <w:sz w:val="20"/>
                <w:szCs w:val="20"/>
                <w:color w:val="auto"/>
              </w:rPr>
            </w:pPr>
            <w:r>
              <w:rPr>
                <w:rFonts w:ascii="Arial" w:cs="Arial" w:eastAsia="Arial" w:hAnsi="Arial"/>
                <w:sz w:val="15"/>
                <w:szCs w:val="15"/>
                <w:b w:val="1"/>
                <w:bCs w:val="1"/>
                <w:color w:val="auto"/>
              </w:rPr>
              <w:t>Exhibit</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8"/>
        </w:trPr>
        <w:tc>
          <w:tcPr>
            <w:tcW w:w="1140" w:type="dxa"/>
            <w:vAlign w:val="bottom"/>
            <w:gridSpan w:val="8"/>
          </w:tcPr>
          <w:p>
            <w:pPr>
              <w:ind w:left="240"/>
              <w:spacing w:after="0"/>
              <w:rPr>
                <w:sz w:val="20"/>
                <w:szCs w:val="20"/>
                <w:color w:val="auto"/>
              </w:rPr>
            </w:pPr>
            <w:r>
              <w:rPr>
                <w:rFonts w:ascii="Arial" w:cs="Arial" w:eastAsia="Arial" w:hAnsi="Arial"/>
                <w:sz w:val="15"/>
                <w:szCs w:val="15"/>
                <w:b w:val="1"/>
                <w:bCs w:val="1"/>
                <w:color w:val="auto"/>
              </w:rPr>
              <w:t>Number</w:t>
            </w: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00" w:type="dxa"/>
            <w:vAlign w:val="bottom"/>
            <w:gridSpan w:val="4"/>
          </w:tcPr>
          <w:p>
            <w:pPr>
              <w:ind w:left="2780"/>
              <w:spacing w:after="0"/>
              <w:rPr>
                <w:sz w:val="20"/>
                <w:szCs w:val="20"/>
                <w:color w:val="auto"/>
              </w:rPr>
            </w:pPr>
            <w:r>
              <w:rPr>
                <w:rFonts w:ascii="Arial" w:cs="Arial" w:eastAsia="Arial" w:hAnsi="Arial"/>
                <w:sz w:val="15"/>
                <w:szCs w:val="15"/>
                <w:b w:val="1"/>
                <w:bCs w:val="1"/>
                <w:color w:val="auto"/>
              </w:rPr>
              <w:t>Exhibit Description</w:t>
            </w:r>
          </w:p>
        </w:tc>
      </w:tr>
      <w:tr>
        <w:trPr>
          <w:trHeight w:val="107"/>
        </w:trPr>
        <w:tc>
          <w:tcPr>
            <w:tcW w:w="3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171"/>
        </w:trPr>
        <w:tc>
          <w:tcPr>
            <w:tcW w:w="420" w:type="dxa"/>
            <w:vAlign w:val="bottom"/>
            <w:gridSpan w:val="3"/>
          </w:tcPr>
          <w:p>
            <w:pPr>
              <w:spacing w:after="0"/>
              <w:rPr>
                <w:sz w:val="14"/>
                <w:szCs w:val="14"/>
                <w:color w:val="auto"/>
              </w:rPr>
            </w:pPr>
          </w:p>
        </w:tc>
        <w:tc>
          <w:tcPr>
            <w:tcW w:w="200" w:type="dxa"/>
            <w:vAlign w:val="bottom"/>
          </w:tcPr>
          <w:p>
            <w:pPr>
              <w:jc w:val="center"/>
              <w:spacing w:after="0" w:line="171" w:lineRule="exact"/>
              <w:rPr>
                <w:rFonts w:ascii="Arial" w:cs="Arial" w:eastAsia="Arial" w:hAnsi="Arial"/>
                <w:sz w:val="15"/>
                <w:szCs w:val="15"/>
                <w:color w:val="0000FF"/>
                <w:w w:val="95"/>
              </w:rPr>
            </w:pPr>
            <w:hyperlink w:anchor="page66">
              <w:r>
                <w:rPr>
                  <w:rFonts w:ascii="Arial" w:cs="Arial" w:eastAsia="Arial" w:hAnsi="Arial"/>
                  <w:sz w:val="15"/>
                  <w:szCs w:val="15"/>
                  <w:color w:val="0000FF"/>
                  <w:w w:val="95"/>
                </w:rPr>
                <w:t>4.</w:t>
              </w:r>
              <w:r>
                <w:rPr>
                  <w:rFonts w:ascii="Arial" w:cs="Arial" w:eastAsia="Arial" w:hAnsi="Arial"/>
                  <w:sz w:val="15"/>
                  <w:szCs w:val="15"/>
                  <w:u w:val="single" w:color="auto"/>
                  <w:color w:val="0000FF"/>
                  <w:w w:val="95"/>
                </w:rPr>
                <w:t>1</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80" w:type="dxa"/>
            <w:vAlign w:val="bottom"/>
            <w:gridSpan w:val="7"/>
          </w:tcPr>
          <w:p>
            <w:pPr>
              <w:ind w:left="40"/>
              <w:spacing w:after="0" w:line="171" w:lineRule="exact"/>
              <w:rPr>
                <w:rFonts w:ascii="Arial" w:cs="Arial" w:eastAsia="Arial" w:hAnsi="Arial"/>
                <w:sz w:val="15"/>
                <w:szCs w:val="15"/>
                <w:color w:val="0000FF"/>
              </w:rPr>
            </w:pPr>
            <w:hyperlink w:anchor="page66">
              <w:r>
                <w:rPr>
                  <w:rFonts w:ascii="Arial" w:cs="Arial" w:eastAsia="Arial" w:hAnsi="Arial"/>
                  <w:sz w:val="15"/>
                  <w:szCs w:val="15"/>
                  <w:color w:val="0000FF"/>
                </w:rPr>
                <w:t>Investor Rights Agreement</w:t>
              </w:r>
            </w:hyperlink>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98"/>
        </w:trPr>
        <w:tc>
          <w:tcPr>
            <w:tcW w:w="380" w:type="dxa"/>
            <w:vAlign w:val="bottom"/>
            <w:gridSpan w:val="2"/>
          </w:tcPr>
          <w:p>
            <w:pPr>
              <w:spacing w:after="0"/>
              <w:rPr>
                <w:sz w:val="24"/>
                <w:szCs w:val="24"/>
                <w:color w:val="auto"/>
              </w:rPr>
            </w:pPr>
          </w:p>
        </w:tc>
        <w:tc>
          <w:tcPr>
            <w:tcW w:w="280" w:type="dxa"/>
            <w:vAlign w:val="bottom"/>
            <w:gridSpan w:val="3"/>
          </w:tcPr>
          <w:p>
            <w:pPr>
              <w:jc w:val="center"/>
              <w:spacing w:after="0"/>
              <w:rPr>
                <w:rFonts w:ascii="Arial" w:cs="Arial" w:eastAsia="Arial" w:hAnsi="Arial"/>
                <w:sz w:val="15"/>
                <w:szCs w:val="15"/>
                <w:color w:val="0000FF"/>
                <w:w w:val="95"/>
              </w:rPr>
            </w:pPr>
            <w:hyperlink w:anchor="page72">
              <w:r>
                <w:rPr>
                  <w:rFonts w:ascii="Arial" w:cs="Arial" w:eastAsia="Arial" w:hAnsi="Arial"/>
                  <w:sz w:val="15"/>
                  <w:szCs w:val="15"/>
                  <w:color w:val="0000FF"/>
                  <w:w w:val="95"/>
                </w:rPr>
                <w:t>10.</w:t>
              </w:r>
              <w:r>
                <w:rPr>
                  <w:rFonts w:ascii="Arial" w:cs="Arial" w:eastAsia="Arial" w:hAnsi="Arial"/>
                  <w:sz w:val="15"/>
                  <w:szCs w:val="15"/>
                  <w:u w:val="single" w:color="auto"/>
                  <w:color w:val="0000FF"/>
                  <w:w w:val="95"/>
                </w:rPr>
                <w:t>1</w:t>
              </w:r>
            </w:hyperlink>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7"/>
          </w:tcPr>
          <w:p>
            <w:pPr>
              <w:ind w:left="40"/>
              <w:spacing w:after="0"/>
              <w:rPr>
                <w:rFonts w:ascii="Arial" w:cs="Arial" w:eastAsia="Arial" w:hAnsi="Arial"/>
                <w:sz w:val="15"/>
                <w:szCs w:val="15"/>
                <w:color w:val="0000FF"/>
              </w:rPr>
            </w:pPr>
            <w:hyperlink w:anchor="page72">
              <w:r>
                <w:rPr>
                  <w:rFonts w:ascii="Arial" w:cs="Arial" w:eastAsia="Arial" w:hAnsi="Arial"/>
                  <w:sz w:val="15"/>
                  <w:szCs w:val="15"/>
                  <w:color w:val="0000FF"/>
                </w:rPr>
                <w:t>Sub-lease Agreement</w:t>
              </w:r>
            </w:hyperlink>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98"/>
        </w:trPr>
        <w:tc>
          <w:tcPr>
            <w:tcW w:w="380" w:type="dxa"/>
            <w:vAlign w:val="bottom"/>
            <w:gridSpan w:val="2"/>
          </w:tcPr>
          <w:p>
            <w:pPr>
              <w:spacing w:after="0"/>
              <w:rPr>
                <w:sz w:val="24"/>
                <w:szCs w:val="24"/>
                <w:color w:val="auto"/>
              </w:rPr>
            </w:pPr>
          </w:p>
        </w:tc>
        <w:tc>
          <w:tcPr>
            <w:tcW w:w="280" w:type="dxa"/>
            <w:vAlign w:val="bottom"/>
            <w:gridSpan w:val="3"/>
          </w:tcPr>
          <w:p>
            <w:pPr>
              <w:jc w:val="center"/>
              <w:spacing w:after="0"/>
              <w:rPr>
                <w:rFonts w:ascii="Arial" w:cs="Arial" w:eastAsia="Arial" w:hAnsi="Arial"/>
                <w:sz w:val="15"/>
                <w:szCs w:val="15"/>
                <w:color w:val="0000FF"/>
                <w:w w:val="95"/>
              </w:rPr>
            </w:pPr>
            <w:hyperlink w:anchor="page90">
              <w:r>
                <w:rPr>
                  <w:rFonts w:ascii="Arial" w:cs="Arial" w:eastAsia="Arial" w:hAnsi="Arial"/>
                  <w:sz w:val="15"/>
                  <w:szCs w:val="15"/>
                  <w:color w:val="0000FF"/>
                  <w:w w:val="95"/>
                </w:rPr>
                <w:t>31.</w:t>
              </w:r>
              <w:r>
                <w:rPr>
                  <w:rFonts w:ascii="Arial" w:cs="Arial" w:eastAsia="Arial" w:hAnsi="Arial"/>
                  <w:sz w:val="15"/>
                  <w:szCs w:val="15"/>
                  <w:u w:val="single" w:color="auto"/>
                  <w:color w:val="0000FF"/>
                  <w:w w:val="95"/>
                </w:rPr>
                <w:t>1</w:t>
              </w:r>
            </w:hyperlink>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7"/>
          </w:tcPr>
          <w:p>
            <w:pPr>
              <w:ind w:left="40"/>
              <w:spacing w:after="0"/>
              <w:rPr>
                <w:rFonts w:ascii="Arial" w:cs="Arial" w:eastAsia="Arial" w:hAnsi="Arial"/>
                <w:sz w:val="15"/>
                <w:szCs w:val="15"/>
                <w:color w:val="0000FF"/>
                <w:w w:val="99"/>
              </w:rPr>
            </w:pPr>
            <w:hyperlink w:anchor="page90">
              <w:r>
                <w:rPr>
                  <w:rFonts w:ascii="Arial" w:cs="Arial" w:eastAsia="Arial" w:hAnsi="Arial"/>
                  <w:sz w:val="15"/>
                  <w:szCs w:val="15"/>
                  <w:color w:val="0000FF"/>
                  <w:w w:val="99"/>
                </w:rPr>
                <w:t>Certification of Principal Executive Officer, pursuant to Rule 13a-14(a)/15d-14(a), as adopted pursuant to Section 302 of the Sarbanes-Oxley Act of 2002.</w:t>
              </w:r>
            </w:hyperlink>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4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98"/>
        </w:trPr>
        <w:tc>
          <w:tcPr>
            <w:tcW w:w="380" w:type="dxa"/>
            <w:vAlign w:val="bottom"/>
            <w:gridSpan w:val="2"/>
          </w:tcPr>
          <w:p>
            <w:pPr>
              <w:spacing w:after="0"/>
              <w:rPr>
                <w:sz w:val="24"/>
                <w:szCs w:val="24"/>
                <w:color w:val="auto"/>
              </w:rPr>
            </w:pPr>
          </w:p>
        </w:tc>
        <w:tc>
          <w:tcPr>
            <w:tcW w:w="280" w:type="dxa"/>
            <w:vAlign w:val="bottom"/>
            <w:gridSpan w:val="3"/>
          </w:tcPr>
          <w:p>
            <w:pPr>
              <w:jc w:val="center"/>
              <w:spacing w:after="0"/>
              <w:rPr>
                <w:rFonts w:ascii="Arial" w:cs="Arial" w:eastAsia="Arial" w:hAnsi="Arial"/>
                <w:sz w:val="15"/>
                <w:szCs w:val="15"/>
                <w:color w:val="0000FF"/>
                <w:w w:val="95"/>
              </w:rPr>
            </w:pPr>
            <w:hyperlink w:anchor="page91">
              <w:r>
                <w:rPr>
                  <w:rFonts w:ascii="Arial" w:cs="Arial" w:eastAsia="Arial" w:hAnsi="Arial"/>
                  <w:sz w:val="15"/>
                  <w:szCs w:val="15"/>
                  <w:color w:val="0000FF"/>
                  <w:w w:val="95"/>
                </w:rPr>
                <w:t>31.</w:t>
              </w:r>
              <w:r>
                <w:rPr>
                  <w:rFonts w:ascii="Arial" w:cs="Arial" w:eastAsia="Arial" w:hAnsi="Arial"/>
                  <w:sz w:val="15"/>
                  <w:szCs w:val="15"/>
                  <w:u w:val="single" w:color="auto"/>
                  <w:color w:val="0000FF"/>
                  <w:w w:val="95"/>
                </w:rPr>
                <w:t>2</w:t>
              </w:r>
            </w:hyperlink>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7"/>
          </w:tcPr>
          <w:p>
            <w:pPr>
              <w:ind w:left="40"/>
              <w:spacing w:after="0"/>
              <w:rPr>
                <w:rFonts w:ascii="Arial" w:cs="Arial" w:eastAsia="Arial" w:hAnsi="Arial"/>
                <w:sz w:val="15"/>
                <w:szCs w:val="15"/>
                <w:color w:val="0000FF"/>
              </w:rPr>
            </w:pPr>
            <w:hyperlink w:anchor="page91">
              <w:r>
                <w:rPr>
                  <w:rFonts w:ascii="Arial" w:cs="Arial" w:eastAsia="Arial" w:hAnsi="Arial"/>
                  <w:sz w:val="15"/>
                  <w:szCs w:val="15"/>
                  <w:color w:val="0000FF"/>
                </w:rPr>
                <w:t>Certification of Principal Financial Officer, pursuant to Rule 13a-14(a)/15d-14(a), as adopted pursuant to Section 302 of the Sarbanes-Oxley Act of 2002</w:t>
              </w:r>
            </w:hyperlink>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4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298"/>
        </w:trPr>
        <w:tc>
          <w:tcPr>
            <w:tcW w:w="340" w:type="dxa"/>
            <w:vAlign w:val="bottom"/>
          </w:tcPr>
          <w:p>
            <w:pPr>
              <w:spacing w:after="0"/>
              <w:rPr>
                <w:sz w:val="24"/>
                <w:szCs w:val="24"/>
                <w:color w:val="auto"/>
              </w:rPr>
            </w:pPr>
          </w:p>
        </w:tc>
        <w:tc>
          <w:tcPr>
            <w:tcW w:w="340" w:type="dxa"/>
            <w:vAlign w:val="bottom"/>
            <w:gridSpan w:val="5"/>
          </w:tcPr>
          <w:p>
            <w:pPr>
              <w:jc w:val="center"/>
              <w:spacing w:after="0"/>
              <w:rPr>
                <w:rFonts w:ascii="Arial" w:cs="Arial" w:eastAsia="Arial" w:hAnsi="Arial"/>
                <w:sz w:val="15"/>
                <w:szCs w:val="15"/>
                <w:color w:val="0000FF"/>
                <w:w w:val="96"/>
              </w:rPr>
            </w:pPr>
            <w:hyperlink w:anchor="page92">
              <w:r>
                <w:rPr>
                  <w:rFonts w:ascii="Arial" w:cs="Arial" w:eastAsia="Arial" w:hAnsi="Arial"/>
                  <w:sz w:val="15"/>
                  <w:szCs w:val="15"/>
                  <w:color w:val="0000FF"/>
                  <w:w w:val="96"/>
                </w:rPr>
                <w:t>32.</w:t>
              </w:r>
              <w:r>
                <w:rPr>
                  <w:rFonts w:ascii="Arial" w:cs="Arial" w:eastAsia="Arial" w:hAnsi="Arial"/>
                  <w:sz w:val="15"/>
                  <w:szCs w:val="15"/>
                  <w:u w:val="single" w:color="auto"/>
                  <w:color w:val="0000FF"/>
                  <w:w w:val="96"/>
                </w:rPr>
                <w:t>1*</w:t>
              </w:r>
            </w:hyperlink>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7"/>
          </w:tcPr>
          <w:p>
            <w:pPr>
              <w:ind w:left="40"/>
              <w:spacing w:after="0"/>
              <w:rPr>
                <w:rFonts w:ascii="Arial" w:cs="Arial" w:eastAsia="Arial" w:hAnsi="Arial"/>
                <w:sz w:val="15"/>
                <w:szCs w:val="15"/>
                <w:color w:val="0000FF"/>
              </w:rPr>
            </w:pPr>
            <w:hyperlink w:anchor="page92">
              <w:r>
                <w:rPr>
                  <w:rFonts w:ascii="Arial" w:cs="Arial" w:eastAsia="Arial" w:hAnsi="Arial"/>
                  <w:sz w:val="15"/>
                  <w:szCs w:val="15"/>
                  <w:color w:val="0000FF"/>
                </w:rPr>
                <w:t>Certification of Chief Executive Officer, pursuant to 18 U.S.C. Section 1350, as adopted pursuant to Section 906 of the Sarbanes-Oxley Act of 2002.</w:t>
              </w:r>
            </w:hyperlink>
          </w:p>
        </w:tc>
      </w:tr>
      <w:tr>
        <w:trPr>
          <w:trHeight w:val="20"/>
        </w:trPr>
        <w:tc>
          <w:tcPr>
            <w:tcW w:w="340" w:type="dxa"/>
            <w:vAlign w:val="bottom"/>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40" w:type="dxa"/>
            <w:vAlign w:val="bottom"/>
            <w:gridSpan w:val="3"/>
            <w:shd w:val="clear" w:color="auto" w:fill="0000FF"/>
          </w:tcPr>
          <w:p>
            <w:pPr>
              <w:spacing w:after="0" w:line="20" w:lineRule="exact"/>
              <w:rPr>
                <w:sz w:val="1"/>
                <w:szCs w:val="1"/>
                <w:color w:val="auto"/>
              </w:rPr>
            </w:pPr>
          </w:p>
        </w:tc>
        <w:tc>
          <w:tcPr>
            <w:tcW w:w="1100" w:type="dxa"/>
            <w:vAlign w:val="bottom"/>
            <w:tcBorders>
              <w:left w:val="single" w:sz="8" w:color="0000FF"/>
            </w:tcBorders>
            <w:gridSpan w:val="3"/>
          </w:tcPr>
          <w:p>
            <w:pPr>
              <w:spacing w:after="0" w:line="20" w:lineRule="exact"/>
              <w:rPr>
                <w:sz w:val="1"/>
                <w:szCs w:val="1"/>
                <w:color w:val="auto"/>
              </w:rPr>
            </w:pPr>
          </w:p>
        </w:tc>
      </w:tr>
      <w:tr>
        <w:trPr>
          <w:trHeight w:val="298"/>
        </w:trPr>
        <w:tc>
          <w:tcPr>
            <w:tcW w:w="340" w:type="dxa"/>
            <w:vAlign w:val="bottom"/>
          </w:tcPr>
          <w:p>
            <w:pPr>
              <w:spacing w:after="0"/>
              <w:rPr>
                <w:sz w:val="24"/>
                <w:szCs w:val="24"/>
                <w:color w:val="auto"/>
              </w:rPr>
            </w:pPr>
          </w:p>
        </w:tc>
        <w:tc>
          <w:tcPr>
            <w:tcW w:w="340" w:type="dxa"/>
            <w:vAlign w:val="bottom"/>
            <w:gridSpan w:val="5"/>
          </w:tcPr>
          <w:p>
            <w:pPr>
              <w:jc w:val="center"/>
              <w:spacing w:after="0"/>
              <w:rPr>
                <w:rFonts w:ascii="Arial" w:cs="Arial" w:eastAsia="Arial" w:hAnsi="Arial"/>
                <w:sz w:val="15"/>
                <w:szCs w:val="15"/>
                <w:color w:val="0000FF"/>
                <w:w w:val="96"/>
              </w:rPr>
            </w:pPr>
            <w:hyperlink w:anchor="page93">
              <w:r>
                <w:rPr>
                  <w:rFonts w:ascii="Arial" w:cs="Arial" w:eastAsia="Arial" w:hAnsi="Arial"/>
                  <w:sz w:val="15"/>
                  <w:szCs w:val="15"/>
                  <w:color w:val="0000FF"/>
                  <w:w w:val="96"/>
                </w:rPr>
                <w:t>32.</w:t>
              </w:r>
              <w:r>
                <w:rPr>
                  <w:rFonts w:ascii="Arial" w:cs="Arial" w:eastAsia="Arial" w:hAnsi="Arial"/>
                  <w:sz w:val="15"/>
                  <w:szCs w:val="15"/>
                  <w:u w:val="single" w:color="auto"/>
                  <w:color w:val="0000FF"/>
                  <w:w w:val="96"/>
                </w:rPr>
                <w:t>2*</w:t>
              </w:r>
            </w:hyperlink>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7"/>
          </w:tcPr>
          <w:p>
            <w:pPr>
              <w:ind w:left="40"/>
              <w:spacing w:after="0"/>
              <w:rPr>
                <w:rFonts w:ascii="Arial" w:cs="Arial" w:eastAsia="Arial" w:hAnsi="Arial"/>
                <w:sz w:val="15"/>
                <w:szCs w:val="15"/>
                <w:color w:val="0000FF"/>
              </w:rPr>
            </w:pPr>
            <w:hyperlink w:anchor="page93">
              <w:r>
                <w:rPr>
                  <w:rFonts w:ascii="Arial" w:cs="Arial" w:eastAsia="Arial" w:hAnsi="Arial"/>
                  <w:sz w:val="15"/>
                  <w:szCs w:val="15"/>
                  <w:color w:val="0000FF"/>
                </w:rPr>
                <w:t>Certification of Chief Financial Officer, pursuant to 18 U.S.C. Section 1350, as adopted pursuant to Section 906 of the Sarbanes-Oxley Act of 2002.</w:t>
              </w:r>
            </w:hyperlink>
          </w:p>
        </w:tc>
      </w:tr>
      <w:tr>
        <w:trPr>
          <w:trHeight w:val="20"/>
        </w:trPr>
        <w:tc>
          <w:tcPr>
            <w:tcW w:w="340" w:type="dxa"/>
            <w:vAlign w:val="bottom"/>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40" w:type="dxa"/>
            <w:vAlign w:val="bottom"/>
            <w:gridSpan w:val="3"/>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331"/>
        </w:trPr>
        <w:tc>
          <w:tcPr>
            <w:tcW w:w="1140" w:type="dxa"/>
            <w:vAlign w:val="bottom"/>
            <w:gridSpan w:val="8"/>
          </w:tcPr>
          <w:p>
            <w:pPr>
              <w:ind w:left="260"/>
              <w:spacing w:after="0"/>
              <w:rPr>
                <w:sz w:val="20"/>
                <w:szCs w:val="20"/>
                <w:color w:val="auto"/>
              </w:rPr>
            </w:pPr>
            <w:r>
              <w:rPr>
                <w:rFonts w:ascii="Arial" w:cs="Arial" w:eastAsia="Arial" w:hAnsi="Arial"/>
                <w:sz w:val="15"/>
                <w:szCs w:val="15"/>
                <w:color w:val="auto"/>
              </w:rPr>
              <w:t>101.INS</w:t>
            </w:r>
          </w:p>
        </w:tc>
        <w:tc>
          <w:tcPr>
            <w:tcW w:w="10180" w:type="dxa"/>
            <w:vAlign w:val="bottom"/>
            <w:gridSpan w:val="7"/>
          </w:tcPr>
          <w:p>
            <w:pPr>
              <w:ind w:left="40"/>
              <w:spacing w:after="0"/>
              <w:rPr>
                <w:sz w:val="20"/>
                <w:szCs w:val="20"/>
                <w:color w:val="auto"/>
              </w:rPr>
            </w:pPr>
            <w:r>
              <w:rPr>
                <w:rFonts w:ascii="Arial" w:cs="Arial" w:eastAsia="Arial" w:hAnsi="Arial"/>
                <w:sz w:val="15"/>
                <w:szCs w:val="15"/>
                <w:color w:val="auto"/>
              </w:rPr>
              <w:t>XBRL Report Instance Document</w:t>
            </w:r>
          </w:p>
        </w:tc>
      </w:tr>
      <w:tr>
        <w:trPr>
          <w:trHeight w:val="318"/>
        </w:trPr>
        <w:tc>
          <w:tcPr>
            <w:tcW w:w="1140" w:type="dxa"/>
            <w:vAlign w:val="bottom"/>
            <w:gridSpan w:val="8"/>
          </w:tcPr>
          <w:p>
            <w:pPr>
              <w:ind w:left="240"/>
              <w:spacing w:after="0"/>
              <w:rPr>
                <w:sz w:val="20"/>
                <w:szCs w:val="20"/>
                <w:color w:val="auto"/>
              </w:rPr>
            </w:pPr>
            <w:r>
              <w:rPr>
                <w:rFonts w:ascii="Arial" w:cs="Arial" w:eastAsia="Arial" w:hAnsi="Arial"/>
                <w:sz w:val="15"/>
                <w:szCs w:val="15"/>
                <w:color w:val="auto"/>
              </w:rPr>
              <w:t>101.SCH</w:t>
            </w:r>
          </w:p>
        </w:tc>
        <w:tc>
          <w:tcPr>
            <w:tcW w:w="10180" w:type="dxa"/>
            <w:vAlign w:val="bottom"/>
            <w:gridSpan w:val="7"/>
          </w:tcPr>
          <w:p>
            <w:pPr>
              <w:ind w:left="40"/>
              <w:spacing w:after="0"/>
              <w:rPr>
                <w:sz w:val="20"/>
                <w:szCs w:val="20"/>
                <w:color w:val="auto"/>
              </w:rPr>
            </w:pPr>
            <w:r>
              <w:rPr>
                <w:rFonts w:ascii="Arial" w:cs="Arial" w:eastAsia="Arial" w:hAnsi="Arial"/>
                <w:sz w:val="15"/>
                <w:szCs w:val="15"/>
                <w:color w:val="auto"/>
              </w:rPr>
              <w:t>XBRL Taxonomy Extension Schema Document</w:t>
            </w:r>
          </w:p>
        </w:tc>
      </w:tr>
      <w:tr>
        <w:trPr>
          <w:trHeight w:val="318"/>
        </w:trPr>
        <w:tc>
          <w:tcPr>
            <w:tcW w:w="1140" w:type="dxa"/>
            <w:vAlign w:val="bottom"/>
            <w:gridSpan w:val="8"/>
          </w:tcPr>
          <w:p>
            <w:pPr>
              <w:ind w:left="240"/>
              <w:spacing w:after="0"/>
              <w:rPr>
                <w:sz w:val="20"/>
                <w:szCs w:val="20"/>
                <w:color w:val="auto"/>
              </w:rPr>
            </w:pPr>
            <w:r>
              <w:rPr>
                <w:rFonts w:ascii="Arial" w:cs="Arial" w:eastAsia="Arial" w:hAnsi="Arial"/>
                <w:sz w:val="15"/>
                <w:szCs w:val="15"/>
                <w:color w:val="auto"/>
              </w:rPr>
              <w:t>101.CAL</w:t>
            </w:r>
          </w:p>
        </w:tc>
        <w:tc>
          <w:tcPr>
            <w:tcW w:w="10180" w:type="dxa"/>
            <w:vAlign w:val="bottom"/>
            <w:gridSpan w:val="7"/>
          </w:tcPr>
          <w:p>
            <w:pPr>
              <w:ind w:left="40"/>
              <w:spacing w:after="0"/>
              <w:rPr>
                <w:sz w:val="20"/>
                <w:szCs w:val="20"/>
                <w:color w:val="auto"/>
              </w:rPr>
            </w:pPr>
            <w:r>
              <w:rPr>
                <w:rFonts w:ascii="Arial" w:cs="Arial" w:eastAsia="Arial" w:hAnsi="Arial"/>
                <w:sz w:val="15"/>
                <w:szCs w:val="15"/>
                <w:color w:val="auto"/>
              </w:rPr>
              <w:t>XBRL Taxonomy Calculation Linkbase Document</w:t>
            </w:r>
          </w:p>
        </w:tc>
      </w:tr>
      <w:tr>
        <w:trPr>
          <w:trHeight w:val="318"/>
        </w:trPr>
        <w:tc>
          <w:tcPr>
            <w:tcW w:w="1140" w:type="dxa"/>
            <w:vAlign w:val="bottom"/>
            <w:gridSpan w:val="8"/>
          </w:tcPr>
          <w:p>
            <w:pPr>
              <w:ind w:left="240"/>
              <w:spacing w:after="0"/>
              <w:rPr>
                <w:sz w:val="20"/>
                <w:szCs w:val="20"/>
                <w:color w:val="auto"/>
              </w:rPr>
            </w:pPr>
            <w:r>
              <w:rPr>
                <w:rFonts w:ascii="Arial" w:cs="Arial" w:eastAsia="Arial" w:hAnsi="Arial"/>
                <w:sz w:val="15"/>
                <w:szCs w:val="15"/>
                <w:color w:val="auto"/>
              </w:rPr>
              <w:t>101.LAB</w:t>
            </w:r>
          </w:p>
        </w:tc>
        <w:tc>
          <w:tcPr>
            <w:tcW w:w="10180" w:type="dxa"/>
            <w:vAlign w:val="bottom"/>
            <w:gridSpan w:val="7"/>
          </w:tcPr>
          <w:p>
            <w:pPr>
              <w:ind w:left="40"/>
              <w:spacing w:after="0"/>
              <w:rPr>
                <w:sz w:val="20"/>
                <w:szCs w:val="20"/>
                <w:color w:val="auto"/>
              </w:rPr>
            </w:pPr>
            <w:r>
              <w:rPr>
                <w:rFonts w:ascii="Arial" w:cs="Arial" w:eastAsia="Arial" w:hAnsi="Arial"/>
                <w:sz w:val="15"/>
                <w:szCs w:val="15"/>
                <w:color w:val="auto"/>
              </w:rPr>
              <w:t>XBRL Taxonomy Label Linkbase Document</w:t>
            </w:r>
          </w:p>
        </w:tc>
      </w:tr>
      <w:tr>
        <w:trPr>
          <w:trHeight w:val="318"/>
        </w:trPr>
        <w:tc>
          <w:tcPr>
            <w:tcW w:w="1140" w:type="dxa"/>
            <w:vAlign w:val="bottom"/>
            <w:gridSpan w:val="8"/>
          </w:tcPr>
          <w:p>
            <w:pPr>
              <w:ind w:left="240"/>
              <w:spacing w:after="0"/>
              <w:rPr>
                <w:sz w:val="20"/>
                <w:szCs w:val="20"/>
                <w:color w:val="auto"/>
              </w:rPr>
            </w:pPr>
            <w:r>
              <w:rPr>
                <w:rFonts w:ascii="Arial" w:cs="Arial" w:eastAsia="Arial" w:hAnsi="Arial"/>
                <w:sz w:val="15"/>
                <w:szCs w:val="15"/>
                <w:color w:val="auto"/>
              </w:rPr>
              <w:t>101.PRE</w:t>
            </w:r>
          </w:p>
        </w:tc>
        <w:tc>
          <w:tcPr>
            <w:tcW w:w="10180" w:type="dxa"/>
            <w:vAlign w:val="bottom"/>
            <w:gridSpan w:val="7"/>
          </w:tcPr>
          <w:p>
            <w:pPr>
              <w:ind w:left="40"/>
              <w:spacing w:after="0"/>
              <w:rPr>
                <w:sz w:val="20"/>
                <w:szCs w:val="20"/>
                <w:color w:val="auto"/>
              </w:rPr>
            </w:pPr>
            <w:r>
              <w:rPr>
                <w:rFonts w:ascii="Arial" w:cs="Arial" w:eastAsia="Arial" w:hAnsi="Arial"/>
                <w:sz w:val="15"/>
                <w:szCs w:val="15"/>
                <w:color w:val="auto"/>
              </w:rPr>
              <w:t>XBRL Presentation Linkbase Document</w:t>
            </w:r>
          </w:p>
        </w:tc>
      </w:tr>
      <w:tr>
        <w:trPr>
          <w:trHeight w:val="318"/>
        </w:trPr>
        <w:tc>
          <w:tcPr>
            <w:tcW w:w="1140" w:type="dxa"/>
            <w:vAlign w:val="bottom"/>
            <w:gridSpan w:val="8"/>
          </w:tcPr>
          <w:p>
            <w:pPr>
              <w:ind w:left="240"/>
              <w:spacing w:after="0"/>
              <w:rPr>
                <w:sz w:val="20"/>
                <w:szCs w:val="20"/>
                <w:color w:val="auto"/>
              </w:rPr>
            </w:pPr>
            <w:r>
              <w:rPr>
                <w:rFonts w:ascii="Arial" w:cs="Arial" w:eastAsia="Arial" w:hAnsi="Arial"/>
                <w:sz w:val="15"/>
                <w:szCs w:val="15"/>
                <w:color w:val="auto"/>
              </w:rPr>
              <w:t>101.DEF</w:t>
            </w:r>
          </w:p>
        </w:tc>
        <w:tc>
          <w:tcPr>
            <w:tcW w:w="10180" w:type="dxa"/>
            <w:vAlign w:val="bottom"/>
            <w:gridSpan w:val="7"/>
          </w:tcPr>
          <w:p>
            <w:pPr>
              <w:ind w:left="40"/>
              <w:spacing w:after="0"/>
              <w:rPr>
                <w:sz w:val="20"/>
                <w:szCs w:val="20"/>
                <w:color w:val="auto"/>
              </w:rPr>
            </w:pPr>
            <w:r>
              <w:rPr>
                <w:rFonts w:ascii="Arial" w:cs="Arial" w:eastAsia="Arial" w:hAnsi="Arial"/>
                <w:sz w:val="15"/>
                <w:szCs w:val="15"/>
                <w:color w:val="auto"/>
              </w:rPr>
              <w:t>XBRL Taxonomy Extension Definition Linkbase Document</w:t>
            </w:r>
          </w:p>
        </w:tc>
      </w:tr>
    </w:tbl>
    <w:p>
      <w:pPr>
        <w:spacing w:after="0" w:line="302"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320"/>
          </w:cols>
          <w:pgMar w:left="240" w:top="352" w:right="339" w:bottom="1440" w:gutter="0" w:footer="0" w:header="0"/>
        </w:sectPr>
      </w:pPr>
    </w:p>
    <w:bookmarkStart w:id="64" w:name="page65"/>
    <w:bookmarkEnd w:id="64"/>
    <w:p>
      <w:pPr>
        <w:jc w:val="center"/>
        <w:ind w:right="-99"/>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500" w:type="dxa"/>
            <w:vAlign w:val="bottom"/>
            <w:gridSpan w:val="2"/>
          </w:tcPr>
          <w:p>
            <w:pPr>
              <w:ind w:left="2500"/>
              <w:spacing w:after="0"/>
              <w:rPr>
                <w:sz w:val="20"/>
                <w:szCs w:val="20"/>
                <w:color w:val="auto"/>
              </w:rPr>
            </w:pPr>
            <w:r>
              <w:rPr>
                <w:rFonts w:ascii="Arial" w:cs="Arial" w:eastAsia="Arial" w:hAnsi="Arial"/>
                <w:sz w:val="17"/>
                <w:szCs w:val="17"/>
                <w:color w:val="auto"/>
              </w:rPr>
              <w:t>ANAPTYSBIO, INC.</w:t>
            </w:r>
          </w:p>
        </w:tc>
      </w:tr>
      <w:tr>
        <w:trPr>
          <w:trHeight w:val="509"/>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140" w:type="dxa"/>
            <w:vAlign w:val="bottom"/>
          </w:tcPr>
          <w:p>
            <w:pPr>
              <w:ind w:left="160"/>
              <w:spacing w:after="0"/>
              <w:rPr>
                <w:sz w:val="20"/>
                <w:szCs w:val="20"/>
                <w:color w:val="auto"/>
              </w:rPr>
            </w:pPr>
            <w:r>
              <w:rPr>
                <w:rFonts w:ascii="Arial" w:cs="Arial" w:eastAsia="Arial" w:hAnsi="Arial"/>
                <w:sz w:val="17"/>
                <w:szCs w:val="17"/>
                <w:color w:val="auto"/>
              </w:rPr>
              <w:t>August 7, 2018</w:t>
            </w:r>
          </w:p>
        </w:tc>
        <w:tc>
          <w:tcPr>
            <w:tcW w:w="2920" w:type="dxa"/>
            <w:vAlign w:val="bottom"/>
          </w:tcPr>
          <w:p>
            <w:pPr>
              <w:ind w:left="2500"/>
              <w:spacing w:after="0"/>
              <w:rPr>
                <w:sz w:val="20"/>
                <w:szCs w:val="20"/>
                <w:color w:val="auto"/>
              </w:rPr>
            </w:pPr>
            <w:r>
              <w:rPr>
                <w:rFonts w:ascii="Arial" w:cs="Arial" w:eastAsia="Arial" w:hAnsi="Arial"/>
                <w:sz w:val="17"/>
                <w:szCs w:val="17"/>
                <w:color w:val="auto"/>
              </w:rPr>
              <w:t>By:</w:t>
            </w:r>
          </w:p>
        </w:tc>
        <w:tc>
          <w:tcPr>
            <w:tcW w:w="4580" w:type="dxa"/>
            <w:vAlign w:val="bottom"/>
          </w:tcPr>
          <w:p>
            <w:pPr>
              <w:ind w:left="40"/>
              <w:spacing w:after="0"/>
              <w:rPr>
                <w:sz w:val="20"/>
                <w:szCs w:val="20"/>
                <w:color w:val="auto"/>
              </w:rPr>
            </w:pPr>
            <w:r>
              <w:rPr>
                <w:rFonts w:ascii="Arial" w:cs="Arial" w:eastAsia="Arial" w:hAnsi="Arial"/>
                <w:sz w:val="17"/>
                <w:szCs w:val="17"/>
                <w:color w:val="auto"/>
              </w:rPr>
              <w:t>/s/ Hamza Suria</w:t>
            </w:r>
          </w:p>
        </w:tc>
      </w:tr>
      <w:tr>
        <w:trPr>
          <w:trHeight w:val="39"/>
        </w:trPr>
        <w:tc>
          <w:tcPr>
            <w:tcW w:w="5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92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r>
      <w:tr>
        <w:trPr>
          <w:trHeight w:val="221"/>
        </w:trPr>
        <w:tc>
          <w:tcPr>
            <w:tcW w:w="5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580" w:type="dxa"/>
            <w:vAlign w:val="bottom"/>
          </w:tcPr>
          <w:p>
            <w:pPr>
              <w:ind w:left="40"/>
              <w:spacing w:after="0"/>
              <w:rPr>
                <w:sz w:val="20"/>
                <w:szCs w:val="20"/>
                <w:color w:val="auto"/>
              </w:rPr>
            </w:pPr>
            <w:r>
              <w:rPr>
                <w:rFonts w:ascii="Arial" w:cs="Arial" w:eastAsia="Arial" w:hAnsi="Arial"/>
                <w:sz w:val="17"/>
                <w:szCs w:val="17"/>
                <w:color w:val="auto"/>
              </w:rPr>
              <w:t>Hamza Suria</w:t>
            </w:r>
          </w:p>
        </w:tc>
      </w:tr>
      <w:tr>
        <w:trPr>
          <w:trHeight w:val="254"/>
        </w:trPr>
        <w:tc>
          <w:tcPr>
            <w:tcW w:w="5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580" w:type="dxa"/>
            <w:vAlign w:val="bottom"/>
          </w:tcPr>
          <w:p>
            <w:pPr>
              <w:ind w:left="40"/>
              <w:spacing w:after="0"/>
              <w:rPr>
                <w:sz w:val="20"/>
                <w:szCs w:val="20"/>
                <w:color w:val="auto"/>
              </w:rPr>
            </w:pPr>
            <w:r>
              <w:rPr>
                <w:rFonts w:ascii="Arial" w:cs="Arial" w:eastAsia="Arial" w:hAnsi="Arial"/>
                <w:sz w:val="17"/>
                <w:szCs w:val="17"/>
                <w:color w:val="auto"/>
              </w:rPr>
              <w:t>Chief Executive Officer</w:t>
            </w:r>
          </w:p>
        </w:tc>
      </w:tr>
      <w:tr>
        <w:trPr>
          <w:trHeight w:val="254"/>
        </w:trPr>
        <w:tc>
          <w:tcPr>
            <w:tcW w:w="5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580" w:type="dxa"/>
            <w:vAlign w:val="bottom"/>
          </w:tcPr>
          <w:p>
            <w:pPr>
              <w:ind w:left="40"/>
              <w:spacing w:after="0"/>
              <w:rPr>
                <w:sz w:val="20"/>
                <w:szCs w:val="20"/>
                <w:color w:val="auto"/>
              </w:rPr>
            </w:pPr>
            <w:r>
              <w:rPr>
                <w:rFonts w:ascii="Arial" w:cs="Arial" w:eastAsia="Arial" w:hAnsi="Arial"/>
                <w:sz w:val="17"/>
                <w:szCs w:val="17"/>
                <w:color w:val="auto"/>
              </w:rPr>
              <w:t>(Principal Executive Officer)</w:t>
            </w:r>
          </w:p>
        </w:tc>
      </w:tr>
      <w:tr>
        <w:trPr>
          <w:trHeight w:val="509"/>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140" w:type="dxa"/>
            <w:vAlign w:val="bottom"/>
          </w:tcPr>
          <w:p>
            <w:pPr>
              <w:ind w:left="160"/>
              <w:spacing w:after="0"/>
              <w:rPr>
                <w:sz w:val="20"/>
                <w:szCs w:val="20"/>
                <w:color w:val="auto"/>
              </w:rPr>
            </w:pPr>
            <w:r>
              <w:rPr>
                <w:rFonts w:ascii="Arial" w:cs="Arial" w:eastAsia="Arial" w:hAnsi="Arial"/>
                <w:sz w:val="17"/>
                <w:szCs w:val="17"/>
                <w:color w:val="auto"/>
              </w:rPr>
              <w:t>August 7, 2018</w:t>
            </w:r>
          </w:p>
        </w:tc>
        <w:tc>
          <w:tcPr>
            <w:tcW w:w="2920" w:type="dxa"/>
            <w:vAlign w:val="bottom"/>
          </w:tcPr>
          <w:p>
            <w:pPr>
              <w:ind w:left="2500"/>
              <w:spacing w:after="0"/>
              <w:rPr>
                <w:sz w:val="20"/>
                <w:szCs w:val="20"/>
                <w:color w:val="auto"/>
              </w:rPr>
            </w:pPr>
            <w:r>
              <w:rPr>
                <w:rFonts w:ascii="Arial" w:cs="Arial" w:eastAsia="Arial" w:hAnsi="Arial"/>
                <w:sz w:val="17"/>
                <w:szCs w:val="17"/>
                <w:color w:val="auto"/>
              </w:rPr>
              <w:t>By:</w:t>
            </w:r>
          </w:p>
        </w:tc>
        <w:tc>
          <w:tcPr>
            <w:tcW w:w="4580" w:type="dxa"/>
            <w:vAlign w:val="bottom"/>
          </w:tcPr>
          <w:p>
            <w:pPr>
              <w:ind w:left="40"/>
              <w:spacing w:after="0"/>
              <w:rPr>
                <w:sz w:val="20"/>
                <w:szCs w:val="20"/>
                <w:color w:val="auto"/>
              </w:rPr>
            </w:pPr>
            <w:r>
              <w:rPr>
                <w:rFonts w:ascii="Arial" w:cs="Arial" w:eastAsia="Arial" w:hAnsi="Arial"/>
                <w:sz w:val="17"/>
                <w:szCs w:val="17"/>
                <w:color w:val="auto"/>
              </w:rPr>
              <w:t>/s/ Dominic G. Piscitelli</w:t>
            </w:r>
          </w:p>
        </w:tc>
      </w:tr>
      <w:tr>
        <w:trPr>
          <w:trHeight w:val="39"/>
        </w:trPr>
        <w:tc>
          <w:tcPr>
            <w:tcW w:w="5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92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r>
      <w:tr>
        <w:trPr>
          <w:trHeight w:val="221"/>
        </w:trPr>
        <w:tc>
          <w:tcPr>
            <w:tcW w:w="5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580" w:type="dxa"/>
            <w:vAlign w:val="bottom"/>
          </w:tcPr>
          <w:p>
            <w:pPr>
              <w:ind w:left="40"/>
              <w:spacing w:after="0"/>
              <w:rPr>
                <w:sz w:val="20"/>
                <w:szCs w:val="20"/>
                <w:color w:val="auto"/>
              </w:rPr>
            </w:pPr>
            <w:r>
              <w:rPr>
                <w:rFonts w:ascii="Arial" w:cs="Arial" w:eastAsia="Arial" w:hAnsi="Arial"/>
                <w:sz w:val="17"/>
                <w:szCs w:val="17"/>
                <w:color w:val="auto"/>
              </w:rPr>
              <w:t>Dominic G. Piscitelli</w:t>
            </w:r>
          </w:p>
        </w:tc>
      </w:tr>
      <w:tr>
        <w:trPr>
          <w:trHeight w:val="254"/>
        </w:trPr>
        <w:tc>
          <w:tcPr>
            <w:tcW w:w="5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580" w:type="dxa"/>
            <w:vAlign w:val="bottom"/>
          </w:tcPr>
          <w:p>
            <w:pPr>
              <w:ind w:left="40"/>
              <w:spacing w:after="0"/>
              <w:rPr>
                <w:sz w:val="20"/>
                <w:szCs w:val="20"/>
                <w:color w:val="auto"/>
              </w:rPr>
            </w:pPr>
            <w:r>
              <w:rPr>
                <w:rFonts w:ascii="Arial" w:cs="Arial" w:eastAsia="Arial" w:hAnsi="Arial"/>
                <w:sz w:val="17"/>
                <w:szCs w:val="17"/>
                <w:color w:val="auto"/>
              </w:rPr>
              <w:t>Chief Financial Officer</w:t>
            </w:r>
          </w:p>
        </w:tc>
      </w:tr>
      <w:tr>
        <w:trPr>
          <w:trHeight w:val="254"/>
        </w:trPr>
        <w:tc>
          <w:tcPr>
            <w:tcW w:w="5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580" w:type="dxa"/>
            <w:vAlign w:val="bottom"/>
          </w:tcPr>
          <w:p>
            <w:pPr>
              <w:ind w:left="40"/>
              <w:spacing w:after="0"/>
              <w:rPr>
                <w:sz w:val="20"/>
                <w:szCs w:val="20"/>
                <w:color w:val="auto"/>
              </w:rPr>
            </w:pPr>
            <w:r>
              <w:rPr>
                <w:rFonts w:ascii="Arial" w:cs="Arial" w:eastAsia="Arial" w:hAnsi="Arial"/>
                <w:sz w:val="17"/>
                <w:szCs w:val="17"/>
                <w:color w:val="auto"/>
              </w:rPr>
              <w:t>(Principal Financial and Accounting Officer)</w:t>
            </w:r>
          </w:p>
        </w:tc>
      </w:tr>
      <w:tr>
        <w:trPr>
          <w:trHeight w:val="458"/>
        </w:trPr>
        <w:tc>
          <w:tcPr>
            <w:tcW w:w="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920" w:type="dxa"/>
            <w:vAlign w:val="bottom"/>
          </w:tcPr>
          <w:p>
            <w:pPr>
              <w:jc w:val="right"/>
              <w:ind w:right="715"/>
              <w:spacing w:after="0"/>
              <w:rPr>
                <w:sz w:val="20"/>
                <w:szCs w:val="20"/>
                <w:color w:val="auto"/>
              </w:rPr>
            </w:pPr>
            <w:r>
              <w:rPr>
                <w:rFonts w:ascii="Arial" w:cs="Arial" w:eastAsia="Arial" w:hAnsi="Arial"/>
                <w:sz w:val="17"/>
                <w:szCs w:val="17"/>
                <w:color w:val="auto"/>
              </w:rPr>
              <w:t>63</w:t>
            </w:r>
          </w:p>
        </w:tc>
        <w:tc>
          <w:tcPr>
            <w:tcW w:w="4580" w:type="dxa"/>
            <w:vAlign w:val="bottom"/>
          </w:tcPr>
          <w:p>
            <w:pPr>
              <w:spacing w:after="0"/>
              <w:rPr>
                <w:sz w:val="24"/>
                <w:szCs w:val="24"/>
                <w:color w:val="auto"/>
              </w:rPr>
            </w:pPr>
          </w:p>
        </w:tc>
      </w:tr>
    </w:tbl>
    <w:p>
      <w:pPr>
        <w:sectPr>
          <w:pgSz w:w="11900" w:h="16838" w:orient="portrait"/>
          <w:cols w:equalWidth="0" w:num="1">
            <w:col w:w="11340"/>
          </w:cols>
          <w:pgMar w:left="240" w:top="352" w:right="319" w:bottom="1440" w:gutter="0" w:footer="0" w:header="0"/>
        </w:sectPr>
      </w:pPr>
    </w:p>
    <w:bookmarkStart w:id="65" w:name="page66"/>
    <w:bookmarkEnd w:id="65"/>
    <w:p>
      <w:pPr>
        <w:jc w:val="center"/>
        <w:ind w:right="80"/>
        <w:spacing w:after="0"/>
        <w:rPr>
          <w:sz w:val="20"/>
          <w:szCs w:val="20"/>
          <w:color w:val="auto"/>
        </w:rPr>
      </w:pPr>
      <w:r>
        <w:rPr>
          <w:rFonts w:ascii="Arial" w:cs="Arial" w:eastAsia="Arial" w:hAnsi="Arial"/>
          <w:sz w:val="20"/>
          <w:szCs w:val="20"/>
          <w:b w:val="1"/>
          <w:bCs w:val="1"/>
          <w:color w:val="auto"/>
        </w:rPr>
        <w:t>AMENDMENT NO. 1 TO</w:t>
      </w:r>
    </w:p>
    <w:p>
      <w:pPr>
        <w:spacing w:after="0" w:line="33"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FOURTH AMENDED AND RESTATED INVESTOR RIGHTS AGREEMENT</w:t>
      </w:r>
    </w:p>
    <w:p>
      <w:pPr>
        <w:spacing w:after="0" w:line="210" w:lineRule="exact"/>
        <w:rPr>
          <w:sz w:val="20"/>
          <w:szCs w:val="20"/>
          <w:color w:val="auto"/>
        </w:rPr>
      </w:pPr>
    </w:p>
    <w:p>
      <w:pPr>
        <w:jc w:val="both"/>
        <w:ind w:firstLine="611"/>
        <w:spacing w:after="0" w:line="262" w:lineRule="auto"/>
        <w:rPr>
          <w:sz w:val="20"/>
          <w:szCs w:val="20"/>
          <w:color w:val="auto"/>
        </w:rPr>
      </w:pPr>
      <w:r>
        <w:rPr>
          <w:rFonts w:ascii="Arial" w:cs="Arial" w:eastAsia="Arial" w:hAnsi="Arial"/>
          <w:sz w:val="20"/>
          <w:szCs w:val="20"/>
          <w:color w:val="auto"/>
        </w:rPr>
        <w:t>This Amendment No. 1 to Fourth Amended and Restated Investor Rights Agreement (this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is entered into as of May 8, 2018 by the undersigned parties to that certain Fourth Amended and Restated Investor Rights Agreement, dated as of July 13, 2015 (the “</w:t>
      </w:r>
      <w:r>
        <w:rPr>
          <w:rFonts w:ascii="Arial" w:cs="Arial" w:eastAsia="Arial" w:hAnsi="Arial"/>
          <w:sz w:val="20"/>
          <w:szCs w:val="20"/>
          <w:b w:val="1"/>
          <w:bCs w:val="1"/>
          <w:i w:val="1"/>
          <w:iCs w:val="1"/>
          <w:color w:val="auto"/>
        </w:rPr>
        <w:t>Rights Agreement</w:t>
      </w:r>
      <w:r>
        <w:rPr>
          <w:rFonts w:ascii="Arial" w:cs="Arial" w:eastAsia="Arial" w:hAnsi="Arial"/>
          <w:sz w:val="20"/>
          <w:szCs w:val="20"/>
          <w:color w:val="auto"/>
        </w:rPr>
        <w:t>”), by and among AnaptysBio,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the Investors. Capitalized terms used but not defined herein shall have the meanings ascribed to them in the Rights Agreement.</w:t>
      </w:r>
    </w:p>
    <w:p>
      <w:pPr>
        <w:spacing w:after="0" w:line="20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u w:val="single" w:color="auto"/>
          <w:color w:val="auto"/>
        </w:rPr>
        <w:t>RECITALS</w:t>
      </w:r>
    </w:p>
    <w:p>
      <w:pPr>
        <w:spacing w:after="0" w:line="207" w:lineRule="exact"/>
        <w:rPr>
          <w:sz w:val="20"/>
          <w:szCs w:val="20"/>
          <w:color w:val="auto"/>
        </w:rPr>
      </w:pPr>
    </w:p>
    <w:p>
      <w:pPr>
        <w:jc w:val="both"/>
        <w:ind w:firstLine="611"/>
        <w:spacing w:after="0" w:line="282" w:lineRule="auto"/>
        <w:rPr>
          <w:sz w:val="20"/>
          <w:szCs w:val="20"/>
          <w:color w:val="auto"/>
        </w:rPr>
      </w:pPr>
      <w:r>
        <w:rPr>
          <w:rFonts w:ascii="Arial" w:cs="Arial" w:eastAsia="Arial" w:hAnsi="Arial"/>
          <w:sz w:val="20"/>
          <w:szCs w:val="20"/>
          <w:color w:val="auto"/>
        </w:rPr>
        <w:t>A. WHEREAS, the Company’s Board of Directors has determined it is in the best interests of the Company and its stockholders to amend certain provisions in the Rights Agreement with respect to registration rights.</w:t>
      </w:r>
    </w:p>
    <w:p>
      <w:pPr>
        <w:spacing w:after="0" w:line="159" w:lineRule="exact"/>
        <w:rPr>
          <w:sz w:val="20"/>
          <w:szCs w:val="20"/>
          <w:color w:val="auto"/>
        </w:rPr>
      </w:pPr>
    </w:p>
    <w:p>
      <w:pPr>
        <w:jc w:val="both"/>
        <w:ind w:firstLine="611"/>
        <w:spacing w:after="0" w:line="267" w:lineRule="auto"/>
        <w:rPr>
          <w:sz w:val="20"/>
          <w:szCs w:val="20"/>
          <w:color w:val="auto"/>
        </w:rPr>
      </w:pPr>
      <w:r>
        <w:rPr>
          <w:rFonts w:ascii="Arial" w:cs="Arial" w:eastAsia="Arial" w:hAnsi="Arial"/>
          <w:sz w:val="20"/>
          <w:szCs w:val="20"/>
          <w:color w:val="auto"/>
        </w:rPr>
        <w:t>B. WHEREAS, Section 5.5(a) of the Rights Agreement provides that any provision of the Rights Agreement may be amended with the written consent of the Company and the holders of at least a majority of the then-outstanding Registrable Securities (the “</w:t>
      </w:r>
      <w:r>
        <w:rPr>
          <w:rFonts w:ascii="Arial" w:cs="Arial" w:eastAsia="Arial" w:hAnsi="Arial"/>
          <w:sz w:val="20"/>
          <w:szCs w:val="20"/>
          <w:b w:val="1"/>
          <w:bCs w:val="1"/>
          <w:i w:val="1"/>
          <w:iCs w:val="1"/>
          <w:color w:val="auto"/>
        </w:rPr>
        <w:t>Requisite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Holders</w:t>
      </w:r>
      <w:r>
        <w:rPr>
          <w:rFonts w:ascii="Arial" w:cs="Arial" w:eastAsia="Arial" w:hAnsi="Arial"/>
          <w:sz w:val="20"/>
          <w:szCs w:val="20"/>
          <w:color w:val="auto"/>
        </w:rPr>
        <w:t>”).</w:t>
      </w:r>
    </w:p>
    <w:p>
      <w:pPr>
        <w:spacing w:after="0" w:line="199" w:lineRule="exact"/>
        <w:rPr>
          <w:sz w:val="20"/>
          <w:szCs w:val="20"/>
          <w:color w:val="auto"/>
        </w:rPr>
      </w:pPr>
    </w:p>
    <w:p>
      <w:pPr>
        <w:ind w:right="3900" w:firstLine="611"/>
        <w:spacing w:after="0" w:line="282" w:lineRule="auto"/>
        <w:rPr>
          <w:sz w:val="20"/>
          <w:szCs w:val="20"/>
          <w:color w:val="auto"/>
        </w:rPr>
      </w:pPr>
      <w:r>
        <w:rPr>
          <w:rFonts w:ascii="Arial" w:cs="Arial" w:eastAsia="Arial" w:hAnsi="Arial"/>
          <w:sz w:val="20"/>
          <w:szCs w:val="20"/>
          <w:color w:val="auto"/>
        </w:rPr>
        <w:t>C. WHEREAS, the undersigned Investors, who collectively constitute the Requisite Holders, desire to amend the Rights Agreement all as set forth below.</w:t>
      </w:r>
    </w:p>
    <w:p>
      <w:pPr>
        <w:spacing w:after="0" w:line="185" w:lineRule="exact"/>
        <w:rPr>
          <w:sz w:val="20"/>
          <w:szCs w:val="20"/>
          <w:color w:val="auto"/>
        </w:rPr>
      </w:pPr>
    </w:p>
    <w:p>
      <w:pPr>
        <w:jc w:val="both"/>
        <w:ind w:firstLine="611"/>
        <w:spacing w:after="0" w:line="282" w:lineRule="auto"/>
        <w:rPr>
          <w:sz w:val="20"/>
          <w:szCs w:val="20"/>
          <w:color w:val="auto"/>
        </w:rPr>
      </w:pPr>
      <w:r>
        <w:rPr>
          <w:rFonts w:ascii="Arial" w:cs="Arial" w:eastAsia="Arial" w:hAnsi="Arial"/>
          <w:sz w:val="20"/>
          <w:szCs w:val="20"/>
          <w:color w:val="auto"/>
        </w:rPr>
        <w:t>NOW, THEREFORE, in consideration of the foregoing recitals and for other good and valuable consideration, the adequacy and sufficiency of which are hereby acknowledged, the undersigned hereby agree as follows:</w:t>
      </w:r>
    </w:p>
    <w:p>
      <w:pPr>
        <w:spacing w:after="0" w:line="185" w:lineRule="exact"/>
        <w:rPr>
          <w:sz w:val="20"/>
          <w:szCs w:val="20"/>
          <w:color w:val="auto"/>
        </w:rPr>
      </w:pPr>
    </w:p>
    <w:p>
      <w:pPr>
        <w:ind w:firstLine="609"/>
        <w:spacing w:after="0" w:line="282" w:lineRule="auto"/>
        <w:tabs>
          <w:tab w:leader="none" w:pos="827"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Amendment to Section 2.14</w:t>
      </w:r>
      <w:r>
        <w:rPr>
          <w:rFonts w:ascii="Arial" w:cs="Arial" w:eastAsia="Arial" w:hAnsi="Arial"/>
          <w:sz w:val="20"/>
          <w:szCs w:val="20"/>
          <w:color w:val="auto"/>
        </w:rPr>
        <w:t>. Section 2.14 of the Rights Agreement is hereby amended and restated in its entirety to state the following:</w:t>
      </w:r>
    </w:p>
    <w:p>
      <w:pPr>
        <w:spacing w:after="0" w:line="185" w:lineRule="exact"/>
        <w:rPr>
          <w:sz w:val="20"/>
          <w:szCs w:val="20"/>
          <w:color w:val="auto"/>
        </w:rPr>
      </w:pPr>
    </w:p>
    <w:p>
      <w:pPr>
        <w:jc w:val="both"/>
        <w:ind w:left="1840"/>
        <w:spacing w:after="0" w:line="274"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u w:val="single" w:color="auto"/>
          <w:color w:val="auto"/>
        </w:rPr>
        <w:t>Termination of Registration Rights</w:t>
      </w:r>
      <w:r>
        <w:rPr>
          <w:rFonts w:ascii="Arial" w:cs="Arial" w:eastAsia="Arial" w:hAnsi="Arial"/>
          <w:sz w:val="19"/>
          <w:szCs w:val="19"/>
          <w:color w:val="auto"/>
        </w:rPr>
        <w:t>. The right of any Holder to request registration or inclusion of Registrable Securities in any registration pursuant to Section 2.2, 2.3 or 2.4 hereof shall terminate upon the earlier of: (i) the date five years following the closing of a Qualified IPO; (ii) such time as the Company has completed its Initial Offering and all Registrable Securities issuable or issued upon conversion of the Shares held by and issuable to such Holder (and its affiliates) may be sold pursuant to Rule 144 during any 90-day period. Upon such termination, such shares shall cease to be “Registrable Securities” hereunder for all purposes.”</w:t>
      </w:r>
    </w:p>
    <w:p>
      <w:pPr>
        <w:spacing w:after="0" w:line="195" w:lineRule="exact"/>
        <w:rPr>
          <w:sz w:val="20"/>
          <w:szCs w:val="20"/>
          <w:color w:val="auto"/>
        </w:rPr>
      </w:pPr>
    </w:p>
    <w:p>
      <w:pPr>
        <w:jc w:val="both"/>
        <w:ind w:firstLine="609"/>
        <w:spacing w:after="0" w:line="267" w:lineRule="auto"/>
        <w:tabs>
          <w:tab w:leader="none" w:pos="827"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Full Force and Effect</w:t>
      </w:r>
      <w:r>
        <w:rPr>
          <w:rFonts w:ascii="Arial" w:cs="Arial" w:eastAsia="Arial" w:hAnsi="Arial"/>
          <w:sz w:val="20"/>
          <w:szCs w:val="20"/>
          <w:color w:val="auto"/>
        </w:rPr>
        <w:t>. This Amendment is being effected in compliance with all relevant provisions of the Rights Agreement (including Section 5.5(a) thereof) and applicable law. Except as expressly modified herein, the Rights Agreement shall remain in full force and effect.</w:t>
      </w:r>
    </w:p>
    <w:p>
      <w:pPr>
        <w:sectPr>
          <w:pgSz w:w="11900" w:h="16838" w:orient="portrait"/>
          <w:cols w:equalWidth="0" w:num="1">
            <w:col w:w="11340"/>
          </w:cols>
          <w:pgMar w:left="320" w:top="356" w:right="239" w:bottom="1440" w:gutter="0" w:footer="0" w:header="0"/>
        </w:sectPr>
      </w:pPr>
    </w:p>
    <w:bookmarkStart w:id="66" w:name="page67"/>
    <w:bookmarkEnd w:id="66"/>
    <w:p>
      <w:pPr>
        <w:ind w:left="-609" w:firstLine="609"/>
        <w:spacing w:after="0" w:line="310" w:lineRule="auto"/>
        <w:tabs>
          <w:tab w:leader="none" w:pos="205"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governed by, and construed and interpreted in accordance with the laws of the State of Delaware as applied to agreements among Delaware residents made and to be performed entirely within the State Delaware.</w:t>
      </w:r>
    </w:p>
    <w:p>
      <w:pPr>
        <w:spacing w:after="0" w:line="224" w:lineRule="exact"/>
        <w:rPr>
          <w:rFonts w:ascii="Arial" w:cs="Arial" w:eastAsia="Arial" w:hAnsi="Arial"/>
          <w:sz w:val="19"/>
          <w:szCs w:val="19"/>
          <w:color w:val="auto"/>
        </w:rPr>
      </w:pPr>
    </w:p>
    <w:p>
      <w:pPr>
        <w:ind w:left="-609" w:firstLine="609"/>
        <w:spacing w:after="0" w:line="282" w:lineRule="auto"/>
        <w:tabs>
          <w:tab w:leader="none" w:pos="218"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counterparts, delivered by facsimile or portable document format (.pdf or similar format), each of which will constitute an original and all of which together will constitute one agreement.</w:t>
      </w:r>
    </w:p>
    <w:p>
      <w:pPr>
        <w:sectPr>
          <w:pgSz w:w="11900" w:h="16838" w:orient="portrait"/>
          <w:cols w:equalWidth="0" w:num="1">
            <w:col w:w="10731"/>
          </w:cols>
          <w:pgMar w:left="929" w:top="360" w:right="23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8"/>
          <w:szCs w:val="18"/>
          <w:color w:val="auto"/>
        </w:rPr>
        <w:t>The parties are signing this Amendment as of the date stated in the introductory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COMPANY:</w:t>
      </w:r>
    </w:p>
    <w:p>
      <w:pPr>
        <w:spacing w:after="0" w:line="355"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ANAPTYSBIO, INC.</w:t>
      </w:r>
    </w:p>
    <w:p>
      <w:pPr>
        <w:spacing w:after="0" w:line="347" w:lineRule="exact"/>
        <w:rPr>
          <w:sz w:val="20"/>
          <w:szCs w:val="20"/>
          <w:color w:val="auto"/>
        </w:rPr>
      </w:pPr>
    </w:p>
    <w:tbl>
      <w:tblPr>
        <w:tblLayout w:type="fixed"/>
        <w:tblInd w:w="4200" w:type="dxa"/>
        <w:tblCellMar>
          <w:top w:w="0" w:type="dxa"/>
          <w:left w:w="0" w:type="dxa"/>
          <w:bottom w:w="0" w:type="dxa"/>
          <w:right w:w="0" w:type="dxa"/>
        </w:tblCellMar>
      </w:tblPr>
      <w:tr>
        <w:trPr>
          <w:trHeight w:val="268"/>
        </w:trPr>
        <w:tc>
          <w:tcPr>
            <w:tcW w:w="1360" w:type="dxa"/>
            <w:vAlign w:val="bottom"/>
          </w:tcPr>
          <w:p>
            <w:pPr>
              <w:spacing w:after="0"/>
              <w:rPr>
                <w:sz w:val="20"/>
                <w:szCs w:val="20"/>
                <w:color w:val="auto"/>
              </w:rPr>
            </w:pPr>
            <w:r>
              <w:rPr>
                <w:rFonts w:ascii="Arial" w:cs="Arial" w:eastAsia="Arial" w:hAnsi="Arial"/>
                <w:sz w:val="20"/>
                <w:szCs w:val="20"/>
                <w:color w:val="auto"/>
              </w:rPr>
              <w:t>By:</w:t>
            </w: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Hamza Suria</w:t>
            </w:r>
          </w:p>
        </w:tc>
      </w:tr>
      <w:tr>
        <w:trPr>
          <w:trHeight w:val="264"/>
        </w:trPr>
        <w:tc>
          <w:tcPr>
            <w:tcW w:w="1360" w:type="dxa"/>
            <w:vAlign w:val="bottom"/>
          </w:tcPr>
          <w:p>
            <w:pPr>
              <w:spacing w:after="0"/>
              <w:rPr>
                <w:sz w:val="22"/>
                <w:szCs w:val="22"/>
                <w:color w:val="auto"/>
              </w:rPr>
            </w:pPr>
          </w:p>
        </w:tc>
        <w:tc>
          <w:tcPr>
            <w:tcW w:w="3200" w:type="dxa"/>
            <w:vAlign w:val="bottom"/>
          </w:tcPr>
          <w:p>
            <w:pPr>
              <w:ind w:left="20"/>
              <w:spacing w:after="0"/>
              <w:rPr>
                <w:sz w:val="20"/>
                <w:szCs w:val="20"/>
                <w:color w:val="auto"/>
              </w:rPr>
            </w:pPr>
            <w:r>
              <w:rPr>
                <w:rFonts w:ascii="Arial" w:cs="Arial" w:eastAsia="Arial" w:hAnsi="Arial"/>
                <w:sz w:val="20"/>
                <w:szCs w:val="20"/>
                <w:color w:val="auto"/>
              </w:rPr>
              <w:t>Hamza Suria</w:t>
            </w:r>
          </w:p>
        </w:tc>
      </w:tr>
      <w:tr>
        <w:trPr>
          <w:trHeight w:val="280"/>
        </w:trPr>
        <w:tc>
          <w:tcPr>
            <w:tcW w:w="1360" w:type="dxa"/>
            <w:vAlign w:val="bottom"/>
          </w:tcPr>
          <w:p>
            <w:pPr>
              <w:spacing w:after="0"/>
              <w:rPr>
                <w:sz w:val="24"/>
                <w:szCs w:val="24"/>
                <w:color w:val="auto"/>
              </w:rPr>
            </w:pPr>
          </w:p>
        </w:tc>
        <w:tc>
          <w:tcPr>
            <w:tcW w:w="3200" w:type="dxa"/>
            <w:vAlign w:val="bottom"/>
          </w:tcPr>
          <w:p>
            <w:pPr>
              <w:ind w:left="20"/>
              <w:spacing w:after="0"/>
              <w:rPr>
                <w:sz w:val="20"/>
                <w:szCs w:val="20"/>
                <w:color w:val="auto"/>
              </w:rPr>
            </w:pPr>
            <w:r>
              <w:rPr>
                <w:rFonts w:ascii="Arial" w:cs="Arial" w:eastAsia="Arial" w:hAnsi="Arial"/>
                <w:sz w:val="20"/>
                <w:szCs w:val="20"/>
                <w:color w:val="auto"/>
              </w:rPr>
              <w:t>President and CEO</w:t>
            </w:r>
          </w:p>
        </w:tc>
      </w:tr>
      <w:tr>
        <w:trPr>
          <w:trHeight w:val="712"/>
        </w:trPr>
        <w:tc>
          <w:tcPr>
            <w:tcW w:w="1360" w:type="dxa"/>
            <w:vAlign w:val="bottom"/>
          </w:tcPr>
          <w:p>
            <w:pPr>
              <w:spacing w:after="0"/>
              <w:rPr>
                <w:sz w:val="20"/>
                <w:szCs w:val="20"/>
                <w:color w:val="auto"/>
              </w:rPr>
            </w:pPr>
            <w:r>
              <w:rPr>
                <w:rFonts w:ascii="Arial" w:cs="Arial" w:eastAsia="Arial" w:hAnsi="Arial"/>
                <w:sz w:val="20"/>
                <w:szCs w:val="20"/>
                <w:color w:val="auto"/>
              </w:rPr>
              <w:t>Address:</w:t>
            </w:r>
          </w:p>
        </w:tc>
        <w:tc>
          <w:tcPr>
            <w:tcW w:w="3200" w:type="dxa"/>
            <w:vAlign w:val="bottom"/>
          </w:tcPr>
          <w:p>
            <w:pPr>
              <w:ind w:left="20"/>
              <w:spacing w:after="0"/>
              <w:rPr>
                <w:sz w:val="20"/>
                <w:szCs w:val="20"/>
                <w:color w:val="auto"/>
              </w:rPr>
            </w:pPr>
            <w:r>
              <w:rPr>
                <w:rFonts w:ascii="Arial" w:cs="Arial" w:eastAsia="Arial" w:hAnsi="Arial"/>
                <w:sz w:val="20"/>
                <w:szCs w:val="20"/>
                <w:color w:val="auto"/>
              </w:rPr>
              <w:t>10421 Pacific Center Court</w:t>
            </w:r>
          </w:p>
        </w:tc>
      </w:tr>
      <w:tr>
        <w:trPr>
          <w:trHeight w:val="280"/>
        </w:trPr>
        <w:tc>
          <w:tcPr>
            <w:tcW w:w="1360" w:type="dxa"/>
            <w:vAlign w:val="bottom"/>
          </w:tcPr>
          <w:p>
            <w:pPr>
              <w:spacing w:after="0"/>
              <w:rPr>
                <w:sz w:val="24"/>
                <w:szCs w:val="24"/>
                <w:color w:val="auto"/>
              </w:rPr>
            </w:pPr>
          </w:p>
        </w:tc>
        <w:tc>
          <w:tcPr>
            <w:tcW w:w="3200" w:type="dxa"/>
            <w:vAlign w:val="bottom"/>
          </w:tcPr>
          <w:p>
            <w:pPr>
              <w:ind w:left="20"/>
              <w:spacing w:after="0"/>
              <w:rPr>
                <w:sz w:val="20"/>
                <w:szCs w:val="20"/>
                <w:color w:val="auto"/>
              </w:rPr>
            </w:pPr>
            <w:r>
              <w:rPr>
                <w:rFonts w:ascii="Arial" w:cs="Arial" w:eastAsia="Arial" w:hAnsi="Arial"/>
                <w:sz w:val="20"/>
                <w:szCs w:val="20"/>
                <w:color w:val="auto"/>
              </w:rPr>
              <w:t>Suite 200</w:t>
            </w:r>
          </w:p>
        </w:tc>
      </w:tr>
      <w:tr>
        <w:trPr>
          <w:trHeight w:val="280"/>
        </w:trPr>
        <w:tc>
          <w:tcPr>
            <w:tcW w:w="1360" w:type="dxa"/>
            <w:vAlign w:val="bottom"/>
          </w:tcPr>
          <w:p>
            <w:pPr>
              <w:spacing w:after="0"/>
              <w:rPr>
                <w:sz w:val="24"/>
                <w:szCs w:val="24"/>
                <w:color w:val="auto"/>
              </w:rPr>
            </w:pPr>
          </w:p>
        </w:tc>
        <w:tc>
          <w:tcPr>
            <w:tcW w:w="3200" w:type="dxa"/>
            <w:vAlign w:val="bottom"/>
          </w:tcPr>
          <w:p>
            <w:pPr>
              <w:ind w:left="20"/>
              <w:spacing w:after="0"/>
              <w:rPr>
                <w:sz w:val="20"/>
                <w:szCs w:val="20"/>
                <w:color w:val="auto"/>
              </w:rPr>
            </w:pPr>
            <w:r>
              <w:rPr>
                <w:rFonts w:ascii="Arial" w:cs="Arial" w:eastAsia="Arial" w:hAnsi="Arial"/>
                <w:sz w:val="20"/>
                <w:szCs w:val="20"/>
                <w:color w:val="auto"/>
              </w:rPr>
              <w:t>San Diego, CA 92121</w:t>
            </w:r>
          </w:p>
        </w:tc>
      </w:tr>
    </w:tbl>
    <w:p>
      <w:pPr>
        <w:sectPr>
          <w:pgSz w:w="11900" w:h="16838" w:orient="portrait"/>
          <w:cols w:equalWidth="0" w:num="1">
            <w:col w:w="9019"/>
          </w:cols>
          <w:pgMar w:left="1440" w:top="131" w:right="1440"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8"/>
          <w:szCs w:val="18"/>
          <w:color w:val="auto"/>
        </w:rPr>
        <w:t>The parties are signing this Amendment as of the date stated in the introductory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INVESTOR:</w:t>
      </w:r>
    </w:p>
    <w:p>
      <w:pPr>
        <w:spacing w:after="0" w:line="355"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FRAZIER HEALTHCARE V, LP</w:t>
      </w:r>
    </w:p>
    <w:p>
      <w:pPr>
        <w:spacing w:after="0" w:line="355"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By FHM V, LP, its general partner</w:t>
      </w:r>
    </w:p>
    <w:p>
      <w:pPr>
        <w:spacing w:after="0" w:line="50"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By FHM V, LLC, its general partner</w:t>
      </w:r>
    </w:p>
    <w:p>
      <w:pPr>
        <w:spacing w:after="0" w:line="347" w:lineRule="exact"/>
        <w:rPr>
          <w:sz w:val="20"/>
          <w:szCs w:val="20"/>
          <w:color w:val="auto"/>
        </w:rPr>
      </w:pPr>
    </w:p>
    <w:tbl>
      <w:tblPr>
        <w:tblLayout w:type="fixed"/>
        <w:tblInd w:w="4320" w:type="dxa"/>
        <w:tblCellMar>
          <w:top w:w="0" w:type="dxa"/>
          <w:left w:w="0" w:type="dxa"/>
          <w:bottom w:w="0" w:type="dxa"/>
          <w:right w:w="0" w:type="dxa"/>
        </w:tblCellMar>
      </w:tblPr>
      <w:tr>
        <w:trPr>
          <w:trHeight w:val="268"/>
        </w:trPr>
        <w:tc>
          <w:tcPr>
            <w:tcW w:w="1120" w:type="dxa"/>
            <w:vAlign w:val="bottom"/>
          </w:tcPr>
          <w:p>
            <w:pPr>
              <w:spacing w:after="0"/>
              <w:rPr>
                <w:sz w:val="20"/>
                <w:szCs w:val="20"/>
                <w:color w:val="auto"/>
              </w:rPr>
            </w:pPr>
            <w:r>
              <w:rPr>
                <w:rFonts w:ascii="Arial" w:cs="Arial" w:eastAsia="Arial" w:hAnsi="Arial"/>
                <w:sz w:val="20"/>
                <w:szCs w:val="20"/>
                <w:color w:val="auto"/>
              </w:rPr>
              <w:t>By:</w:t>
            </w: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Steve Bailey</w:t>
            </w:r>
          </w:p>
        </w:tc>
      </w:tr>
      <w:tr>
        <w:trPr>
          <w:trHeight w:val="260"/>
        </w:trPr>
        <w:tc>
          <w:tcPr>
            <w:tcW w:w="1120" w:type="dxa"/>
            <w:vAlign w:val="bottom"/>
          </w:tcPr>
          <w:p>
            <w:pPr>
              <w:spacing w:after="0"/>
              <w:rPr>
                <w:sz w:val="20"/>
                <w:szCs w:val="20"/>
                <w:color w:val="auto"/>
              </w:rPr>
            </w:pPr>
            <w:r>
              <w:rPr>
                <w:rFonts w:ascii="Arial" w:cs="Arial" w:eastAsia="Arial" w:hAnsi="Arial"/>
                <w:sz w:val="20"/>
                <w:szCs w:val="20"/>
                <w:color w:val="auto"/>
              </w:rPr>
              <w:t>Name:</w:t>
            </w: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Steve Bailey</w:t>
            </w:r>
          </w:p>
        </w:tc>
      </w:tr>
      <w:tr>
        <w:trPr>
          <w:trHeight w:val="260"/>
        </w:trPr>
        <w:tc>
          <w:tcPr>
            <w:tcW w:w="1120" w:type="dxa"/>
            <w:vAlign w:val="bottom"/>
          </w:tcPr>
          <w:p>
            <w:pPr>
              <w:spacing w:after="0"/>
              <w:rPr>
                <w:sz w:val="20"/>
                <w:szCs w:val="20"/>
                <w:color w:val="auto"/>
              </w:rPr>
            </w:pPr>
            <w:r>
              <w:rPr>
                <w:rFonts w:ascii="Arial" w:cs="Arial" w:eastAsia="Arial" w:hAnsi="Arial"/>
                <w:sz w:val="20"/>
                <w:szCs w:val="20"/>
                <w:color w:val="auto"/>
              </w:rPr>
              <w:t>Title:</w:t>
            </w: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CFO</w:t>
            </w:r>
          </w:p>
        </w:tc>
      </w:tr>
    </w:tbl>
    <w:p>
      <w:pPr>
        <w:sectPr>
          <w:pgSz w:w="11900" w:h="16838" w:orient="portrait"/>
          <w:cols w:equalWidth="0" w:num="1">
            <w:col w:w="9019"/>
          </w:cols>
          <w:pgMar w:left="1440" w:top="131" w:right="1440"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8"/>
          <w:szCs w:val="18"/>
          <w:color w:val="auto"/>
        </w:rPr>
        <w:t>The parties are signing this Amendment as of the date stated in the introductory clause.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INVESTOR:</w:t>
      </w:r>
    </w:p>
    <w:p>
      <w:pPr>
        <w:spacing w:after="0" w:line="355"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FRAZIER HEALTHCARE VII, L.P.</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320" w:type="dxa"/>
        <w:tblCellMar>
          <w:top w:w="0" w:type="dxa"/>
          <w:left w:w="0" w:type="dxa"/>
          <w:bottom w:w="0" w:type="dxa"/>
          <w:right w:w="0" w:type="dxa"/>
        </w:tblCellMar>
      </w:tblPr>
      <w:tr>
        <w:trPr>
          <w:trHeight w:val="268"/>
        </w:trPr>
        <w:tc>
          <w:tcPr>
            <w:tcW w:w="1120" w:type="dxa"/>
            <w:vAlign w:val="bottom"/>
          </w:tcPr>
          <w:p>
            <w:pPr>
              <w:spacing w:after="0"/>
              <w:rPr>
                <w:sz w:val="20"/>
                <w:szCs w:val="20"/>
                <w:color w:val="auto"/>
              </w:rPr>
            </w:pPr>
            <w:r>
              <w:rPr>
                <w:rFonts w:ascii="Arial" w:cs="Arial" w:eastAsia="Arial" w:hAnsi="Arial"/>
                <w:sz w:val="20"/>
                <w:szCs w:val="20"/>
                <w:color w:val="auto"/>
              </w:rPr>
              <w:t>By:</w:t>
            </w: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Steve Bailey</w:t>
            </w:r>
          </w:p>
        </w:tc>
      </w:tr>
      <w:tr>
        <w:trPr>
          <w:trHeight w:val="260"/>
        </w:trPr>
        <w:tc>
          <w:tcPr>
            <w:tcW w:w="1120" w:type="dxa"/>
            <w:vAlign w:val="bottom"/>
          </w:tcPr>
          <w:p>
            <w:pPr>
              <w:spacing w:after="0"/>
              <w:rPr>
                <w:sz w:val="20"/>
                <w:szCs w:val="20"/>
                <w:color w:val="auto"/>
              </w:rPr>
            </w:pPr>
            <w:r>
              <w:rPr>
                <w:rFonts w:ascii="Arial" w:cs="Arial" w:eastAsia="Arial" w:hAnsi="Arial"/>
                <w:sz w:val="20"/>
                <w:szCs w:val="20"/>
                <w:color w:val="auto"/>
              </w:rPr>
              <w:t>Name:</w:t>
            </w: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Steve Bailey</w:t>
            </w:r>
          </w:p>
        </w:tc>
      </w:tr>
      <w:tr>
        <w:trPr>
          <w:trHeight w:val="260"/>
        </w:trPr>
        <w:tc>
          <w:tcPr>
            <w:tcW w:w="1120" w:type="dxa"/>
            <w:vAlign w:val="bottom"/>
          </w:tcPr>
          <w:p>
            <w:pPr>
              <w:spacing w:after="0"/>
              <w:rPr>
                <w:sz w:val="20"/>
                <w:szCs w:val="20"/>
                <w:color w:val="auto"/>
              </w:rPr>
            </w:pPr>
            <w:r>
              <w:rPr>
                <w:rFonts w:ascii="Arial" w:cs="Arial" w:eastAsia="Arial" w:hAnsi="Arial"/>
                <w:sz w:val="20"/>
                <w:szCs w:val="20"/>
                <w:color w:val="auto"/>
              </w:rPr>
              <w:t>Title:</w:t>
            </w: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CFO</w:t>
            </w:r>
          </w:p>
        </w:tc>
      </w:tr>
    </w:tbl>
    <w:p>
      <w:pPr>
        <w:sectPr>
          <w:pgSz w:w="11900" w:h="16838" w:orient="portrait"/>
          <w:cols w:equalWidth="0" w:num="1">
            <w:col w:w="9019"/>
          </w:cols>
          <w:pgMar w:left="1440" w:top="640" w:right="1440"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8"/>
          <w:szCs w:val="18"/>
          <w:color w:val="auto"/>
        </w:rPr>
        <w:t>The parties are signing this Amendment as of the date stated in the introductory clause.</w:t>
      </w:r>
    </w:p>
    <w:p>
      <w:pPr>
        <w:spacing w:after="0" w:line="200" w:lineRule="exact"/>
        <w:rPr>
          <w:sz w:val="20"/>
          <w:szCs w:val="20"/>
          <w:color w:val="auto"/>
        </w:rPr>
      </w:pPr>
    </w:p>
    <w:p>
      <w:pPr>
        <w:spacing w:after="0" w:line="378"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INVESTOR:</w:t>
      </w:r>
    </w:p>
    <w:p>
      <w:pPr>
        <w:spacing w:after="0" w:line="355"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FRAZIER HEALTHCARE VII-A, L.P.</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320" w:type="dxa"/>
        <w:tblCellMar>
          <w:top w:w="0" w:type="dxa"/>
          <w:left w:w="0" w:type="dxa"/>
          <w:bottom w:w="0" w:type="dxa"/>
          <w:right w:w="0" w:type="dxa"/>
        </w:tblCellMar>
      </w:tblPr>
      <w:tr>
        <w:trPr>
          <w:trHeight w:val="268"/>
        </w:trPr>
        <w:tc>
          <w:tcPr>
            <w:tcW w:w="1120" w:type="dxa"/>
            <w:vAlign w:val="bottom"/>
          </w:tcPr>
          <w:p>
            <w:pPr>
              <w:spacing w:after="0"/>
              <w:rPr>
                <w:sz w:val="20"/>
                <w:szCs w:val="20"/>
                <w:color w:val="auto"/>
              </w:rPr>
            </w:pPr>
            <w:r>
              <w:rPr>
                <w:rFonts w:ascii="Arial" w:cs="Arial" w:eastAsia="Arial" w:hAnsi="Arial"/>
                <w:sz w:val="20"/>
                <w:szCs w:val="20"/>
                <w:color w:val="auto"/>
              </w:rPr>
              <w:t>By:</w:t>
            </w: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Steve Bailey</w:t>
            </w:r>
          </w:p>
        </w:tc>
      </w:tr>
      <w:tr>
        <w:trPr>
          <w:trHeight w:val="260"/>
        </w:trPr>
        <w:tc>
          <w:tcPr>
            <w:tcW w:w="1120" w:type="dxa"/>
            <w:vAlign w:val="bottom"/>
          </w:tcPr>
          <w:p>
            <w:pPr>
              <w:spacing w:after="0"/>
              <w:rPr>
                <w:sz w:val="20"/>
                <w:szCs w:val="20"/>
                <w:color w:val="auto"/>
              </w:rPr>
            </w:pPr>
            <w:r>
              <w:rPr>
                <w:rFonts w:ascii="Arial" w:cs="Arial" w:eastAsia="Arial" w:hAnsi="Arial"/>
                <w:sz w:val="20"/>
                <w:szCs w:val="20"/>
                <w:color w:val="auto"/>
              </w:rPr>
              <w:t>Name:</w:t>
            </w: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Steve Bailey</w:t>
            </w:r>
          </w:p>
        </w:tc>
      </w:tr>
      <w:tr>
        <w:trPr>
          <w:trHeight w:val="260"/>
        </w:trPr>
        <w:tc>
          <w:tcPr>
            <w:tcW w:w="1120" w:type="dxa"/>
            <w:vAlign w:val="bottom"/>
          </w:tcPr>
          <w:p>
            <w:pPr>
              <w:spacing w:after="0"/>
              <w:rPr>
                <w:sz w:val="20"/>
                <w:szCs w:val="20"/>
                <w:color w:val="auto"/>
              </w:rPr>
            </w:pPr>
            <w:r>
              <w:rPr>
                <w:rFonts w:ascii="Arial" w:cs="Arial" w:eastAsia="Arial" w:hAnsi="Arial"/>
                <w:sz w:val="20"/>
                <w:szCs w:val="20"/>
                <w:color w:val="auto"/>
              </w:rPr>
              <w:t>Title:</w:t>
            </w: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CFO</w:t>
            </w:r>
          </w:p>
        </w:tc>
      </w:tr>
    </w:tbl>
    <w:p>
      <w:pPr>
        <w:sectPr>
          <w:pgSz w:w="11900" w:h="16838" w:orient="portrait"/>
          <w:cols w:equalWidth="0" w:num="1">
            <w:col w:w="9019"/>
          </w:cols>
          <w:pgMar w:left="1440" w:top="640" w:right="1440" w:bottom="1440" w:gutter="0" w:footer="0" w:header="0"/>
        </w:sectPr>
      </w:pPr>
    </w:p>
    <w:bookmarkStart w:id="71" w:name="page72"/>
    <w:bookmarkEnd w:id="71"/>
    <w:p>
      <w:pPr>
        <w:jc w:val="center"/>
        <w:ind w:right="140"/>
        <w:spacing w:after="0"/>
        <w:rPr>
          <w:sz w:val="20"/>
          <w:szCs w:val="20"/>
          <w:color w:val="auto"/>
        </w:rPr>
      </w:pPr>
      <w:r>
        <w:rPr>
          <w:rFonts w:ascii="Arial" w:cs="Arial" w:eastAsia="Arial" w:hAnsi="Arial"/>
          <w:sz w:val="24"/>
          <w:szCs w:val="24"/>
          <w:b w:val="1"/>
          <w:bCs w:val="1"/>
          <w:u w:val="single" w:color="auto"/>
          <w:color w:val="auto"/>
        </w:rPr>
        <w:t>SUBLEASE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PARTIES.</w:t>
      </w:r>
    </w:p>
    <w:p>
      <w:pPr>
        <w:spacing w:after="0" w:line="24" w:lineRule="exact"/>
        <w:rPr>
          <w:sz w:val="20"/>
          <w:szCs w:val="20"/>
          <w:color w:val="auto"/>
        </w:rPr>
      </w:pPr>
    </w:p>
    <w:p>
      <w:pPr>
        <w:jc w:val="both"/>
        <w:ind w:left="460" w:firstLine="611"/>
        <w:spacing w:after="0" w:line="259" w:lineRule="auto"/>
        <w:rPr>
          <w:sz w:val="20"/>
          <w:szCs w:val="20"/>
          <w:color w:val="auto"/>
        </w:rPr>
      </w:pPr>
      <w:r>
        <w:rPr>
          <w:rFonts w:ascii="Arial" w:cs="Arial" w:eastAsia="Arial" w:hAnsi="Arial"/>
          <w:sz w:val="17"/>
          <w:szCs w:val="17"/>
          <w:color w:val="auto"/>
        </w:rPr>
        <w:t>This Sublease, dated May 18, 2018 (the “</w:t>
      </w:r>
      <w:r>
        <w:rPr>
          <w:rFonts w:ascii="Arial" w:cs="Arial" w:eastAsia="Arial" w:hAnsi="Arial"/>
          <w:sz w:val="17"/>
          <w:szCs w:val="17"/>
          <w:b w:val="1"/>
          <w:bCs w:val="1"/>
          <w:color w:val="auto"/>
        </w:rPr>
        <w:t>Effective Date</w:t>
      </w:r>
      <w:r>
        <w:rPr>
          <w:rFonts w:ascii="Arial" w:cs="Arial" w:eastAsia="Arial" w:hAnsi="Arial"/>
          <w:sz w:val="17"/>
          <w:szCs w:val="17"/>
          <w:color w:val="auto"/>
        </w:rPr>
        <w:t>”) is made between Trex Enterprises Corporation, a California corporation, (“</w:t>
      </w:r>
      <w:r>
        <w:rPr>
          <w:rFonts w:ascii="Arial" w:cs="Arial" w:eastAsia="Arial" w:hAnsi="Arial"/>
          <w:sz w:val="17"/>
          <w:szCs w:val="17"/>
          <w:b w:val="1"/>
          <w:bCs w:val="1"/>
          <w:color w:val="auto"/>
        </w:rPr>
        <w:t>Sublessor</w:t>
      </w:r>
      <w:r>
        <w:rPr>
          <w:rFonts w:ascii="Arial" w:cs="Arial" w:eastAsia="Arial" w:hAnsi="Arial"/>
          <w:sz w:val="17"/>
          <w:szCs w:val="17"/>
          <w:color w:val="auto"/>
        </w:rPr>
        <w:t>”), and AnaptysBio, Inc., a Delaware corporation (“</w:t>
      </w:r>
      <w:r>
        <w:rPr>
          <w:rFonts w:ascii="Arial" w:cs="Arial" w:eastAsia="Arial" w:hAnsi="Arial"/>
          <w:sz w:val="17"/>
          <w:szCs w:val="17"/>
          <w:b w:val="1"/>
          <w:bCs w:val="1"/>
          <w:color w:val="auto"/>
        </w:rPr>
        <w:t>Sublessee</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MASTER LEASE.</w:t>
      </w:r>
    </w:p>
    <w:p>
      <w:pPr>
        <w:spacing w:after="0" w:line="24" w:lineRule="exact"/>
        <w:rPr>
          <w:sz w:val="20"/>
          <w:szCs w:val="20"/>
          <w:color w:val="auto"/>
        </w:rPr>
      </w:pPr>
    </w:p>
    <w:p>
      <w:pPr>
        <w:jc w:val="both"/>
        <w:ind w:left="460" w:firstLine="611"/>
        <w:spacing w:after="0" w:line="252" w:lineRule="auto"/>
        <w:rPr>
          <w:sz w:val="20"/>
          <w:szCs w:val="20"/>
          <w:color w:val="auto"/>
        </w:rPr>
      </w:pPr>
      <w:r>
        <w:rPr>
          <w:rFonts w:ascii="Arial" w:cs="Arial" w:eastAsia="Arial" w:hAnsi="Arial"/>
          <w:sz w:val="17"/>
          <w:szCs w:val="17"/>
          <w:color w:val="auto"/>
        </w:rPr>
        <w:t>Sublessor is the lessee under a written lease dated April 21, 2016 and the first Amendment dated January 20, 2017 (together, the “</w:t>
      </w:r>
      <w:r>
        <w:rPr>
          <w:rFonts w:ascii="Arial" w:cs="Arial" w:eastAsia="Arial" w:hAnsi="Arial"/>
          <w:sz w:val="17"/>
          <w:szCs w:val="17"/>
          <w:b w:val="1"/>
          <w:bCs w:val="1"/>
          <w:color w:val="auto"/>
        </w:rPr>
        <w:t>Master</w:t>
      </w:r>
      <w:r>
        <w:rPr>
          <w:rFonts w:ascii="Arial" w:cs="Arial" w:eastAsia="Arial" w:hAnsi="Arial"/>
          <w:sz w:val="17"/>
          <w:szCs w:val="17"/>
          <w:color w:val="auto"/>
        </w:rPr>
        <w:t xml:space="preserve"> </w:t>
      </w:r>
      <w:r>
        <w:rPr>
          <w:rFonts w:ascii="Arial" w:cs="Arial" w:eastAsia="Arial" w:hAnsi="Arial"/>
          <w:sz w:val="17"/>
          <w:szCs w:val="17"/>
          <w:b w:val="1"/>
          <w:bCs w:val="1"/>
          <w:color w:val="auto"/>
        </w:rPr>
        <w:t>Lease</w:t>
      </w:r>
      <w:r>
        <w:rPr>
          <w:rFonts w:ascii="Arial" w:cs="Arial" w:eastAsia="Arial" w:hAnsi="Arial"/>
          <w:sz w:val="17"/>
          <w:szCs w:val="17"/>
          <w:color w:val="auto"/>
        </w:rPr>
        <w:t>”) wherein Kilroy Realty, L.P., a Delaware limited partnership leased to Sublessor the real property located in the City of San Diego, County of</w:t>
      </w:r>
      <w:r>
        <w:rPr>
          <w:rFonts w:ascii="Arial" w:cs="Arial" w:eastAsia="Arial" w:hAnsi="Arial"/>
          <w:sz w:val="17"/>
          <w:szCs w:val="17"/>
          <w:b w:val="1"/>
          <w:bCs w:val="1"/>
          <w:color w:val="auto"/>
        </w:rPr>
        <w:t xml:space="preserve"> </w:t>
      </w:r>
      <w:r>
        <w:rPr>
          <w:rFonts w:ascii="Arial" w:cs="Arial" w:eastAsia="Arial" w:hAnsi="Arial"/>
          <w:sz w:val="17"/>
          <w:szCs w:val="17"/>
          <w:color w:val="auto"/>
        </w:rPr>
        <w:t>San Diego, State of California, described as: 10455 Pacific Center Court, San Diego, California, 92121 (“</w:t>
      </w:r>
      <w:r>
        <w:rPr>
          <w:rFonts w:ascii="Arial" w:cs="Arial" w:eastAsia="Arial" w:hAnsi="Arial"/>
          <w:sz w:val="17"/>
          <w:szCs w:val="17"/>
          <w:b w:val="1"/>
          <w:bCs w:val="1"/>
          <w:color w:val="auto"/>
        </w:rPr>
        <w:t>Master Premises</w:t>
      </w:r>
      <w:r>
        <w:rPr>
          <w:rFonts w:ascii="Arial" w:cs="Arial" w:eastAsia="Arial" w:hAnsi="Arial"/>
          <w:sz w:val="17"/>
          <w:szCs w:val="17"/>
          <w:color w:val="auto"/>
        </w:rPr>
        <w:t>”). A subsequent sale in ownership of the Master Premises led to the transfer of the Master Lease to CIO Sorrento Mesa, LLC (the “</w:t>
      </w:r>
      <w:r>
        <w:rPr>
          <w:rFonts w:ascii="Arial" w:cs="Arial" w:eastAsia="Arial" w:hAnsi="Arial"/>
          <w:sz w:val="17"/>
          <w:szCs w:val="17"/>
          <w:b w:val="1"/>
          <w:bCs w:val="1"/>
          <w:color w:val="auto"/>
        </w:rPr>
        <w:t>Lessor</w:t>
      </w:r>
      <w:r>
        <w:rPr>
          <w:rFonts w:ascii="Arial" w:cs="Arial" w:eastAsia="Arial" w:hAnsi="Arial"/>
          <w:sz w:val="17"/>
          <w:szCs w:val="17"/>
          <w:color w:val="auto"/>
        </w:rPr>
        <w:t xml:space="preserve">”), the notice for which is attached as </w:t>
      </w:r>
      <w:r>
        <w:rPr>
          <w:rFonts w:ascii="Arial" w:cs="Arial" w:eastAsia="Arial" w:hAnsi="Arial"/>
          <w:sz w:val="17"/>
          <w:szCs w:val="17"/>
          <w:b w:val="1"/>
          <w:bCs w:val="1"/>
          <w:color w:val="auto"/>
        </w:rPr>
        <w:t xml:space="preserve">Exhibit “A” </w:t>
      </w:r>
      <w:r>
        <w:rPr>
          <w:rFonts w:ascii="Arial" w:cs="Arial" w:eastAsia="Arial" w:hAnsi="Arial"/>
          <w:sz w:val="17"/>
          <w:szCs w:val="17"/>
          <w:color w:val="auto"/>
        </w:rPr>
        <w:t>to this Sublease.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PREMISES.</w:t>
      </w:r>
    </w:p>
    <w:p>
      <w:pPr>
        <w:spacing w:after="0" w:line="24" w:lineRule="exact"/>
        <w:rPr>
          <w:sz w:val="20"/>
          <w:szCs w:val="20"/>
          <w:color w:val="auto"/>
        </w:rPr>
      </w:pPr>
    </w:p>
    <w:p>
      <w:pPr>
        <w:jc w:val="both"/>
        <w:ind w:left="460" w:firstLine="611"/>
        <w:spacing w:after="0" w:line="270" w:lineRule="auto"/>
        <w:rPr>
          <w:sz w:val="20"/>
          <w:szCs w:val="20"/>
          <w:color w:val="auto"/>
        </w:rPr>
      </w:pPr>
      <w:r>
        <w:rPr>
          <w:rFonts w:ascii="Arial" w:cs="Arial" w:eastAsia="Arial" w:hAnsi="Arial"/>
          <w:sz w:val="17"/>
          <w:szCs w:val="17"/>
          <w:color w:val="auto"/>
        </w:rPr>
        <w:t>Sublessor hereby subleases to Sublessee on the terms and conditions set forth in this Sublease the following portion of the Master Premises: approximately 18,322 rentable square feet on the 2</w:t>
      </w:r>
      <w:r>
        <w:rPr>
          <w:rFonts w:ascii="Arial" w:cs="Arial" w:eastAsia="Arial" w:hAnsi="Arial"/>
          <w:sz w:val="10"/>
          <w:szCs w:val="10"/>
          <w:color w:val="auto"/>
        </w:rPr>
        <w:t>nd</w:t>
      </w:r>
      <w:r>
        <w:rPr>
          <w:rFonts w:ascii="Arial" w:cs="Arial" w:eastAsia="Arial" w:hAnsi="Arial"/>
          <w:sz w:val="17"/>
          <w:szCs w:val="17"/>
          <w:color w:val="auto"/>
        </w:rPr>
        <w:t xml:space="preserve"> floor of the building, commonly known as Suite 200 (the “</w:t>
      </w:r>
      <w:r>
        <w:rPr>
          <w:rFonts w:ascii="Arial" w:cs="Arial" w:eastAsia="Arial" w:hAnsi="Arial"/>
          <w:sz w:val="17"/>
          <w:szCs w:val="17"/>
          <w:b w:val="1"/>
          <w:bCs w:val="1"/>
          <w:color w:val="auto"/>
        </w:rPr>
        <w:t>Premises</w:t>
      </w:r>
      <w:r>
        <w:rPr>
          <w:rFonts w:ascii="Arial" w:cs="Arial" w:eastAsia="Arial" w:hAnsi="Arial"/>
          <w:sz w:val="17"/>
          <w:szCs w:val="17"/>
          <w:color w:val="auto"/>
        </w:rPr>
        <w:t xml:space="preserve">”), as depicted on </w:t>
      </w:r>
      <w:r>
        <w:rPr>
          <w:rFonts w:ascii="Arial" w:cs="Arial" w:eastAsia="Arial" w:hAnsi="Arial"/>
          <w:sz w:val="17"/>
          <w:szCs w:val="17"/>
          <w:b w:val="1"/>
          <w:bCs w:val="1"/>
          <w:color w:val="auto"/>
        </w:rPr>
        <w:t>Exhibit “B”</w:t>
      </w:r>
      <w:r>
        <w:rPr>
          <w:rFonts w:ascii="Arial" w:cs="Arial" w:eastAsia="Arial" w:hAnsi="Arial"/>
          <w:sz w:val="17"/>
          <w:szCs w:val="17"/>
          <w:color w:val="auto"/>
        </w:rPr>
        <w:t>, attached hereto and incorporated by this reference herein.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WARRANTY BY SUBLESSOR.</w:t>
      </w:r>
    </w:p>
    <w:p>
      <w:pPr>
        <w:spacing w:after="0" w:line="24" w:lineRule="exact"/>
        <w:rPr>
          <w:sz w:val="20"/>
          <w:szCs w:val="20"/>
          <w:color w:val="auto"/>
        </w:rPr>
      </w:pPr>
    </w:p>
    <w:p>
      <w:pPr>
        <w:jc w:val="both"/>
        <w:ind w:left="460" w:firstLine="611"/>
        <w:spacing w:after="0" w:line="253" w:lineRule="auto"/>
        <w:rPr>
          <w:sz w:val="20"/>
          <w:szCs w:val="20"/>
          <w:color w:val="auto"/>
        </w:rPr>
      </w:pPr>
      <w:r>
        <w:rPr>
          <w:rFonts w:ascii="Arial" w:cs="Arial" w:eastAsia="Arial" w:hAnsi="Arial"/>
          <w:sz w:val="17"/>
          <w:szCs w:val="17"/>
          <w:color w:val="auto"/>
        </w:rPr>
        <w:t>Sublessor warrants and represents to Sublessee that (a) Sublessor is not now, and as of the Commencement Date (as defined below) will not be, in default or breach of any of the provisions of the Master Lease, (b) Sublessor has no knowledge of any claim by Lessor that Sublessor is in default or breach of any of the provisions of the Master Lease, (c) the Master Lease is in full force and effect, and (d) the Master Lease has not been modified or amended, except as set forth herein.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TERM.</w:t>
      </w:r>
    </w:p>
    <w:p>
      <w:pPr>
        <w:spacing w:after="0" w:line="24" w:lineRule="exact"/>
        <w:rPr>
          <w:sz w:val="20"/>
          <w:szCs w:val="20"/>
          <w:color w:val="auto"/>
        </w:rPr>
      </w:pPr>
    </w:p>
    <w:p>
      <w:pPr>
        <w:jc w:val="both"/>
        <w:ind w:left="460" w:firstLine="611"/>
        <w:spacing w:after="0" w:line="285" w:lineRule="auto"/>
        <w:rPr>
          <w:sz w:val="20"/>
          <w:szCs w:val="20"/>
          <w:color w:val="auto"/>
        </w:rPr>
      </w:pPr>
      <w:r>
        <w:rPr>
          <w:rFonts w:ascii="Arial" w:cs="Arial" w:eastAsia="Arial" w:hAnsi="Arial"/>
          <w:sz w:val="15"/>
          <w:szCs w:val="15"/>
          <w:color w:val="auto"/>
        </w:rPr>
        <w:t>The term of the Sublease (the “</w:t>
      </w:r>
      <w:r>
        <w:rPr>
          <w:rFonts w:ascii="Arial" w:cs="Arial" w:eastAsia="Arial" w:hAnsi="Arial"/>
          <w:sz w:val="15"/>
          <w:szCs w:val="15"/>
          <w:b w:val="1"/>
          <w:bCs w:val="1"/>
          <w:color w:val="auto"/>
        </w:rPr>
        <w:t>Sublease Term</w:t>
      </w:r>
      <w:r>
        <w:rPr>
          <w:rFonts w:ascii="Arial" w:cs="Arial" w:eastAsia="Arial" w:hAnsi="Arial"/>
          <w:sz w:val="15"/>
          <w:szCs w:val="15"/>
          <w:color w:val="auto"/>
        </w:rPr>
        <w:t>”) shall be for forty (40) months. The Sublease Term shall commence upon the date (the “</w:t>
      </w:r>
      <w:r>
        <w:rPr>
          <w:rFonts w:ascii="Arial" w:cs="Arial" w:eastAsia="Arial" w:hAnsi="Arial"/>
          <w:sz w:val="15"/>
          <w:szCs w:val="15"/>
          <w:b w:val="1"/>
          <w:bCs w:val="1"/>
          <w:color w:val="auto"/>
        </w:rPr>
        <w:t>Commencement Date</w:t>
      </w:r>
      <w:r>
        <w:rPr>
          <w:rFonts w:ascii="Arial" w:cs="Arial" w:eastAsia="Arial" w:hAnsi="Arial"/>
          <w:sz w:val="15"/>
          <w:szCs w:val="15"/>
          <w:color w:val="auto"/>
        </w:rPr>
        <w:t>”) which is the later of: (a) July 7, 2018, or (b) forty-five (45) days following the date in which the Premises is delivered to Sublessee in the Delivery Condition, as defined in Section 6 below (the “</w:t>
      </w:r>
      <w:r>
        <w:rPr>
          <w:rFonts w:ascii="Arial" w:cs="Arial" w:eastAsia="Arial" w:hAnsi="Arial"/>
          <w:sz w:val="15"/>
          <w:szCs w:val="15"/>
          <w:b w:val="1"/>
          <w:bCs w:val="1"/>
          <w:color w:val="auto"/>
        </w:rPr>
        <w:t>Delivery Date</w:t>
      </w:r>
      <w:r>
        <w:rPr>
          <w:rFonts w:ascii="Arial" w:cs="Arial" w:eastAsia="Arial" w:hAnsi="Arial"/>
          <w:sz w:val="15"/>
          <w:szCs w:val="15"/>
          <w:color w:val="auto"/>
        </w:rPr>
        <w:t>”) or (c) the date Lessor consents in writing to this Sublease, in a form reasonably acceptable to Sublessor and Sublessee. This Sublease and Sublessor’s and Sublessee’s obligations hereunder are conditioned upon and subject to the prior written consent of Lessor to this Sublease, in a form reasonably acceptable to Sublessor and Sublessee (provided, however, it shall be reasonable for Sublessee to withhold approval of such a consent document if the consent document does not contain express Lessor approval of Sublessee’s Work (and agreement that Sublessee shall not be obligated to restore the Premises to its prior condition or remove Sublessee’s Work upon termination of the Sublease for any reason), Lessor’s approval of Sublessee’s signage rights as provided herein, and an agreement by Lessor to provide Sublessee with a copy of any notices of default delivered to sublessor pursuant to Master Lease). Sublessor agrees to use good faith efforts to obtain the consent of Lessor. If the written consent of Lessor is not obtained on or before 5:00 P.M. Pacific Time on the date which is thirty (30) days after the Effective Date of this Sublease, this condition precedent shall fail, this Sublease shall be void and of no force or effect, and neither Sublessor nor Sublessee shall have any rights against or obligations to the other any rights against or obligations to the other under this Sublease. In such event, Sublessor shall promptly return any Security Deposit and prepaid rent to Sublessee. The Delivery Date is estimated to occur on approximately May 23, 2018 (the “</w:t>
      </w:r>
      <w:r>
        <w:rPr>
          <w:rFonts w:ascii="Arial" w:cs="Arial" w:eastAsia="Arial" w:hAnsi="Arial"/>
          <w:sz w:val="15"/>
          <w:szCs w:val="15"/>
          <w:b w:val="1"/>
          <w:bCs w:val="1"/>
          <w:color w:val="auto"/>
        </w:rPr>
        <w:t>Estimated Delivery Date</w:t>
      </w:r>
      <w:r>
        <w:rPr>
          <w:rFonts w:ascii="Arial" w:cs="Arial" w:eastAsia="Arial" w:hAnsi="Arial"/>
          <w:sz w:val="15"/>
          <w:szCs w:val="15"/>
          <w:color w:val="auto"/>
        </w:rPr>
        <w:t>”). If for any reason Sublessor does not deliver the Premises in the Delivery Condition by the Estimated Delivery Date, the validity of this Sublease shall not be impaired. Notwithstanding the foregoing, if Sublessor has not delivered the Premises with the Delivery Conditions satisfied by June 7, 2018, then at any time thereafter and before delivery of the Premises to Sublessee in the Delivery Condition, Sublessee may give written notice to Sublessor of Sublessee’s intention to cancel this Sublease. Said notice shall set forth an effective date for such cancellation which shall be at least ten (10) days after delivery of said notice to Sublessor. If Sublessor</w:t>
      </w:r>
    </w:p>
    <w:p>
      <w:pPr>
        <w:sectPr>
          <w:pgSz w:w="11900" w:h="16838" w:orient="portrait"/>
          <w:cols w:equalWidth="0" w:num="1">
            <w:col w:w="10800"/>
          </w:cols>
          <w:pgMar w:left="860" w:top="754" w:right="239" w:bottom="1440" w:gutter="0" w:footer="0" w:header="0"/>
        </w:sectPr>
      </w:pPr>
    </w:p>
    <w:bookmarkStart w:id="72" w:name="page73"/>
    <w:bookmarkEnd w:id="72"/>
    <w:p>
      <w:pPr>
        <w:jc w:val="both"/>
        <w:ind w:left="460"/>
        <w:spacing w:after="0" w:line="255" w:lineRule="auto"/>
        <w:rPr>
          <w:sz w:val="20"/>
          <w:szCs w:val="20"/>
          <w:color w:val="auto"/>
        </w:rPr>
      </w:pPr>
      <w:r>
        <w:rPr>
          <w:rFonts w:ascii="Arial" w:cs="Arial" w:eastAsia="Arial" w:hAnsi="Arial"/>
          <w:sz w:val="17"/>
          <w:szCs w:val="17"/>
          <w:color w:val="auto"/>
        </w:rPr>
        <w:t>delivers the Premises to Sublessee in the Delivery Condition on or before the expiration of the ten (10) day period, this Sublease shall remain in full force and effect. If Sublessor fails to deliver the Premises to Sublessee in the Delivery Condition on or before such effective date, this Sublease shall be cancelable by Sublessee, in which case all consideration previously paid by Sublessee to Sublessor on account of this Sublease shall be returned to Sublessee, this Sublease shall thereafter be of no further force or effect, and Sublessor shall have no further liability to Sublessee on account of such delay or cancellation.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RENT.</w:t>
      </w:r>
    </w:p>
    <w:p>
      <w:pPr>
        <w:spacing w:after="0" w:line="24" w:lineRule="exact"/>
        <w:rPr>
          <w:sz w:val="20"/>
          <w:szCs w:val="20"/>
          <w:color w:val="auto"/>
        </w:rPr>
      </w:pPr>
    </w:p>
    <w:p>
      <w:pPr>
        <w:jc w:val="both"/>
        <w:ind w:left="460" w:firstLine="611"/>
        <w:spacing w:after="0" w:line="290" w:lineRule="auto"/>
        <w:rPr>
          <w:sz w:val="20"/>
          <w:szCs w:val="20"/>
          <w:color w:val="auto"/>
        </w:rPr>
      </w:pPr>
      <w:r>
        <w:rPr>
          <w:rFonts w:ascii="Arial" w:cs="Arial" w:eastAsia="Arial" w:hAnsi="Arial"/>
          <w:sz w:val="15"/>
          <w:szCs w:val="15"/>
          <w:color w:val="auto"/>
        </w:rPr>
        <w:t>Sublessee shall pay to Sublessor as Base Rent, Direct Expenses and Utilities without deduction, setoff, notice or demand (except as provided herein), at 10455 Pacific Center Court I San Diego, CA 92121-4339, or at such other place as Sublessor shall designate from time to time by written notice to Sublessee. Sublessee shall pay to Sublessor upon execution of this Sublease $37,461.77 as Base Rent and Direct Expenses for the first month of the Sublease Term and, within ten (10) days of the later of (a) Effective Date or (b) the date Lessor consents in writing to this Sublease, an additional $33,034.56 as a Security Deposit to be treated in the same manner as is outlined in the Master Lease, and as set forth in this Section 6. If the Sublease Term begins on a day other than the first day of a month, the Base Rent, Direct Expenses and utilities for the partial months shall be prorated on a per diem basis based on the actual number of days in the month in which the Sublease commences. Additional provisions:</w:t>
      </w:r>
    </w:p>
    <w:p>
      <w:pPr>
        <w:spacing w:after="0" w:line="154" w:lineRule="exact"/>
        <w:rPr>
          <w:sz w:val="20"/>
          <w:szCs w:val="20"/>
          <w:color w:val="auto"/>
        </w:rPr>
      </w:pPr>
    </w:p>
    <w:p>
      <w:pPr>
        <w:ind w:left="760" w:right="20" w:hanging="310"/>
        <w:spacing w:after="0" w:line="256" w:lineRule="auto"/>
        <w:tabs>
          <w:tab w:leader="none" w:pos="760"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 xml:space="preserve">PREMISES: </w:t>
      </w:r>
      <w:r>
        <w:rPr>
          <w:rFonts w:ascii="Arial" w:cs="Arial" w:eastAsia="Arial" w:hAnsi="Arial"/>
          <w:sz w:val="17"/>
          <w:szCs w:val="17"/>
          <w:color w:val="auto"/>
        </w:rPr>
        <w:t>Sublessor shall retain the server room, electrical room and large room opposite the server room (areas not highlighted on floor plan in</w:t>
      </w:r>
      <w:r>
        <w:rPr>
          <w:rFonts w:ascii="Arial" w:cs="Arial" w:eastAsia="Arial" w:hAnsi="Arial"/>
          <w:sz w:val="17"/>
          <w:szCs w:val="17"/>
          <w:b w:val="1"/>
          <w:bCs w:val="1"/>
          <w:color w:val="auto"/>
        </w:rPr>
        <w:t xml:space="preserve"> </w:t>
      </w:r>
      <w:r>
        <w:rPr>
          <w:rFonts w:ascii="Arial" w:cs="Arial" w:eastAsia="Arial" w:hAnsi="Arial"/>
          <w:sz w:val="17"/>
          <w:szCs w:val="17"/>
          <w:color w:val="auto"/>
        </w:rPr>
        <w:t>the brochure previously delivered to Sublessee). The rentable square footage listed on the market brochure included these areas and Sublessor confirmed with the architect the new rentable square footage, excluding these areas, of 18,322 RSF.</w:t>
      </w:r>
    </w:p>
    <w:p>
      <w:pPr>
        <w:ind w:left="760" w:right="420" w:hanging="310"/>
        <w:spacing w:after="0" w:line="265"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 xml:space="preserve">USE: </w:t>
      </w:r>
      <w:r>
        <w:rPr>
          <w:rFonts w:ascii="Arial" w:cs="Arial" w:eastAsia="Arial" w:hAnsi="Arial"/>
          <w:sz w:val="16"/>
          <w:szCs w:val="16"/>
          <w:color w:val="auto"/>
        </w:rPr>
        <w:t>The Premises will be used for general office use and all legal uses consistent with a first-class office/R&amp;D building. Sublessee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conduct or operate any labs on the Premises. Sublessee shall obtain written approval of any changes in use and such approval shall not be unreasonably withheld, conditioned or delayed (but shall be conditioned on Lessor approval).</w:t>
      </w:r>
    </w:p>
    <w:p>
      <w:pPr>
        <w:spacing w:after="0" w:line="1" w:lineRule="exact"/>
        <w:rPr>
          <w:rFonts w:ascii="Arial" w:cs="Arial" w:eastAsia="Arial" w:hAnsi="Arial"/>
          <w:sz w:val="16"/>
          <w:szCs w:val="16"/>
          <w:color w:val="auto"/>
        </w:rPr>
      </w:pPr>
    </w:p>
    <w:p>
      <w:pPr>
        <w:ind w:left="760" w:right="140" w:hanging="310"/>
        <w:spacing w:after="0" w:line="283" w:lineRule="auto"/>
        <w:tabs>
          <w:tab w:leader="none" w:pos="760"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EARLY ACCESS: </w:t>
      </w:r>
      <w:r>
        <w:rPr>
          <w:rFonts w:ascii="Arial" w:cs="Arial" w:eastAsia="Arial" w:hAnsi="Arial"/>
          <w:sz w:val="15"/>
          <w:szCs w:val="15"/>
          <w:color w:val="auto"/>
        </w:rPr>
        <w:t>As set forth in Section 5, Sublessee will have access to the Premises forty- five (45) days prior to the Commencement Date to</w:t>
      </w:r>
      <w:r>
        <w:rPr>
          <w:rFonts w:ascii="Arial" w:cs="Arial" w:eastAsia="Arial" w:hAnsi="Arial"/>
          <w:sz w:val="15"/>
          <w:szCs w:val="15"/>
          <w:b w:val="1"/>
          <w:bCs w:val="1"/>
          <w:color w:val="auto"/>
        </w:rPr>
        <w:t xml:space="preserve"> </w:t>
      </w:r>
      <w:r>
        <w:rPr>
          <w:rFonts w:ascii="Arial" w:cs="Arial" w:eastAsia="Arial" w:hAnsi="Arial"/>
          <w:sz w:val="15"/>
          <w:szCs w:val="15"/>
          <w:color w:val="auto"/>
        </w:rPr>
        <w:t>allow Sublessee to complete approved tenant improvements, move its furniture and equipment into the space and to complete any cabling or fixturization to be done by Sublessee. Sublessee will have no obligation to pay Base Rent or Direct Expenses during such early access period.</w:t>
      </w:r>
    </w:p>
    <w:p>
      <w:pPr>
        <w:ind w:left="760" w:hanging="310"/>
        <w:spacing w:after="0"/>
        <w:tabs>
          <w:tab w:leader="none" w:pos="76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EXTENSION OPTIONS: </w:t>
      </w:r>
      <w:r>
        <w:rPr>
          <w:rFonts w:ascii="Arial" w:cs="Arial" w:eastAsia="Arial" w:hAnsi="Arial"/>
          <w:sz w:val="16"/>
          <w:szCs w:val="16"/>
          <w:color w:val="auto"/>
        </w:rPr>
        <w:t>Sublessee shall have three (3) options to extend the Sublease Term for consecutive one (1) year periods (each, an</w:t>
      </w:r>
    </w:p>
    <w:p>
      <w:pPr>
        <w:spacing w:after="0" w:line="19" w:lineRule="exact"/>
        <w:rPr>
          <w:rFonts w:ascii="Arial" w:cs="Arial" w:eastAsia="Arial" w:hAnsi="Arial"/>
          <w:sz w:val="16"/>
          <w:szCs w:val="16"/>
          <w:b w:val="1"/>
          <w:bCs w:val="1"/>
          <w:color w:val="auto"/>
        </w:rPr>
      </w:pPr>
    </w:p>
    <w:p>
      <w:pPr>
        <w:ind w:left="760" w:right="100"/>
        <w:spacing w:after="0" w:line="249" w:lineRule="auto"/>
        <w:rPr>
          <w:rFonts w:ascii="Arial" w:cs="Arial" w:eastAsia="Arial" w:hAnsi="Arial"/>
          <w:sz w:val="16"/>
          <w:szCs w:val="16"/>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Extension Option</w:t>
      </w:r>
      <w:r>
        <w:rPr>
          <w:rFonts w:ascii="Arial" w:cs="Arial" w:eastAsia="Arial" w:hAnsi="Arial"/>
          <w:sz w:val="17"/>
          <w:szCs w:val="17"/>
          <w:color w:val="auto"/>
        </w:rPr>
        <w:t>”), by providing Sublessor with not less than one hundred eighty (180) days written notice prior to the expiration of the current term at a three percent (3%) increase of the prior months’ Base Rent.</w:t>
      </w:r>
    </w:p>
    <w:p>
      <w:pPr>
        <w:spacing w:after="0" w:line="1" w:lineRule="exact"/>
        <w:rPr>
          <w:rFonts w:ascii="Arial" w:cs="Arial" w:eastAsia="Arial" w:hAnsi="Arial"/>
          <w:sz w:val="16"/>
          <w:szCs w:val="16"/>
          <w:b w:val="1"/>
          <w:bCs w:val="1"/>
          <w:color w:val="auto"/>
        </w:rPr>
      </w:pPr>
    </w:p>
    <w:p>
      <w:pPr>
        <w:ind w:left="760" w:right="100" w:hanging="310"/>
        <w:spacing w:after="0" w:line="249" w:lineRule="auto"/>
        <w:tabs>
          <w:tab w:leader="none" w:pos="76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BASE RENT: </w:t>
      </w:r>
      <w:r>
        <w:rPr>
          <w:rFonts w:ascii="Arial" w:cs="Arial" w:eastAsia="Arial" w:hAnsi="Arial"/>
          <w:sz w:val="17"/>
          <w:szCs w:val="17"/>
          <w:color w:val="auto"/>
        </w:rPr>
        <w:t>The monthly base rent (the “</w:t>
      </w:r>
      <w:r>
        <w:rPr>
          <w:rFonts w:ascii="Arial" w:cs="Arial" w:eastAsia="Arial" w:hAnsi="Arial"/>
          <w:sz w:val="17"/>
          <w:szCs w:val="17"/>
          <w:b w:val="1"/>
          <w:bCs w:val="1"/>
          <w:color w:val="auto"/>
        </w:rPr>
        <w:t>Base Rent</w:t>
      </w:r>
      <w:r>
        <w:rPr>
          <w:rFonts w:ascii="Arial" w:cs="Arial" w:eastAsia="Arial" w:hAnsi="Arial"/>
          <w:sz w:val="17"/>
          <w:szCs w:val="17"/>
          <w:color w:val="auto"/>
        </w:rPr>
        <w:t>”) will be one dollar and sixty-five cents ($1.65) per rentable square foot of the Premises on</w:t>
      </w:r>
      <w:r>
        <w:rPr>
          <w:rFonts w:ascii="Arial" w:cs="Arial" w:eastAsia="Arial" w:hAnsi="Arial"/>
          <w:sz w:val="17"/>
          <w:szCs w:val="17"/>
          <w:b w:val="1"/>
          <w:bCs w:val="1"/>
          <w:color w:val="auto"/>
        </w:rPr>
        <w:t xml:space="preserve"> </w:t>
      </w:r>
      <w:r>
        <w:rPr>
          <w:rFonts w:ascii="Arial" w:cs="Arial" w:eastAsia="Arial" w:hAnsi="Arial"/>
          <w:sz w:val="17"/>
          <w:szCs w:val="17"/>
          <w:color w:val="auto"/>
        </w:rPr>
        <w:t>a Triple Net basis. The Base Rent will increase by three percent (3%) of the previous Base Rent upon each anniversary of the Commencement Date.</w:t>
      </w:r>
    </w:p>
    <w:p>
      <w:pPr>
        <w:spacing w:after="0" w:line="2" w:lineRule="exact"/>
        <w:rPr>
          <w:rFonts w:ascii="Arial" w:cs="Arial" w:eastAsia="Arial" w:hAnsi="Arial"/>
          <w:sz w:val="17"/>
          <w:szCs w:val="17"/>
          <w:b w:val="1"/>
          <w:bCs w:val="1"/>
          <w:color w:val="auto"/>
        </w:rPr>
      </w:pPr>
    </w:p>
    <w:p>
      <w:pPr>
        <w:ind w:left="760" w:right="20" w:hanging="310"/>
        <w:spacing w:after="0" w:line="249" w:lineRule="auto"/>
        <w:tabs>
          <w:tab w:leader="none" w:pos="76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RENT ABATEMENT</w:t>
      </w:r>
      <w:r>
        <w:rPr>
          <w:rFonts w:ascii="Arial" w:cs="Arial" w:eastAsia="Arial" w:hAnsi="Arial"/>
          <w:sz w:val="17"/>
          <w:szCs w:val="17"/>
          <w:color w:val="auto"/>
        </w:rPr>
        <w:t>: Sublessee’s Base Rent will be unconditionally abated for three (3) months during months two through four (months 2-4) of</w:t>
      </w:r>
      <w:r>
        <w:rPr>
          <w:rFonts w:ascii="Arial" w:cs="Arial" w:eastAsia="Arial" w:hAnsi="Arial"/>
          <w:sz w:val="17"/>
          <w:szCs w:val="17"/>
          <w:b w:val="1"/>
          <w:bCs w:val="1"/>
          <w:color w:val="auto"/>
        </w:rPr>
        <w:t xml:space="preserve"> </w:t>
      </w:r>
      <w:r>
        <w:rPr>
          <w:rFonts w:ascii="Arial" w:cs="Arial" w:eastAsia="Arial" w:hAnsi="Arial"/>
          <w:sz w:val="17"/>
          <w:szCs w:val="17"/>
          <w:color w:val="auto"/>
        </w:rPr>
        <w:t>the initial Sublease Term. For the avoidance of doubt, no abated rent will be required to be repaid upon the occurrence of an event of default by Sublessee under the Sublease.</w:t>
      </w:r>
    </w:p>
    <w:p>
      <w:pPr>
        <w:spacing w:after="0" w:line="2" w:lineRule="exact"/>
        <w:rPr>
          <w:rFonts w:ascii="Arial" w:cs="Arial" w:eastAsia="Arial" w:hAnsi="Arial"/>
          <w:sz w:val="17"/>
          <w:szCs w:val="17"/>
          <w:b w:val="1"/>
          <w:bCs w:val="1"/>
          <w:color w:val="auto"/>
        </w:rPr>
      </w:pPr>
    </w:p>
    <w:p>
      <w:pPr>
        <w:ind w:left="760" w:right="60" w:hanging="310"/>
        <w:spacing w:after="0" w:line="270" w:lineRule="auto"/>
        <w:tabs>
          <w:tab w:leader="none" w:pos="76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 EXPENSES: </w:t>
      </w:r>
      <w:r>
        <w:rPr>
          <w:rFonts w:ascii="Arial" w:cs="Arial" w:eastAsia="Arial" w:hAnsi="Arial"/>
          <w:sz w:val="16"/>
          <w:szCs w:val="16"/>
          <w:color w:val="auto"/>
        </w:rPr>
        <w:t>Sublessor currently pays $0.3946 per rentable square foot per month for Direct Expenses, as such term in defined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Master Lease (including property taxes), subject to increase by the Lessor. Sublessee shall pay for its pro rata share of Direct Expenses (which the parties agree shall be 45.15% of the Direct Expenses charged to Sublessor); provided, however , for the purposes of this Sublease, in no event shall Direct Expenses include (i) increases in property taxes due to a sale or other disposition of the Property or (ii) expenses for capital repairs or improvements, except to the extent such items proportionately reduce Direct Expenses or are required to comply with Applicable Laws first enacted after January 1, 2018, and in any event all capital expenditures will be</w:t>
      </w:r>
    </w:p>
    <w:p>
      <w:pPr>
        <w:sectPr>
          <w:pgSz w:w="11900" w:h="16838" w:orient="portrait"/>
          <w:cols w:equalWidth="0" w:num="1">
            <w:col w:w="10800"/>
          </w:cols>
          <w:pgMar w:left="860" w:top="661" w:right="239" w:bottom="1440" w:gutter="0" w:footer="0" w:header="0"/>
        </w:sectPr>
      </w:pPr>
    </w:p>
    <w:bookmarkStart w:id="73" w:name="page74"/>
    <w:bookmarkEnd w:id="73"/>
    <w:p>
      <w:pPr>
        <w:ind w:left="310" w:right="20"/>
        <w:spacing w:after="0" w:line="331" w:lineRule="auto"/>
        <w:rPr>
          <w:sz w:val="20"/>
          <w:szCs w:val="20"/>
          <w:color w:val="auto"/>
        </w:rPr>
      </w:pPr>
      <w:r>
        <w:rPr>
          <w:rFonts w:ascii="Arial" w:cs="Arial" w:eastAsia="Arial" w:hAnsi="Arial"/>
          <w:sz w:val="15"/>
          <w:szCs w:val="15"/>
          <w:color w:val="auto"/>
        </w:rPr>
        <w:t>amortized over the useful life of the capital improvement in accordance with generally accepted accounting principles, consistently applied. One time per calendar year, at its sole cost and expense, Sublessee will be entitled to audit the Building’s Direct Expenses using any reputable firm which regularly provides such services (subject to rights in Master Lease). Sublessor shall enforce any audit rights it may have at the request of Sublessee under Section 4.6 of the Master Lease. In the event the Direct Expenses are adjusted pursuant to the Master Lease, Sublessee shall be responsible for any increase in its pro rata share of Direct Expenses assessed as a result of the audit. Further, if the Direct Expenses are decreased as a result of such audit, Sublessee may offset future Direct Expenses payments in the amount of such difference or, if the Sublease Term has expired, Sublessor shall reimburse Sublessee for such difference within thirty (30) days after demand for payment.</w:t>
      </w:r>
    </w:p>
    <w:p>
      <w:pPr>
        <w:ind w:left="310" w:right="420" w:hanging="310"/>
        <w:spacing w:after="0" w:line="292" w:lineRule="auto"/>
        <w:tabs>
          <w:tab w:leader="none" w:pos="310"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UTILITIES: </w:t>
      </w:r>
      <w:r>
        <w:rPr>
          <w:rFonts w:ascii="Arial" w:cs="Arial" w:eastAsia="Arial" w:hAnsi="Arial"/>
          <w:sz w:val="15"/>
          <w:szCs w:val="15"/>
          <w:color w:val="auto"/>
        </w:rPr>
        <w:t>Sublessee will be responsible for the payment of its pro-rata share of utilities to the Premises. Sublessee shall be responsible for</w:t>
      </w:r>
      <w:r>
        <w:rPr>
          <w:rFonts w:ascii="Arial" w:cs="Arial" w:eastAsia="Arial" w:hAnsi="Arial"/>
          <w:sz w:val="15"/>
          <w:szCs w:val="15"/>
          <w:b w:val="1"/>
          <w:bCs w:val="1"/>
          <w:color w:val="auto"/>
        </w:rPr>
        <w:t xml:space="preserve"> </w:t>
      </w:r>
      <w:r>
        <w:rPr>
          <w:rFonts w:ascii="Arial" w:cs="Arial" w:eastAsia="Arial" w:hAnsi="Arial"/>
          <w:sz w:val="15"/>
          <w:szCs w:val="15"/>
          <w:color w:val="auto"/>
        </w:rPr>
        <w:t>45.15% of the monthly SDG&amp;E utility bill for the Master Premises. Payment for utilities is due within 30 days of receipt of invoice.</w:t>
      </w:r>
    </w:p>
    <w:p>
      <w:pPr>
        <w:ind w:left="310" w:right="40" w:hanging="310"/>
        <w:spacing w:after="0" w:line="283" w:lineRule="auto"/>
        <w:tabs>
          <w:tab w:leader="none" w:pos="310"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TRASH AND JANITORIAL SERVICES: </w:t>
      </w:r>
      <w:r>
        <w:rPr>
          <w:rFonts w:ascii="Arial" w:cs="Arial" w:eastAsia="Arial" w:hAnsi="Arial"/>
          <w:sz w:val="15"/>
          <w:szCs w:val="15"/>
          <w:color w:val="auto"/>
        </w:rPr>
        <w:t>All janitorial and trash services shall be contracted and paid for separately by Sublessee. To the extent</w:t>
      </w:r>
      <w:r>
        <w:rPr>
          <w:rFonts w:ascii="Arial" w:cs="Arial" w:eastAsia="Arial" w:hAnsi="Arial"/>
          <w:sz w:val="15"/>
          <w:szCs w:val="15"/>
          <w:b w:val="1"/>
          <w:bCs w:val="1"/>
          <w:color w:val="auto"/>
        </w:rPr>
        <w:t xml:space="preserve"> </w:t>
      </w:r>
      <w:r>
        <w:rPr>
          <w:rFonts w:ascii="Arial" w:cs="Arial" w:eastAsia="Arial" w:hAnsi="Arial"/>
          <w:sz w:val="15"/>
          <w:szCs w:val="15"/>
          <w:color w:val="auto"/>
        </w:rPr>
        <w:t>Sublessee requests in writing and Sublessor consents in writing to allow Sublessee to utilize the same on-site services provided to Sublessor, Sublessee shall pay its pro-rata share of those services (i.e., 45.15%). Payment for such services is due within 30 days of receipt of invoice.</w:t>
      </w:r>
    </w:p>
    <w:p>
      <w:pPr>
        <w:ind w:left="310" w:hanging="310"/>
        <w:spacing w:after="0"/>
        <w:tabs>
          <w:tab w:leader="none" w:pos="31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RECEPTIONIST SERVICES: </w:t>
      </w:r>
      <w:r>
        <w:rPr>
          <w:rFonts w:ascii="Arial" w:cs="Arial" w:eastAsia="Arial" w:hAnsi="Arial"/>
          <w:sz w:val="17"/>
          <w:szCs w:val="17"/>
          <w:color w:val="auto"/>
        </w:rPr>
        <w:t>Receptionist services are not provided to Sublessee under this Sublease.</w:t>
      </w:r>
    </w:p>
    <w:p>
      <w:pPr>
        <w:spacing w:after="0" w:line="8" w:lineRule="exact"/>
        <w:rPr>
          <w:rFonts w:ascii="Arial" w:cs="Arial" w:eastAsia="Arial" w:hAnsi="Arial"/>
          <w:sz w:val="17"/>
          <w:szCs w:val="17"/>
          <w:b w:val="1"/>
          <w:bCs w:val="1"/>
          <w:color w:val="auto"/>
        </w:rPr>
      </w:pPr>
    </w:p>
    <w:p>
      <w:pPr>
        <w:ind w:left="310" w:right="280" w:hanging="310"/>
        <w:spacing w:after="0" w:line="249" w:lineRule="auto"/>
        <w:tabs>
          <w:tab w:leader="none" w:pos="31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SECURITY DEPOSIT: </w:t>
      </w:r>
      <w:r>
        <w:rPr>
          <w:rFonts w:ascii="Arial" w:cs="Arial" w:eastAsia="Arial" w:hAnsi="Arial"/>
          <w:sz w:val="17"/>
          <w:szCs w:val="17"/>
          <w:color w:val="auto"/>
        </w:rPr>
        <w:t>Within ten (10) days of the later of (a) full execution of the Sublease and (b) Lessor’s written consent to this Sublease,</w:t>
      </w:r>
      <w:r>
        <w:rPr>
          <w:rFonts w:ascii="Arial" w:cs="Arial" w:eastAsia="Arial" w:hAnsi="Arial"/>
          <w:sz w:val="17"/>
          <w:szCs w:val="17"/>
          <w:b w:val="1"/>
          <w:bCs w:val="1"/>
          <w:color w:val="auto"/>
        </w:rPr>
        <w:t xml:space="preserve"> </w:t>
      </w:r>
      <w:r>
        <w:rPr>
          <w:rFonts w:ascii="Arial" w:cs="Arial" w:eastAsia="Arial" w:hAnsi="Arial"/>
          <w:sz w:val="17"/>
          <w:szCs w:val="17"/>
          <w:color w:val="auto"/>
        </w:rPr>
        <w:t>Sublessee will provide Sublessor a security deposit in the amount of the last month’s Base Rent (i.e. $33,034.56).</w:t>
      </w:r>
    </w:p>
    <w:p>
      <w:pPr>
        <w:spacing w:after="0" w:line="1" w:lineRule="exact"/>
        <w:rPr>
          <w:rFonts w:ascii="Arial" w:cs="Arial" w:eastAsia="Arial" w:hAnsi="Arial"/>
          <w:sz w:val="17"/>
          <w:szCs w:val="17"/>
          <w:b w:val="1"/>
          <w:bCs w:val="1"/>
          <w:color w:val="auto"/>
        </w:rPr>
      </w:pPr>
    </w:p>
    <w:p>
      <w:pPr>
        <w:ind w:left="310" w:right="40" w:hanging="310"/>
        <w:spacing w:after="0" w:line="265" w:lineRule="auto"/>
        <w:tabs>
          <w:tab w:leader="none" w:pos="31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SUBLESSEE’S WORK/ SURRENDER: </w:t>
      </w:r>
      <w:r>
        <w:rPr>
          <w:rFonts w:ascii="Arial" w:cs="Arial" w:eastAsia="Arial" w:hAnsi="Arial"/>
          <w:sz w:val="16"/>
          <w:szCs w:val="16"/>
          <w:color w:val="auto"/>
        </w:rPr>
        <w:t>Sublessee intends to make certain initial tenant improvements to the Premises, as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Exhibit “C”(“</w:t>
      </w:r>
      <w:r>
        <w:rPr>
          <w:rFonts w:ascii="Arial" w:cs="Arial" w:eastAsia="Arial" w:hAnsi="Arial"/>
          <w:sz w:val="16"/>
          <w:szCs w:val="16"/>
          <w:b w:val="1"/>
          <w:bCs w:val="1"/>
          <w:color w:val="auto"/>
        </w:rPr>
        <w:t>Sublessee's Work</w:t>
      </w:r>
      <w:r>
        <w:rPr>
          <w:rFonts w:ascii="Arial" w:cs="Arial" w:eastAsia="Arial" w:hAnsi="Arial"/>
          <w:sz w:val="16"/>
          <w:szCs w:val="16"/>
          <w:color w:val="auto"/>
        </w:rPr>
        <w:t>”). Sublessee’s Work is hereby approved by Sublessor to the extent the Sublessee’s Work complies with the terms of the Master Lease. Sublessee is obligated to confirm that its intended alterations or improvements, including Sublessee’s Work, complies with the Master Lease. Any further changes to Sublessee’s Work, or any other improvements or alterations during the Sublease Term which require Sublessor or Lessor consent as set forth herein and in Section 8.1 of the Master Lease, shall be subject to Sublessor’s and Lessor’s review and approval, which shall not be unreasonably withheld, conditioned or delayed. Also such improvements shall be at Sublessee’s sole cost and expense. Notwithstanding the terms of the Master Lease, Sublessor shall promptly respond to any such approval requests. In the event Lessor approves Sublessee’s request for consent to improvements or alterationsas provided hereunder, Sublessor’s failure to respond to the same request for consent by Sublessee within ten (10) business days following Lessor’s written consent shall be deemed Sublessor’s approval of the same. Upon the expiration or earlier termination of this Sublease, notwithstanding any surrender or restoration obligations in the Master Lease, in no event shall Sublessee be required to remove any improvements, alterations or fixtures (including, without limitation, Sublessee’s Work), or otherwise restore the Premises to the condition that existed on the Effective Date, it being understood that Sublessee’s sole obligation upon the expiration of the Sublease Term shall be to surrender the Premises in good, broom-clean condition, with reasonable wear and tear, repairs which are Lessor’s or Sublessor’s responsibility, excepted.</w:t>
      </w:r>
    </w:p>
    <w:p>
      <w:pPr>
        <w:spacing w:after="0" w:line="5" w:lineRule="exact"/>
        <w:rPr>
          <w:rFonts w:ascii="Arial" w:cs="Arial" w:eastAsia="Arial" w:hAnsi="Arial"/>
          <w:sz w:val="16"/>
          <w:szCs w:val="16"/>
          <w:b w:val="1"/>
          <w:bCs w:val="1"/>
          <w:color w:val="auto"/>
        </w:rPr>
      </w:pPr>
    </w:p>
    <w:p>
      <w:pPr>
        <w:ind w:left="310" w:hanging="310"/>
        <w:spacing w:after="0" w:line="249" w:lineRule="auto"/>
        <w:tabs>
          <w:tab w:leader="none" w:pos="310"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 xml:space="preserve">INDEMNIFICATION FOR SUBLESSEE'S WORK: </w:t>
      </w:r>
      <w:r>
        <w:rPr>
          <w:rFonts w:ascii="Arial" w:cs="Arial" w:eastAsia="Arial" w:hAnsi="Arial"/>
          <w:sz w:val="17"/>
          <w:szCs w:val="17"/>
          <w:color w:val="auto"/>
        </w:rPr>
        <w:t>Sublessee, including its representatives, employees, or other agents, indemnifies, holds</w:t>
      </w:r>
      <w:r>
        <w:rPr>
          <w:rFonts w:ascii="Arial" w:cs="Arial" w:eastAsia="Arial" w:hAnsi="Arial"/>
          <w:sz w:val="17"/>
          <w:szCs w:val="17"/>
          <w:b w:val="1"/>
          <w:bCs w:val="1"/>
          <w:color w:val="auto"/>
        </w:rPr>
        <w:t xml:space="preserve"> </w:t>
      </w:r>
      <w:r>
        <w:rPr>
          <w:rFonts w:ascii="Arial" w:cs="Arial" w:eastAsia="Arial" w:hAnsi="Arial"/>
          <w:sz w:val="17"/>
          <w:szCs w:val="17"/>
          <w:color w:val="auto"/>
        </w:rPr>
        <w:t>harmless and shall defend Sublessor against any and all damages, claims, actions, or other injury arising from or related to Sublessee's Work, except to the extent that such injury arises from Sublessor's own negligence or willful misconduct.</w:t>
      </w:r>
    </w:p>
    <w:p>
      <w:pPr>
        <w:spacing w:after="0" w:line="2" w:lineRule="exact"/>
        <w:rPr>
          <w:rFonts w:ascii="Arial" w:cs="Arial" w:eastAsia="Arial" w:hAnsi="Arial"/>
          <w:sz w:val="17"/>
          <w:szCs w:val="17"/>
          <w:color w:val="auto"/>
        </w:rPr>
      </w:pPr>
    </w:p>
    <w:p>
      <w:pPr>
        <w:ind w:left="310" w:right="60" w:hanging="310"/>
        <w:spacing w:after="0" w:line="252" w:lineRule="auto"/>
        <w:tabs>
          <w:tab w:leader="none" w:pos="31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CONDITION OF PREMISES: </w:t>
      </w:r>
      <w:r>
        <w:rPr>
          <w:rFonts w:ascii="Arial" w:cs="Arial" w:eastAsia="Arial" w:hAnsi="Arial"/>
          <w:sz w:val="17"/>
          <w:szCs w:val="17"/>
          <w:color w:val="auto"/>
        </w:rPr>
        <w:t>Sublessor, at its sole cost, will deliver the Premises, on or before the Delivery Date, broom clean,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condition and repair, with all necessary maintenance, repairs and replacements performed, in compliance with all Applicable Laws, (as such term is defined in Master Lease) and with the Server Room Door Work complete (together, the “</w:t>
      </w:r>
      <w:r>
        <w:rPr>
          <w:rFonts w:ascii="Arial" w:cs="Arial" w:eastAsia="Arial" w:hAnsi="Arial"/>
          <w:sz w:val="17"/>
          <w:szCs w:val="17"/>
          <w:b w:val="1"/>
          <w:bCs w:val="1"/>
          <w:color w:val="auto"/>
        </w:rPr>
        <w:t>Delivery Condition</w:t>
      </w:r>
      <w:r>
        <w:rPr>
          <w:rFonts w:ascii="Arial" w:cs="Arial" w:eastAsia="Arial" w:hAnsi="Arial"/>
          <w:sz w:val="17"/>
          <w:szCs w:val="17"/>
          <w:color w:val="auto"/>
        </w:rPr>
        <w:t>”), subject to Sublessee’s Work. Sublessor will warrant all existing mechanical, electrical, roof and plumbing systems for the first year of the Sublease Term (“</w:t>
      </w:r>
      <w:r>
        <w:rPr>
          <w:rFonts w:ascii="Arial" w:cs="Arial" w:eastAsia="Arial" w:hAnsi="Arial"/>
          <w:sz w:val="17"/>
          <w:szCs w:val="17"/>
          <w:b w:val="1"/>
          <w:bCs w:val="1"/>
          <w:color w:val="auto"/>
        </w:rPr>
        <w:t>Warranty</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and Sublessor will maintain, repair or</w:t>
      </w:r>
    </w:p>
    <w:p>
      <w:pPr>
        <w:sectPr>
          <w:pgSz w:w="11900" w:h="16838" w:orient="portrait"/>
          <w:cols w:equalWidth="0" w:num="1">
            <w:col w:w="10350"/>
          </w:cols>
          <w:pgMar w:left="1310" w:top="687" w:right="239" w:bottom="1440" w:gutter="0" w:footer="0" w:header="0"/>
        </w:sectPr>
      </w:pPr>
    </w:p>
    <w:bookmarkStart w:id="74" w:name="page75"/>
    <w:bookmarkEnd w:id="74"/>
    <w:p>
      <w:pPr>
        <w:ind w:left="768" w:right="40"/>
        <w:spacing w:after="0" w:line="280" w:lineRule="auto"/>
        <w:rPr>
          <w:sz w:val="20"/>
          <w:szCs w:val="20"/>
          <w:color w:val="auto"/>
        </w:rPr>
      </w:pPr>
      <w:r>
        <w:rPr>
          <w:rFonts w:ascii="Arial" w:cs="Arial" w:eastAsia="Arial" w:hAnsi="Arial"/>
          <w:sz w:val="17"/>
          <w:szCs w:val="17"/>
          <w:color w:val="auto"/>
        </w:rPr>
        <w:t>replace such existing systems as needed during the Warranty Period at no cost to Sublessee, including, without limitation, through Direct Expenses, provided, however Sublessor does not warrant any improvements made by Sublessee.</w:t>
      </w:r>
    </w:p>
    <w:p>
      <w:pPr>
        <w:spacing w:after="0" w:line="1" w:lineRule="exact"/>
        <w:rPr>
          <w:sz w:val="20"/>
          <w:szCs w:val="20"/>
          <w:color w:val="auto"/>
        </w:rPr>
      </w:pPr>
    </w:p>
    <w:p>
      <w:pPr>
        <w:ind w:left="768" w:hanging="310"/>
        <w:spacing w:after="0"/>
        <w:tabs>
          <w:tab w:leader="none" w:pos="768" w:val="left"/>
        </w:tabs>
        <w:numPr>
          <w:ilvl w:val="1"/>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PARKING: </w:t>
      </w:r>
      <w:r>
        <w:rPr>
          <w:rFonts w:ascii="Arial" w:cs="Arial" w:eastAsia="Arial" w:hAnsi="Arial"/>
          <w:sz w:val="17"/>
          <w:szCs w:val="17"/>
          <w:color w:val="auto"/>
        </w:rPr>
        <w:t>Sublessee shall be entitled to 63 parking spaces in the parking lot, together with 2 visitor parking spaces.</w:t>
      </w:r>
    </w:p>
    <w:p>
      <w:pPr>
        <w:spacing w:after="0" w:line="20" w:lineRule="exact"/>
        <w:rPr>
          <w:rFonts w:ascii="Arial" w:cs="Arial" w:eastAsia="Arial" w:hAnsi="Arial"/>
          <w:sz w:val="17"/>
          <w:szCs w:val="17"/>
          <w:b w:val="1"/>
          <w:bCs w:val="1"/>
          <w:color w:val="auto"/>
        </w:rPr>
      </w:pPr>
    </w:p>
    <w:p>
      <w:pPr>
        <w:ind w:left="768" w:right="200" w:hanging="310"/>
        <w:spacing w:after="0" w:line="249" w:lineRule="auto"/>
        <w:tabs>
          <w:tab w:leader="none" w:pos="768" w:val="left"/>
        </w:tabs>
        <w:numPr>
          <w:ilvl w:val="1"/>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FURNITURE, FIXTURES, EQUIPMENT: </w:t>
      </w:r>
      <w:r>
        <w:rPr>
          <w:rFonts w:ascii="Arial" w:cs="Arial" w:eastAsia="Arial" w:hAnsi="Arial"/>
          <w:sz w:val="17"/>
          <w:szCs w:val="17"/>
          <w:color w:val="auto"/>
        </w:rPr>
        <w:t>Sublessee shall have use but shall not acquire ownership of existing network cabling, office desks,</w:t>
      </w:r>
      <w:r>
        <w:rPr>
          <w:rFonts w:ascii="Arial" w:cs="Arial" w:eastAsia="Arial" w:hAnsi="Arial"/>
          <w:sz w:val="17"/>
          <w:szCs w:val="17"/>
          <w:b w:val="1"/>
          <w:bCs w:val="1"/>
          <w:color w:val="auto"/>
        </w:rPr>
        <w:t xml:space="preserve"> </w:t>
      </w:r>
      <w:r>
        <w:rPr>
          <w:rFonts w:ascii="Arial" w:cs="Arial" w:eastAsia="Arial" w:hAnsi="Arial"/>
          <w:sz w:val="17"/>
          <w:szCs w:val="17"/>
          <w:color w:val="auto"/>
        </w:rPr>
        <w:t>conference room furniture including board room, and other items listed on Exhibit “D” attached hereto (the “</w:t>
      </w:r>
      <w:r>
        <w:rPr>
          <w:rFonts w:ascii="Arial" w:cs="Arial" w:eastAsia="Arial" w:hAnsi="Arial"/>
          <w:sz w:val="17"/>
          <w:szCs w:val="17"/>
          <w:b w:val="1"/>
          <w:bCs w:val="1"/>
          <w:color w:val="auto"/>
        </w:rPr>
        <w:t>Sublessor FF&amp;E</w:t>
      </w:r>
      <w:r>
        <w:rPr>
          <w:rFonts w:ascii="Arial" w:cs="Arial" w:eastAsia="Arial" w:hAnsi="Arial"/>
          <w:sz w:val="17"/>
          <w:szCs w:val="17"/>
          <w:color w:val="auto"/>
        </w:rPr>
        <w:t>”) throughout the entire Sublease Term at no additional cost to Sublessee.</w:t>
      </w:r>
    </w:p>
    <w:p>
      <w:pPr>
        <w:spacing w:after="0" w:line="2" w:lineRule="exact"/>
        <w:rPr>
          <w:rFonts w:ascii="Arial" w:cs="Arial" w:eastAsia="Arial" w:hAnsi="Arial"/>
          <w:sz w:val="17"/>
          <w:szCs w:val="17"/>
          <w:b w:val="1"/>
          <w:bCs w:val="1"/>
          <w:color w:val="auto"/>
        </w:rPr>
      </w:pPr>
    </w:p>
    <w:p>
      <w:pPr>
        <w:ind w:left="768" w:right="40" w:hanging="310"/>
        <w:spacing w:after="0" w:line="265" w:lineRule="auto"/>
        <w:tabs>
          <w:tab w:leader="none" w:pos="768" w:val="left"/>
        </w:tabs>
        <w:numPr>
          <w:ilvl w:val="1"/>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IDENTITY &amp; SIGNAGE: </w:t>
      </w:r>
      <w:r>
        <w:rPr>
          <w:rFonts w:ascii="Arial" w:cs="Arial" w:eastAsia="Arial" w:hAnsi="Arial"/>
          <w:sz w:val="16"/>
          <w:szCs w:val="16"/>
          <w:color w:val="auto"/>
        </w:rPr>
        <w:t>Subject to the terms of the Master Lease, and Lessor’s consent to the terms hereof, Sublessee will be permitted to</w:t>
      </w:r>
      <w:r>
        <w:rPr>
          <w:rFonts w:ascii="Arial" w:cs="Arial" w:eastAsia="Arial" w:hAnsi="Arial"/>
          <w:sz w:val="16"/>
          <w:szCs w:val="16"/>
          <w:b w:val="1"/>
          <w:bCs w:val="1"/>
          <w:color w:val="auto"/>
        </w:rPr>
        <w:t xml:space="preserve"> </w:t>
      </w:r>
      <w:r>
        <w:rPr>
          <w:rFonts w:ascii="Arial" w:cs="Arial" w:eastAsia="Arial" w:hAnsi="Arial"/>
          <w:sz w:val="16"/>
          <w:szCs w:val="16"/>
          <w:color w:val="auto"/>
        </w:rPr>
        <w:t>install, at its expense and subject to Sublessor’s and Lessor’s consent which will not be unreasonably withheld, signage at the entrance of its Premises on the second floor of the building. Signage will be in accordance with Building standards and Lessor’s signage program. Sublessor, at Sublessee’s expense, will furnish Sublessee with space on the Building directory. In addition, Sublessee will be allowed a non-exclusive monument sign at (1) Building entry location facing Pacific Center Court and (2) identity incorporated amongst way-finding signage around the Building/Project (e.g. Shipping and receiving, Reception), subject to Lessor’s consent. All costs associated with said signage, including but not limited to, fabrication, installation, and removal will be at Sublessee’s expense.</w:t>
      </w:r>
    </w:p>
    <w:p>
      <w:pPr>
        <w:spacing w:after="0" w:line="2" w:lineRule="exact"/>
        <w:rPr>
          <w:rFonts w:ascii="Arial" w:cs="Arial" w:eastAsia="Arial" w:hAnsi="Arial"/>
          <w:sz w:val="16"/>
          <w:szCs w:val="16"/>
          <w:b w:val="1"/>
          <w:bCs w:val="1"/>
          <w:color w:val="auto"/>
        </w:rPr>
      </w:pPr>
    </w:p>
    <w:p>
      <w:pPr>
        <w:ind w:left="768" w:right="120" w:hanging="310"/>
        <w:spacing w:after="0" w:line="249" w:lineRule="auto"/>
        <w:tabs>
          <w:tab w:leader="none" w:pos="768" w:val="left"/>
        </w:tabs>
        <w:numPr>
          <w:ilvl w:val="1"/>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BUILDING SECURITY: </w:t>
      </w:r>
      <w:r>
        <w:rPr>
          <w:rFonts w:ascii="Arial" w:cs="Arial" w:eastAsia="Arial" w:hAnsi="Arial"/>
          <w:sz w:val="17"/>
          <w:szCs w:val="17"/>
          <w:color w:val="auto"/>
        </w:rPr>
        <w:t>Securitization of the sublease space including movement of doors on south side near server room to be performed by</w:t>
      </w:r>
      <w:r>
        <w:rPr>
          <w:rFonts w:ascii="Arial" w:cs="Arial" w:eastAsia="Arial" w:hAnsi="Arial"/>
          <w:sz w:val="17"/>
          <w:szCs w:val="17"/>
          <w:b w:val="1"/>
          <w:bCs w:val="1"/>
          <w:color w:val="auto"/>
        </w:rPr>
        <w:t xml:space="preserve"> </w:t>
      </w:r>
      <w:r>
        <w:rPr>
          <w:rFonts w:ascii="Arial" w:cs="Arial" w:eastAsia="Arial" w:hAnsi="Arial"/>
          <w:sz w:val="17"/>
          <w:szCs w:val="17"/>
          <w:color w:val="auto"/>
        </w:rPr>
        <w:t>Sublessor prior to the Delivery Date (the “</w:t>
      </w:r>
      <w:r>
        <w:rPr>
          <w:rFonts w:ascii="Arial" w:cs="Arial" w:eastAsia="Arial" w:hAnsi="Arial"/>
          <w:sz w:val="17"/>
          <w:szCs w:val="17"/>
          <w:b w:val="1"/>
          <w:bCs w:val="1"/>
          <w:color w:val="auto"/>
        </w:rPr>
        <w:t>Server Room Door Work</w:t>
      </w:r>
      <w:r>
        <w:rPr>
          <w:rFonts w:ascii="Arial" w:cs="Arial" w:eastAsia="Arial" w:hAnsi="Arial"/>
          <w:sz w:val="17"/>
          <w:szCs w:val="17"/>
          <w:color w:val="auto"/>
        </w:rPr>
        <w:t>”). Sublessee shall have access to first floor stairs on east side of the building for emergency purposes only.</w:t>
      </w:r>
    </w:p>
    <w:p>
      <w:pPr>
        <w:spacing w:after="0" w:line="2" w:lineRule="exact"/>
        <w:rPr>
          <w:rFonts w:ascii="Arial" w:cs="Arial" w:eastAsia="Arial" w:hAnsi="Arial"/>
          <w:sz w:val="17"/>
          <w:szCs w:val="17"/>
          <w:color w:val="auto"/>
        </w:rPr>
      </w:pPr>
    </w:p>
    <w:p>
      <w:pPr>
        <w:ind w:left="768" w:right="20" w:hanging="310"/>
        <w:spacing w:after="0" w:line="249" w:lineRule="auto"/>
        <w:tabs>
          <w:tab w:leader="none" w:pos="768" w:val="left"/>
        </w:tabs>
        <w:numPr>
          <w:ilvl w:val="1"/>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HOLDING OVER: </w:t>
      </w:r>
      <w:r>
        <w:rPr>
          <w:rFonts w:ascii="Arial" w:cs="Arial" w:eastAsia="Arial" w:hAnsi="Arial"/>
          <w:sz w:val="17"/>
          <w:szCs w:val="17"/>
          <w:color w:val="auto"/>
        </w:rPr>
        <w:t>Should Sublessee hold over in its sublease space with notice and approval, the Base Rent will be adjusted to 150% of the Base</w:t>
      </w:r>
      <w:r>
        <w:rPr>
          <w:rFonts w:ascii="Arial" w:cs="Arial" w:eastAsia="Arial" w:hAnsi="Arial"/>
          <w:sz w:val="17"/>
          <w:szCs w:val="17"/>
          <w:b w:val="1"/>
          <w:bCs w:val="1"/>
          <w:color w:val="auto"/>
        </w:rPr>
        <w:t xml:space="preserve"> </w:t>
      </w:r>
      <w:r>
        <w:rPr>
          <w:rFonts w:ascii="Arial" w:cs="Arial" w:eastAsia="Arial" w:hAnsi="Arial"/>
          <w:sz w:val="17"/>
          <w:szCs w:val="17"/>
          <w:color w:val="auto"/>
        </w:rPr>
        <w:t>Rent in effect during the last month of the Sublease Term or extended periods, as applicable.</w:t>
      </w:r>
    </w:p>
    <w:p>
      <w:pPr>
        <w:spacing w:after="0" w:line="1" w:lineRule="exact"/>
        <w:rPr>
          <w:rFonts w:ascii="Arial" w:cs="Arial" w:eastAsia="Arial" w:hAnsi="Arial"/>
          <w:sz w:val="17"/>
          <w:szCs w:val="17"/>
          <w:b w:val="1"/>
          <w:bCs w:val="1"/>
          <w:color w:val="auto"/>
        </w:rPr>
      </w:pPr>
    </w:p>
    <w:p>
      <w:pPr>
        <w:ind w:left="768" w:right="240" w:hanging="310"/>
        <w:spacing w:after="0" w:line="249" w:lineRule="auto"/>
        <w:tabs>
          <w:tab w:leader="none" w:pos="768" w:val="left"/>
        </w:tabs>
        <w:numPr>
          <w:ilvl w:val="1"/>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ASSIGNMENT AND SUBLETTING</w:t>
      </w:r>
      <w:r>
        <w:rPr>
          <w:rFonts w:ascii="Arial" w:cs="Arial" w:eastAsia="Arial" w:hAnsi="Arial"/>
          <w:sz w:val="17"/>
          <w:szCs w:val="17"/>
          <w:color w:val="auto"/>
        </w:rPr>
        <w:t>. Sublessee shall not mortgage, hypothecate, assign, or sublet any part of the Premises without the prior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consent of Sublessor and, if Sublessor under the Master Lease must obtain such consent from Lessor, the prior written consent of Lessor. Such consent by Sublessor shall not be unreasonably withheld, conditioned, or delayed.</w:t>
      </w:r>
    </w:p>
    <w:p>
      <w:pPr>
        <w:spacing w:after="0" w:line="2" w:lineRule="exact"/>
        <w:rPr>
          <w:rFonts w:ascii="Arial" w:cs="Arial" w:eastAsia="Arial" w:hAnsi="Arial"/>
          <w:sz w:val="17"/>
          <w:szCs w:val="17"/>
          <w:b w:val="1"/>
          <w:bCs w:val="1"/>
          <w:color w:val="auto"/>
        </w:rPr>
      </w:pPr>
    </w:p>
    <w:p>
      <w:pPr>
        <w:ind w:left="768" w:right="100" w:hanging="310"/>
        <w:spacing w:after="0" w:line="252" w:lineRule="auto"/>
        <w:tabs>
          <w:tab w:leader="none" w:pos="768" w:val="left"/>
        </w:tabs>
        <w:numPr>
          <w:ilvl w:val="1"/>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EARLY TERMINATION</w:t>
      </w:r>
      <w:r>
        <w:rPr>
          <w:rFonts w:ascii="Arial" w:cs="Arial" w:eastAsia="Arial" w:hAnsi="Arial"/>
          <w:sz w:val="17"/>
          <w:szCs w:val="17"/>
          <w:color w:val="auto"/>
        </w:rPr>
        <w:t>. In the event Sublessor exercises its Early Termination Right under Section 2.3 of the Master Lease: (1) this Sublease</w:t>
      </w:r>
      <w:r>
        <w:rPr>
          <w:rFonts w:ascii="Arial" w:cs="Arial" w:eastAsia="Arial" w:hAnsi="Arial"/>
          <w:sz w:val="17"/>
          <w:szCs w:val="17"/>
          <w:b w:val="1"/>
          <w:bCs w:val="1"/>
          <w:color w:val="auto"/>
        </w:rPr>
        <w:t xml:space="preserve"> </w:t>
      </w:r>
      <w:r>
        <w:rPr>
          <w:rFonts w:ascii="Arial" w:cs="Arial" w:eastAsia="Arial" w:hAnsi="Arial"/>
          <w:sz w:val="17"/>
          <w:szCs w:val="17"/>
          <w:color w:val="auto"/>
        </w:rPr>
        <w:t>shall terminate upon the termination of the Master Lease, i.e. April 30, 2023 (the "</w:t>
      </w:r>
      <w:r>
        <w:rPr>
          <w:rFonts w:ascii="Arial" w:cs="Arial" w:eastAsia="Arial" w:hAnsi="Arial"/>
          <w:sz w:val="17"/>
          <w:szCs w:val="17"/>
          <w:b w:val="1"/>
          <w:bCs w:val="1"/>
          <w:color w:val="auto"/>
        </w:rPr>
        <w:t>Termination Date</w:t>
      </w:r>
      <w:r>
        <w:rPr>
          <w:rFonts w:ascii="Arial" w:cs="Arial" w:eastAsia="Arial" w:hAnsi="Arial"/>
          <w:sz w:val="17"/>
          <w:szCs w:val="17"/>
          <w:color w:val="auto"/>
        </w:rPr>
        <w:t>"), notwithstanding any prior exercise of an Extension Option by Sublessee, and (2) Sublessee's remaining Extension Option(s) are void. Sublessor shall provide written notice to Sublessee of Sublessor's intent to exercise its Early Termination Right no later than August 1, 2022 (i.e., the date nine (9) months preceding the Termination Date).</w:t>
      </w:r>
    </w:p>
    <w:p>
      <w:pPr>
        <w:spacing w:after="0" w:line="192" w:lineRule="exact"/>
        <w:rPr>
          <w:rFonts w:ascii="Arial" w:cs="Arial" w:eastAsia="Arial" w:hAnsi="Arial"/>
          <w:sz w:val="17"/>
          <w:szCs w:val="17"/>
          <w:b w:val="1"/>
          <w:bCs w:val="1"/>
          <w:color w:val="auto"/>
        </w:rPr>
      </w:pPr>
    </w:p>
    <w:p>
      <w:pPr>
        <w:ind w:left="168" w:hanging="168"/>
        <w:spacing w:after="0"/>
        <w:tabs>
          <w:tab w:leader="none" w:pos="168"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MASTER LEASE.</w:t>
      </w:r>
    </w:p>
    <w:p>
      <w:pPr>
        <w:spacing w:after="0" w:line="25" w:lineRule="exact"/>
        <w:rPr>
          <w:sz w:val="20"/>
          <w:szCs w:val="20"/>
          <w:color w:val="auto"/>
        </w:rPr>
      </w:pPr>
    </w:p>
    <w:p>
      <w:pPr>
        <w:jc w:val="both"/>
        <w:ind w:left="468" w:firstLine="611"/>
        <w:spacing w:after="0" w:line="268" w:lineRule="auto"/>
        <w:rPr>
          <w:sz w:val="20"/>
          <w:szCs w:val="20"/>
          <w:color w:val="auto"/>
        </w:rPr>
      </w:pPr>
      <w:r>
        <w:rPr>
          <w:rFonts w:ascii="Arial" w:cs="Arial" w:eastAsia="Arial" w:hAnsi="Arial"/>
          <w:sz w:val="16"/>
          <w:szCs w:val="16"/>
          <w:color w:val="auto"/>
        </w:rPr>
        <w:t>This Sublease is subordinate to the Master Lease. Sublessee assumes and agrees to perform the lessee’s obligations under the Master Lease during the Sublease Term to the extent that such obligations are applicable to the Premises, except to the extent such obligations are modified by the terms of this Sublease (including, without limitation, the obligation to pay rent to Lessor under the Master Lease shall be considered performed by Sublessee to the extent and in the amount rent is paid to Sublessor in accordance with Section 6 of this Sublease). Sublessor shall perform the lessor’s obligations under the Master Lease during the Sublease Term to the extent such obligations are applicable to the Premises except to the extent such obligations are modified by the terms of this Sublease. Sublessee shall not commit or suffer any act or omission that will violate any of the provisions of the Master Lease; provided, however, Sublessor acknowledges that Sublessee’s obligations have been modified as set forth herein. Sublessor shall exercise due diligence in attempting to cause Lessor to perform its obligations under the Master Lease for the benefit of Sublessee. If the Master Lease terminates, this Sublease shall terminate and the parties shall be relieved of any further liability or obligation under this Sublease. Notwithstanding the foregoing, if the Master Lease gives Sublessor any right to terminate the Master Lease in the event of the partial or total damage, destruction, or condemnation of the Master Premises or the building or project of which the Master Premises are a part, the exercise of such right by Sublessor shall not constitute a default or breach hereunder. Sublessor shall fully and punctually pay all rent and any other sums due and payable to Lessor, as and when the same shall become due and payable</w:t>
      </w:r>
    </w:p>
    <w:p>
      <w:pPr>
        <w:sectPr>
          <w:pgSz w:w="11900" w:h="16838" w:orient="portrait"/>
          <w:cols w:equalWidth="0" w:num="1">
            <w:col w:w="10808"/>
          </w:cols>
          <w:pgMar w:left="852" w:top="687" w:right="239" w:bottom="1440" w:gutter="0" w:footer="0" w:header="0"/>
        </w:sectPr>
      </w:pPr>
    </w:p>
    <w:bookmarkStart w:id="75" w:name="page76"/>
    <w:bookmarkEnd w:id="75"/>
    <w:p>
      <w:pPr>
        <w:jc w:val="both"/>
        <w:ind w:left="468"/>
        <w:spacing w:after="0" w:line="287" w:lineRule="auto"/>
        <w:rPr>
          <w:sz w:val="20"/>
          <w:szCs w:val="20"/>
          <w:color w:val="auto"/>
        </w:rPr>
      </w:pPr>
      <w:r>
        <w:rPr>
          <w:rFonts w:ascii="Arial" w:cs="Arial" w:eastAsia="Arial" w:hAnsi="Arial"/>
          <w:sz w:val="15"/>
          <w:szCs w:val="15"/>
          <w:color w:val="auto"/>
        </w:rPr>
        <w:t>under the Master Lease, and perform all obligations required of Sublessor thereunder. Sublessor shall provide Sublessee a copy of any notice it receives from the Lessor pursuant to, or concerning the Master Lease within three (3) business days of Sublessor’s receipt thereof. In the event of any conflict between the terms of this Sublease and the terms of the Master Lease, the terms of the Master Lease shall govern; provided, however, to the extent this Sublease modifies the terms of the Master Lease as between Sublessor and Sublessee, the terms of this Sublease shall govern.</w:t>
      </w:r>
    </w:p>
    <w:p>
      <w:pPr>
        <w:spacing w:after="0" w:line="1" w:lineRule="exact"/>
        <w:rPr>
          <w:sz w:val="20"/>
          <w:szCs w:val="20"/>
          <w:color w:val="auto"/>
        </w:rPr>
      </w:pPr>
    </w:p>
    <w:p>
      <w:pPr>
        <w:jc w:val="both"/>
        <w:ind w:left="468" w:firstLine="458"/>
        <w:spacing w:after="0" w:line="288"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b w:val="1"/>
          <w:bCs w:val="1"/>
          <w:color w:val="auto"/>
        </w:rPr>
        <w:t>Sublessor Default</w:t>
      </w:r>
      <w:r>
        <w:rPr>
          <w:rFonts w:ascii="Arial" w:cs="Arial" w:eastAsia="Arial" w:hAnsi="Arial"/>
          <w:sz w:val="15"/>
          <w:szCs w:val="15"/>
          <w:color w:val="auto"/>
        </w:rPr>
        <w:t>. Sublessor shall be in default under this Sublease if Sublessor fails to: (a) pay any obligation of Sublessor under the Lease and said failure continues for three (3) business days after receipt of notice from Sublessee of the same; (b) perform any other act or acts required by Sublessor under the Lease and said failure continues for three (3) business days after receipt of notice from Sublessee or Lessor of the same; (c) perform any act or acts required of Sublessor by this Sublease and such failure continues for thirty (30) days after receipt of notice from Sublessee or (d) any other default under the terms of the Master Lease. In the event of a default by Sublessor, including without limitation a default under subclause (a) above, Sublessee may pay or perform any obligation of Sublessor, in addition to the right to exercise all other legal and equitable remedies of Sublessee (including, without limitation, the right to immediately terminate the Sublease). If Sublessee elects to pay or perform any such obligation of Sublessor, Sublessor shall, within twenty (20) days of demand, reimburse Sublessee the reasonable amount paid or out-of-pocket costs or expenses so incurred by Sublessee. If Sublessor fails to timely pay or reimburse Sublessee for any amount owed to Sublessee under this Sublease by Sublessor, Sublessee may offset the amount so owed or to be reimbursed against Rent along with interest at the highest rate permitted by law.</w:t>
      </w:r>
    </w:p>
    <w:p>
      <w:pPr>
        <w:spacing w:after="0" w:line="154" w:lineRule="exact"/>
        <w:rPr>
          <w:sz w:val="20"/>
          <w:szCs w:val="20"/>
          <w:color w:val="auto"/>
        </w:rPr>
      </w:pPr>
    </w:p>
    <w:p>
      <w:pPr>
        <w:ind w:left="468" w:hanging="468"/>
        <w:spacing w:after="0" w:line="259" w:lineRule="auto"/>
        <w:tabs>
          <w:tab w:leader="none" w:pos="205"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INSURANCE. </w:t>
      </w:r>
      <w:r>
        <w:rPr>
          <w:rFonts w:ascii="Arial" w:cs="Arial" w:eastAsia="Arial" w:hAnsi="Arial"/>
          <w:sz w:val="17"/>
          <w:szCs w:val="17"/>
          <w:color w:val="auto"/>
        </w:rPr>
        <w:t>Sublessee shall at all times maintain commercial general liability coverage with limits not less than $1,000,000 per occurrence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$2,000,000 aggregate for bodily injury and property damage liability.</w:t>
      </w:r>
    </w:p>
    <w:p>
      <w:pPr>
        <w:jc w:val="both"/>
        <w:ind w:left="468" w:firstLine="458"/>
        <w:spacing w:after="0" w:line="251" w:lineRule="auto"/>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8.1 - Waiver of Subrogation. </w:t>
      </w:r>
      <w:r>
        <w:rPr>
          <w:rFonts w:ascii="Arial" w:cs="Arial" w:eastAsia="Arial" w:hAnsi="Arial"/>
          <w:sz w:val="17"/>
          <w:szCs w:val="17"/>
          <w:color w:val="auto"/>
        </w:rPr>
        <w:t>Notwithstanding any provision herein to the contrary, the parties hereto expressly release each other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Master Landlord from and waive any rights of recovery that each may have against the other for any and all liability and expense for loss, damage or destruction of property resulting from perils (including negligent acts or omissions of Sublessee, Sublessor, or Lessor, and their respective agents, employees, associates or invitees) covered by the insurance policies which such parties are obligated to purchase and maintain pursuant to this Sublease (or, in the case of Sublessor, pursuant to the master Lease); and the parties mutually agree that their respective insurance companies shall have no right of subrogation against the other party or Lessor on account thereof. Sublessor agrees to request Lessor to extend the subrogation waiver provisions of the Master Lease to Sublessee.</w:t>
      </w:r>
    </w:p>
    <w:p>
      <w:pPr>
        <w:spacing w:after="0" w:line="181" w:lineRule="exact"/>
        <w:rPr>
          <w:rFonts w:ascii="Arial" w:cs="Arial" w:eastAsia="Arial" w:hAnsi="Arial"/>
          <w:sz w:val="17"/>
          <w:szCs w:val="17"/>
          <w:b w:val="1"/>
          <w:bCs w:val="1"/>
          <w:color w:val="auto"/>
        </w:rPr>
      </w:pPr>
    </w:p>
    <w:p>
      <w:pPr>
        <w:ind w:left="468" w:hanging="468"/>
        <w:spacing w:after="0" w:line="254" w:lineRule="auto"/>
        <w:tabs>
          <w:tab w:leader="none" w:pos="205"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INDEMNIFICATION: </w:t>
      </w:r>
      <w:r>
        <w:rPr>
          <w:rFonts w:ascii="Arial" w:cs="Arial" w:eastAsia="Arial" w:hAnsi="Arial"/>
          <w:sz w:val="17"/>
          <w:szCs w:val="17"/>
          <w:color w:val="auto"/>
        </w:rPr>
        <w:t>Sublessee shall indemnify, protect, defend and save Sublessor harmless from and against any and all liens, claims, demands,</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causes of action, obligations, penalties, charges, liabilities, damages, losses, costs or expenses, including reasonable attorney’s fees for the defense thereof (“Liabilities”), arising from, out of or in connection with Sublessee’s use of the Premises or any breach of or any default in the performance of Sublessee’s obligations under this Sublease or any negligent act or omission of Sublessee, or any of Sublessee’s officers, directors, employees or agents; except to the extent such Liabilities are caused or contributed to by the negligence or willful acts or omissions of Sublessor, its agents, contractors or employees. Sublessor shall indemnify, defend, and hold Sublessee harmless from Liabilities caused by Sublessor’s breach or default of its obligations under the Master Lease and asserted against or sustained by Sublessee, including any termination of the Master Lease as a result of Sublessor’s default thereunder.</w:t>
      </w:r>
    </w:p>
    <w:p>
      <w:pPr>
        <w:spacing w:after="0" w:line="189" w:lineRule="exact"/>
        <w:rPr>
          <w:rFonts w:ascii="Arial" w:cs="Arial" w:eastAsia="Arial" w:hAnsi="Arial"/>
          <w:sz w:val="17"/>
          <w:szCs w:val="17"/>
          <w:b w:val="1"/>
          <w:bCs w:val="1"/>
          <w:color w:val="auto"/>
        </w:rPr>
      </w:pPr>
    </w:p>
    <w:p>
      <w:pPr>
        <w:ind w:left="248" w:hanging="248"/>
        <w:spacing w:after="0"/>
        <w:tabs>
          <w:tab w:leader="none" w:pos="248"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ATTORNEYS’ FEES.</w:t>
      </w:r>
    </w:p>
    <w:p>
      <w:pPr>
        <w:spacing w:after="0" w:line="24" w:lineRule="exact"/>
        <w:rPr>
          <w:sz w:val="20"/>
          <w:szCs w:val="20"/>
          <w:color w:val="auto"/>
        </w:rPr>
      </w:pPr>
    </w:p>
    <w:p>
      <w:pPr>
        <w:ind w:left="468" w:firstLine="611"/>
        <w:spacing w:after="0" w:line="259" w:lineRule="auto"/>
        <w:rPr>
          <w:sz w:val="20"/>
          <w:szCs w:val="20"/>
          <w:color w:val="auto"/>
        </w:rPr>
      </w:pPr>
      <w:r>
        <w:rPr>
          <w:rFonts w:ascii="Arial" w:cs="Arial" w:eastAsia="Arial" w:hAnsi="Arial"/>
          <w:sz w:val="17"/>
          <w:szCs w:val="17"/>
          <w:color w:val="auto"/>
        </w:rPr>
        <w:t>If Sublessor or Sublessee shall take any action or commence any legal proceedings against the other arising out of or in connection with this Sublease, the prevailing party shall be entitled to recover its costs of suit and reasonable attorneys’ fees.</w:t>
      </w:r>
    </w:p>
    <w:p>
      <w:pPr>
        <w:spacing w:after="0" w:line="173"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11. AGENCY DISCLOSURE.</w:t>
      </w:r>
    </w:p>
    <w:p>
      <w:pPr>
        <w:spacing w:after="0" w:line="24" w:lineRule="exact"/>
        <w:rPr>
          <w:sz w:val="20"/>
          <w:szCs w:val="20"/>
          <w:color w:val="auto"/>
        </w:rPr>
      </w:pPr>
    </w:p>
    <w:p>
      <w:pPr>
        <w:ind w:left="468" w:firstLine="611"/>
        <w:spacing w:after="0" w:line="259" w:lineRule="auto"/>
        <w:rPr>
          <w:sz w:val="20"/>
          <w:szCs w:val="20"/>
          <w:color w:val="auto"/>
        </w:rPr>
      </w:pPr>
      <w:r>
        <w:rPr>
          <w:rFonts w:ascii="Arial" w:cs="Arial" w:eastAsia="Arial" w:hAnsi="Arial"/>
          <w:sz w:val="17"/>
          <w:szCs w:val="17"/>
          <w:color w:val="auto"/>
        </w:rPr>
        <w:t>Sublessor and Sublessee each warrant that they have dealt with no other real estate broker in connection with this transaction except Hughes Marino, who represents Trex Enterprises</w:t>
      </w:r>
    </w:p>
    <w:p>
      <w:pPr>
        <w:sectPr>
          <w:pgSz w:w="11900" w:h="16838" w:orient="portrait"/>
          <w:cols w:equalWidth="0" w:num="1">
            <w:col w:w="10808"/>
          </w:cols>
          <w:pgMar w:left="852" w:top="674" w:right="239" w:bottom="1440" w:gutter="0" w:footer="0" w:header="0"/>
        </w:sectPr>
      </w:pPr>
    </w:p>
    <w:bookmarkStart w:id="76" w:name="page77"/>
    <w:bookmarkEnd w:id="76"/>
    <w:p>
      <w:pPr>
        <w:ind w:left="460"/>
        <w:spacing w:after="0"/>
        <w:rPr>
          <w:sz w:val="20"/>
          <w:szCs w:val="20"/>
          <w:color w:val="auto"/>
        </w:rPr>
      </w:pPr>
      <w:r>
        <w:rPr>
          <w:rFonts w:ascii="Arial" w:cs="Arial" w:eastAsia="Arial" w:hAnsi="Arial"/>
          <w:sz w:val="17"/>
          <w:szCs w:val="17"/>
          <w:color w:val="auto"/>
        </w:rPr>
        <w:t>Corporation, a California corporation, and Kidder Mathews, who represents AnaptysBio, Inc., a Delaware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COMMISSION.</w:t>
      </w:r>
    </w:p>
    <w:p>
      <w:pPr>
        <w:spacing w:after="0" w:line="24" w:lineRule="exact"/>
        <w:rPr>
          <w:sz w:val="20"/>
          <w:szCs w:val="20"/>
          <w:color w:val="auto"/>
        </w:rPr>
      </w:pPr>
    </w:p>
    <w:p>
      <w:pPr>
        <w:ind w:left="460" w:firstLine="611"/>
        <w:spacing w:after="0" w:line="259" w:lineRule="auto"/>
        <w:rPr>
          <w:sz w:val="20"/>
          <w:szCs w:val="20"/>
          <w:color w:val="auto"/>
        </w:rPr>
      </w:pPr>
      <w:r>
        <w:rPr>
          <w:rFonts w:ascii="Arial" w:cs="Arial" w:eastAsia="Arial" w:hAnsi="Arial"/>
          <w:sz w:val="17"/>
          <w:szCs w:val="17"/>
          <w:color w:val="auto"/>
        </w:rPr>
        <w:t>Upon execution of this Sublease, and consent thereto by Lessor, Sublessor shall pay Kidder Mathews a real estate brokerage commission equal to four percent (4%) of the Base Rent for services rendered in effecting this Sublease.</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Hughes Marino is waiving its Commission for services rendered in effecting this Sublease.</w:t>
      </w:r>
    </w:p>
    <w:p>
      <w:pPr>
        <w:sectPr>
          <w:pgSz w:w="11900" w:h="16838" w:orient="portrait"/>
          <w:cols w:equalWidth="0" w:num="1">
            <w:col w:w="10800"/>
          </w:cols>
          <w:pgMar w:left="860" w:top="661" w:right="239" w:bottom="1440" w:gutter="0" w:footer="0" w:header="0"/>
        </w:sectPr>
      </w:pPr>
    </w:p>
    <w:bookmarkStart w:id="77" w:name="page78"/>
    <w:bookmarkEnd w:id="77"/>
    <w:p>
      <w:pPr>
        <w:ind w:left="8"/>
        <w:spacing w:after="0"/>
        <w:rPr>
          <w:sz w:val="20"/>
          <w:szCs w:val="20"/>
          <w:color w:val="auto"/>
        </w:rPr>
      </w:pPr>
      <w:r>
        <w:rPr>
          <w:rFonts w:ascii="Arial" w:cs="Arial" w:eastAsia="Arial" w:hAnsi="Arial"/>
          <w:sz w:val="17"/>
          <w:szCs w:val="17"/>
          <w:b w:val="1"/>
          <w:bCs w:val="1"/>
          <w:color w:val="auto"/>
        </w:rPr>
        <w:t>13. NOTICES.</w:t>
      </w:r>
    </w:p>
    <w:p>
      <w:pPr>
        <w:spacing w:after="0" w:line="24" w:lineRule="exact"/>
        <w:rPr>
          <w:sz w:val="20"/>
          <w:szCs w:val="20"/>
          <w:color w:val="auto"/>
        </w:rPr>
      </w:pPr>
    </w:p>
    <w:p>
      <w:pPr>
        <w:jc w:val="both"/>
        <w:ind w:left="468" w:firstLine="611"/>
        <w:spacing w:after="0" w:line="271" w:lineRule="auto"/>
        <w:rPr>
          <w:sz w:val="20"/>
          <w:szCs w:val="20"/>
          <w:color w:val="auto"/>
        </w:rPr>
      </w:pPr>
      <w:r>
        <w:rPr>
          <w:rFonts w:ascii="Arial" w:cs="Arial" w:eastAsia="Arial" w:hAnsi="Arial"/>
          <w:sz w:val="16"/>
          <w:szCs w:val="16"/>
          <w:color w:val="auto"/>
        </w:rPr>
        <w:t>All notices and demands which may or are to be required or permitted to be given by either party on the other hereunder shall be in writing. All notices and demands by the Sublessor to Sublessee shall be mailed to the Sublessee at the Premises and to Tenant at: 10421 Pacific Center Court, Suite 200, San Diego, CA 92121, Attn: Chief Financial Officer, or to such other place as Sublessee may from time to time designate in a notice to the Sublessor. All notices and demands by the Sublessee to Sublessor shall be mailed to the Sublessor at the address set forth above, and to such other person or place as the Sublessor may from time to time designate in a notice to the Sublessee.</w:t>
      </w:r>
    </w:p>
    <w:p>
      <w:pPr>
        <w:spacing w:after="0" w:line="167" w:lineRule="exact"/>
        <w:rPr>
          <w:sz w:val="20"/>
          <w:szCs w:val="20"/>
          <w:color w:val="auto"/>
        </w:rPr>
      </w:pPr>
    </w:p>
    <w:p>
      <w:pPr>
        <w:ind w:left="248" w:hanging="248"/>
        <w:spacing w:after="0"/>
        <w:tabs>
          <w:tab w:leader="none" w:pos="248"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Sublease shall be construed and enforced in accordance with the laws of the State of California.</w:t>
      </w:r>
    </w:p>
    <w:p>
      <w:pPr>
        <w:spacing w:after="0" w:line="211" w:lineRule="exact"/>
        <w:rPr>
          <w:rFonts w:ascii="Arial" w:cs="Arial" w:eastAsia="Arial" w:hAnsi="Arial"/>
          <w:sz w:val="17"/>
          <w:szCs w:val="17"/>
          <w:b w:val="1"/>
          <w:bCs w:val="1"/>
          <w:color w:val="auto"/>
        </w:rPr>
      </w:pPr>
    </w:p>
    <w:p>
      <w:pPr>
        <w:ind w:left="468" w:hanging="468"/>
        <w:spacing w:after="0" w:line="278" w:lineRule="auto"/>
        <w:tabs>
          <w:tab w:leader="none" w:pos="264"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Sublease may be executed in counterparts with the same effect as if both parties hereto had executed the same document. Both</w:t>
      </w:r>
      <w:r>
        <w:rPr>
          <w:rFonts w:ascii="Arial" w:cs="Arial" w:eastAsia="Arial" w:hAnsi="Arial"/>
          <w:sz w:val="17"/>
          <w:szCs w:val="17"/>
          <w:b w:val="1"/>
          <w:bCs w:val="1"/>
          <w:color w:val="auto"/>
        </w:rPr>
        <w:t xml:space="preserve"> </w:t>
      </w:r>
      <w:r>
        <w:rPr>
          <w:rFonts w:ascii="Arial" w:cs="Arial" w:eastAsia="Arial" w:hAnsi="Arial"/>
          <w:sz w:val="17"/>
          <w:szCs w:val="17"/>
          <w:color w:val="auto"/>
        </w:rPr>
        <w:t>counterparts shall be construed together and shall constitute a single Sublease.</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SUBLESSOR:</w:t>
      </w:r>
    </w:p>
    <w:p>
      <w:pPr>
        <w:spacing w:after="0" w:line="200" w:lineRule="exact"/>
        <w:rPr>
          <w:sz w:val="20"/>
          <w:szCs w:val="20"/>
          <w:color w:val="auto"/>
        </w:rPr>
      </w:pPr>
    </w:p>
    <w:p>
      <w:pPr>
        <w:spacing w:after="0" w:line="270"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TREX ENTERPRISES CORPORATION</w:t>
      </w:r>
    </w:p>
    <w:p>
      <w:pPr>
        <w:spacing w:after="0" w:line="59"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a California corporation</w:t>
      </w:r>
    </w:p>
    <w:p>
      <w:pPr>
        <w:spacing w:after="0" w:line="364" w:lineRule="exact"/>
        <w:rPr>
          <w:sz w:val="20"/>
          <w:szCs w:val="20"/>
          <w:color w:val="auto"/>
        </w:rPr>
      </w:pPr>
    </w:p>
    <w:tbl>
      <w:tblPr>
        <w:tblLayout w:type="fixed"/>
        <w:tblInd w:w="5808" w:type="dxa"/>
        <w:tblCellMar>
          <w:top w:w="0" w:type="dxa"/>
          <w:left w:w="0" w:type="dxa"/>
          <w:bottom w:w="0" w:type="dxa"/>
          <w:right w:w="0" w:type="dxa"/>
        </w:tblCellMar>
      </w:tblPr>
      <w:tr>
        <w:trPr>
          <w:trHeight w:val="215"/>
        </w:trPr>
        <w:tc>
          <w:tcPr>
            <w:tcW w:w="900" w:type="dxa"/>
            <w:vAlign w:val="bottom"/>
          </w:tcPr>
          <w:p>
            <w:pPr>
              <w:spacing w:after="0"/>
              <w:rPr>
                <w:sz w:val="20"/>
                <w:szCs w:val="20"/>
                <w:color w:val="auto"/>
              </w:rPr>
            </w:pPr>
            <w:r>
              <w:rPr>
                <w:rFonts w:ascii="Arial" w:cs="Arial" w:eastAsia="Arial" w:hAnsi="Arial"/>
                <w:sz w:val="17"/>
                <w:szCs w:val="17"/>
                <w:color w:val="auto"/>
              </w:rPr>
              <w:t>By:</w:t>
            </w:r>
          </w:p>
        </w:tc>
        <w:tc>
          <w:tcPr>
            <w:tcW w:w="2860" w:type="dxa"/>
            <w:vAlign w:val="bottom"/>
          </w:tcPr>
          <w:p>
            <w:pPr>
              <w:ind w:left="20"/>
              <w:spacing w:after="0"/>
              <w:rPr>
                <w:sz w:val="20"/>
                <w:szCs w:val="20"/>
                <w:color w:val="auto"/>
              </w:rPr>
            </w:pPr>
            <w:r>
              <w:rPr>
                <w:rFonts w:ascii="Arial" w:cs="Arial" w:eastAsia="Arial" w:hAnsi="Arial"/>
                <w:sz w:val="17"/>
                <w:szCs w:val="17"/>
                <w:color w:val="auto"/>
              </w:rPr>
              <w:t>/s/ Kenneth Y. Tang</w:t>
            </w:r>
          </w:p>
        </w:tc>
      </w:tr>
      <w:tr>
        <w:trPr>
          <w:trHeight w:val="26"/>
        </w:trPr>
        <w:tc>
          <w:tcPr>
            <w:tcW w:w="90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21"/>
        </w:trPr>
        <w:tc>
          <w:tcPr>
            <w:tcW w:w="900" w:type="dxa"/>
            <w:vAlign w:val="bottom"/>
          </w:tcPr>
          <w:p>
            <w:pPr>
              <w:spacing w:after="0"/>
              <w:rPr>
                <w:sz w:val="20"/>
                <w:szCs w:val="20"/>
                <w:color w:val="auto"/>
              </w:rPr>
            </w:pPr>
            <w:r>
              <w:rPr>
                <w:rFonts w:ascii="Arial" w:cs="Arial" w:eastAsia="Arial" w:hAnsi="Arial"/>
                <w:sz w:val="17"/>
                <w:szCs w:val="17"/>
                <w:color w:val="auto"/>
              </w:rPr>
              <w:t>Name:</w:t>
            </w:r>
          </w:p>
        </w:tc>
        <w:tc>
          <w:tcPr>
            <w:tcW w:w="2860" w:type="dxa"/>
            <w:vAlign w:val="bottom"/>
          </w:tcPr>
          <w:p>
            <w:pPr>
              <w:ind w:left="20"/>
              <w:spacing w:after="0"/>
              <w:rPr>
                <w:sz w:val="20"/>
                <w:szCs w:val="20"/>
                <w:color w:val="auto"/>
              </w:rPr>
            </w:pPr>
            <w:r>
              <w:rPr>
                <w:rFonts w:ascii="Arial" w:cs="Arial" w:eastAsia="Arial" w:hAnsi="Arial"/>
                <w:sz w:val="17"/>
                <w:szCs w:val="17"/>
                <w:color w:val="auto"/>
              </w:rPr>
              <w:t>Kenneth Y. Tang</w:t>
            </w:r>
          </w:p>
        </w:tc>
      </w:tr>
      <w:tr>
        <w:trPr>
          <w:trHeight w:val="26"/>
        </w:trPr>
        <w:tc>
          <w:tcPr>
            <w:tcW w:w="90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21"/>
        </w:trPr>
        <w:tc>
          <w:tcPr>
            <w:tcW w:w="900" w:type="dxa"/>
            <w:vAlign w:val="bottom"/>
          </w:tcPr>
          <w:p>
            <w:pPr>
              <w:spacing w:after="0"/>
              <w:rPr>
                <w:sz w:val="20"/>
                <w:szCs w:val="20"/>
                <w:color w:val="auto"/>
              </w:rPr>
            </w:pPr>
            <w:r>
              <w:rPr>
                <w:rFonts w:ascii="Arial" w:cs="Arial" w:eastAsia="Arial" w:hAnsi="Arial"/>
                <w:sz w:val="17"/>
                <w:szCs w:val="17"/>
                <w:color w:val="auto"/>
              </w:rPr>
              <w:t>Title:</w:t>
            </w:r>
          </w:p>
        </w:tc>
        <w:tc>
          <w:tcPr>
            <w:tcW w:w="2860" w:type="dxa"/>
            <w:vAlign w:val="bottom"/>
          </w:tcPr>
          <w:p>
            <w:pPr>
              <w:ind w:left="20"/>
              <w:spacing w:after="0"/>
              <w:rPr>
                <w:sz w:val="20"/>
                <w:szCs w:val="20"/>
                <w:color w:val="auto"/>
              </w:rPr>
            </w:pPr>
            <w:r>
              <w:rPr>
                <w:rFonts w:ascii="Arial" w:cs="Arial" w:eastAsia="Arial" w:hAnsi="Arial"/>
                <w:sz w:val="17"/>
                <w:szCs w:val="17"/>
                <w:color w:val="auto"/>
              </w:rPr>
              <w:t>Chairman and CEO</w:t>
            </w:r>
          </w:p>
        </w:tc>
      </w:tr>
      <w:tr>
        <w:trPr>
          <w:trHeight w:val="26"/>
        </w:trPr>
        <w:tc>
          <w:tcPr>
            <w:tcW w:w="90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526"/>
        </w:trPr>
        <w:tc>
          <w:tcPr>
            <w:tcW w:w="900" w:type="dxa"/>
            <w:vAlign w:val="bottom"/>
          </w:tcPr>
          <w:p>
            <w:pPr>
              <w:spacing w:after="0"/>
              <w:rPr>
                <w:sz w:val="20"/>
                <w:szCs w:val="20"/>
                <w:color w:val="auto"/>
              </w:rPr>
            </w:pPr>
            <w:r>
              <w:rPr>
                <w:rFonts w:ascii="Arial" w:cs="Arial" w:eastAsia="Arial" w:hAnsi="Arial"/>
                <w:sz w:val="17"/>
                <w:szCs w:val="17"/>
                <w:color w:val="auto"/>
              </w:rPr>
              <w:t>By:</w:t>
            </w:r>
          </w:p>
        </w:tc>
        <w:tc>
          <w:tcPr>
            <w:tcW w:w="2860" w:type="dxa"/>
            <w:vAlign w:val="bottom"/>
          </w:tcPr>
          <w:p>
            <w:pPr>
              <w:ind w:left="20"/>
              <w:spacing w:after="0"/>
              <w:rPr>
                <w:sz w:val="20"/>
                <w:szCs w:val="20"/>
                <w:color w:val="auto"/>
              </w:rPr>
            </w:pPr>
            <w:r>
              <w:rPr>
                <w:rFonts w:ascii="Arial" w:cs="Arial" w:eastAsia="Arial" w:hAnsi="Arial"/>
                <w:sz w:val="17"/>
                <w:szCs w:val="17"/>
                <w:color w:val="auto"/>
              </w:rPr>
              <w:t>/s/ Deborah A. Doyle</w:t>
            </w:r>
          </w:p>
        </w:tc>
      </w:tr>
      <w:tr>
        <w:trPr>
          <w:trHeight w:val="26"/>
        </w:trPr>
        <w:tc>
          <w:tcPr>
            <w:tcW w:w="90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21"/>
        </w:trPr>
        <w:tc>
          <w:tcPr>
            <w:tcW w:w="900" w:type="dxa"/>
            <w:vAlign w:val="bottom"/>
          </w:tcPr>
          <w:p>
            <w:pPr>
              <w:spacing w:after="0"/>
              <w:rPr>
                <w:sz w:val="20"/>
                <w:szCs w:val="20"/>
                <w:color w:val="auto"/>
              </w:rPr>
            </w:pPr>
            <w:r>
              <w:rPr>
                <w:rFonts w:ascii="Arial" w:cs="Arial" w:eastAsia="Arial" w:hAnsi="Arial"/>
                <w:sz w:val="17"/>
                <w:szCs w:val="17"/>
                <w:color w:val="auto"/>
              </w:rPr>
              <w:t>Name:</w:t>
            </w:r>
          </w:p>
        </w:tc>
        <w:tc>
          <w:tcPr>
            <w:tcW w:w="2860" w:type="dxa"/>
            <w:vAlign w:val="bottom"/>
          </w:tcPr>
          <w:p>
            <w:pPr>
              <w:ind w:left="20"/>
              <w:spacing w:after="0"/>
              <w:rPr>
                <w:sz w:val="20"/>
                <w:szCs w:val="20"/>
                <w:color w:val="auto"/>
              </w:rPr>
            </w:pPr>
            <w:r>
              <w:rPr>
                <w:rFonts w:ascii="Arial" w:cs="Arial" w:eastAsia="Arial" w:hAnsi="Arial"/>
                <w:sz w:val="17"/>
                <w:szCs w:val="17"/>
                <w:color w:val="auto"/>
              </w:rPr>
              <w:t>Deborah A. Doyle</w:t>
            </w:r>
          </w:p>
        </w:tc>
      </w:tr>
      <w:tr>
        <w:trPr>
          <w:trHeight w:val="26"/>
        </w:trPr>
        <w:tc>
          <w:tcPr>
            <w:tcW w:w="90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21"/>
        </w:trPr>
        <w:tc>
          <w:tcPr>
            <w:tcW w:w="900" w:type="dxa"/>
            <w:vAlign w:val="bottom"/>
          </w:tcPr>
          <w:p>
            <w:pPr>
              <w:spacing w:after="0"/>
              <w:rPr>
                <w:sz w:val="20"/>
                <w:szCs w:val="20"/>
                <w:color w:val="auto"/>
              </w:rPr>
            </w:pPr>
            <w:r>
              <w:rPr>
                <w:rFonts w:ascii="Arial" w:cs="Arial" w:eastAsia="Arial" w:hAnsi="Arial"/>
                <w:sz w:val="17"/>
                <w:szCs w:val="17"/>
                <w:color w:val="auto"/>
              </w:rPr>
              <w:t>Title:</w:t>
            </w:r>
          </w:p>
        </w:tc>
        <w:tc>
          <w:tcPr>
            <w:tcW w:w="2860" w:type="dxa"/>
            <w:vAlign w:val="bottom"/>
          </w:tcPr>
          <w:p>
            <w:pPr>
              <w:ind w:left="20"/>
              <w:spacing w:after="0"/>
              <w:rPr>
                <w:sz w:val="20"/>
                <w:szCs w:val="20"/>
                <w:color w:val="auto"/>
              </w:rPr>
            </w:pPr>
            <w:r>
              <w:rPr>
                <w:rFonts w:ascii="Arial" w:cs="Arial" w:eastAsia="Arial" w:hAnsi="Arial"/>
                <w:sz w:val="17"/>
                <w:szCs w:val="17"/>
                <w:color w:val="auto"/>
              </w:rPr>
              <w:t>COO and CFO</w:t>
            </w:r>
          </w:p>
        </w:tc>
      </w:tr>
      <w:tr>
        <w:trPr>
          <w:trHeight w:val="26"/>
        </w:trPr>
        <w:tc>
          <w:tcPr>
            <w:tcW w:w="90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bl>
    <w:p>
      <w:pPr>
        <w:spacing w:after="0" w:line="391"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SUBLESSEE:</w:t>
      </w:r>
    </w:p>
    <w:p>
      <w:pPr>
        <w:spacing w:after="0" w:line="267"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ANAPTYSBIO, INC.,</w:t>
      </w:r>
    </w:p>
    <w:p>
      <w:pPr>
        <w:spacing w:after="0" w:line="59"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a Delaware corporation</w:t>
      </w:r>
    </w:p>
    <w:p>
      <w:pPr>
        <w:spacing w:after="0" w:line="364"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29210</wp:posOffset>
            </wp:positionV>
            <wp:extent cx="18173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2"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29210</wp:posOffset>
            </wp:positionV>
            <wp:extent cx="18173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2"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29210</wp:posOffset>
            </wp:positionV>
            <wp:extent cx="18173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57"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29210</wp:posOffset>
            </wp:positionV>
            <wp:extent cx="18173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2"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29210</wp:posOffset>
            </wp:positionV>
            <wp:extent cx="18173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2"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29210</wp:posOffset>
            </wp:positionV>
            <wp:extent cx="18173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ectPr>
          <w:pgSz w:w="11900" w:h="16838" w:orient="portrait"/>
          <w:cols w:equalWidth="0" w:num="1">
            <w:col w:w="10808"/>
          </w:cols>
          <w:pgMar w:left="852" w:top="861" w:right="239" w:bottom="1440" w:gutter="0" w:footer="0" w:header="0"/>
        </w:sectPr>
      </w:pPr>
    </w:p>
    <w:bookmarkStart w:id="78" w:name="page79"/>
    <w:bookmarkEnd w:id="78"/>
    <w:p>
      <w:pPr>
        <w:ind w:left="8"/>
        <w:spacing w:after="0"/>
        <w:rPr>
          <w:sz w:val="20"/>
          <w:szCs w:val="20"/>
          <w:color w:val="auto"/>
        </w:rPr>
      </w:pPr>
      <w:r>
        <w:rPr>
          <w:rFonts w:ascii="Arial" w:cs="Arial" w:eastAsia="Arial" w:hAnsi="Arial"/>
          <w:sz w:val="17"/>
          <w:szCs w:val="17"/>
          <w:b w:val="1"/>
          <w:bCs w:val="1"/>
          <w:color w:val="auto"/>
        </w:rPr>
        <w:t>13. NOTICES.</w:t>
      </w:r>
    </w:p>
    <w:p>
      <w:pPr>
        <w:spacing w:after="0" w:line="24" w:lineRule="exact"/>
        <w:rPr>
          <w:sz w:val="20"/>
          <w:szCs w:val="20"/>
          <w:color w:val="auto"/>
        </w:rPr>
      </w:pPr>
    </w:p>
    <w:p>
      <w:pPr>
        <w:jc w:val="both"/>
        <w:ind w:left="468" w:firstLine="611"/>
        <w:spacing w:after="0" w:line="271" w:lineRule="auto"/>
        <w:rPr>
          <w:sz w:val="20"/>
          <w:szCs w:val="20"/>
          <w:color w:val="auto"/>
        </w:rPr>
      </w:pPr>
      <w:r>
        <w:rPr>
          <w:rFonts w:ascii="Arial" w:cs="Arial" w:eastAsia="Arial" w:hAnsi="Arial"/>
          <w:sz w:val="16"/>
          <w:szCs w:val="16"/>
          <w:color w:val="auto"/>
        </w:rPr>
        <w:t>All notices and demands which may or are to be required or permitted to be given by either party on the other hereunder shall be in writing. All notices and demands by the Sublessor to Sublessee shall be mailed to the Sublessee at the Premises and to Tenant at: 10421 Pacific Center Court, Suite 200, San Diego, CA 92121, Attn: Chief Financial Officer, or to such other place as Sublessee may from time to time designate in a notice to the Sublessor. All notices and demands by the Sublessee to Sublessor shall be mailed to the Sublessor at the address set forth above, and to such other person or place as the Sublessor may from time to time designate in a notice to the Sublessee.</w:t>
      </w:r>
    </w:p>
    <w:p>
      <w:pPr>
        <w:spacing w:after="0" w:line="167" w:lineRule="exact"/>
        <w:rPr>
          <w:sz w:val="20"/>
          <w:szCs w:val="20"/>
          <w:color w:val="auto"/>
        </w:rPr>
      </w:pPr>
    </w:p>
    <w:p>
      <w:pPr>
        <w:ind w:left="248" w:hanging="248"/>
        <w:spacing w:after="0"/>
        <w:tabs>
          <w:tab w:leader="none" w:pos="248"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Sublease shall be construed and enforced in accordance with the laws of the State of California.</w:t>
      </w:r>
    </w:p>
    <w:p>
      <w:pPr>
        <w:spacing w:after="0" w:line="211" w:lineRule="exact"/>
        <w:rPr>
          <w:rFonts w:ascii="Arial" w:cs="Arial" w:eastAsia="Arial" w:hAnsi="Arial"/>
          <w:sz w:val="17"/>
          <w:szCs w:val="17"/>
          <w:b w:val="1"/>
          <w:bCs w:val="1"/>
          <w:color w:val="auto"/>
        </w:rPr>
      </w:pPr>
    </w:p>
    <w:p>
      <w:pPr>
        <w:ind w:left="468" w:hanging="468"/>
        <w:spacing w:after="0" w:line="278" w:lineRule="auto"/>
        <w:tabs>
          <w:tab w:leader="none" w:pos="264"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Sublease may be executed in counterparts with the same effect as if both parties hereto had executed the same document. Both</w:t>
      </w:r>
      <w:r>
        <w:rPr>
          <w:rFonts w:ascii="Arial" w:cs="Arial" w:eastAsia="Arial" w:hAnsi="Arial"/>
          <w:sz w:val="17"/>
          <w:szCs w:val="17"/>
          <w:b w:val="1"/>
          <w:bCs w:val="1"/>
          <w:color w:val="auto"/>
        </w:rPr>
        <w:t xml:space="preserve"> </w:t>
      </w:r>
      <w:r>
        <w:rPr>
          <w:rFonts w:ascii="Arial" w:cs="Arial" w:eastAsia="Arial" w:hAnsi="Arial"/>
          <w:sz w:val="17"/>
          <w:szCs w:val="17"/>
          <w:color w:val="auto"/>
        </w:rPr>
        <w:t>counterparts shall be construed together and shall constitute a single Sublease.</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SUBLESSOR:</w:t>
      </w:r>
    </w:p>
    <w:p>
      <w:pPr>
        <w:spacing w:after="0" w:line="200" w:lineRule="exact"/>
        <w:rPr>
          <w:sz w:val="20"/>
          <w:szCs w:val="20"/>
          <w:color w:val="auto"/>
        </w:rPr>
      </w:pPr>
    </w:p>
    <w:p>
      <w:pPr>
        <w:spacing w:after="0" w:line="334"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TREX ENTERPRISES CORPORATION</w:t>
      </w:r>
    </w:p>
    <w:p>
      <w:pPr>
        <w:spacing w:after="0" w:line="59"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a California corporation</w:t>
      </w:r>
    </w:p>
    <w:p>
      <w:pPr>
        <w:spacing w:after="0" w:line="364"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29210</wp:posOffset>
            </wp:positionV>
            <wp:extent cx="18173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2"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29210</wp:posOffset>
            </wp:positionV>
            <wp:extent cx="18173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2"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29210</wp:posOffset>
            </wp:positionV>
            <wp:extent cx="18173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57"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29210</wp:posOffset>
            </wp:positionV>
            <wp:extent cx="18173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2"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29210</wp:posOffset>
            </wp:positionV>
            <wp:extent cx="18173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2" w:lineRule="exact"/>
        <w:rPr>
          <w:sz w:val="20"/>
          <w:szCs w:val="20"/>
          <w:color w:val="auto"/>
        </w:rPr>
      </w:pPr>
    </w:p>
    <w:p>
      <w:pPr>
        <w:ind w:left="5808"/>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4257675</wp:posOffset>
            </wp:positionH>
            <wp:positionV relativeFrom="paragraph">
              <wp:posOffset>29210</wp:posOffset>
            </wp:positionV>
            <wp:extent cx="18173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SUBLESSEE:</w:t>
      </w:r>
    </w:p>
    <w:p>
      <w:pPr>
        <w:spacing w:after="0" w:line="200" w:lineRule="exact"/>
        <w:rPr>
          <w:sz w:val="20"/>
          <w:szCs w:val="20"/>
          <w:color w:val="auto"/>
        </w:rPr>
      </w:pPr>
    </w:p>
    <w:p>
      <w:pPr>
        <w:spacing w:after="0" w:line="270" w:lineRule="exact"/>
        <w:rPr>
          <w:sz w:val="20"/>
          <w:szCs w:val="20"/>
          <w:color w:val="auto"/>
        </w:rPr>
      </w:pPr>
    </w:p>
    <w:p>
      <w:pPr>
        <w:ind w:left="5828"/>
        <w:spacing w:after="0"/>
        <w:rPr>
          <w:sz w:val="20"/>
          <w:szCs w:val="20"/>
          <w:color w:val="auto"/>
        </w:rPr>
      </w:pPr>
      <w:r>
        <w:rPr>
          <w:rFonts w:ascii="Arial" w:cs="Arial" w:eastAsia="Arial" w:hAnsi="Arial"/>
          <w:sz w:val="17"/>
          <w:szCs w:val="17"/>
          <w:color w:val="auto"/>
        </w:rPr>
        <w:t>ANAPTYSBIO, INC.,</w:t>
      </w:r>
    </w:p>
    <w:p>
      <w:pPr>
        <w:spacing w:after="0" w:line="59" w:lineRule="exact"/>
        <w:rPr>
          <w:sz w:val="20"/>
          <w:szCs w:val="20"/>
          <w:color w:val="auto"/>
        </w:rPr>
      </w:pPr>
    </w:p>
    <w:p>
      <w:pPr>
        <w:ind w:left="5828"/>
        <w:spacing w:after="0"/>
        <w:rPr>
          <w:sz w:val="20"/>
          <w:szCs w:val="20"/>
          <w:color w:val="auto"/>
        </w:rPr>
      </w:pPr>
      <w:r>
        <w:rPr>
          <w:rFonts w:ascii="Arial" w:cs="Arial" w:eastAsia="Arial" w:hAnsi="Arial"/>
          <w:sz w:val="17"/>
          <w:szCs w:val="17"/>
          <w:color w:val="auto"/>
        </w:rPr>
        <w:t>a Delaware corporation</w:t>
      </w:r>
    </w:p>
    <w:p>
      <w:pPr>
        <w:spacing w:after="0" w:line="364" w:lineRule="exact"/>
        <w:rPr>
          <w:sz w:val="20"/>
          <w:szCs w:val="20"/>
          <w:color w:val="auto"/>
        </w:rPr>
      </w:pPr>
    </w:p>
    <w:tbl>
      <w:tblPr>
        <w:tblLayout w:type="fixed"/>
        <w:tblInd w:w="5828" w:type="dxa"/>
        <w:tblCellMar>
          <w:top w:w="0" w:type="dxa"/>
          <w:left w:w="0" w:type="dxa"/>
          <w:bottom w:w="0" w:type="dxa"/>
          <w:right w:w="0" w:type="dxa"/>
        </w:tblCellMar>
      </w:tblPr>
      <w:tr>
        <w:trPr>
          <w:trHeight w:val="215"/>
        </w:trPr>
        <w:tc>
          <w:tcPr>
            <w:tcW w:w="880" w:type="dxa"/>
            <w:vAlign w:val="bottom"/>
          </w:tcPr>
          <w:p>
            <w:pPr>
              <w:spacing w:after="0"/>
              <w:rPr>
                <w:sz w:val="20"/>
                <w:szCs w:val="20"/>
                <w:color w:val="auto"/>
              </w:rPr>
            </w:pPr>
            <w:r>
              <w:rPr>
                <w:rFonts w:ascii="Arial" w:cs="Arial" w:eastAsia="Arial" w:hAnsi="Arial"/>
                <w:sz w:val="17"/>
                <w:szCs w:val="17"/>
                <w:color w:val="auto"/>
              </w:rPr>
              <w:t>By:</w:t>
            </w:r>
          </w:p>
        </w:tc>
        <w:tc>
          <w:tcPr>
            <w:tcW w:w="2860" w:type="dxa"/>
            <w:vAlign w:val="bottom"/>
          </w:tcPr>
          <w:p>
            <w:pPr>
              <w:ind w:left="20"/>
              <w:spacing w:after="0"/>
              <w:rPr>
                <w:sz w:val="20"/>
                <w:szCs w:val="20"/>
                <w:color w:val="auto"/>
              </w:rPr>
            </w:pPr>
            <w:r>
              <w:rPr>
                <w:rFonts w:ascii="Arial" w:cs="Arial" w:eastAsia="Arial" w:hAnsi="Arial"/>
                <w:sz w:val="17"/>
                <w:szCs w:val="17"/>
                <w:color w:val="auto"/>
              </w:rPr>
              <w:t>/s/ Hamza Suria</w:t>
            </w:r>
          </w:p>
        </w:tc>
        <w:tc>
          <w:tcPr>
            <w:tcW w:w="0" w:type="dxa"/>
            <w:vAlign w:val="bottom"/>
          </w:tcPr>
          <w:p>
            <w:pPr>
              <w:spacing w:after="0"/>
              <w:rPr>
                <w:sz w:val="1"/>
                <w:szCs w:val="1"/>
                <w:color w:val="auto"/>
              </w:rPr>
            </w:pPr>
          </w:p>
        </w:tc>
      </w:tr>
      <w:tr>
        <w:trPr>
          <w:trHeight w:val="26"/>
        </w:trPr>
        <w:tc>
          <w:tcPr>
            <w:tcW w:w="88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20"/>
                <w:szCs w:val="20"/>
                <w:color w:val="auto"/>
              </w:rPr>
            </w:pPr>
            <w:r>
              <w:rPr>
                <w:rFonts w:ascii="Arial" w:cs="Arial" w:eastAsia="Arial" w:hAnsi="Arial"/>
                <w:sz w:val="17"/>
                <w:szCs w:val="17"/>
                <w:color w:val="auto"/>
              </w:rPr>
              <w:t>Name:</w:t>
            </w:r>
          </w:p>
        </w:tc>
        <w:tc>
          <w:tcPr>
            <w:tcW w:w="2860" w:type="dxa"/>
            <w:vAlign w:val="bottom"/>
          </w:tcPr>
          <w:p>
            <w:pPr>
              <w:ind w:left="20"/>
              <w:spacing w:after="0"/>
              <w:rPr>
                <w:sz w:val="20"/>
                <w:szCs w:val="20"/>
                <w:color w:val="auto"/>
              </w:rPr>
            </w:pPr>
            <w:r>
              <w:rPr>
                <w:rFonts w:ascii="Arial" w:cs="Arial" w:eastAsia="Arial" w:hAnsi="Arial"/>
                <w:sz w:val="17"/>
                <w:szCs w:val="17"/>
                <w:color w:val="auto"/>
              </w:rPr>
              <w:t>Hamza Suria</w:t>
            </w:r>
          </w:p>
        </w:tc>
        <w:tc>
          <w:tcPr>
            <w:tcW w:w="0" w:type="dxa"/>
            <w:vAlign w:val="bottom"/>
          </w:tcPr>
          <w:p>
            <w:pPr>
              <w:spacing w:after="0"/>
              <w:rPr>
                <w:sz w:val="1"/>
                <w:szCs w:val="1"/>
                <w:color w:val="auto"/>
              </w:rPr>
            </w:pPr>
          </w:p>
        </w:tc>
      </w:tr>
      <w:tr>
        <w:trPr>
          <w:trHeight w:val="26"/>
        </w:trPr>
        <w:tc>
          <w:tcPr>
            <w:tcW w:w="88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20"/>
                <w:szCs w:val="20"/>
                <w:color w:val="auto"/>
              </w:rPr>
            </w:pPr>
            <w:r>
              <w:rPr>
                <w:rFonts w:ascii="Arial" w:cs="Arial" w:eastAsia="Arial" w:hAnsi="Arial"/>
                <w:sz w:val="17"/>
                <w:szCs w:val="17"/>
                <w:color w:val="auto"/>
              </w:rPr>
              <w:t>Title:</w:t>
            </w:r>
          </w:p>
        </w:tc>
        <w:tc>
          <w:tcPr>
            <w:tcW w:w="2860" w:type="dxa"/>
            <w:vAlign w:val="bottom"/>
          </w:tcPr>
          <w:p>
            <w:pPr>
              <w:ind w:left="20"/>
              <w:spacing w:after="0"/>
              <w:rPr>
                <w:sz w:val="20"/>
                <w:szCs w:val="20"/>
                <w:color w:val="auto"/>
              </w:rPr>
            </w:pPr>
            <w:r>
              <w:rPr>
                <w:rFonts w:ascii="Arial" w:cs="Arial" w:eastAsia="Arial" w:hAnsi="Arial"/>
                <w:sz w:val="17"/>
                <w:szCs w:val="17"/>
                <w:color w:val="auto"/>
              </w:rPr>
              <w:t>President and CEO</w:t>
            </w:r>
          </w:p>
        </w:tc>
        <w:tc>
          <w:tcPr>
            <w:tcW w:w="0" w:type="dxa"/>
            <w:vAlign w:val="bottom"/>
          </w:tcPr>
          <w:p>
            <w:pPr>
              <w:spacing w:after="0"/>
              <w:rPr>
                <w:sz w:val="1"/>
                <w:szCs w:val="1"/>
                <w:color w:val="auto"/>
              </w:rPr>
            </w:pPr>
          </w:p>
        </w:tc>
      </w:tr>
      <w:tr>
        <w:trPr>
          <w:trHeight w:val="26"/>
        </w:trPr>
        <w:tc>
          <w:tcPr>
            <w:tcW w:w="880" w:type="dxa"/>
            <w:vAlign w:val="bottom"/>
            <w:vMerge w:val="restart"/>
          </w:tcPr>
          <w:p>
            <w:pPr>
              <w:spacing w:after="0"/>
              <w:rPr>
                <w:sz w:val="20"/>
                <w:szCs w:val="20"/>
                <w:color w:val="auto"/>
              </w:rPr>
            </w:pPr>
            <w:r>
              <w:rPr>
                <w:rFonts w:ascii="Arial" w:cs="Arial" w:eastAsia="Arial" w:hAnsi="Arial"/>
                <w:sz w:val="17"/>
                <w:szCs w:val="17"/>
                <w:color w:val="auto"/>
              </w:rPr>
              <w:t>By:</w:t>
            </w: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6"/>
        </w:trPr>
        <w:tc>
          <w:tcPr>
            <w:tcW w:w="88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8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8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80" w:type="dxa"/>
            <w:vAlign w:val="bottom"/>
            <w:vMerge w:val="restart"/>
          </w:tcPr>
          <w:p>
            <w:pPr>
              <w:spacing w:after="0"/>
              <w:rPr>
                <w:sz w:val="20"/>
                <w:szCs w:val="20"/>
                <w:color w:val="auto"/>
              </w:rPr>
            </w:pPr>
            <w:r>
              <w:rPr>
                <w:rFonts w:ascii="Arial" w:cs="Arial" w:eastAsia="Arial" w:hAnsi="Arial"/>
                <w:sz w:val="17"/>
                <w:szCs w:val="17"/>
                <w:color w:val="auto"/>
              </w:rPr>
              <w:t>Title:</w:t>
            </w: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8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8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808"/>
          </w:cols>
          <w:pgMar w:left="852" w:top="65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22860</wp:posOffset>
            </wp:positionV>
            <wp:extent cx="4944110" cy="6891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44110" cy="689102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1163320</wp:posOffset>
            </wp:positionH>
            <wp:positionV relativeFrom="page">
              <wp:posOffset>427990</wp:posOffset>
            </wp:positionV>
            <wp:extent cx="5243195" cy="70523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243195" cy="7052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ind w:left="4080"/>
        <w:spacing w:after="0"/>
        <w:rPr>
          <w:sz w:val="20"/>
          <w:szCs w:val="20"/>
          <w:color w:val="auto"/>
        </w:rPr>
      </w:pPr>
      <w:r>
        <w:rPr>
          <w:rFonts w:ascii="Arial" w:cs="Arial" w:eastAsia="Arial" w:hAnsi="Arial"/>
          <w:sz w:val="17"/>
          <w:szCs w:val="17"/>
          <w:b w:val="1"/>
          <w:bCs w:val="1"/>
          <w:color w:val="auto"/>
        </w:rPr>
        <w:t>EXHIBIT B</w:t>
      </w:r>
    </w:p>
    <w:p>
      <w:pPr>
        <w:spacing w:after="0" w:line="24"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SITE PLAN</w:t>
      </w:r>
    </w:p>
    <w:p>
      <w:pPr>
        <w:sectPr>
          <w:pgSz w:w="11900" w:h="16838" w:orient="portrait"/>
          <w:cols w:equalWidth="0" w:num="1">
            <w:col w:w="9019"/>
          </w:cols>
          <w:pgMar w:left="1440" w:top="657" w:right="1440" w:bottom="1440"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492760</wp:posOffset>
            </wp:positionV>
            <wp:extent cx="7217410" cy="5024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217410" cy="5024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EXHIBIT 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SUBLESSEE'S WORK</w:t>
      </w:r>
    </w:p>
    <w:p>
      <w:pPr>
        <w:sectPr>
          <w:pgSz w:w="11900" w:h="16838" w:orient="portrait"/>
          <w:cols w:equalWidth="0" w:num="1">
            <w:col w:w="9019"/>
          </w:cols>
          <w:pgMar w:left="1440" w:top="657" w:right="1440" w:bottom="1440"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686435</wp:posOffset>
            </wp:positionV>
            <wp:extent cx="7217410" cy="512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21741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686435</wp:posOffset>
            </wp:positionV>
            <wp:extent cx="7217410" cy="508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217410" cy="508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686435</wp:posOffset>
            </wp:positionV>
            <wp:extent cx="7217410" cy="5081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217410" cy="5081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687070</wp:posOffset>
            </wp:positionV>
            <wp:extent cx="7217410" cy="5073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217410" cy="5073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ind w:right="-1200"/>
        <w:spacing w:after="0"/>
        <w:rPr>
          <w:sz w:val="20"/>
          <w:szCs w:val="20"/>
          <w:color w:val="auto"/>
        </w:rPr>
      </w:pPr>
      <w:r>
        <w:rPr>
          <w:rFonts w:ascii="Arial" w:cs="Arial" w:eastAsia="Arial" w:hAnsi="Arial"/>
          <w:sz w:val="17"/>
          <w:szCs w:val="17"/>
          <w:b w:val="1"/>
          <w:bCs w:val="1"/>
          <w:color w:val="auto"/>
        </w:rPr>
        <w:t>EXHIBIT D</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SUBLESSOR FF&amp;E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To remain in suite:</w:t>
      </w:r>
    </w:p>
    <w:p>
      <w:pPr>
        <w:spacing w:after="0" w:line="17" w:lineRule="exact"/>
        <w:rPr>
          <w:sz w:val="20"/>
          <w:szCs w:val="20"/>
          <w:color w:val="auto"/>
        </w:rPr>
      </w:pPr>
    </w:p>
    <w:p>
      <w:pPr>
        <w:ind w:left="500" w:hanging="193"/>
        <w:spacing w:after="0"/>
        <w:tabs>
          <w:tab w:leader="none" w:pos="5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Board room table</w:t>
      </w:r>
    </w:p>
    <w:p>
      <w:pPr>
        <w:ind w:left="500" w:hanging="193"/>
        <w:spacing w:after="0" w:line="237" w:lineRule="auto"/>
        <w:tabs>
          <w:tab w:leader="none" w:pos="5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Board room chairs – 15</w:t>
      </w:r>
    </w:p>
    <w:p>
      <w:pPr>
        <w:ind w:left="500" w:hanging="193"/>
        <w:spacing w:after="0" w:line="237" w:lineRule="auto"/>
        <w:tabs>
          <w:tab w:leader="none" w:pos="5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Board room refrigerator</w:t>
      </w:r>
    </w:p>
    <w:p>
      <w:pPr>
        <w:ind w:left="500" w:hanging="193"/>
        <w:spacing w:after="0" w:line="237" w:lineRule="auto"/>
        <w:tabs>
          <w:tab w:leader="none" w:pos="5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Board room TV and stand</w:t>
      </w:r>
    </w:p>
    <w:p>
      <w:pPr>
        <w:ind w:left="500" w:hanging="193"/>
        <w:spacing w:after="0" w:line="237" w:lineRule="auto"/>
        <w:tabs>
          <w:tab w:leader="none" w:pos="5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Conference room installed TV</w:t>
      </w:r>
    </w:p>
    <w:p>
      <w:pPr>
        <w:ind w:left="500" w:hanging="193"/>
        <w:spacing w:after="0" w:line="237" w:lineRule="auto"/>
        <w:tabs>
          <w:tab w:leader="none" w:pos="5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Conference room installed whiteboard</w:t>
      </w:r>
    </w:p>
    <w:p>
      <w:pPr>
        <w:ind w:left="500" w:hanging="193"/>
        <w:spacing w:after="0" w:line="237" w:lineRule="auto"/>
        <w:tabs>
          <w:tab w:leader="none" w:pos="5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Conference room table – no chairs</w:t>
      </w:r>
    </w:p>
    <w:p>
      <w:pPr>
        <w:ind w:left="500" w:hanging="193"/>
        <w:spacing w:after="0"/>
        <w:tabs>
          <w:tab w:leader="none" w:pos="5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Conference room table – no chairs</w:t>
      </w:r>
    </w:p>
    <w:p>
      <w:pPr>
        <w:sectPr>
          <w:pgSz w:w="11900" w:h="16838" w:orient="portrait"/>
          <w:cols w:equalWidth="0" w:num="1">
            <w:col w:w="10219"/>
          </w:cols>
          <w:pgMar w:left="240" w:top="657"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PERIODIC REPORT UNDER SECTION 302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 Hamza Suria, certify that:</w:t>
      </w:r>
    </w:p>
    <w:p>
      <w:pPr>
        <w:spacing w:after="0" w:line="110" w:lineRule="exact"/>
        <w:rPr>
          <w:sz w:val="20"/>
          <w:szCs w:val="20"/>
          <w:color w:val="auto"/>
        </w:rPr>
      </w:pPr>
    </w:p>
    <w:p>
      <w:pPr>
        <w:ind w:left="180" w:hanging="178"/>
        <w:spacing w:after="0"/>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AnaptysBio, Inc.;</w:t>
      </w:r>
    </w:p>
    <w:p>
      <w:pPr>
        <w:spacing w:after="0" w:line="109" w:lineRule="exact"/>
        <w:rPr>
          <w:rFonts w:ascii="Arial" w:cs="Arial" w:eastAsia="Arial" w:hAnsi="Arial"/>
          <w:sz w:val="17"/>
          <w:szCs w:val="17"/>
          <w:color w:val="auto"/>
        </w:rPr>
      </w:pPr>
    </w:p>
    <w:p>
      <w:pPr>
        <w:ind w:left="160" w:hanging="158"/>
        <w:spacing w:after="0" w:line="306" w:lineRule="auto"/>
        <w:tabs>
          <w:tab w:leader="none" w:pos="177"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6"/>
          <w:szCs w:val="16"/>
          <w:color w:val="auto"/>
        </w:rPr>
      </w:pPr>
    </w:p>
    <w:p>
      <w:pPr>
        <w:ind w:left="160" w:right="720" w:hanging="158"/>
        <w:spacing w:after="0" w:line="274" w:lineRule="auto"/>
        <w:tabs>
          <w:tab w:leader="none" w:pos="177"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7"/>
          <w:szCs w:val="17"/>
          <w:color w:val="auto"/>
        </w:rPr>
      </w:pPr>
    </w:p>
    <w:p>
      <w:pPr>
        <w:ind w:left="180" w:hanging="178"/>
        <w:spacing w:after="0"/>
        <w:tabs>
          <w:tab w:leader="none" w:pos="1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5"/>
          <w:szCs w:val="15"/>
          <w:color w:val="auto"/>
        </w:rPr>
      </w:pPr>
    </w:p>
    <w:p>
      <w:pPr>
        <w:ind w:left="160"/>
        <w:spacing w:after="0"/>
        <w:rPr>
          <w:rFonts w:ascii="Arial" w:cs="Arial" w:eastAsia="Arial" w:hAnsi="Arial"/>
          <w:sz w:val="15"/>
          <w:szCs w:val="15"/>
          <w:color w:val="auto"/>
        </w:rPr>
      </w:pPr>
      <w:r>
        <w:rPr>
          <w:rFonts w:ascii="Arial" w:cs="Arial" w:eastAsia="Arial" w:hAnsi="Arial"/>
          <w:sz w:val="17"/>
          <w:szCs w:val="17"/>
          <w:color w:val="auto"/>
        </w:rPr>
        <w:t>13a-15(e) and 15d-15(e)) for the registrant and have:</w:t>
      </w:r>
    </w:p>
    <w:p>
      <w:pPr>
        <w:spacing w:after="0" w:line="98" w:lineRule="exact"/>
        <w:rPr>
          <w:rFonts w:ascii="Arial" w:cs="Arial" w:eastAsia="Arial" w:hAnsi="Arial"/>
          <w:sz w:val="15"/>
          <w:szCs w:val="15"/>
          <w:color w:val="auto"/>
        </w:rPr>
      </w:pPr>
    </w:p>
    <w:p>
      <w:pPr>
        <w:ind w:left="380" w:right="20" w:hanging="149"/>
        <w:spacing w:after="0" w:line="261" w:lineRule="auto"/>
        <w:tabs>
          <w:tab w:leader="none" w:pos="401"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7"/>
          <w:szCs w:val="17"/>
          <w:color w:val="auto"/>
        </w:rPr>
      </w:pPr>
    </w:p>
    <w:p>
      <w:pPr>
        <w:ind w:left="380" w:right="500" w:hanging="149"/>
        <w:spacing w:after="0" w:line="274" w:lineRule="auto"/>
        <w:tabs>
          <w:tab w:leader="none" w:pos="411"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7"/>
          <w:szCs w:val="17"/>
          <w:color w:val="auto"/>
        </w:rPr>
      </w:pPr>
    </w:p>
    <w:p>
      <w:pPr>
        <w:ind w:left="380" w:right="160" w:hanging="149"/>
        <w:spacing w:after="0" w:line="261" w:lineRule="auto"/>
        <w:tabs>
          <w:tab w:leader="none" w:pos="401"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7"/>
          <w:szCs w:val="17"/>
          <w:color w:val="auto"/>
        </w:rPr>
      </w:pPr>
    </w:p>
    <w:p>
      <w:pPr>
        <w:ind w:left="160" w:right="480" w:hanging="158"/>
        <w:spacing w:after="0" w:line="274" w:lineRule="auto"/>
        <w:tabs>
          <w:tab w:leader="none" w:pos="17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7"/>
          <w:szCs w:val="17"/>
          <w:color w:val="auto"/>
        </w:rPr>
      </w:pPr>
    </w:p>
    <w:p>
      <w:pPr>
        <w:ind w:left="380" w:hanging="149"/>
        <w:spacing w:after="0" w:line="274" w:lineRule="auto"/>
        <w:tabs>
          <w:tab w:leader="none" w:pos="401"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7"/>
          <w:szCs w:val="17"/>
          <w:color w:val="auto"/>
        </w:rPr>
      </w:pPr>
    </w:p>
    <w:p>
      <w:pPr>
        <w:ind w:left="380" w:right="280" w:hanging="149"/>
        <w:spacing w:after="0" w:line="274" w:lineRule="auto"/>
        <w:tabs>
          <w:tab w:leader="none" w:pos="411"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August 7, 2018</w:t>
      </w:r>
    </w:p>
    <w:p>
      <w:pPr>
        <w:spacing w:after="0" w:line="364"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29210</wp:posOffset>
            </wp:positionV>
            <wp:extent cx="28924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52"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Hamza Suria</w:t>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7"/>
          <w:szCs w:val="17"/>
          <w:i w:val="1"/>
          <w:iCs w:val="1"/>
          <w:color w:val="auto"/>
        </w:rPr>
        <w:t>Chief Executive Officer</w:t>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(Principal Executive Officer</w:t>
      </w:r>
      <w:r>
        <w:rPr>
          <w:rFonts w:ascii="Arial" w:cs="Arial" w:eastAsia="Arial" w:hAnsi="Arial"/>
          <w:sz w:val="17"/>
          <w:szCs w:val="17"/>
          <w:i w:val="1"/>
          <w:iCs w:val="1"/>
          <w:color w:val="auto"/>
        </w:rPr>
        <w:t>)</w:t>
      </w:r>
    </w:p>
    <w:p>
      <w:pPr>
        <w:sectPr>
          <w:pgSz w:w="11900" w:h="16838" w:orient="portrait"/>
          <w:cols w:equalWidth="0" w:num="1">
            <w:col w:w="11420"/>
          </w:cols>
          <w:pgMar w:left="240" w:top="59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PERIODIC REPORT UNDER SECTION 302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 Dominic G. Piscitelli, certify that:</w:t>
      </w:r>
    </w:p>
    <w:p>
      <w:pPr>
        <w:spacing w:after="0" w:line="110" w:lineRule="exact"/>
        <w:rPr>
          <w:sz w:val="20"/>
          <w:szCs w:val="20"/>
          <w:color w:val="auto"/>
        </w:rPr>
      </w:pPr>
    </w:p>
    <w:p>
      <w:pPr>
        <w:ind w:left="180" w:hanging="178"/>
        <w:spacing w:after="0"/>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AnaptysBio, Inc.;</w:t>
      </w:r>
    </w:p>
    <w:p>
      <w:pPr>
        <w:spacing w:after="0" w:line="109" w:lineRule="exact"/>
        <w:rPr>
          <w:rFonts w:ascii="Arial" w:cs="Arial" w:eastAsia="Arial" w:hAnsi="Arial"/>
          <w:sz w:val="17"/>
          <w:szCs w:val="17"/>
          <w:color w:val="auto"/>
        </w:rPr>
      </w:pPr>
    </w:p>
    <w:p>
      <w:pPr>
        <w:ind w:left="160" w:hanging="158"/>
        <w:spacing w:after="0" w:line="306" w:lineRule="auto"/>
        <w:tabs>
          <w:tab w:leader="none" w:pos="177"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6"/>
          <w:szCs w:val="16"/>
          <w:color w:val="auto"/>
        </w:rPr>
      </w:pPr>
    </w:p>
    <w:p>
      <w:pPr>
        <w:ind w:left="160" w:right="720" w:hanging="158"/>
        <w:spacing w:after="0" w:line="274" w:lineRule="auto"/>
        <w:tabs>
          <w:tab w:leader="none" w:pos="177"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7"/>
          <w:szCs w:val="17"/>
          <w:color w:val="auto"/>
        </w:rPr>
      </w:pPr>
    </w:p>
    <w:p>
      <w:pPr>
        <w:ind w:left="180" w:hanging="178"/>
        <w:spacing w:after="0"/>
        <w:tabs>
          <w:tab w:leader="none" w:pos="1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5"/>
          <w:szCs w:val="15"/>
          <w:color w:val="auto"/>
        </w:rPr>
      </w:pPr>
    </w:p>
    <w:p>
      <w:pPr>
        <w:ind w:left="160"/>
        <w:spacing w:after="0"/>
        <w:rPr>
          <w:rFonts w:ascii="Arial" w:cs="Arial" w:eastAsia="Arial" w:hAnsi="Arial"/>
          <w:sz w:val="15"/>
          <w:szCs w:val="15"/>
          <w:color w:val="auto"/>
        </w:rPr>
      </w:pPr>
      <w:r>
        <w:rPr>
          <w:rFonts w:ascii="Arial" w:cs="Arial" w:eastAsia="Arial" w:hAnsi="Arial"/>
          <w:sz w:val="17"/>
          <w:szCs w:val="17"/>
          <w:color w:val="auto"/>
        </w:rPr>
        <w:t>13a-15(e) and 15d-15(e)) for the registrant and have:</w:t>
      </w:r>
    </w:p>
    <w:p>
      <w:pPr>
        <w:spacing w:after="0" w:line="98" w:lineRule="exact"/>
        <w:rPr>
          <w:rFonts w:ascii="Arial" w:cs="Arial" w:eastAsia="Arial" w:hAnsi="Arial"/>
          <w:sz w:val="15"/>
          <w:szCs w:val="15"/>
          <w:color w:val="auto"/>
        </w:rPr>
      </w:pPr>
    </w:p>
    <w:p>
      <w:pPr>
        <w:ind w:left="380" w:right="20" w:hanging="149"/>
        <w:spacing w:after="0" w:line="261" w:lineRule="auto"/>
        <w:tabs>
          <w:tab w:leader="none" w:pos="401"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7"/>
          <w:szCs w:val="17"/>
          <w:color w:val="auto"/>
        </w:rPr>
      </w:pPr>
    </w:p>
    <w:p>
      <w:pPr>
        <w:ind w:left="380" w:right="500" w:hanging="149"/>
        <w:spacing w:after="0" w:line="274" w:lineRule="auto"/>
        <w:tabs>
          <w:tab w:leader="none" w:pos="411"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7"/>
          <w:szCs w:val="17"/>
          <w:color w:val="auto"/>
        </w:rPr>
      </w:pPr>
    </w:p>
    <w:p>
      <w:pPr>
        <w:ind w:left="380" w:right="160" w:hanging="149"/>
        <w:spacing w:after="0" w:line="261" w:lineRule="auto"/>
        <w:tabs>
          <w:tab w:leader="none" w:pos="401"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7"/>
          <w:szCs w:val="17"/>
          <w:color w:val="auto"/>
        </w:rPr>
      </w:pPr>
    </w:p>
    <w:p>
      <w:pPr>
        <w:ind w:left="160" w:right="480" w:hanging="158"/>
        <w:spacing w:after="0" w:line="274" w:lineRule="auto"/>
        <w:tabs>
          <w:tab w:leader="none" w:pos="177"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7"/>
          <w:szCs w:val="17"/>
          <w:color w:val="auto"/>
        </w:rPr>
      </w:pPr>
    </w:p>
    <w:p>
      <w:pPr>
        <w:ind w:left="380" w:hanging="149"/>
        <w:spacing w:after="0" w:line="274" w:lineRule="auto"/>
        <w:tabs>
          <w:tab w:leader="none" w:pos="401"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7"/>
          <w:szCs w:val="17"/>
          <w:color w:val="auto"/>
        </w:rPr>
      </w:pPr>
    </w:p>
    <w:p>
      <w:pPr>
        <w:ind w:left="380" w:right="280" w:hanging="149"/>
        <w:spacing w:after="0" w:line="274" w:lineRule="auto"/>
        <w:tabs>
          <w:tab w:leader="none" w:pos="411"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August 7, 2018</w:t>
      </w:r>
    </w:p>
    <w:p>
      <w:pPr>
        <w:spacing w:after="0" w:line="364"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29210</wp:posOffset>
            </wp:positionV>
            <wp:extent cx="28924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52"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Dominic G. Piscitelli</w:t>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7"/>
          <w:szCs w:val="17"/>
          <w:i w:val="1"/>
          <w:iCs w:val="1"/>
          <w:color w:val="auto"/>
        </w:rPr>
        <w:t>Chief Financial Officer</w:t>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594"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I, Hamza Suria, Chief Executive Officer of AnaptysBio, Inc. (Company), do hereby certify, pursuant to 18 U.S.C. Section 1350, as adopted pursuant to Section 906 of the Sarbanes-Oxley Act of 2002, that to the best of my knowledge:</w:t>
      </w:r>
    </w:p>
    <w:p>
      <w:pPr>
        <w:spacing w:after="0" w:line="63" w:lineRule="exact"/>
        <w:rPr>
          <w:sz w:val="20"/>
          <w:szCs w:val="20"/>
          <w:color w:val="auto"/>
        </w:rPr>
      </w:pPr>
    </w:p>
    <w:p>
      <w:pPr>
        <w:ind w:left="820" w:right="700" w:hanging="411"/>
        <w:spacing w:after="0" w:line="306" w:lineRule="auto"/>
        <w:tabs>
          <w:tab w:leader="none" w:pos="8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2018 (the “Report”), as filed with the Securities and Exchange Commission, fully complies with the requirements of Section 13(a) or 15(d) of the Securities Exchange Act of 1934; and</w:t>
      </w:r>
    </w:p>
    <w:p>
      <w:pPr>
        <w:spacing w:after="0" w:line="39" w:lineRule="exact"/>
        <w:rPr>
          <w:rFonts w:ascii="Arial" w:cs="Arial" w:eastAsia="Arial" w:hAnsi="Arial"/>
          <w:sz w:val="16"/>
          <w:szCs w:val="16"/>
          <w:color w:val="auto"/>
        </w:rPr>
      </w:pPr>
    </w:p>
    <w:p>
      <w:pPr>
        <w:ind w:left="820" w:right="340" w:hanging="411"/>
        <w:spacing w:after="0" w:line="274" w:lineRule="auto"/>
        <w:tabs>
          <w:tab w:leader="none" w:pos="8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periods presented therein.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August 7, 2018</w:t>
      </w:r>
    </w:p>
    <w:p>
      <w:pPr>
        <w:spacing w:after="0" w:line="364"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29210</wp:posOffset>
            </wp:positionV>
            <wp:extent cx="28924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52"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Hamza Suria</w:t>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7"/>
          <w:szCs w:val="17"/>
          <w:i w:val="1"/>
          <w:iCs w:val="1"/>
          <w:color w:val="auto"/>
        </w:rPr>
        <w:t>Chief Executive Officer</w:t>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(Principal Executive Officer</w:t>
      </w:r>
      <w:r>
        <w:rPr>
          <w:rFonts w:ascii="Arial" w:cs="Arial" w:eastAsia="Arial" w:hAnsi="Arial"/>
          <w:sz w:val="17"/>
          <w:szCs w:val="17"/>
          <w:i w:val="1"/>
          <w:iCs w:val="1"/>
          <w:color w:val="auto"/>
        </w:rPr>
        <w:t>)</w:t>
      </w:r>
    </w:p>
    <w:p>
      <w:pPr>
        <w:sectPr>
          <w:pgSz w:w="11900" w:h="16838" w:orient="portrait"/>
          <w:cols w:equalWidth="0" w:num="1">
            <w:col w:w="11420"/>
          </w:cols>
          <w:pgMar w:left="240" w:top="594"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 Dominic G. Piscitelli, Chief Financial Officer of AnaptysBio, Inc. (Company), do hereby certify, pursuant to 18 U.S.C. Section 1350, as adopted pursuant to</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Section 906 of the Sarbanes-Oxley Act of 2002, that to the best of my knowledge:</w:t>
      </w:r>
    </w:p>
    <w:p>
      <w:pPr>
        <w:spacing w:after="0" w:line="98" w:lineRule="exact"/>
        <w:rPr>
          <w:sz w:val="20"/>
          <w:szCs w:val="20"/>
          <w:color w:val="auto"/>
        </w:rPr>
      </w:pPr>
    </w:p>
    <w:p>
      <w:pPr>
        <w:ind w:left="820" w:right="700" w:hanging="411"/>
        <w:spacing w:after="0" w:line="306" w:lineRule="auto"/>
        <w:tabs>
          <w:tab w:leader="none" w:pos="8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2018 (the “Report”), as filed with the Securities and Exchange Commission, fully complies with the requirements of Section 13(a) or 15(d) of the Securities Exchange Act of 1934; and</w:t>
      </w:r>
    </w:p>
    <w:p>
      <w:pPr>
        <w:spacing w:after="0" w:line="39" w:lineRule="exact"/>
        <w:rPr>
          <w:rFonts w:ascii="Arial" w:cs="Arial" w:eastAsia="Arial" w:hAnsi="Arial"/>
          <w:sz w:val="16"/>
          <w:szCs w:val="16"/>
          <w:color w:val="auto"/>
        </w:rPr>
      </w:pPr>
    </w:p>
    <w:p>
      <w:pPr>
        <w:ind w:left="820" w:right="340" w:hanging="411"/>
        <w:spacing w:after="0" w:line="274" w:lineRule="auto"/>
        <w:tabs>
          <w:tab w:leader="none" w:pos="8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for the periods presented therein.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August 7, 2018</w:t>
      </w:r>
    </w:p>
    <w:p>
      <w:pPr>
        <w:spacing w:after="0" w:line="364"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29210</wp:posOffset>
            </wp:positionV>
            <wp:extent cx="28924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52"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Dominic G. Piscitelli</w:t>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7"/>
          <w:szCs w:val="17"/>
          <w:i w:val="1"/>
          <w:iCs w:val="1"/>
          <w:color w:val="auto"/>
        </w:rPr>
        <w:t>Chief Financial Officer</w:t>
      </w:r>
    </w:p>
    <w:p>
      <w:pPr>
        <w:spacing w:after="0" w:line="59"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
      <w:numFmt w:val="bullet"/>
      <w:start w:val="1"/>
    </w:lvl>
  </w:abstractNum>
  <w:abstractNum w:abstractNumId="3">
    <w:nsid w:val="2CA88611"/>
    <w:multiLevelType w:val="hybridMultilevel"/>
    <w:lvl w:ilvl="0">
      <w:lvlJc w:val="left"/>
      <w:lvlText w:val="%1."/>
      <w:numFmt w:val="decimal"/>
      <w:start w:val="2"/>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3"/>
    </w:lvl>
  </w:abstractNum>
  <w:abstractNum w:abstractNumId="7">
    <w:nsid w:val="8138641"/>
    <w:multiLevelType w:val="hybridMultilevel"/>
    <w:lvl w:ilvl="0">
      <w:lvlJc w:val="left"/>
      <w:lvlText w:val="%1."/>
      <w:numFmt w:val="decimal"/>
      <w:start w:val="4"/>
    </w:lvl>
  </w:abstractNum>
  <w:abstractNum w:abstractNumId="8">
    <w:nsid w:val="1E7FF521"/>
    <w:multiLevelType w:val="hybridMultilevel"/>
    <w:lvl w:ilvl="0">
      <w:lvlJc w:val="left"/>
      <w:lvlText w:val="%1."/>
      <w:numFmt w:val="decimal"/>
      <w:start w:val="6"/>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10"/>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lvl w:ilvl="1">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2"/>
    </w:lvl>
  </w:abstractNum>
  <w:abstractNum w:abstractNumId="40">
    <w:nsid w:val="542289EC"/>
    <w:multiLevelType w:val="hybridMultilevel"/>
    <w:lvl w:ilvl="0">
      <w:lvlJc w:val="left"/>
      <w:lvlText w:val="%1."/>
      <w:numFmt w:val="decimal"/>
      <w:start w:val="3"/>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6"/>
    </w:lvl>
    <w:lvl w:ilvl="1">
      <w:lvlJc w:val="left"/>
      <w:lvlText w:val="•"/>
      <w:numFmt w:val="bullet"/>
      <w:start w:val="1"/>
    </w:lvl>
  </w:abstractNum>
  <w:abstractNum w:abstractNumId="44">
    <w:nsid w:val="32FFF902"/>
    <w:multiLevelType w:val="hybridMultilevel"/>
    <w:lvl w:ilvl="0">
      <w:lvlJc w:val="left"/>
      <w:lvlText w:val="%1."/>
      <w:numFmt w:val="decimal"/>
      <w:start w:val="8"/>
    </w:lvl>
  </w:abstractNum>
  <w:abstractNum w:abstractNumId="45">
    <w:nsid w:val="684A481A"/>
    <w:multiLevelType w:val="hybridMultilevel"/>
    <w:lvl w:ilvl="0">
      <w:lvlJc w:val="left"/>
      <w:lvlText w:val="%1."/>
      <w:numFmt w:val="decimal"/>
      <w:start w:val="14"/>
    </w:lvl>
  </w:abstractNum>
  <w:abstractNum w:abstractNumId="46">
    <w:nsid w:val="579478FE"/>
    <w:multiLevelType w:val="hybridMultilevel"/>
    <w:lvl w:ilvl="0">
      <w:lvlJc w:val="left"/>
      <w:lvlText w:val="%1."/>
      <w:numFmt w:val="decimal"/>
      <w:start w:val="14"/>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2019-12-28T20:26:08Z</dcterms:created>
  <dcterms:modified xsi:type="dcterms:W3CDTF">2019-12-28T20:26:08Z</dcterms:modified>
</cp:coreProperties>
</file>